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240"/>
        <w:jc w:val="center"/>
        <w:rPr>
          <w:rFonts w:ascii="Liberation Serif" w:hAnsi="Liberation Serif" w:eastAsia="AR PL SungtiL GB" w:cs="Lohit Devanagari"/>
          <w:b/>
          <w:b/>
          <w:bCs/>
          <w:color w:val="00000A"/>
          <w:lang w:eastAsia="zh-CN" w:bidi="hi-IN"/>
        </w:rPr>
      </w:pPr>
      <w:r>
        <w:rPr>
          <w:rFonts w:eastAsia="AR PL SungtiL GB" w:cs="Lohit Devanagari" w:ascii="Liberation Serif" w:hAnsi="Liberation Serif"/>
          <w:b/>
          <w:bCs/>
          <w:color w:val="00000A"/>
          <w:lang w:eastAsia="zh-CN" w:bidi="hi-IN"/>
        </w:rPr>
        <w:t xml:space="preserve">Description of Additional </w:t>
      </w:r>
      <w:r>
        <w:rPr>
          <w:rFonts w:eastAsia="AR PL SungtiL GB" w:cs="Lohit Devanagari" w:ascii="Liberation Serif" w:hAnsi="Liberation Serif"/>
          <w:b/>
          <w:bCs/>
          <w:color w:val="00000A"/>
          <w:lang w:eastAsia="zh-CN" w:bidi="hi-IN"/>
        </w:rPr>
        <w:t xml:space="preserve">Supplementary </w:t>
      </w:r>
      <w:r>
        <w:rPr>
          <w:rFonts w:eastAsia="AR PL SungtiL GB" w:cs="Lohit Devanagari" w:ascii="Liberation Serif" w:hAnsi="Liberation Serif"/>
          <w:b/>
          <w:bCs/>
          <w:color w:val="00000A"/>
          <w:lang w:eastAsia="zh-CN" w:bidi="hi-IN"/>
        </w:rPr>
        <w:t>Files</w:t>
      </w:r>
    </w:p>
    <w:p>
      <w:pPr>
        <w:pStyle w:val="Normal"/>
        <w:spacing w:lineRule="auto" w:line="480" w:before="0" w:after="240"/>
        <w:rPr/>
      </w:pPr>
      <w:r>
        <w:rPr>
          <w:color w:val="000000"/>
        </w:rPr>
        <w:t>Single-nuclei transcriptomes from human adrenal gland reveal distinct cellular identities of low and high-risk neuroblastoma tumors</w:t>
      </w:r>
    </w:p>
    <w:p>
      <w:pPr>
        <w:pStyle w:val="BodyText1"/>
        <w:spacing w:lineRule="auto" w:line="480"/>
        <w:rPr>
          <w:vertAlign w:val="superscript"/>
        </w:rPr>
      </w:pPr>
      <w:r>
        <w:rPr/>
        <w:t>Bedoya-Reina O.C.,</w:t>
      </w:r>
      <w:r>
        <w:rPr>
          <w:vertAlign w:val="superscript"/>
        </w:rPr>
        <w:t>1,*,+</w:t>
      </w:r>
      <w:r>
        <w:rPr/>
        <w:t>, Li W.</w:t>
      </w:r>
      <w:r>
        <w:rPr>
          <w:vertAlign w:val="superscript"/>
        </w:rPr>
        <w:t>1,+</w:t>
      </w:r>
      <w:r>
        <w:rPr/>
        <w:t>, Arceo M.</w:t>
      </w:r>
      <w:r>
        <w:rPr>
          <w:vertAlign w:val="superscript"/>
        </w:rPr>
        <w:t>1</w:t>
      </w:r>
      <w:r>
        <w:rPr/>
        <w:t>, Plescher M.</w:t>
      </w:r>
      <w:r>
        <w:rPr>
          <w:vertAlign w:val="superscript"/>
        </w:rPr>
        <w:t>1</w:t>
      </w:r>
      <w:r>
        <w:rPr/>
        <w:t>, Bullova P</w:t>
      </w:r>
      <w:r>
        <w:rPr>
          <w:vertAlign w:val="superscript"/>
        </w:rPr>
        <w:t>1</w:t>
      </w:r>
      <w:r>
        <w:rPr/>
        <w:t>, Pui H.</w:t>
      </w:r>
      <w:r>
        <w:rPr>
          <w:vertAlign w:val="superscript"/>
        </w:rPr>
        <w:t>2</w:t>
      </w:r>
      <w:r>
        <w:rPr/>
        <w:t>, Kaucka M.</w:t>
      </w:r>
      <w:r>
        <w:rPr>
          <w:vertAlign w:val="superscript"/>
        </w:rPr>
        <w:t>3</w:t>
      </w:r>
      <w:r>
        <w:rPr/>
        <w:t>, Kharchenko P.</w:t>
      </w:r>
      <w:r>
        <w:rPr>
          <w:vertAlign w:val="superscript"/>
        </w:rPr>
        <w:t>4,5</w:t>
      </w:r>
      <w:r>
        <w:rPr/>
        <w:t>, Martinsson T.</w:t>
      </w:r>
      <w:r>
        <w:rPr>
          <w:vertAlign w:val="superscript"/>
        </w:rPr>
        <w:t>6</w:t>
      </w:r>
      <w:r>
        <w:rPr/>
        <w:t>, Holmberg J.</w:t>
      </w:r>
      <w:r>
        <w:rPr>
          <w:vertAlign w:val="superscript"/>
        </w:rPr>
        <w:t>7</w:t>
      </w:r>
      <w:r>
        <w:rPr/>
        <w:t>, Adameyko I.</w:t>
      </w:r>
      <w:r>
        <w:rPr>
          <w:vertAlign w:val="superscript"/>
        </w:rPr>
        <w:t>2,8</w:t>
      </w:r>
      <w:r>
        <w:rPr/>
        <w:t>, Deng Q.</w:t>
      </w:r>
      <w:r>
        <w:rPr>
          <w:vertAlign w:val="superscript"/>
        </w:rPr>
        <w:t xml:space="preserve">2 </w:t>
      </w:r>
      <w:r>
        <w:rPr/>
        <w:t>, Larsson C.</w:t>
      </w:r>
      <w:r>
        <w:rPr>
          <w:vertAlign w:val="superscript"/>
        </w:rPr>
        <w:t>9</w:t>
      </w:r>
      <w:r>
        <w:rPr/>
        <w:t>, Juhlin C.C.</w:t>
      </w:r>
      <w:r>
        <w:rPr>
          <w:vertAlign w:val="superscript"/>
        </w:rPr>
        <w:t xml:space="preserve">9 </w:t>
      </w:r>
      <w:r>
        <w:rPr/>
        <w:t>, Kogner P.</w:t>
      </w:r>
      <w:r>
        <w:rPr>
          <w:vertAlign w:val="superscript"/>
        </w:rPr>
        <w:t>10</w:t>
      </w:r>
      <w:r>
        <w:rPr/>
        <w:t>, Schlisio S.</w:t>
      </w:r>
      <w:r>
        <w:rPr>
          <w:vertAlign w:val="superscript"/>
        </w:rPr>
        <w:t>1,*</w:t>
      </w:r>
    </w:p>
    <w:p>
      <w:pPr>
        <w:pStyle w:val="BodyText1"/>
        <w:spacing w:lineRule="auto" w:line="480"/>
        <w:rPr/>
      </w:pPr>
      <w:r>
        <w:rPr/>
        <w:t xml:space="preserve">*Corresponding authors: Oscar C. Bedoya-Reina, Department of Microbiology, Tumor and Cell Biology. </w:t>
      </w:r>
      <w:r>
        <w:rPr>
          <w:lang w:val="sv-SE"/>
        </w:rPr>
        <w:t xml:space="preserve">Karolinska Institutet. Stockholm, Sweden. E-mail: </w:t>
      </w:r>
      <w:hyperlink r:id="rId2">
        <w:r>
          <w:rPr>
            <w:rStyle w:val="Hyperlink1"/>
            <w:lang w:val="sv-SE"/>
          </w:rPr>
          <w:t>oscar.bedoya.reina@ki.se</w:t>
        </w:r>
      </w:hyperlink>
      <w:r>
        <w:rPr>
          <w:lang w:val="sv-SE"/>
        </w:rPr>
        <w:t xml:space="preserve">. </w:t>
      </w:r>
      <w:r>
        <w:rPr/>
        <w:t xml:space="preserve">Susanne Schlisio, Department of Microbiology, Tumor and Cell Biology. Karolinska Institutet. Stockholm, Sweden. E-mail: </w:t>
      </w:r>
      <w:hyperlink r:id="rId3">
        <w:r>
          <w:rPr>
            <w:rStyle w:val="Hyperlink1"/>
          </w:rPr>
          <w:t>susanne.schlisio@ki.se</w:t>
        </w:r>
      </w:hyperlink>
      <w:r>
        <w:rPr/>
        <w:t>.</w:t>
      </w:r>
    </w:p>
    <w:p>
      <w:pPr>
        <w:pStyle w:val="BodyText1"/>
        <w:spacing w:lineRule="auto" w:line="480"/>
        <w:rPr/>
      </w:pPr>
      <w:r>
        <w:rPr/>
        <w:t>+Equally contributing authors</w:t>
      </w:r>
    </w:p>
    <w:p>
      <w:pPr>
        <w:pStyle w:val="BodyText1"/>
        <w:spacing w:lineRule="auto" w:line="480"/>
        <w:rPr>
          <w:b/>
          <w:b/>
          <w:bCs/>
        </w:rPr>
      </w:pPr>
      <w:r>
        <w:rPr>
          <w:b/>
          <w:bCs/>
        </w:rPr>
      </w:r>
    </w:p>
    <w:p>
      <w:pPr>
        <w:pStyle w:val="BodyText1"/>
        <w:spacing w:lineRule="auto" w:line="480"/>
        <w:rPr/>
      </w:pPr>
      <w:r>
        <w:rPr/>
      </w:r>
    </w:p>
    <w:p>
      <w:pPr>
        <w:pStyle w:val="BodyText1"/>
        <w:rPr>
          <w:b/>
          <w:b/>
          <w:bCs/>
        </w:rPr>
      </w:pPr>
      <w:r>
        <w:rPr>
          <w:b/>
        </w:rPr>
        <w:t xml:space="preserve">Supplementary Data </w:t>
      </w:r>
      <w:r>
        <w:rPr>
          <w:b/>
          <w:bCs/>
        </w:rPr>
        <w:t>Legends</w:t>
      </w:r>
    </w:p>
    <w:p>
      <w:pPr>
        <w:pStyle w:val="BodyText1"/>
        <w:spacing w:lineRule="auto" w:line="480"/>
        <w:rPr/>
      </w:pPr>
      <w:r>
        <w:rPr/>
      </w:r>
    </w:p>
    <w:p>
      <w:pPr>
        <w:pStyle w:val="BodyText1"/>
        <w:spacing w:lineRule="auto" w:line="480"/>
        <w:rPr/>
      </w:pPr>
      <w:r>
        <w:rPr>
          <w:b/>
          <w:bCs/>
        </w:rPr>
        <w:t>Supplementary Data 1.</w:t>
      </w:r>
      <w:r>
        <w:rPr/>
        <w:t xml:space="preserve"> </w:t>
      </w:r>
      <w:r>
        <w:rPr>
          <w:b/>
          <w:bCs/>
        </w:rPr>
        <w:t xml:space="preserve">List of samples, cells and reads details and statistics for each case study, before and after quality controls. </w:t>
      </w:r>
      <w:r>
        <w:rPr/>
        <w:t>Extended information of the neuroblastoma samples is included. CGH class: OS=Other segmental, 17q=17q+ without NMA/11q-', NMA=MYCN-amplification. INRGSS stage: L=Localized, L1/L2 (INSS 1,2,3), INRGSS=International Neuroblastoma Risk Group Staging System, INSS=International Neuroblastoma Staging System, CGH=Comparative genomic hybridization.</w:t>
      </w:r>
    </w:p>
    <w:p>
      <w:pPr>
        <w:pStyle w:val="BodyText1"/>
        <w:spacing w:lineRule="auto" w:line="480"/>
        <w:rPr/>
      </w:pPr>
      <w:r>
        <w:rPr/>
      </w:r>
    </w:p>
    <w:p>
      <w:pPr>
        <w:pStyle w:val="BodyText1"/>
        <w:spacing w:lineRule="auto" w:line="480"/>
        <w:rPr>
          <w:bCs/>
        </w:rPr>
      </w:pPr>
      <w:r>
        <w:rPr>
          <w:b/>
          <w:bCs/>
        </w:rPr>
        <w:t xml:space="preserve">Supplementary Data 2. Lists of cured markers from literature used to annotate cell populations in neuroblastoma, and mouse and human adrenal glands (AG), and their specific gene signatures. </w:t>
      </w:r>
      <w:r>
        <w:rPr>
          <w:bCs/>
        </w:rPr>
        <w:t xml:space="preserve">Only genes with a significantly high expression in any cluster </w:t>
      </w:r>
      <w:r>
        <w:rPr>
          <w:bCs/>
          <w:i/>
        </w:rPr>
        <w:t>x</w:t>
      </w:r>
      <w:r>
        <w:rPr>
          <w:bCs/>
        </w:rPr>
        <w:t xml:space="preserve"> (i.e. FDR(</w:t>
      </w:r>
      <w:r>
        <w:rPr>
          <w:bCs/>
          <w:i/>
        </w:rPr>
        <w:t>sCx&gt;sCo</w:t>
      </w:r>
      <w:r>
        <w:rPr>
          <w:bCs/>
        </w:rPr>
        <w:t xml:space="preserve">)≤0.01) are included in the table. For a given case study </w:t>
      </w:r>
      <w:r>
        <w:rPr>
          <w:bCs/>
          <w:i/>
        </w:rPr>
        <w:t>s</w:t>
      </w:r>
      <w:r>
        <w:rPr>
          <w:bCs/>
        </w:rPr>
        <w:t>, FDR(</w:t>
      </w:r>
      <w:r>
        <w:rPr>
          <w:bCs/>
          <w:i/>
        </w:rPr>
        <w:t>sCx&gt;sCo</w:t>
      </w:r>
      <w:r>
        <w:rPr>
          <w:bCs/>
        </w:rPr>
        <w:t xml:space="preserve">) test the hypothesis that the expression of a gene in cell cluster </w:t>
      </w:r>
      <w:r>
        <w:rPr>
          <w:bCs/>
          <w:i/>
        </w:rPr>
        <w:t>x</w:t>
      </w:r>
      <w:r>
        <w:rPr>
          <w:bCs/>
        </w:rPr>
        <w:t xml:space="preserve"> is higher than in cells from all other clusters (“Each cluster in s: FDR” column); and FDR(</w:t>
      </w:r>
      <w:r>
        <w:rPr>
          <w:bCs/>
          <w:i/>
        </w:rPr>
        <w:t>sCx&gt;sCy</w:t>
      </w:r>
      <w:r>
        <w:rPr>
          <w:bCs/>
        </w:rPr>
        <w:t xml:space="preserve">) test the hypothesis that the expression of a gene in cell cluster </w:t>
      </w:r>
      <w:r>
        <w:rPr>
          <w:bCs/>
          <w:i/>
        </w:rPr>
        <w:t>x</w:t>
      </w:r>
      <w:r>
        <w:rPr>
          <w:bCs/>
        </w:rPr>
        <w:t xml:space="preserve"> is higher than in cells of cluster </w:t>
      </w:r>
      <w:r>
        <w:rPr>
          <w:bCs/>
          <w:i/>
        </w:rPr>
        <w:t>y</w:t>
      </w:r>
      <w:r>
        <w:rPr>
          <w:bCs/>
        </w:rPr>
        <w:t xml:space="preserve"> (“Each cluster in pairwise comparison </w:t>
      </w:r>
      <w:r>
        <w:rPr>
          <w:bCs/>
          <w:i/>
        </w:rPr>
        <w:t>s</w:t>
      </w:r>
      <w:r>
        <w:rPr>
          <w:bCs/>
        </w:rPr>
        <w:t xml:space="preserve">: FDR” column). FDRs were calculated with a Benjamini-Hochberg correction on Welch's </w:t>
      </w:r>
      <w:r>
        <w:rPr>
          <w:bCs/>
          <w:i/>
        </w:rPr>
        <w:t>t</w:t>
      </w:r>
      <w:r>
        <w:rPr>
          <w:bCs/>
        </w:rPr>
        <w:t>-tests (as detailed in Methods). Clusters with FDR(</w:t>
      </w:r>
      <w:r>
        <w:rPr>
          <w:bCs/>
          <w:i/>
        </w:rPr>
        <w:t>sCx&gt;sCo</w:t>
      </w:r>
      <w:r>
        <w:rPr>
          <w:bCs/>
        </w:rPr>
        <w:t xml:space="preserve">)≤0.01 are included in the column “Evidence for high expression in cluster”. All clusters </w:t>
      </w:r>
      <w:r>
        <w:rPr>
          <w:bCs/>
          <w:i/>
        </w:rPr>
        <w:t>y</w:t>
      </w:r>
      <w:r>
        <w:rPr>
          <w:bCs/>
        </w:rPr>
        <w:t xml:space="preserve"> in this column that do not present in pairwise comparisons any FDR(</w:t>
      </w:r>
      <w:r>
        <w:rPr>
          <w:bCs/>
          <w:i/>
        </w:rPr>
        <w:t>sCx&gt;sCy</w:t>
      </w:r>
      <w:r>
        <w:rPr>
          <w:bCs/>
        </w:rPr>
        <w:t>)≤0.01 are included in the column “Evidence for higher expression in cluster”. Specific gene signatures for clusters in human and mouse post-natal adrenal gland, and neuroblastoma were calculated as detailed in Methods.</w:t>
      </w:r>
    </w:p>
    <w:p>
      <w:pPr>
        <w:pStyle w:val="BodyText1"/>
        <w:spacing w:lineRule="auto" w:line="480"/>
        <w:rPr>
          <w:bCs/>
        </w:rPr>
      </w:pPr>
      <w:r>
        <w:rPr>
          <w:bCs/>
        </w:rPr>
      </w:r>
    </w:p>
    <w:p>
      <w:pPr>
        <w:pStyle w:val="BodyText1"/>
        <w:spacing w:lineRule="auto" w:line="480"/>
        <w:rPr/>
      </w:pPr>
      <w:r>
        <w:rPr>
          <w:b/>
          <w:bCs/>
        </w:rPr>
        <w:t>Supplementary Data 3. Genes significantly up-regulated in human post-natal adrenal gland clusters (FDR&lt;0.01). </w:t>
      </w:r>
      <w:r>
        <w:rPr/>
        <w:t xml:space="preserve">FDRs were calculated with a Benjamini-Hochberg correction on one-sided Welch's </w:t>
      </w:r>
      <w:r>
        <w:rPr>
          <w:i/>
        </w:rPr>
        <w:t>t</w:t>
      </w:r>
      <w:r>
        <w:rPr/>
        <w:t>-tests (as detailed in Methods).</w:t>
      </w:r>
    </w:p>
    <w:p>
      <w:pPr>
        <w:pStyle w:val="BodyText1"/>
        <w:spacing w:lineRule="auto" w:line="480"/>
        <w:rPr/>
      </w:pPr>
      <w:r>
        <w:rPr/>
      </w:r>
    </w:p>
    <w:p>
      <w:pPr>
        <w:pStyle w:val="BodyText1"/>
        <w:spacing w:lineRule="auto" w:line="480"/>
        <w:rPr/>
      </w:pPr>
      <w:r>
        <w:rPr>
          <w:b/>
          <w:bCs/>
        </w:rPr>
        <w:t>Supplementary Data 4. Genes significantly up-regulated in mouse post-natal adrenal gland clusters (FDR&lt;0.01). </w:t>
      </w:r>
      <w:r>
        <w:rPr/>
        <w:t xml:space="preserve">FDRs were calculated with a Benjamini-Hochberg correction on one-sided Welch's </w:t>
      </w:r>
      <w:r>
        <w:rPr>
          <w:i/>
        </w:rPr>
        <w:t>t</w:t>
      </w:r>
      <w:r>
        <w:rPr/>
        <w:t>-tests (as detailed in Methods).</w:t>
      </w:r>
    </w:p>
    <w:p>
      <w:pPr>
        <w:pStyle w:val="BodyText1"/>
        <w:spacing w:lineRule="auto" w:line="480"/>
        <w:rPr>
          <w:bCs/>
        </w:rPr>
      </w:pPr>
      <w:r>
        <w:rPr>
          <w:bCs/>
        </w:rPr>
      </w:r>
    </w:p>
    <w:p>
      <w:pPr>
        <w:pStyle w:val="BodyText1"/>
        <w:spacing w:lineRule="auto" w:line="480"/>
        <w:rPr>
          <w:bCs/>
        </w:rPr>
      </w:pPr>
      <w:r>
        <w:rPr>
          <w:b/>
          <w:bCs/>
        </w:rPr>
        <w:t xml:space="preserve">Supplementary Data 5. Lists of cell populations in human post-natal adrenal glands sharing a significant specific gene signature with mouse post-natal-, human fetal adrenal glands [14], and developing (E13) mouse [6]. </w:t>
      </w:r>
      <w:r>
        <w:rPr>
          <w:bCs/>
        </w:rPr>
        <w:t>FDRs were calculated with a Benjamini-Hochberg correction on one-sided Fisher’s exact test (as detailed in Methods). * FDR&lt;0.05, ** FDR&lt;0.01.</w:t>
      </w:r>
    </w:p>
    <w:p>
      <w:pPr>
        <w:pStyle w:val="BodyText1"/>
        <w:spacing w:lineRule="auto" w:line="480"/>
        <w:rPr/>
      </w:pPr>
      <w:r>
        <w:rPr/>
      </w:r>
    </w:p>
    <w:p>
      <w:pPr>
        <w:pStyle w:val="BodyText1"/>
        <w:spacing w:lineRule="auto" w:line="480"/>
        <w:rPr/>
      </w:pPr>
      <w:r>
        <w:rPr>
          <w:b/>
          <w:bCs/>
        </w:rPr>
        <w:t>Supplementary Data 6. Genes significantly up-regulated in neuroblastoma clusters (FDR&lt;0.01). </w:t>
      </w:r>
      <w:r>
        <w:rPr/>
        <w:t xml:space="preserve">FDRs were calculated with a Benjamini-Hochberg correction on one-sided Welch's </w:t>
      </w:r>
      <w:r>
        <w:rPr>
          <w:i/>
        </w:rPr>
        <w:t>t</w:t>
      </w:r>
      <w:r>
        <w:rPr/>
        <w:t>-tests (as detailed in Methods).</w:t>
      </w:r>
      <w:bookmarkStart w:id="0" w:name="__Fieldmark__2826_4116508094"/>
      <w:bookmarkStart w:id="1" w:name="__Fieldmark__2809_2562588158"/>
      <w:bookmarkStart w:id="2" w:name="__Fieldmark__2833_1917486804"/>
      <w:bookmarkEnd w:id="0"/>
      <w:bookmarkEnd w:id="1"/>
      <w:bookmarkEnd w:id="2"/>
    </w:p>
    <w:p>
      <w:pPr>
        <w:pStyle w:val="BodyText1"/>
        <w:spacing w:lineRule="auto" w:line="480"/>
        <w:rPr/>
      </w:pPr>
      <w:r>
        <w:rPr/>
      </w:r>
    </w:p>
    <w:p>
      <w:pPr>
        <w:pStyle w:val="NormalWeb"/>
        <w:shd w:val="clear" w:color="auto" w:fill="FFFFFF"/>
        <w:spacing w:lineRule="atLeast" w:line="480" w:beforeAutospacing="0" w:before="0" w:afterAutospacing="0" w:after="0"/>
        <w:rPr>
          <w:rFonts w:ascii="Liberation Serif" w:hAnsi="Liberation Serif"/>
          <w:color w:val="00000A"/>
        </w:rPr>
      </w:pPr>
      <w:r>
        <w:rPr>
          <w:rFonts w:ascii="Liberation Serif" w:hAnsi="Liberation Serif"/>
          <w:b/>
          <w:bCs/>
          <w:color w:val="00000A"/>
        </w:rPr>
        <w:t>Supplementary Data 7. Transcriptional similarity between neuroblastoma and reference study cases. </w:t>
      </w:r>
      <w:r>
        <w:rPr>
          <w:rFonts w:ascii="Liberation Serif" w:hAnsi="Liberation Serif"/>
          <w:color w:val="00000A"/>
        </w:rPr>
        <w:t>Gene </w:t>
      </w:r>
      <w:r>
        <w:rPr>
          <w:rFonts w:ascii="Liberation Serif" w:hAnsi="Liberation Serif"/>
          <w:color w:val="00000A"/>
        </w:rPr>
        <w:t>enrichment results for mesenchymal (MES) and adrenergic (ADR) signatures [16], and sympathetic noradrenergic (Group 1) and neural crest cell-like (Group 2) [15]. In addition, significant gene specific signature shared between cell populations in neuroblastoma with markers in GOSH neuroblastoma (10X-sequenced) cell clusters [13]. FDRs were calculated with a Benjamini-Hochberg correction on one-sided Fisher’s exact test (as detailed in Methods). * FDR&lt;0.05, ** FDR&lt;0.01.</w:t>
      </w:r>
    </w:p>
    <w:p>
      <w:pPr>
        <w:pStyle w:val="NormalWeb"/>
        <w:shd w:val="clear" w:color="auto" w:fill="FFFFFF"/>
        <w:spacing w:lineRule="atLeast" w:line="480" w:beforeAutospacing="0" w:before="0" w:afterAutospacing="0" w:after="0"/>
        <w:rPr/>
      </w:pPr>
      <w:r>
        <w:rPr>
          <w:rFonts w:ascii="Liberation Serif" w:hAnsi="Liberation Serif"/>
          <w:b/>
          <w:bCs/>
          <w:color w:val="00000A"/>
        </w:rPr>
        <w:br/>
      </w:r>
    </w:p>
    <w:p>
      <w:pPr>
        <w:pStyle w:val="BodyText1"/>
        <w:spacing w:lineRule="auto" w:line="480"/>
        <w:rPr/>
      </w:pPr>
      <w:r>
        <w:rPr>
          <w:b/>
          <w:bCs/>
        </w:rPr>
        <w:t xml:space="preserve">Supplementary Data 8. Lists of cell populations in neuroblastoma sharing a significant specific gene signature with mouse post-natal-, developing (E13) mouse [6], human post-natal-, and human fetal- [14] adrenal glands. </w:t>
      </w:r>
      <w:r>
        <w:rPr>
          <w:bCs/>
        </w:rPr>
        <w:t>FDRs were calculated with a Benjamini-Hochberg correction on one-sided Fisher’s exact test (as detailed in Methods). * FDR&lt;0.05, ** FDR&lt;0.01.. + The original cluster annotations are currently debated and the included labels here correspond to those given by Kildisiute et al. [45], and Bedoya-Reina and Schlisio [46].</w:t>
      </w:r>
    </w:p>
    <w:p>
      <w:pPr>
        <w:pStyle w:val="BodyText1"/>
        <w:spacing w:lineRule="auto" w:line="480"/>
        <w:rPr>
          <w:b/>
          <w:b/>
          <w:bCs/>
        </w:rPr>
      </w:pPr>
      <w:r>
        <w:rPr>
          <w:b/>
          <w:bCs/>
        </w:rPr>
      </w:r>
    </w:p>
    <w:p>
      <w:pPr>
        <w:pStyle w:val="BodyText1"/>
        <w:spacing w:lineRule="auto" w:line="480"/>
        <w:rPr>
          <w:bCs/>
        </w:rPr>
      </w:pPr>
      <w:r>
        <w:rPr>
          <w:b/>
          <w:bCs/>
        </w:rPr>
        <w:t xml:space="preserve">Supplementary Data 9. Lists of genes in the specific signature of neuroblastoma cell populations significantly enriched in different risk- and survival groups, and significantly correlated with age at diagnosis. </w:t>
      </w:r>
      <w:r>
        <w:rPr>
          <w:bCs/>
        </w:rPr>
        <w:t>FDRs were calculated with a Benjamini-Hochberg correction on one-sided Fisher’s exact test (as detailed in Methods). * FDR&lt;0.05, ** FDR&lt;0.01.</w:t>
      </w:r>
    </w:p>
    <w:p>
      <w:pPr>
        <w:pStyle w:val="BodyText1"/>
        <w:spacing w:lineRule="auto" w:line="480"/>
        <w:rPr/>
      </w:pPr>
      <w:r>
        <w:rPr/>
      </w:r>
    </w:p>
    <w:p>
      <w:pPr>
        <w:pStyle w:val="BodyText1"/>
        <w:spacing w:lineRule="auto" w:line="480"/>
        <w:rPr>
          <w:iCs/>
        </w:rPr>
      </w:pPr>
      <w:r>
        <w:rPr>
          <w:b/>
          <w:bCs/>
        </w:rPr>
        <w:t>Supplementary Data 10.</w:t>
      </w:r>
      <w:r>
        <w:rPr/>
        <w:t xml:space="preserve"> </w:t>
      </w:r>
      <w:r>
        <w:rPr>
          <w:b/>
          <w:bCs/>
        </w:rPr>
        <w:t xml:space="preserve">Lists of biological processes (GO) enrichment for genes in the specific signature of neuroblastoma cell populations significantly enriched in different survival groups, and significantly correlated with age at diagnosis. </w:t>
      </w:r>
      <w:r>
        <w:rPr/>
        <w:t>FDRs were calculated with a Benjamini-Hochberg correction on one-sided Fisher’s exact test (as detailed in Methods). * FDR&lt;0.0</w:t>
      </w:r>
      <w:r>
        <w:rPr>
          <w:i/>
          <w:iCs/>
        </w:rPr>
        <w:t>5</w:t>
      </w:r>
      <w:r>
        <w:rPr/>
        <w:t>,</w:t>
      </w:r>
      <w:r>
        <w:rPr>
          <w:iCs/>
        </w:rPr>
        <w:t xml:space="preserve"> ** FDR&lt;0.01.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Supplementary references</w:t>
      </w:r>
    </w:p>
    <w:p>
      <w:pPr>
        <w:pStyle w:val="Normal"/>
        <w:rPr/>
      </w:pPr>
      <w:r>
        <w:rPr/>
      </w:r>
    </w:p>
    <w:p>
      <w:pPr>
        <w:pStyle w:val="BodyText1"/>
        <w:rPr/>
      </w:pPr>
      <w:r>
        <w:rPr/>
        <w:t xml:space="preserve">[1] Bergman, J. et al. The human adrenal gland proteome defined by transcriptomics and antibody-based profiling. </w:t>
      </w:r>
      <w:r>
        <w:rPr>
          <w:i/>
        </w:rPr>
        <w:t>Endocrinology</w:t>
      </w:r>
      <w:r>
        <w:rPr/>
        <w:t xml:space="preserve"> </w:t>
      </w:r>
      <w:r>
        <w:rPr>
          <w:b/>
        </w:rPr>
        <w:t>158</w:t>
      </w:r>
      <w:r>
        <w:rPr/>
        <w:t>, 239-251 (2017).</w:t>
      </w:r>
    </w:p>
    <w:p>
      <w:pPr>
        <w:pStyle w:val="BodyText1"/>
        <w:rPr/>
      </w:pPr>
      <w:r>
        <w:rPr/>
        <w:t xml:space="preserve">[2] Winkler, H. &amp; Fischer-Colbrie, R. The chromogranins A and B: the first 25 years and future perspectives. </w:t>
      </w:r>
      <w:r>
        <w:rPr>
          <w:i/>
        </w:rPr>
        <w:t>Neuroscience</w:t>
      </w:r>
      <w:r>
        <w:rPr/>
        <w:t xml:space="preserve"> </w:t>
      </w:r>
      <w:r>
        <w:rPr>
          <w:b/>
        </w:rPr>
        <w:t>49</w:t>
      </w:r>
      <w:r>
        <w:rPr/>
        <w:t>, 497-528 (1992).</w:t>
      </w:r>
    </w:p>
    <w:p>
      <w:pPr>
        <w:pStyle w:val="BodyText1"/>
        <w:rPr/>
      </w:pPr>
      <w:r>
        <w:rPr/>
        <w:t>[3] Carbone, E., Borges, R., Eiden, L., García, A. &amp; Hernández-Cruz, A. Chromaffin Cells of the Adrenal Medulla: Physiology, Pharmacology, and Disease. 1443-1502 (2019).</w:t>
      </w:r>
    </w:p>
    <w:p>
      <w:pPr>
        <w:pStyle w:val="BodyText1"/>
        <w:rPr/>
      </w:pPr>
      <w:r>
        <w:rPr/>
        <w:t xml:space="preserve">[4] Pohorecky, L. &amp; Wurtman, R. Adrenocortical control of epinephrine synthesis. </w:t>
      </w:r>
      <w:r>
        <w:rPr>
          <w:i/>
        </w:rPr>
        <w:t>Pharmacological Reviews</w:t>
      </w:r>
      <w:r>
        <w:rPr/>
        <w:t xml:space="preserve"> </w:t>
      </w:r>
      <w:r>
        <w:rPr>
          <w:b/>
        </w:rPr>
        <w:t>23</w:t>
      </w:r>
      <w:r>
        <w:rPr/>
        <w:t>, 1-35 (1971).</w:t>
      </w:r>
    </w:p>
    <w:p>
      <w:pPr>
        <w:pStyle w:val="BodyText1"/>
        <w:rPr/>
      </w:pPr>
      <w:r>
        <w:rPr/>
        <w:t xml:space="preserve">[5] Albillos, A. &amp; McIntosh, J. Human nicotinic receptors in chromaffin cells: characterization and pharmacology. </w:t>
      </w:r>
      <w:r>
        <w:rPr>
          <w:i/>
        </w:rPr>
        <w:t>Pflügers Archiv - European Journal of Physiology</w:t>
      </w:r>
      <w:r>
        <w:rPr/>
        <w:t xml:space="preserve"> </w:t>
      </w:r>
      <w:r>
        <w:rPr>
          <w:b/>
        </w:rPr>
        <w:t>470</w:t>
      </w:r>
      <w:r>
        <w:rPr/>
        <w:t>, 21-27 (2018).</w:t>
      </w:r>
    </w:p>
    <w:p>
      <w:pPr>
        <w:pStyle w:val="BodyText1"/>
        <w:rPr/>
      </w:pPr>
      <w:r>
        <w:rPr/>
        <w:t xml:space="preserve">[6] Guérineau, N. Cholinergic and peptidergic neurotransmission in the adrenal medulla: A dynamic control of stimulus-secretion coupling. </w:t>
      </w:r>
      <w:r>
        <w:rPr>
          <w:i/>
        </w:rPr>
        <w:t>IUBMB Life</w:t>
      </w:r>
      <w:r>
        <w:rPr/>
        <w:t xml:space="preserve"> </w:t>
      </w:r>
      <w:r>
        <w:rPr>
          <w:b/>
        </w:rPr>
        <w:t>72</w:t>
      </w:r>
      <w:r>
        <w:rPr/>
        <w:t>, 553-567 (2020).</w:t>
      </w:r>
    </w:p>
    <w:p>
      <w:pPr>
        <w:pStyle w:val="BodyText1"/>
        <w:rPr/>
      </w:pPr>
      <w:r>
        <w:rPr/>
        <w:t xml:space="preserve">[7] Hone, A. et al. Expression of α3β2β4 nicotinic acetylcholine receptors by rat adrenal chromaffin cells determined using novel conopeptide antagonists. </w:t>
      </w:r>
      <w:r>
        <w:rPr>
          <w:i/>
        </w:rPr>
        <w:t>Journal of Neurochemistry</w:t>
      </w:r>
      <w:r>
        <w:rPr/>
        <w:t xml:space="preserve"> ,  (2020).</w:t>
      </w:r>
    </w:p>
    <w:p>
      <w:pPr>
        <w:pStyle w:val="BodyText1"/>
        <w:rPr/>
      </w:pPr>
      <w:r>
        <w:rPr/>
        <w:t xml:space="preserve">[8] Gahring, L., Myers, E., Palumbos, S. &amp; Rogers, S. Nicotinic receptor Alpha7 expression during mouse adrenal gland development. </w:t>
      </w:r>
      <w:r>
        <w:rPr>
          <w:i/>
        </w:rPr>
        <w:t>PLoS One</w:t>
      </w:r>
      <w:r>
        <w:rPr/>
        <w:t xml:space="preserve"> </w:t>
      </w:r>
      <w:r>
        <w:rPr>
          <w:b/>
        </w:rPr>
        <w:t>9</w:t>
      </w:r>
      <w:r>
        <w:rPr/>
        <w:t>, e103861 (2014).</w:t>
      </w:r>
    </w:p>
    <w:p>
      <w:pPr>
        <w:pStyle w:val="BodyText1"/>
        <w:rPr/>
      </w:pPr>
      <w:r>
        <w:rPr/>
        <w:t xml:space="preserve">[9] Bedoya-Reina, Oscar C. &amp; Schlisio S. Chromaffin cells with sympathoblast signature: too similar to keep apart?. </w:t>
      </w:r>
      <w:r>
        <w:rPr>
          <w:i/>
          <w:iCs/>
        </w:rPr>
        <w:t xml:space="preserve">Cancer Cell </w:t>
      </w:r>
      <w:r>
        <w:rPr>
          <w:b/>
          <w:bCs/>
        </w:rPr>
        <w:t>39</w:t>
      </w:r>
      <w:r>
        <w:rPr/>
        <w:t>, 134-135 (2021).</w:t>
      </w:r>
    </w:p>
    <w:p>
      <w:pPr>
        <w:pStyle w:val="BodyText1"/>
        <w:rPr/>
      </w:pPr>
      <w:r>
        <w:rPr/>
        <w:t xml:space="preserve">[10] Takenobu, H. et al. CD133 suppresses neuroblastoma cell differentiation via signal pathway modification. </w:t>
      </w:r>
      <w:r>
        <w:rPr>
          <w:i/>
        </w:rPr>
        <w:t>Oncogene</w:t>
      </w:r>
      <w:r>
        <w:rPr/>
        <w:t xml:space="preserve"> </w:t>
      </w:r>
      <w:r>
        <w:rPr>
          <w:b/>
        </w:rPr>
        <w:t>30</w:t>
      </w:r>
      <w:r>
        <w:rPr/>
        <w:t>, 97-105 (2011).</w:t>
      </w:r>
    </w:p>
    <w:p>
      <w:pPr>
        <w:pStyle w:val="BodyText1"/>
        <w:rPr/>
      </w:pPr>
      <w:r>
        <w:rPr/>
        <w:t xml:space="preserve">[11] Nguyen, B. et al. Cross-regulation between Notch and p63 in keratinocyte commitment to differentiation. </w:t>
      </w:r>
      <w:r>
        <w:rPr>
          <w:i/>
        </w:rPr>
        <w:t>Genes &amp; Development</w:t>
      </w:r>
      <w:r>
        <w:rPr/>
        <w:t xml:space="preserve"> </w:t>
      </w:r>
      <w:r>
        <w:rPr>
          <w:b/>
        </w:rPr>
        <w:t>20</w:t>
      </w:r>
      <w:r>
        <w:rPr/>
        <w:t>, 1028-1042 (2006).</w:t>
      </w:r>
    </w:p>
    <w:p>
      <w:pPr>
        <w:pStyle w:val="BodyText1"/>
        <w:rPr/>
      </w:pPr>
      <w:r>
        <w:rPr/>
        <w:t xml:space="preserve">[12] Schnurch, H. &amp; Risau, W. Expression of tie-2, a member of a novel family of receptor tyrosine kinases, in the endothelial cell lineage. </w:t>
      </w:r>
      <w:r>
        <w:rPr>
          <w:i/>
        </w:rPr>
        <w:t>Development</w:t>
      </w:r>
      <w:r>
        <w:rPr/>
        <w:t xml:space="preserve"> </w:t>
      </w:r>
      <w:r>
        <w:rPr>
          <w:b/>
        </w:rPr>
        <w:t>119</w:t>
      </w:r>
      <w:r>
        <w:rPr/>
        <w:t>, 957-968 (1993).</w:t>
      </w:r>
    </w:p>
    <w:p>
      <w:pPr>
        <w:pStyle w:val="BodyText1"/>
        <w:rPr/>
      </w:pPr>
      <w:r>
        <w:rPr/>
        <w:t xml:space="preserve">[13] François, M. et al. Sox18 induces development of the lymphatic vasculature in mice. </w:t>
      </w:r>
      <w:r>
        <w:rPr>
          <w:i/>
        </w:rPr>
        <w:t>Nature</w:t>
      </w:r>
      <w:r>
        <w:rPr/>
        <w:t xml:space="preserve"> </w:t>
      </w:r>
      <w:r>
        <w:rPr>
          <w:b/>
        </w:rPr>
        <w:t>456</w:t>
      </w:r>
      <w:r>
        <w:rPr/>
        <w:t>, 643-647 (2008).</w:t>
      </w:r>
    </w:p>
    <w:p>
      <w:pPr>
        <w:pStyle w:val="BodyText1"/>
        <w:rPr/>
      </w:pPr>
      <w:r>
        <w:rPr/>
        <w:t xml:space="preserve">[14] Iljin, K. et al. A fluorescent Tie1 reporter allows monitoring of vascular development and endothelial cell isolation from transgenic mouse embryos. </w:t>
      </w:r>
      <w:r>
        <w:rPr>
          <w:i/>
        </w:rPr>
        <w:t>FASEB Journal</w:t>
      </w:r>
      <w:r>
        <w:rPr/>
        <w:t xml:space="preserve"> </w:t>
      </w:r>
      <w:r>
        <w:rPr>
          <w:b/>
        </w:rPr>
        <w:t>16</w:t>
      </w:r>
      <w:r>
        <w:rPr/>
        <w:t>, 1764-1774 (2002).</w:t>
      </w:r>
    </w:p>
    <w:p>
      <w:pPr>
        <w:pStyle w:val="BodyText1"/>
        <w:rPr/>
      </w:pPr>
      <w:r>
        <w:rPr/>
        <w:t xml:space="preserve">[15] Gao, L. et al. Gene expression analyses reveal metabolic specifications in acute O2-sensing chemoreceptor cells. </w:t>
      </w:r>
      <w:r>
        <w:rPr>
          <w:i/>
        </w:rPr>
        <w:t>Journal of Physiology</w:t>
      </w:r>
      <w:r>
        <w:rPr/>
        <w:t xml:space="preserve"> </w:t>
      </w:r>
      <w:r>
        <w:rPr>
          <w:b/>
        </w:rPr>
        <w:t>595</w:t>
      </w:r>
      <w:r>
        <w:rPr/>
        <w:t>, 6091-6120 (2017).</w:t>
      </w:r>
    </w:p>
    <w:p>
      <w:pPr>
        <w:pStyle w:val="BodyText1"/>
        <w:rPr/>
      </w:pPr>
      <w:r>
        <w:rPr/>
        <w:t xml:space="preserve">[16] Kamermans, A. et al. Setmelanotide, a novel, selective melanocortin receptor-4 agonist exerts anti-inflammatory actions in astrocytes and promotes an anti-inflammatory macrophage phenotype. </w:t>
      </w:r>
      <w:r>
        <w:rPr>
          <w:i/>
        </w:rPr>
        <w:t>Frontiers in Immunology</w:t>
      </w:r>
      <w:r>
        <w:rPr/>
        <w:t xml:space="preserve"> </w:t>
      </w:r>
      <w:r>
        <w:rPr>
          <w:b/>
        </w:rPr>
        <w:t>10</w:t>
      </w:r>
      <w:r>
        <w:rPr/>
        <w:t>, 2312 (2019).</w:t>
      </w:r>
    </w:p>
    <w:p>
      <w:pPr>
        <w:pStyle w:val="BodyText1"/>
        <w:rPr/>
      </w:pPr>
      <w:r>
        <w:rPr/>
        <w:t xml:space="preserve">[17] Kim, W. et al. CD163 identifies perivascular macrophages in normal and viral encephalitic brains and potential precursors to perivascular macrophages in blood. </w:t>
      </w:r>
      <w:r>
        <w:rPr>
          <w:i/>
        </w:rPr>
        <w:t>American Journal of Pathology</w:t>
      </w:r>
      <w:r>
        <w:rPr/>
        <w:t xml:space="preserve"> </w:t>
      </w:r>
      <w:r>
        <w:rPr>
          <w:b/>
        </w:rPr>
        <w:t>168</w:t>
      </w:r>
      <w:r>
        <w:rPr/>
        <w:t>, 822-834 (2006).</w:t>
      </w:r>
    </w:p>
    <w:p>
      <w:pPr>
        <w:pStyle w:val="BodyText1"/>
        <w:rPr/>
      </w:pPr>
      <w:r>
        <w:rPr/>
        <w:t xml:space="preserve">[18] Sintes, J., Romero, X., de Salort, J., Terhorst, C. &amp; Engel, P. Mouse CD84 is a pan-leukocyte cell-surface molecule that modulates LPS-induced cytokine secretion by macrophages. </w:t>
      </w:r>
      <w:r>
        <w:rPr>
          <w:i/>
        </w:rPr>
        <w:t>Journal of Leukocyte Biology</w:t>
      </w:r>
      <w:r>
        <w:rPr/>
        <w:t xml:space="preserve"> </w:t>
      </w:r>
      <w:r>
        <w:rPr>
          <w:b/>
        </w:rPr>
        <w:t>88</w:t>
      </w:r>
      <w:r>
        <w:rPr/>
        <w:t>, 687-697 (2010).</w:t>
      </w:r>
    </w:p>
    <w:p>
      <w:pPr>
        <w:pStyle w:val="BodyText1"/>
        <w:rPr/>
      </w:pPr>
      <w:r>
        <w:rPr/>
        <w:t xml:space="preserve">[19] Ryncarz, R. &amp; Anasetti, C. Expression of CD86 on human marrow CD34+ cells identifies immunocompetent committed precursors of macrophages and dendritic cells. </w:t>
      </w:r>
      <w:r>
        <w:rPr>
          <w:i/>
        </w:rPr>
        <w:t>Blood, The Journal of the American Society of Hematology</w:t>
      </w:r>
      <w:r>
        <w:rPr/>
        <w:t xml:space="preserve"> </w:t>
      </w:r>
      <w:r>
        <w:rPr>
          <w:b/>
        </w:rPr>
        <w:t>91</w:t>
      </w:r>
      <w:r>
        <w:rPr/>
        <w:t>, 3892-3900 (1998).</w:t>
      </w:r>
    </w:p>
    <w:p>
      <w:pPr>
        <w:pStyle w:val="BodyText1"/>
        <w:rPr/>
      </w:pPr>
      <w:r>
        <w:rPr/>
        <w:t xml:space="preserve">[20] Sehgal, A. et al. The role of CSF1R-dependent macrophages in control of the intestinal stem-cell niche. </w:t>
      </w:r>
      <w:r>
        <w:rPr>
          <w:i/>
        </w:rPr>
        <w:t>Nature Communications</w:t>
      </w:r>
      <w:r>
        <w:rPr/>
        <w:t xml:space="preserve"> </w:t>
      </w:r>
      <w:r>
        <w:rPr>
          <w:b/>
        </w:rPr>
        <w:t>9</w:t>
      </w:r>
      <w:r>
        <w:rPr/>
        <w:t>, 1-17 (2018).</w:t>
      </w:r>
    </w:p>
    <w:p>
      <w:pPr>
        <w:pStyle w:val="BodyText1"/>
        <w:rPr/>
      </w:pPr>
      <w:r>
        <w:rPr/>
        <w:t xml:space="preserve">[21] Sen, A. &amp; Ta, M. Altered Adhesion and Migration of Human Mesenchymal Stromal cells under febrile temperature Stress involves nf-κβ pathway. </w:t>
      </w:r>
      <w:r>
        <w:rPr>
          <w:i/>
        </w:rPr>
        <w:t>Scientific Reports</w:t>
      </w:r>
      <w:r>
        <w:rPr/>
        <w:t xml:space="preserve"> </w:t>
      </w:r>
      <w:r>
        <w:rPr>
          <w:b/>
        </w:rPr>
        <w:t>10</w:t>
      </w:r>
      <w:r>
        <w:rPr/>
        <w:t>, 1-14 (2020).</w:t>
      </w:r>
    </w:p>
    <w:p>
      <w:pPr>
        <w:pStyle w:val="BodyText1"/>
        <w:rPr/>
      </w:pPr>
      <w:r>
        <w:rPr/>
        <w:t xml:space="preserve">[22] Picard, D. et al. Markers of survival and metastatic potential in childhood CNS primitive neuro-ectodermal brain tumours: an integrative genomic analysis. </w:t>
      </w:r>
      <w:r>
        <w:rPr>
          <w:i/>
        </w:rPr>
        <w:t>Lancet Oncology</w:t>
      </w:r>
      <w:r>
        <w:rPr/>
        <w:t xml:space="preserve"> </w:t>
      </w:r>
      <w:r>
        <w:rPr>
          <w:b/>
        </w:rPr>
        <w:t>13</w:t>
      </w:r>
      <w:r>
        <w:rPr/>
        <w:t>, 838-848 (2012).</w:t>
      </w:r>
    </w:p>
    <w:p>
      <w:pPr>
        <w:pStyle w:val="BodyText1"/>
        <w:rPr/>
      </w:pPr>
      <w:r>
        <w:rPr/>
        <w:t xml:space="preserve">[23] Cheng, W., Kandel, J., Yamashiro, D., Canoll, P. &amp; Anastassiou, D. Slug-based epithelial-mesenchymal transition gene signature is associated with prolonged time to recurrence in glioblastoma. </w:t>
      </w:r>
      <w:r>
        <w:rPr>
          <w:i/>
        </w:rPr>
        <w:t>Nature Precedings</w:t>
      </w:r>
      <w:r>
        <w:rPr/>
        <w:t xml:space="preserve"> , 1-1 (2011).</w:t>
      </w:r>
    </w:p>
    <w:p>
      <w:pPr>
        <w:pStyle w:val="BodyText1"/>
        <w:rPr/>
      </w:pPr>
      <w:r>
        <w:rPr/>
        <w:t xml:space="preserve">[24] Agarwal, P. et al. Mesenchymal niche-specific expression of CXCL12 controls quiescence of treatment-resistant leukemia stem cells. </w:t>
      </w:r>
      <w:r>
        <w:rPr>
          <w:i/>
        </w:rPr>
        <w:t>Cell Stem Cell</w:t>
      </w:r>
      <w:r>
        <w:rPr/>
        <w:t xml:space="preserve"> </w:t>
      </w:r>
      <w:r>
        <w:rPr>
          <w:b/>
        </w:rPr>
        <w:t>24</w:t>
      </w:r>
      <w:r>
        <w:rPr/>
        <w:t>, 769-784 (2019).</w:t>
      </w:r>
    </w:p>
    <w:p>
      <w:pPr>
        <w:pStyle w:val="BodyText1"/>
        <w:rPr/>
      </w:pPr>
      <w:r>
        <w:rPr/>
        <w:t xml:space="preserve">[25] Havis, E. et al. Transcriptomic analysis of mouse limb tendon cells during development. </w:t>
      </w:r>
      <w:r>
        <w:rPr>
          <w:i/>
        </w:rPr>
        <w:t>Development</w:t>
      </w:r>
      <w:r>
        <w:rPr/>
        <w:t xml:space="preserve"> </w:t>
      </w:r>
      <w:r>
        <w:rPr>
          <w:b/>
        </w:rPr>
        <w:t>141</w:t>
      </w:r>
      <w:r>
        <w:rPr/>
        <w:t>, 3683-3696 (2014).</w:t>
      </w:r>
    </w:p>
    <w:p>
      <w:pPr>
        <w:pStyle w:val="BodyText1"/>
        <w:rPr/>
      </w:pPr>
      <w:r>
        <w:rPr/>
        <w:t xml:space="preserve">[26] Uezumi, A. et al. Identification and characterization of PDGFRα+ mesenchymal progenitors in human skeletal muscle. </w:t>
      </w:r>
      <w:r>
        <w:rPr>
          <w:i/>
        </w:rPr>
        <w:t>Cell Death &amp; Disease</w:t>
      </w:r>
      <w:r>
        <w:rPr/>
        <w:t xml:space="preserve"> </w:t>
      </w:r>
      <w:r>
        <w:rPr>
          <w:b/>
        </w:rPr>
        <w:t>5</w:t>
      </w:r>
      <w:r>
        <w:rPr/>
        <w:t>, e1186-e1186 (2014).</w:t>
      </w:r>
    </w:p>
    <w:p>
      <w:pPr>
        <w:pStyle w:val="BodyText1"/>
        <w:rPr/>
      </w:pPr>
      <w:r>
        <w:rPr/>
        <w:t xml:space="preserve">[27] Hosaka, K. et al. Pericyte-fibroblast transition promotes tumor growth and metastasis. </w:t>
      </w:r>
      <w:r>
        <w:rPr>
          <w:i/>
        </w:rPr>
        <w:t>Proceedings of the National Academy of Sciences</w:t>
      </w:r>
      <w:r>
        <w:rPr/>
        <w:t xml:space="preserve"> </w:t>
      </w:r>
      <w:r>
        <w:rPr>
          <w:b/>
        </w:rPr>
        <w:t>113</w:t>
      </w:r>
      <w:r>
        <w:rPr/>
        <w:t>, E5618-E5627 (2016).</w:t>
      </w:r>
    </w:p>
    <w:p>
      <w:pPr>
        <w:pStyle w:val="BodyText1"/>
        <w:rPr/>
      </w:pPr>
      <w:r>
        <w:rPr/>
        <w:t xml:space="preserve">[28] van Groningen, T. et al. Neuroblastoma is composed of two super-enhancer-associated differentiation states. </w:t>
      </w:r>
      <w:r>
        <w:rPr>
          <w:i/>
        </w:rPr>
        <w:t>Nature Genetics</w:t>
      </w:r>
      <w:r>
        <w:rPr/>
        <w:t xml:space="preserve"> </w:t>
      </w:r>
      <w:r>
        <w:rPr>
          <w:b/>
        </w:rPr>
        <w:t>49</w:t>
      </w:r>
      <w:r>
        <w:rPr/>
        <w:t>, 1261 (2017).</w:t>
      </w:r>
    </w:p>
    <w:p>
      <w:pPr>
        <w:pStyle w:val="BodyText1"/>
        <w:rPr/>
      </w:pPr>
      <w:r>
        <w:rPr/>
        <w:t xml:space="preserve">[29] Li, C. et al. Snail-induced claudin-11 prompts collective migration for tumour progression. </w:t>
      </w:r>
      <w:r>
        <w:rPr>
          <w:i/>
        </w:rPr>
        <w:t>Nature Cell Biology</w:t>
      </w:r>
      <w:r>
        <w:rPr/>
        <w:t xml:space="preserve"> </w:t>
      </w:r>
      <w:r>
        <w:rPr>
          <w:b/>
        </w:rPr>
        <w:t>21</w:t>
      </w:r>
      <w:r>
        <w:rPr/>
        <w:t>, 251 (2019).</w:t>
      </w:r>
    </w:p>
    <w:p>
      <w:pPr>
        <w:pStyle w:val="BodyText1"/>
        <w:rPr/>
      </w:pPr>
      <w:r>
        <w:rPr/>
        <w:t xml:space="preserve">[30] Yang, Y., Wang, C. &amp; Van Aelst, L. DOCK7 interacts with TACC3 to regulate interkinetic nuclear migration and cortical neurogenesis. </w:t>
      </w:r>
      <w:r>
        <w:rPr>
          <w:i/>
        </w:rPr>
        <w:t>Nature Neuroscience</w:t>
      </w:r>
      <w:r>
        <w:rPr/>
        <w:t xml:space="preserve"> </w:t>
      </w:r>
      <w:r>
        <w:rPr>
          <w:b/>
        </w:rPr>
        <w:t>15</w:t>
      </w:r>
      <w:r>
        <w:rPr/>
        <w:t>, 1201-1210 (2012).</w:t>
      </w:r>
    </w:p>
    <w:p>
      <w:pPr>
        <w:pStyle w:val="BodyText1"/>
        <w:rPr/>
      </w:pPr>
      <w:r>
        <w:rPr/>
        <w:t xml:space="preserve">[31] Ryan, M., Tizard, R., VanDevanter, D. &amp; Carter, W. Cloning of the LamA3 gene encoding the alpha 3 chain of the adhesive ligand epiligrin. Expression in wound repair. </w:t>
      </w:r>
      <w:r>
        <w:rPr>
          <w:i/>
        </w:rPr>
        <w:t>Journal of Biological Chemistry</w:t>
      </w:r>
      <w:r>
        <w:rPr/>
        <w:t xml:space="preserve"> </w:t>
      </w:r>
      <w:r>
        <w:rPr>
          <w:b/>
        </w:rPr>
        <w:t>269</w:t>
      </w:r>
      <w:r>
        <w:rPr/>
        <w:t>, 22779-22787 (1994).</w:t>
      </w:r>
    </w:p>
    <w:p>
      <w:pPr>
        <w:pStyle w:val="BodyText1"/>
        <w:rPr/>
      </w:pPr>
      <w:r>
        <w:rPr/>
        <w:t xml:space="preserve">[32] Casazza, A. et al. Sema3E-Plexin D1 signaling drives human cancer cell invasiveness and metastatic spreading in mice. </w:t>
      </w:r>
      <w:r>
        <w:rPr>
          <w:i/>
        </w:rPr>
        <w:t>Journal of Clinical Investigation</w:t>
      </w:r>
      <w:r>
        <w:rPr/>
        <w:t xml:space="preserve"> </w:t>
      </w:r>
      <w:r>
        <w:rPr>
          <w:b/>
        </w:rPr>
        <w:t>120</w:t>
      </w:r>
      <w:r>
        <w:rPr/>
        <w:t>, 2684-2698 (2010).</w:t>
      </w:r>
    </w:p>
    <w:p>
      <w:pPr>
        <w:pStyle w:val="BodyText1"/>
        <w:rPr/>
      </w:pPr>
      <w:r>
        <w:rPr/>
        <w:t xml:space="preserve">[33] Srivastava, A. et al. De novo dominant ASXL3 mutations alter H2A deubiquitination and transcription in Bainbridge-Ropers syndrome. </w:t>
      </w:r>
      <w:r>
        <w:rPr>
          <w:i/>
        </w:rPr>
        <w:t>Human Molecular Genetics</w:t>
      </w:r>
      <w:r>
        <w:rPr/>
        <w:t xml:space="preserve"> </w:t>
      </w:r>
      <w:r>
        <w:rPr>
          <w:b/>
        </w:rPr>
        <w:t>25</w:t>
      </w:r>
      <w:r>
        <w:rPr/>
        <w:t>, 597-608 (2016).</w:t>
      </w:r>
    </w:p>
    <w:p>
      <w:pPr>
        <w:pStyle w:val="BodyText1"/>
        <w:rPr/>
      </w:pPr>
      <w:r>
        <w:rPr/>
        <w:t xml:space="preserve">[34] Khaled, W. et al. BCL11A is a triple-negative breast cancer gene with critical functions in stem and progenitor cells. </w:t>
      </w:r>
      <w:r>
        <w:rPr>
          <w:i/>
        </w:rPr>
        <w:t>Nature Communications</w:t>
      </w:r>
      <w:r>
        <w:rPr/>
        <w:t xml:space="preserve"> </w:t>
      </w:r>
      <w:r>
        <w:rPr>
          <w:b/>
        </w:rPr>
        <w:t>6</w:t>
      </w:r>
      <w:r>
        <w:rPr/>
        <w:t>, 1-10 (2015).</w:t>
      </w:r>
    </w:p>
    <w:p>
      <w:pPr>
        <w:pStyle w:val="BodyText1"/>
        <w:rPr/>
      </w:pPr>
      <w:r>
        <w:rPr/>
        <w:t xml:space="preserve">[35] Britsch, S. et al. The ErbB2 and ErbB3 receptors and their ligand, neuregulin-1, are essential for development of the sympathetic nervous system. </w:t>
      </w:r>
      <w:r>
        <w:rPr>
          <w:i/>
        </w:rPr>
        <w:t>Genes &amp; Development</w:t>
      </w:r>
      <w:r>
        <w:rPr/>
        <w:t xml:space="preserve"> </w:t>
      </w:r>
      <w:r>
        <w:rPr>
          <w:b/>
        </w:rPr>
        <w:t>12</w:t>
      </w:r>
      <w:r>
        <w:rPr/>
        <w:t>, 1825-1836 (1998).</w:t>
      </w:r>
    </w:p>
    <w:p>
      <w:pPr>
        <w:pStyle w:val="BodyText1"/>
        <w:rPr/>
      </w:pPr>
      <w:r>
        <w:rPr/>
        <w:t xml:space="preserve">[36] Snippert, H. et al. Intestinal crypt homeostasis results from neutral competition between symmetrically dividing Lgr5 stem cells. </w:t>
      </w:r>
      <w:r>
        <w:rPr>
          <w:i/>
        </w:rPr>
        <w:t>Cell</w:t>
      </w:r>
      <w:r>
        <w:rPr/>
        <w:t xml:space="preserve"> </w:t>
      </w:r>
      <w:r>
        <w:rPr>
          <w:b/>
        </w:rPr>
        <w:t>143</w:t>
      </w:r>
      <w:r>
        <w:rPr/>
        <w:t>, 134-144 (2010).</w:t>
      </w:r>
    </w:p>
    <w:p>
      <w:pPr>
        <w:pStyle w:val="BodyText1"/>
        <w:rPr/>
      </w:pPr>
      <w:r>
        <w:rPr/>
        <w:t xml:space="preserve">[37] Sanchez-Ortiz, E. et al. NF1 regulation of RAS/ERK signaling is required for appropriate granule neuron progenitor expansion and migration in cerebellar development. </w:t>
      </w:r>
      <w:r>
        <w:rPr>
          <w:i/>
        </w:rPr>
        <w:t>Genes &amp; Development</w:t>
      </w:r>
      <w:r>
        <w:rPr/>
        <w:t xml:space="preserve"> </w:t>
      </w:r>
      <w:r>
        <w:rPr>
          <w:b/>
        </w:rPr>
        <w:t>28</w:t>
      </w:r>
      <w:r>
        <w:rPr/>
        <w:t>, 2407-2420 (2014).</w:t>
      </w:r>
    </w:p>
    <w:p>
      <w:pPr>
        <w:pStyle w:val="BodyText1"/>
        <w:rPr/>
      </w:pPr>
      <w:r>
        <w:rPr/>
        <w:t xml:space="preserve">[38] Fiorino, A. et al. Retina-derived POU domain factor 1 coordinates expression of genes relevant to renal and neuronal development. </w:t>
      </w:r>
      <w:r>
        <w:rPr>
          <w:i/>
        </w:rPr>
        <w:t>International Journal of Biochemistry &amp; Cell Biology</w:t>
      </w:r>
      <w:r>
        <w:rPr/>
        <w:t xml:space="preserve"> </w:t>
      </w:r>
      <w:r>
        <w:rPr>
          <w:b/>
        </w:rPr>
        <w:t>78</w:t>
      </w:r>
      <w:r>
        <w:rPr/>
        <w:t>, 162-172 (2016).</w:t>
      </w:r>
    </w:p>
    <w:p>
      <w:pPr>
        <w:pStyle w:val="BodyText1"/>
        <w:rPr/>
      </w:pPr>
      <w:r>
        <w:rPr/>
        <w:t xml:space="preserve">[39] Kia, S. et al. RTTN mutations link primary cilia function to organization of the human cerebral cortex. </w:t>
      </w:r>
      <w:r>
        <w:rPr>
          <w:i/>
        </w:rPr>
        <w:t>American Journal of Human Genetics</w:t>
      </w:r>
      <w:r>
        <w:rPr/>
        <w:t xml:space="preserve"> </w:t>
      </w:r>
      <w:r>
        <w:rPr>
          <w:b/>
        </w:rPr>
        <w:t>91</w:t>
      </w:r>
      <w:r>
        <w:rPr/>
        <w:t>, 533-540 (2012).</w:t>
      </w:r>
    </w:p>
    <w:p>
      <w:pPr>
        <w:pStyle w:val="BodyText1"/>
        <w:rPr/>
      </w:pPr>
      <w:r>
        <w:rPr/>
        <w:t xml:space="preserve">[40] Stolt, C., Lommes, P., Hillgärtner, S. &amp; Wegner, M. The transcription factor Sox5 modulates Sox10 function during melanocyte development. </w:t>
      </w:r>
      <w:r>
        <w:rPr>
          <w:i/>
        </w:rPr>
        <w:t>Nucleic Acids Research</w:t>
      </w:r>
      <w:r>
        <w:rPr/>
        <w:t xml:space="preserve"> </w:t>
      </w:r>
      <w:r>
        <w:rPr>
          <w:b/>
        </w:rPr>
        <w:t>36</w:t>
      </w:r>
      <w:r>
        <w:rPr/>
        <w:t>, 5427-5440 (2008).</w:t>
      </w:r>
    </w:p>
    <w:p>
      <w:pPr>
        <w:pStyle w:val="BodyText1"/>
        <w:rPr/>
      </w:pPr>
      <w:r>
        <w:rPr/>
        <w:t xml:space="preserve">[41] Hagiwara, N. Sox6, jack of all trades: a versatile regulatory protein in vertebrate development. </w:t>
      </w:r>
      <w:r>
        <w:rPr>
          <w:i/>
        </w:rPr>
        <w:t>Developmental Dynamics</w:t>
      </w:r>
      <w:r>
        <w:rPr/>
        <w:t xml:space="preserve"> </w:t>
      </w:r>
      <w:r>
        <w:rPr>
          <w:b/>
        </w:rPr>
        <w:t>240</w:t>
      </w:r>
      <w:r>
        <w:rPr/>
        <w:t>, 1311-1321 (2011).</w:t>
      </w:r>
    </w:p>
    <w:p>
      <w:pPr>
        <w:pStyle w:val="BodyText1"/>
        <w:rPr/>
      </w:pPr>
      <w:r>
        <w:rPr/>
        <w:t xml:space="preserve">[42] Furlan, A. et al. Multipotent peripheral glial cells generate neuroendocrine cells of the adrenal medulla. </w:t>
      </w:r>
      <w:r>
        <w:rPr>
          <w:i/>
        </w:rPr>
        <w:t>Science</w:t>
      </w:r>
      <w:r>
        <w:rPr/>
        <w:t xml:space="preserve"> </w:t>
      </w:r>
      <w:r>
        <w:rPr>
          <w:b/>
        </w:rPr>
        <w:t>357</w:t>
      </w:r>
      <w:r>
        <w:rPr/>
        <w:t>, eaal3753 (2017).</w:t>
      </w:r>
    </w:p>
    <w:p>
      <w:pPr>
        <w:pStyle w:val="BodyText1"/>
        <w:rPr/>
      </w:pPr>
      <w:r>
        <w:rPr/>
        <w:t xml:space="preserve">[43] Huber, K. et al. Development of chromaffin cells depends on MASH1 function. </w:t>
      </w:r>
      <w:r>
        <w:rPr>
          <w:i/>
        </w:rPr>
        <w:t>Development</w:t>
      </w:r>
      <w:r>
        <w:rPr/>
        <w:t xml:space="preserve"> </w:t>
      </w:r>
      <w:r>
        <w:rPr>
          <w:b/>
        </w:rPr>
        <w:t>129</w:t>
      </w:r>
      <w:r>
        <w:rPr/>
        <w:t>, 4729-4738 (2002).</w:t>
      </w:r>
    </w:p>
    <w:p>
      <w:pPr>
        <w:pStyle w:val="BodyText1"/>
        <w:rPr/>
      </w:pPr>
      <w:r>
        <w:rPr/>
        <w:t xml:space="preserve">[44] Gil, D., Schamel, W., Montoya, M., Sánchez-Madrid, F. &amp; Alarcón, B. Recruitment of Nck by CD3ϵ reveals a ligand-induced conformational change essential for T-cell receptor signaling and synapse formation. </w:t>
      </w:r>
      <w:r>
        <w:rPr>
          <w:i/>
        </w:rPr>
        <w:t>Cell</w:t>
      </w:r>
      <w:r>
        <w:rPr/>
        <w:t xml:space="preserve"> </w:t>
      </w:r>
      <w:r>
        <w:rPr>
          <w:b/>
        </w:rPr>
        <w:t>109</w:t>
      </w:r>
      <w:r>
        <w:rPr/>
        <w:t>, 901-912 (2002).</w:t>
      </w:r>
    </w:p>
    <w:p>
      <w:pPr>
        <w:pStyle w:val="BodyText1"/>
        <w:rPr/>
      </w:pPr>
      <w:r>
        <w:rPr/>
        <w:t xml:space="preserve">[45] Wu, J. et al. An activating immunoreceptor complex formed by NKG2D and DAP10. </w:t>
      </w:r>
      <w:r>
        <w:rPr>
          <w:i/>
        </w:rPr>
        <w:t>Science</w:t>
      </w:r>
      <w:r>
        <w:rPr/>
        <w:t xml:space="preserve"> </w:t>
      </w:r>
      <w:r>
        <w:rPr>
          <w:b/>
        </w:rPr>
        <w:t>285</w:t>
      </w:r>
      <w:r>
        <w:rPr/>
        <w:t>, 730-732 (1999).</w:t>
      </w:r>
    </w:p>
    <w:p>
      <w:pPr>
        <w:pStyle w:val="BodyText1"/>
        <w:rPr/>
      </w:pPr>
      <w:r>
        <w:rPr/>
        <w:t xml:space="preserve">[46] Natarajan, K. et al. An allosteric site in the T-cell receptor Cβ domain plays a critical signalling role. </w:t>
      </w:r>
      <w:r>
        <w:rPr>
          <w:i/>
        </w:rPr>
        <w:t>Nature Communications</w:t>
      </w:r>
      <w:r>
        <w:rPr/>
        <w:t xml:space="preserve"> </w:t>
      </w:r>
      <w:r>
        <w:rPr>
          <w:b/>
        </w:rPr>
        <w:t>8</w:t>
      </w:r>
      <w:r>
        <w:rPr/>
        <w:t>, 1-14 (2017).</w:t>
      </w:r>
    </w:p>
    <w:p>
      <w:pPr>
        <w:pStyle w:val="BodyText1"/>
        <w:rPr/>
      </w:pPr>
      <w:r>
        <w:rPr/>
        <w:t xml:space="preserve">[47] Herold, S. et al. Recruitment of BRCA1 limits MYCN-driven accumulation of stalled RNA polymerase. </w:t>
      </w:r>
      <w:r>
        <w:rPr>
          <w:i/>
        </w:rPr>
        <w:t>Nature</w:t>
      </w:r>
      <w:r>
        <w:rPr/>
        <w:t xml:space="preserve"> </w:t>
      </w:r>
      <w:r>
        <w:rPr>
          <w:b/>
        </w:rPr>
        <w:t>567</w:t>
      </w:r>
      <w:r>
        <w:rPr/>
        <w:t xml:space="preserve">, 545-549 (2019).[48] Rege, J. et al. Bone morphogenetic protein-4 (BMP4): a paracrine regulator of human adrenal C19 steroid synthesis. </w:t>
      </w:r>
      <w:r>
        <w:rPr>
          <w:i/>
        </w:rPr>
        <w:t>Endocrinology</w:t>
      </w:r>
      <w:r>
        <w:rPr/>
        <w:t xml:space="preserve"> </w:t>
      </w:r>
      <w:r>
        <w:rPr>
          <w:b/>
        </w:rPr>
        <w:t>156</w:t>
      </w:r>
      <w:r>
        <w:rPr/>
        <w:t>, 2530-2540 (2015).</w:t>
      </w:r>
    </w:p>
    <w:p>
      <w:pPr>
        <w:pStyle w:val="BodyText1"/>
        <w:rPr/>
      </w:pPr>
      <w:r>
        <w:rPr/>
        <w:t xml:space="preserve">[49] Aragao-Santiago, L. et al. Mouse models of primary aldosteronism: from physiology to pathophysiology. </w:t>
      </w:r>
      <w:r>
        <w:rPr>
          <w:i/>
        </w:rPr>
        <w:t>Endocrinology</w:t>
      </w:r>
      <w:r>
        <w:rPr/>
        <w:t xml:space="preserve"> </w:t>
      </w:r>
      <w:r>
        <w:rPr>
          <w:b/>
        </w:rPr>
        <w:t>158</w:t>
      </w:r>
      <w:r>
        <w:rPr/>
        <w:t>, 4129-4138 (2017).</w:t>
      </w:r>
    </w:p>
    <w:p>
      <w:pPr>
        <w:pStyle w:val="BodyText1"/>
        <w:rPr/>
      </w:pPr>
      <w:r>
        <w:rPr/>
        <w:t xml:space="preserve">[50] Rainey, W. Adrenal zonation: clues from 11β-hydroxylase and aldosterone synthase. </w:t>
      </w:r>
      <w:r>
        <w:rPr>
          <w:i/>
        </w:rPr>
        <w:t>Molecular and Cellular Endocrinology</w:t>
      </w:r>
      <w:r>
        <w:rPr/>
        <w:t xml:space="preserve"> </w:t>
      </w:r>
      <w:r>
        <w:rPr>
          <w:b/>
        </w:rPr>
        <w:t>151</w:t>
      </w:r>
      <w:r>
        <w:rPr/>
        <w:t>, 151-160 (1999).</w:t>
      </w:r>
    </w:p>
    <w:p>
      <w:pPr>
        <w:pStyle w:val="BodyText1"/>
        <w:rPr/>
      </w:pPr>
      <w:r>
        <w:rPr/>
        <w:t xml:space="preserve">[51] Nishimoto, K. et al. Adrenocortical zonation in humans under normal and pathological conditions. </w:t>
      </w:r>
      <w:r>
        <w:rPr>
          <w:i/>
        </w:rPr>
        <w:t>Journal of Clinical Endocrinology &amp; Metabolism</w:t>
      </w:r>
      <w:r>
        <w:rPr/>
        <w:t xml:space="preserve"> </w:t>
      </w:r>
      <w:r>
        <w:rPr>
          <w:b/>
        </w:rPr>
        <w:t>95</w:t>
      </w:r>
      <w:r>
        <w:rPr/>
        <w:t>, 2296-2305 (2010).</w:t>
      </w:r>
    </w:p>
    <w:p>
      <w:pPr>
        <w:pStyle w:val="BodyText1"/>
        <w:rPr/>
      </w:pPr>
      <w:r>
        <w:rPr/>
        <w:t xml:space="preserve">[52] Peters, B. et al. StAR expression and the long-term aldosterone response to high-potassium diet in Wistar-Kyoto and spontaneously hypertensive rats. </w:t>
      </w:r>
      <w:r>
        <w:rPr>
          <w:i/>
        </w:rPr>
        <w:t>American Journal of Physiology - Endocrinology and Metabolism</w:t>
      </w:r>
      <w:r>
        <w:rPr/>
        <w:t xml:space="preserve"> </w:t>
      </w:r>
      <w:r>
        <w:rPr>
          <w:b/>
        </w:rPr>
        <w:t>292</w:t>
      </w:r>
      <w:r>
        <w:rPr/>
        <w:t>, E16-E23 (2007).</w:t>
      </w:r>
    </w:p>
    <w:p>
      <w:pPr>
        <w:pStyle w:val="BodyText1"/>
        <w:rPr/>
      </w:pPr>
      <w:r>
        <w:rPr/>
        <w:t xml:space="preserve">[53] Nishimoto, K., Rainey, W., Bollag, W. &amp; Seki, T. Lessons from the gene expression pattern of the rat zona glomerulosa. </w:t>
      </w:r>
      <w:r>
        <w:rPr>
          <w:i/>
        </w:rPr>
        <w:t>Molecular and Cellular Endocrinology</w:t>
      </w:r>
      <w:r>
        <w:rPr/>
        <w:t xml:space="preserve"> </w:t>
      </w:r>
      <w:r>
        <w:rPr>
          <w:b/>
        </w:rPr>
        <w:t>371</w:t>
      </w:r>
      <w:r>
        <w:rPr/>
        <w:t>, 107-113 (2013).</w:t>
      </w:r>
    </w:p>
    <w:p>
      <w:pPr>
        <w:pStyle w:val="BodyText1"/>
        <w:rPr/>
      </w:pPr>
      <w:r>
        <w:rPr/>
        <w:t xml:space="preserve">[54] Allen, A., Zhuo, J. &amp; Mendelsohn, F. Localization and function of angiotensin AT1 receptors. </w:t>
      </w:r>
      <w:r>
        <w:rPr>
          <w:i/>
        </w:rPr>
        <w:t>American Journal of Hypertension</w:t>
      </w:r>
      <w:r>
        <w:rPr/>
        <w:t xml:space="preserve"> </w:t>
      </w:r>
      <w:r>
        <w:rPr>
          <w:b/>
        </w:rPr>
        <w:t>13</w:t>
      </w:r>
      <w:r>
        <w:rPr/>
        <w:t>, 31S-38S (2000).</w:t>
      </w:r>
    </w:p>
    <w:p>
      <w:pPr>
        <w:pStyle w:val="BodyText1"/>
        <w:rPr/>
      </w:pPr>
      <w:r>
        <w:rPr/>
        <w:t xml:space="preserve">[55] Aguilera, G. Role of angiotensin II receptor subtypes on the regulation of aldosterone secretion in the adrenal glomerulosa zone in the rat. </w:t>
      </w:r>
      <w:r>
        <w:rPr>
          <w:i/>
        </w:rPr>
        <w:t>Molecular and Cellular Endocrinology</w:t>
      </w:r>
      <w:r>
        <w:rPr/>
        <w:t xml:space="preserve"> </w:t>
      </w:r>
      <w:r>
        <w:rPr>
          <w:b/>
        </w:rPr>
        <w:t>90</w:t>
      </w:r>
      <w:r>
        <w:rPr/>
        <w:t>, 53-60 (1992).</w:t>
      </w:r>
    </w:p>
    <w:p>
      <w:pPr>
        <w:pStyle w:val="BodyText1"/>
        <w:rPr/>
      </w:pPr>
      <w:r>
        <w:rPr/>
        <w:t xml:space="preserve">[56] Romero, D. et al. Disabled-2 is expressed in adrenal zona glomerulosa and is involved in aldosterone secretion. </w:t>
      </w:r>
      <w:r>
        <w:rPr>
          <w:i/>
        </w:rPr>
        <w:t>Endocrinology</w:t>
      </w:r>
      <w:r>
        <w:rPr/>
        <w:t xml:space="preserve"> </w:t>
      </w:r>
      <w:r>
        <w:rPr>
          <w:b/>
        </w:rPr>
        <w:t>148</w:t>
      </w:r>
      <w:r>
        <w:rPr/>
        <w:t>, 2644-2652 (2007).</w:t>
      </w:r>
    </w:p>
    <w:p>
      <w:pPr>
        <w:pStyle w:val="BodyText1"/>
        <w:rPr/>
      </w:pPr>
      <w:r>
        <w:rPr/>
        <w:t xml:space="preserve">[57] Boulkroun, S. et al. Adrenal cortex remodeling and functional zona glomerulosa hyperplasia in primary aldosteronism. </w:t>
      </w:r>
      <w:r>
        <w:rPr>
          <w:i/>
        </w:rPr>
        <w:t>Hypertension</w:t>
      </w:r>
      <w:r>
        <w:rPr/>
        <w:t xml:space="preserve"> </w:t>
      </w:r>
      <w:r>
        <w:rPr>
          <w:b/>
        </w:rPr>
        <w:t>56</w:t>
      </w:r>
      <w:r>
        <w:rPr/>
        <w:t>, 885-892 (2010).</w:t>
      </w:r>
    </w:p>
    <w:p>
      <w:pPr>
        <w:pStyle w:val="BodyText1"/>
        <w:rPr/>
      </w:pPr>
      <w:r>
        <w:rPr/>
        <w:t xml:space="preserve">[58] Wang, W., Yang, L., Suwa, T., Casson, P. &amp; Hornsby, P. Differentially expressed genes in zona reticularis cells of the human adrenal cortex. </w:t>
      </w:r>
      <w:r>
        <w:rPr>
          <w:i/>
        </w:rPr>
        <w:t>Molecular and Cellular Endocrinology</w:t>
      </w:r>
      <w:r>
        <w:rPr/>
        <w:t xml:space="preserve"> </w:t>
      </w:r>
      <w:r>
        <w:rPr>
          <w:b/>
        </w:rPr>
        <w:t>173</w:t>
      </w:r>
      <w:r>
        <w:rPr/>
        <w:t>, 127-134 (2001).</w:t>
      </w:r>
    </w:p>
    <w:p>
      <w:pPr>
        <w:pStyle w:val="BodyText1"/>
        <w:rPr/>
      </w:pPr>
      <w:r>
        <w:rPr/>
        <w:t xml:space="preserve">[59] Rainey, W. &amp; Nakamura, Y. Regulation of the adrenal androgen biosynthesis. </w:t>
      </w:r>
      <w:r>
        <w:rPr>
          <w:i/>
        </w:rPr>
        <w:t>Journal of Steroid Biochemistry and Molecular Biology</w:t>
      </w:r>
      <w:r>
        <w:rPr/>
        <w:t xml:space="preserve"> </w:t>
      </w:r>
      <w:r>
        <w:rPr>
          <w:b/>
        </w:rPr>
        <w:t>108</w:t>
      </w:r>
      <w:r>
        <w:rPr/>
        <w:t>, 281-286 (2008).</w:t>
      </w:r>
    </w:p>
    <w:p>
      <w:pPr>
        <w:pStyle w:val="BodyText1"/>
        <w:rPr/>
      </w:pPr>
      <w:r>
        <w:rPr/>
        <w:t xml:space="preserve">[60] Zah, E., Lin, M., Silva-Benedict, A., Jensen, M. &amp; Chen, Y. T-cells expressing CD19/CD20 bispecific chimeric antigen receptors prevent antigen escape by malignant B cells. </w:t>
      </w:r>
      <w:r>
        <w:rPr>
          <w:i/>
          <w:iCs/>
        </w:rPr>
        <w:t>Cancer Immunology Research</w:t>
      </w:r>
      <w:r>
        <w:rPr/>
        <w:t xml:space="preserve"> </w:t>
      </w:r>
      <w:r>
        <w:rPr>
          <w:b/>
          <w:bCs/>
        </w:rPr>
        <w:t>4</w:t>
      </w:r>
      <w:r>
        <w:rPr/>
        <w:t>, 498-508 (2016).</w:t>
      </w:r>
    </w:p>
    <w:p>
      <w:pPr>
        <w:pStyle w:val="BodyText1"/>
        <w:rPr/>
      </w:pPr>
      <w:r>
        <w:rPr/>
        <w:t xml:space="preserve">[61] Leadbetter, E. et al. Chromatin-IgG complexes activate B cells by dual engagement of IgM and Toll-like receptors. </w:t>
      </w:r>
      <w:r>
        <w:rPr>
          <w:i/>
        </w:rPr>
        <w:t>Nature</w:t>
      </w:r>
      <w:r>
        <w:rPr/>
        <w:t xml:space="preserve"> </w:t>
      </w:r>
      <w:r>
        <w:rPr>
          <w:b/>
        </w:rPr>
        <w:t>416</w:t>
      </w:r>
      <w:r>
        <w:rPr/>
        <w:t>, 603-607 (2002).</w:t>
      </w:r>
    </w:p>
    <w:p>
      <w:pPr>
        <w:pStyle w:val="BodyText1"/>
        <w:rPr/>
      </w:pPr>
      <w:r>
        <w:rPr/>
        <w:t xml:space="preserve">[62] Kawabata, K., Ehata, S., Komuro, A., Takeuchi, K. &amp; Miyazono, K. TGF-β-induced apoptosis of B-cell lymphoma Ramos cells through reduction of MS4A1/CD20. </w:t>
      </w:r>
      <w:r>
        <w:rPr>
          <w:i/>
        </w:rPr>
        <w:t>Oncogene</w:t>
      </w:r>
      <w:r>
        <w:rPr/>
        <w:t xml:space="preserve"> </w:t>
      </w:r>
      <w:r>
        <w:rPr>
          <w:b/>
        </w:rPr>
        <w:t>32</w:t>
      </w:r>
      <w:r>
        <w:rPr/>
        <w:t>, 2096-2106 (2013).</w:t>
      </w:r>
    </w:p>
    <w:p>
      <w:pPr>
        <w:pStyle w:val="BodyText1"/>
        <w:rPr/>
      </w:pPr>
      <w:r>
        <w:rPr/>
        <w:t xml:space="preserve">[63] Vidal, V. et al. The adrenal capsule is a signaling center controlling cell renewal and zonation through Rspo3. </w:t>
      </w:r>
      <w:r>
        <w:rPr>
          <w:i/>
        </w:rPr>
        <w:t>Genes &amp; Development</w:t>
      </w:r>
      <w:r>
        <w:rPr/>
        <w:t xml:space="preserve"> </w:t>
      </w:r>
      <w:r>
        <w:rPr>
          <w:b/>
        </w:rPr>
        <w:t>30</w:t>
      </w:r>
      <w:r>
        <w:rPr/>
        <w:t>, 1389-1394 (2016).</w:t>
      </w:r>
    </w:p>
    <w:p>
      <w:pPr>
        <w:pStyle w:val="BodyText1"/>
        <w:rPr/>
      </w:pPr>
      <w:r>
        <w:rPr/>
        <w:t xml:space="preserve">[64] Oomori, Y., Habara, Y. &amp; Kanno, T. Muscarinic and nicotinic receptor-mediated Ca 2+ dynamics in rat adrenal chromaffin cells during development. </w:t>
      </w:r>
      <w:r>
        <w:rPr>
          <w:i/>
        </w:rPr>
        <w:t>Cell and Tissue Research</w:t>
      </w:r>
      <w:r>
        <w:rPr/>
        <w:t xml:space="preserve"> </w:t>
      </w:r>
      <w:r>
        <w:rPr>
          <w:b/>
        </w:rPr>
        <w:t>294</w:t>
      </w:r>
      <w:r>
        <w:rPr/>
        <w:t>, 109-123 (1998).</w:t>
      </w:r>
    </w:p>
    <w:p>
      <w:pPr>
        <w:pStyle w:val="BodyText1"/>
        <w:rPr/>
      </w:pPr>
      <w:r>
        <w:rPr/>
        <w:t xml:space="preserve">[65] Ya, J. et al. Sox4-deficiency syndrome in mice is an animal model for common trunk. </w:t>
      </w:r>
      <w:r>
        <w:rPr>
          <w:i/>
        </w:rPr>
        <w:t>Circulation Research</w:t>
      </w:r>
      <w:r>
        <w:rPr/>
        <w:t xml:space="preserve"> </w:t>
      </w:r>
      <w:r>
        <w:rPr>
          <w:b/>
        </w:rPr>
        <w:t>83</w:t>
      </w:r>
      <w:r>
        <w:rPr/>
        <w:t>, 986-994 (1998).</w:t>
      </w:r>
    </w:p>
    <w:p>
      <w:pPr>
        <w:pStyle w:val="BodyText1"/>
        <w:rPr/>
      </w:pPr>
      <w:r>
        <w:rPr/>
        <w:t xml:space="preserve">[66] Clarke, R. et al. The expression of Sox17 identifies and regulates haemogenic endothelium. </w:t>
      </w:r>
      <w:r>
        <w:rPr>
          <w:i/>
        </w:rPr>
        <w:t>Nature Cell Biology</w:t>
      </w:r>
      <w:r>
        <w:rPr/>
        <w:t xml:space="preserve"> </w:t>
      </w:r>
      <w:r>
        <w:rPr>
          <w:b/>
        </w:rPr>
        <w:t>15</w:t>
      </w:r>
      <w:r>
        <w:rPr/>
        <w:t>, 502-510 (2013).</w:t>
      </w:r>
    </w:p>
    <w:p>
      <w:pPr>
        <w:pStyle w:val="BodyText1"/>
        <w:rPr/>
      </w:pPr>
      <w:r>
        <w:rPr/>
        <w:t xml:space="preserve">[67] Scriba, L. et al. Cancer Stem Cells in Pheochromocytoma and Paraganglioma. </w:t>
      </w:r>
      <w:r>
        <w:rPr>
          <w:i/>
        </w:rPr>
        <w:t>Frontiers in Endocrinology</w:t>
      </w:r>
      <w:r>
        <w:rPr/>
        <w:t xml:space="preserve"> </w:t>
      </w:r>
      <w:r>
        <w:rPr>
          <w:b/>
        </w:rPr>
        <w:t>11</w:t>
      </w:r>
      <w:r>
        <w:rPr/>
        <w:t>, 79 (2020).</w:t>
      </w:r>
    </w:p>
    <w:p>
      <w:pPr>
        <w:pStyle w:val="BodyText1"/>
        <w:rPr/>
      </w:pPr>
      <w:r>
        <w:rPr/>
        <w:t xml:space="preserve">[68] Dominguez-Soto, A. et al. Dendritic Cell-Specific ICAM-3-Grabbing Nonintegrin Expression on M2-Polarized and Tumor-Associated Macrophages Is Macrophage-CSF Dependent and Enhanced by Tumor-Derived IL-6 and IL-10. </w:t>
      </w:r>
      <w:r>
        <w:rPr>
          <w:i/>
        </w:rPr>
        <w:t>Journal of Immunology</w:t>
      </w:r>
      <w:r>
        <w:rPr/>
        <w:t xml:space="preserve"> </w:t>
      </w:r>
      <w:r>
        <w:rPr>
          <w:b/>
        </w:rPr>
        <w:t>186</w:t>
      </w:r>
      <w:r>
        <w:rPr/>
        <w:t>, 2192-2200 (2011).</w:t>
      </w:r>
    </w:p>
    <w:p>
      <w:pPr>
        <w:pStyle w:val="BodyText1"/>
        <w:rPr/>
      </w:pPr>
      <w:r>
        <w:rPr/>
        <w:t xml:space="preserve">[69] Carr, M. et al. Mesenchymal precursor cells in adult nerves contribute to mammalian tissue repair and regeneration. </w:t>
      </w:r>
      <w:r>
        <w:rPr>
          <w:i/>
        </w:rPr>
        <w:t>Cell Stem Cell</w:t>
      </w:r>
      <w:r>
        <w:rPr/>
        <w:t xml:space="preserve"> </w:t>
      </w:r>
      <w:r>
        <w:rPr>
          <w:b/>
        </w:rPr>
        <w:t>24</w:t>
      </w:r>
      <w:r>
        <w:rPr/>
        <w:t>, 240-256 (2019).</w:t>
      </w:r>
    </w:p>
    <w:p>
      <w:pPr>
        <w:pStyle w:val="BodyText1"/>
        <w:rPr/>
      </w:pPr>
      <w:r>
        <w:rPr/>
        <w:t xml:space="preserve">[70] Driscoll, T., Cosgrove, B., Heo, S., Shurden, Z. &amp; Mauck, R. Cytoskeletal to nuclear strain transfer regulates YAP signaling in mesenchymal stem cells. </w:t>
      </w:r>
      <w:r>
        <w:rPr>
          <w:i/>
        </w:rPr>
        <w:t>Biophysical journal</w:t>
      </w:r>
      <w:r>
        <w:rPr/>
        <w:t xml:space="preserve"> </w:t>
      </w:r>
      <w:r>
        <w:rPr>
          <w:b/>
        </w:rPr>
        <w:t>108</w:t>
      </w:r>
      <w:r>
        <w:rPr/>
        <w:t>, 2783-2793 (2015).</w:t>
      </w:r>
    </w:p>
    <w:p>
      <w:pPr>
        <w:pStyle w:val="BodyText1"/>
        <w:rPr/>
      </w:pPr>
      <w:r>
        <w:rPr/>
        <w:t xml:space="preserve">[71] Pinto, L. et al. AP2γ regulates basal progenitor fate in a region-and layer-specific manner in the developing cortex. </w:t>
      </w:r>
      <w:r>
        <w:rPr>
          <w:i/>
        </w:rPr>
        <w:t>Nature Neuroscience</w:t>
      </w:r>
      <w:r>
        <w:rPr/>
        <w:t xml:space="preserve"> </w:t>
      </w:r>
      <w:r>
        <w:rPr>
          <w:b/>
        </w:rPr>
        <w:t>12</w:t>
      </w:r>
      <w:r>
        <w:rPr/>
        <w:t>, 1229 (2009).</w:t>
      </w:r>
    </w:p>
    <w:p>
      <w:pPr>
        <w:pStyle w:val="BodyText1"/>
        <w:rPr/>
      </w:pPr>
      <w:r>
        <w:rPr/>
        <w:t>[72] Rappl, G. et al. CD4+ CD7- leukemic T-cells from patients with Sezary syndrome are protected from galectin-1-triggered T-cell death. Leukemia 16, 840-845 (2002).</w:t>
      </w:r>
    </w:p>
    <w:p>
      <w:pPr>
        <w:pStyle w:val="BodyText1"/>
        <w:rPr/>
      </w:pPr>
      <w:r>
        <w:rPr/>
        <w:t xml:space="preserve">[73] Beilharz, E. et al. Neuronal activity induction of the stathmin-like gene RB3 in the rat hippocampus: possible role in neuronal plasticity. </w:t>
      </w:r>
      <w:r>
        <w:rPr>
          <w:i/>
        </w:rPr>
        <w:t>Journal of Neuroscience</w:t>
      </w:r>
      <w:r>
        <w:rPr/>
        <w:t xml:space="preserve"> </w:t>
      </w:r>
      <w:r>
        <w:rPr>
          <w:b/>
        </w:rPr>
        <w:t>18</w:t>
      </w:r>
      <w:r>
        <w:rPr/>
        <w:t>, 9780-9789 (1998).</w:t>
      </w:r>
    </w:p>
    <w:p>
      <w:pPr>
        <w:pStyle w:val="BodyText1"/>
        <w:rPr/>
      </w:pPr>
      <w:r>
        <w:rPr/>
        <w:t xml:space="preserve">[74] Vervoort, S. et al. Global transcriptional analysis identifies a novel role for SOX4 in tumor-induced angiogenesis. </w:t>
      </w:r>
      <w:r>
        <w:rPr>
          <w:i/>
        </w:rPr>
        <w:t>Elife</w:t>
      </w:r>
      <w:r>
        <w:rPr/>
        <w:t xml:space="preserve"> </w:t>
      </w:r>
      <w:r>
        <w:rPr>
          <w:b/>
        </w:rPr>
        <w:t>7</w:t>
      </w:r>
      <w:r>
        <w:rPr/>
        <w:t>, e27706 (2018).</w:t>
      </w:r>
    </w:p>
    <w:p>
      <w:pPr>
        <w:pStyle w:val="BodyText1"/>
        <w:rPr/>
      </w:pPr>
      <w:r>
        <w:rPr/>
        <w:t xml:space="preserve">[75] Qu, Y., Taylor, J., Bose, A. &amp; Storkus, W. Therapeutic effectiveness of intratumorally delivered dendritic cells engineered to express the pro-inflammatory cytokine, interleukin (IL)-32. </w:t>
      </w:r>
      <w:r>
        <w:rPr>
          <w:i/>
        </w:rPr>
        <w:t>Cancer Gene Therapy</w:t>
      </w:r>
      <w:r>
        <w:rPr/>
        <w:t xml:space="preserve"> </w:t>
      </w:r>
      <w:r>
        <w:rPr>
          <w:b/>
        </w:rPr>
        <w:t>18</w:t>
      </w:r>
      <w:r>
        <w:rPr/>
        <w:t>, 663-673 (2011).</w:t>
      </w:r>
    </w:p>
    <w:p>
      <w:pPr>
        <w:pStyle w:val="Normal"/>
        <w:rPr/>
      </w:pPr>
      <w:r>
        <w:rPr/>
      </w:r>
    </w:p>
    <w:sectPr>
      <w:footerReference w:type="default" r:id="rId4"/>
      <w:type w:val="nextPage"/>
      <w:pgSz w:w="11906" w:h="16838"/>
      <w:pgMar w:left="1440" w:right="1440" w:header="0" w:top="1440" w:footer="72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8038483"/>
    </w:sdtPr>
    <w:sdtContent>
      <w:p>
        <w:pPr>
          <w:pStyle w:val="Footer"/>
          <w:jc w:val="right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9</w:t>
        </w:r>
        <w:r>
          <w:rPr>
            <w:rStyle w:val="Pagenumber"/>
          </w:rPr>
          <w:fldChar w:fldCharType="end"/>
        </w:r>
      </w:p>
    </w:sdtContent>
  </w:sdt>
  <w:p>
    <w:pPr>
      <w:pStyle w:val="Footer"/>
      <w:ind w:right="360" w:hanging="0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63339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1" w:customStyle="1">
    <w:name w:val="Hyperlink1"/>
    <w:basedOn w:val="DefaultParagraphFont"/>
    <w:uiPriority w:val="99"/>
    <w:unhideWhenUsed/>
    <w:qFormat/>
    <w:rsid w:val="00f611a4"/>
    <w:rPr>
      <w:color w:val="0563C1" w:themeColor="hyperlink"/>
      <w:u w:val="singl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f611a4"/>
    <w:rPr>
      <w:rFonts w:ascii="Times New Roman" w:hAnsi="Times New Roman" w:eastAsia="Times New Roman" w:cs="Times New Roman"/>
      <w:sz w:val="18"/>
      <w:szCs w:val="18"/>
    </w:rPr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d6c89"/>
    <w:rPr>
      <w:rFonts w:ascii="Times New Roman" w:hAnsi="Times New Roman" w:eastAsia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qFormat/>
    <w:rsid w:val="007d6c89"/>
    <w:rPr/>
  </w:style>
  <w:style w:type="character" w:styleId="Linenumber">
    <w:name w:val="line number"/>
    <w:basedOn w:val="DefaultParagraphFont"/>
    <w:uiPriority w:val="99"/>
    <w:semiHidden/>
    <w:unhideWhenUsed/>
    <w:qFormat/>
    <w:rsid w:val="007d6c89"/>
    <w:rPr/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BodyText1" w:customStyle="1">
    <w:name w:val="Body Text1"/>
    <w:basedOn w:val="Normal"/>
    <w:qFormat/>
    <w:rsid w:val="00063339"/>
    <w:pPr>
      <w:suppressAutoHyphens w:val="true"/>
      <w:spacing w:lineRule="auto" w:line="276" w:before="0" w:after="140"/>
    </w:pPr>
    <w:rPr>
      <w:rFonts w:ascii="Liberation Serif" w:hAnsi="Liberation Serif" w:eastAsia="AR PL SungtiL GB" w:cs="Lohit Devanagari"/>
      <w:color w:val="00000A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611a4"/>
    <w:pPr/>
    <w:rPr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FooterChar"/>
    <w:uiPriority w:val="99"/>
    <w:semiHidden/>
    <w:unhideWhenUsed/>
    <w:rsid w:val="007d6c89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NormalWeb">
    <w:name w:val="Normal (Web)"/>
    <w:basedOn w:val="Normal"/>
    <w:uiPriority w:val="99"/>
    <w:unhideWhenUsed/>
    <w:qFormat/>
    <w:rsid w:val="00a44e27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oscar.bedoya.reina@ki.se" TargetMode="External"/><Relationship Id="rId3" Type="http://schemas.openxmlformats.org/officeDocument/2006/relationships/hyperlink" Target="mailto:susanne.schlisio@ki.se" TargetMode="Externa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LibreOffice/6.4.7.2$Linux_X86_64 LibreOffice_project/40$Build-2</Application>
  <Pages>9</Pages>
  <Words>2561</Words>
  <Characters>15687</Characters>
  <CharactersWithSpaces>18158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2021-06-18T10:54:00Z</dcterms:created>
  <dc:creator>Susanne Schlisio</dc:creator>
  <dc:description/>
  <dc:language>en-US</dc:language>
  <cp:lastModifiedBy/>
  <dcterms:modified xsi:type="dcterms:W3CDTF">2021-08-06T00:33:36Z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