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A82" w:rsidRDefault="00302A82">
      <w:r>
        <w:t>Description of Additional Supplementary Files</w:t>
      </w:r>
    </w:p>
    <w:p w:rsidR="00302A82" w:rsidRDefault="00302A82"/>
    <w:p w:rsidR="00302A82" w:rsidRDefault="00302A82">
      <w:r>
        <w:t>Title: Supplementary Video 1</w:t>
      </w:r>
    </w:p>
    <w:p w:rsidR="00D327B4" w:rsidRDefault="00302A82">
      <w:r>
        <w:t>Description:</w:t>
      </w:r>
      <w:bookmarkStart w:id="0" w:name="_GoBack"/>
      <w:bookmarkEnd w:id="0"/>
      <w:r>
        <w:t xml:space="preserve"> Micro-CT scans of adult left forearm skeletons. All skeletons are homozygous for the indicated genotype.</w:t>
      </w:r>
    </w:p>
    <w:sectPr w:rsidR="00D327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A82"/>
    <w:rsid w:val="00302A82"/>
    <w:rsid w:val="00D3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C86CB"/>
  <w15:chartTrackingRefBased/>
  <w15:docId w15:val="{3D3F4348-9F26-4813-A7AB-0392BEAD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2021-07-27T12:50:00Z</dcterms:created>
  <dcterms:modified xsi:type="dcterms:W3CDTF">2021-07-27T12:50:00Z</dcterms:modified>
</cp:coreProperties>
</file>