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81B408" w14:textId="77777777" w:rsidR="001F78A2" w:rsidRDefault="001F78A2" w:rsidP="001F78A2">
      <w:pPr>
        <w:spacing w:after="120" w:line="360" w:lineRule="auto"/>
        <w:ind w:left="540" w:hanging="540"/>
        <w:outlineLvl w:val="0"/>
        <w:rPr>
          <w:rFonts w:ascii="Arial" w:eastAsia="Arial" w:hAnsi="Arial" w:cs="Arial"/>
          <w:b/>
          <w:color w:val="000000"/>
        </w:rPr>
      </w:pPr>
      <w:r>
        <w:rPr>
          <w:rFonts w:ascii="Arial" w:eastAsia="Arial" w:hAnsi="Arial" w:cs="Arial"/>
          <w:b/>
          <w:color w:val="000000"/>
        </w:rPr>
        <w:t>Supplementary Figures and Tables</w:t>
      </w:r>
    </w:p>
    <w:p w14:paraId="41E45360" w14:textId="77777777" w:rsidR="001F78A2" w:rsidRPr="00C12920" w:rsidRDefault="001F78A2" w:rsidP="001F78A2">
      <w:pPr>
        <w:spacing w:line="360" w:lineRule="auto"/>
        <w:rPr>
          <w:rFonts w:ascii="Arial" w:eastAsia="Arial" w:hAnsi="Arial" w:cs="Arial"/>
        </w:rPr>
      </w:pPr>
      <w:r>
        <w:rPr>
          <w:rFonts w:ascii="Arial" w:eastAsia="Arial" w:hAnsi="Arial" w:cs="Arial"/>
          <w:noProof/>
        </w:rPr>
        <w:drawing>
          <wp:inline distT="0" distB="0" distL="0" distR="0" wp14:anchorId="56CD9685" wp14:editId="28145E0F">
            <wp:extent cx="5943600" cy="5970270"/>
            <wp:effectExtent l="0" t="0" r="0" b="0"/>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4"/>
                    <a:stretch>
                      <a:fillRect/>
                    </a:stretch>
                  </pic:blipFill>
                  <pic:spPr>
                    <a:xfrm>
                      <a:off x="0" y="0"/>
                      <a:ext cx="5943600" cy="5970270"/>
                    </a:xfrm>
                    <a:prstGeom prst="rect">
                      <a:avLst/>
                    </a:prstGeom>
                  </pic:spPr>
                </pic:pic>
              </a:graphicData>
            </a:graphic>
          </wp:inline>
        </w:drawing>
      </w:r>
    </w:p>
    <w:p w14:paraId="6F5F53C0" w14:textId="77777777" w:rsidR="001F78A2" w:rsidRPr="00C12920" w:rsidRDefault="001F78A2" w:rsidP="001F78A2">
      <w:pPr>
        <w:spacing w:line="360" w:lineRule="auto"/>
        <w:rPr>
          <w:rFonts w:ascii="Arial" w:eastAsia="Arial" w:hAnsi="Arial" w:cs="Arial"/>
        </w:rPr>
      </w:pPr>
      <w:r>
        <w:rPr>
          <w:rFonts w:ascii="Arial" w:eastAsia="Arial" w:hAnsi="Arial" w:cs="Arial"/>
          <w:b/>
          <w:bCs/>
        </w:rPr>
        <w:t>Supplementary Fig. 1.</w:t>
      </w:r>
      <w:r w:rsidRPr="00C12920">
        <w:rPr>
          <w:rFonts w:ascii="Arial" w:eastAsia="Arial" w:hAnsi="Arial" w:cs="Arial"/>
          <w:b/>
          <w:bCs/>
        </w:rPr>
        <w:t xml:space="preserve"> </w:t>
      </w:r>
      <w:r w:rsidRPr="00C8133B">
        <w:rPr>
          <w:rFonts w:ascii="Arial" w:hAnsi="Arial" w:cs="Arial"/>
          <w:b/>
          <w:bCs/>
        </w:rPr>
        <w:t xml:space="preserve">Quality metrics of </w:t>
      </w:r>
      <w:proofErr w:type="spellStart"/>
      <w:r w:rsidRPr="00C8133B">
        <w:rPr>
          <w:rFonts w:ascii="Arial" w:hAnsi="Arial" w:cs="Arial"/>
          <w:b/>
          <w:bCs/>
        </w:rPr>
        <w:t>scRNA</w:t>
      </w:r>
      <w:proofErr w:type="spellEnd"/>
      <w:r w:rsidRPr="00C8133B">
        <w:rPr>
          <w:rFonts w:ascii="Arial" w:hAnsi="Arial" w:cs="Arial"/>
          <w:b/>
          <w:bCs/>
        </w:rPr>
        <w:t xml:space="preserve"> data.</w:t>
      </w:r>
      <w:r>
        <w:rPr>
          <w:rFonts w:ascii="Arial" w:hAnsi="Arial" w:cs="Arial"/>
          <w:b/>
          <w:bCs/>
        </w:rPr>
        <w:t xml:space="preserve"> </w:t>
      </w:r>
      <w:r>
        <w:rPr>
          <w:rFonts w:ascii="Arial" w:hAnsi="Arial" w:cs="Arial"/>
        </w:rPr>
        <w:t>Violin plots of a) complexity (log-scale), b) UMI count (log-scale), c) fraction of UMI counts aligning to the mitochondrial genome. d) bar plot of number of cells across samples. e) standard deviation of principal components of log</w:t>
      </w:r>
      <w:r w:rsidRPr="00C8133B">
        <w:rPr>
          <w:rFonts w:ascii="Arial" w:hAnsi="Arial" w:cs="Arial"/>
          <w:vertAlign w:val="subscript"/>
        </w:rPr>
        <w:t>2</w:t>
      </w:r>
      <w:r>
        <w:rPr>
          <w:rFonts w:ascii="Arial" w:hAnsi="Arial" w:cs="Arial"/>
        </w:rPr>
        <w:t>(TP10k+1) transformed UMI counts.</w:t>
      </w:r>
    </w:p>
    <w:p w14:paraId="371CF0B3" w14:textId="77777777" w:rsidR="001F78A2" w:rsidRDefault="001F78A2" w:rsidP="001F78A2">
      <w:pPr>
        <w:spacing w:after="120" w:line="360" w:lineRule="auto"/>
        <w:ind w:left="540" w:hanging="540"/>
        <w:outlineLvl w:val="0"/>
        <w:rPr>
          <w:rFonts w:ascii="Arial" w:eastAsia="Arial" w:hAnsi="Arial" w:cs="Arial"/>
          <w:b/>
          <w:color w:val="000000"/>
        </w:rPr>
      </w:pPr>
    </w:p>
    <w:p w14:paraId="6C4AD7EB" w14:textId="77777777" w:rsidR="001F78A2" w:rsidRDefault="001F78A2" w:rsidP="001F78A2">
      <w:pPr>
        <w:spacing w:after="120" w:line="360" w:lineRule="auto"/>
        <w:rPr>
          <w:rFonts w:ascii="Arial" w:eastAsia="Times New Roman" w:hAnsi="Arial" w:cs="Arial"/>
        </w:rPr>
      </w:pPr>
    </w:p>
    <w:p w14:paraId="0E4A4ADC" w14:textId="77777777" w:rsidR="001F78A2" w:rsidRDefault="001F78A2" w:rsidP="001F78A2">
      <w:pPr>
        <w:spacing w:after="120" w:line="360" w:lineRule="auto"/>
        <w:ind w:left="540" w:hanging="540"/>
        <w:rPr>
          <w:rFonts w:ascii="Arial" w:eastAsia="Arial" w:hAnsi="Arial" w:cs="Arial"/>
          <w:color w:val="000000"/>
          <w:u w:val="single"/>
        </w:rPr>
      </w:pPr>
      <w:r>
        <w:rPr>
          <w:rFonts w:ascii="Arial" w:eastAsia="Arial" w:hAnsi="Arial" w:cs="Arial"/>
          <w:noProof/>
          <w:color w:val="000000"/>
          <w:u w:val="single"/>
        </w:rPr>
        <w:lastRenderedPageBreak/>
        <w:drawing>
          <wp:inline distT="0" distB="0" distL="0" distR="0" wp14:anchorId="306934F3" wp14:editId="4F211D67">
            <wp:extent cx="5943600" cy="7376795"/>
            <wp:effectExtent l="0" t="0" r="0" b="0"/>
            <wp:docPr id="5" name="Picture 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pic:nvPicPr>
                  <pic:blipFill>
                    <a:blip r:embed="rId5"/>
                    <a:stretch>
                      <a:fillRect/>
                    </a:stretch>
                  </pic:blipFill>
                  <pic:spPr>
                    <a:xfrm>
                      <a:off x="0" y="0"/>
                      <a:ext cx="5943600" cy="7376795"/>
                    </a:xfrm>
                    <a:prstGeom prst="rect">
                      <a:avLst/>
                    </a:prstGeom>
                  </pic:spPr>
                </pic:pic>
              </a:graphicData>
            </a:graphic>
          </wp:inline>
        </w:drawing>
      </w:r>
    </w:p>
    <w:p w14:paraId="53269065" w14:textId="77777777" w:rsidR="001F78A2" w:rsidRDefault="001F78A2" w:rsidP="001F78A2">
      <w:pPr>
        <w:spacing w:after="120" w:line="360" w:lineRule="auto"/>
        <w:rPr>
          <w:rFonts w:ascii="Arial" w:eastAsia="Arial" w:hAnsi="Arial" w:cs="Arial"/>
          <w:b/>
          <w:color w:val="000000"/>
        </w:rPr>
      </w:pPr>
      <w:r>
        <w:rPr>
          <w:rFonts w:ascii="Arial" w:eastAsia="Arial" w:hAnsi="Arial" w:cs="Arial"/>
          <w:b/>
          <w:color w:val="000000"/>
        </w:rPr>
        <w:t>Supplementary Fig. 2: Cluster identification across all single cell transcriptomes</w:t>
      </w:r>
      <w:r w:rsidRPr="00C721E7">
        <w:rPr>
          <w:rFonts w:ascii="Arial" w:eastAsia="Arial" w:hAnsi="Arial" w:cs="Arial"/>
          <w:color w:val="000000"/>
        </w:rPr>
        <w:t>. a</w:t>
      </w:r>
      <w:r w:rsidRPr="00FA3B2D">
        <w:rPr>
          <w:rFonts w:ascii="Arial" w:eastAsia="Arial" w:hAnsi="Arial" w:cs="Arial"/>
          <w:color w:val="000000"/>
        </w:rPr>
        <w:t xml:space="preserve">) UMAP of 34,742 single cells colored by SNN-derived clusters across the top 30 principal components. </w:t>
      </w:r>
      <w:r w:rsidRPr="00C721E7">
        <w:rPr>
          <w:rFonts w:ascii="Arial" w:eastAsia="Arial" w:hAnsi="Arial" w:cs="Arial"/>
          <w:color w:val="000000"/>
        </w:rPr>
        <w:t>b</w:t>
      </w:r>
      <w:r w:rsidRPr="00FA3B2D">
        <w:rPr>
          <w:rFonts w:ascii="Arial" w:eastAsia="Arial" w:hAnsi="Arial" w:cs="Arial"/>
          <w:color w:val="000000"/>
        </w:rPr>
        <w:t xml:space="preserve">) Single-cell clusters comprised of patient-of-origin and delineated by cell type </w:t>
      </w:r>
      <w:r w:rsidRPr="00FA3B2D">
        <w:rPr>
          <w:rFonts w:ascii="Arial" w:eastAsia="Arial" w:hAnsi="Arial" w:cs="Arial"/>
          <w:color w:val="000000"/>
        </w:rPr>
        <w:lastRenderedPageBreak/>
        <w:t xml:space="preserve">(immune, malignant, and other, see </w:t>
      </w:r>
      <w:r w:rsidRPr="00C721E7">
        <w:rPr>
          <w:rFonts w:ascii="Arial" w:eastAsia="Arial" w:hAnsi="Arial" w:cs="Arial"/>
          <w:color w:val="000000"/>
        </w:rPr>
        <w:t>Methods</w:t>
      </w:r>
      <w:r w:rsidRPr="00FA3B2D">
        <w:rPr>
          <w:rFonts w:ascii="Arial" w:eastAsia="Arial" w:hAnsi="Arial" w:cs="Arial"/>
          <w:color w:val="000000"/>
        </w:rPr>
        <w:t xml:space="preserve">). </w:t>
      </w:r>
      <w:r w:rsidRPr="00C721E7">
        <w:rPr>
          <w:rFonts w:ascii="Arial" w:eastAsia="Arial" w:hAnsi="Arial" w:cs="Arial"/>
          <w:color w:val="000000"/>
        </w:rPr>
        <w:t>c</w:t>
      </w:r>
      <w:r w:rsidRPr="00FA3B2D">
        <w:rPr>
          <w:rFonts w:ascii="Arial" w:eastAsia="Arial" w:hAnsi="Arial" w:cs="Arial"/>
          <w:color w:val="000000"/>
        </w:rPr>
        <w:t>) Heatmap of marker genes for each of 17 clusters identified in (</w:t>
      </w:r>
      <w:r w:rsidRPr="00C721E7">
        <w:rPr>
          <w:rFonts w:ascii="Arial" w:eastAsia="Arial" w:hAnsi="Arial" w:cs="Arial"/>
          <w:color w:val="000000"/>
        </w:rPr>
        <w:t>a</w:t>
      </w:r>
      <w:r w:rsidRPr="00FA3B2D">
        <w:rPr>
          <w:rFonts w:ascii="Arial" w:eastAsia="Arial" w:hAnsi="Arial" w:cs="Arial"/>
          <w:color w:val="000000"/>
        </w:rPr>
        <w:t>). For visualization, 10 single cells from each cluster were chosen as representative, and the top 4 marker genes are listed in the heatmap.</w:t>
      </w:r>
    </w:p>
    <w:p w14:paraId="097E4E8F" w14:textId="77777777" w:rsidR="001F78A2" w:rsidRDefault="001F78A2" w:rsidP="001F78A2">
      <w:pPr>
        <w:spacing w:after="60" w:line="360" w:lineRule="auto"/>
        <w:rPr>
          <w:rFonts w:ascii="Arial" w:hAnsi="Arial" w:cs="Arial"/>
        </w:rPr>
      </w:pPr>
    </w:p>
    <w:p w14:paraId="4D986B96" w14:textId="77777777" w:rsidR="001F78A2" w:rsidRDefault="001F78A2" w:rsidP="001F78A2">
      <w:pPr>
        <w:spacing w:after="60" w:line="360" w:lineRule="auto"/>
        <w:rPr>
          <w:rFonts w:ascii="Arial" w:eastAsia="Arial" w:hAnsi="Arial" w:cs="Arial"/>
          <w:b/>
        </w:rPr>
      </w:pPr>
      <w:r>
        <w:rPr>
          <w:noProof/>
        </w:rPr>
        <w:drawing>
          <wp:inline distT="0" distB="0" distL="0" distR="0" wp14:anchorId="4471CB10" wp14:editId="5C880C10">
            <wp:extent cx="5943600" cy="195707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noChangeArrowheads="1"/>
                    </pic:cNvPicPr>
                  </pic:nvPicPr>
                  <pic:blipFill>
                    <a:blip r:embed="rId6"/>
                    <a:stretch>
                      <a:fillRect/>
                    </a:stretch>
                  </pic:blipFill>
                  <pic:spPr bwMode="auto">
                    <a:xfrm>
                      <a:off x="0" y="0"/>
                      <a:ext cx="5943600" cy="1957070"/>
                    </a:xfrm>
                    <a:prstGeom prst="rect">
                      <a:avLst/>
                    </a:prstGeom>
                  </pic:spPr>
                </pic:pic>
              </a:graphicData>
            </a:graphic>
          </wp:inline>
        </w:drawing>
      </w:r>
    </w:p>
    <w:p w14:paraId="6B6436B3" w14:textId="198E2A55" w:rsidR="001F78A2" w:rsidRDefault="001F78A2" w:rsidP="001F78A2">
      <w:pPr>
        <w:spacing w:after="60" w:line="360" w:lineRule="auto"/>
        <w:rPr>
          <w:rFonts w:ascii="Arial" w:eastAsia="Arial" w:hAnsi="Arial" w:cs="Arial"/>
          <w:b/>
        </w:rPr>
      </w:pPr>
      <w:r>
        <w:rPr>
          <w:rFonts w:ascii="Arial" w:eastAsia="Arial" w:hAnsi="Arial" w:cs="Arial"/>
          <w:b/>
        </w:rPr>
        <w:t xml:space="preserve">Supplementary Fig. 3: Malignant vs. non-malignant calling by </w:t>
      </w:r>
      <w:proofErr w:type="spellStart"/>
      <w:r>
        <w:rPr>
          <w:rFonts w:ascii="Arial" w:eastAsia="Arial" w:hAnsi="Arial" w:cs="Arial"/>
          <w:b/>
        </w:rPr>
        <w:t>cfDNA</w:t>
      </w:r>
      <w:proofErr w:type="spellEnd"/>
      <w:r>
        <w:rPr>
          <w:rFonts w:ascii="Arial" w:eastAsia="Arial" w:hAnsi="Arial" w:cs="Arial"/>
          <w:b/>
        </w:rPr>
        <w:t xml:space="preserve"> CNV comparison.</w:t>
      </w:r>
      <w:r>
        <w:rPr>
          <w:rFonts w:ascii="Arial" w:eastAsia="Arial" w:hAnsi="Arial" w:cs="Arial"/>
        </w:rPr>
        <w:t xml:space="preserve"> </w:t>
      </w:r>
      <w:r w:rsidRPr="00C721E7">
        <w:rPr>
          <w:rFonts w:ascii="Arial" w:eastAsia="Arial" w:hAnsi="Arial" w:cs="Arial"/>
        </w:rPr>
        <w:t>a</w:t>
      </w:r>
      <w:r w:rsidRPr="00FA3B2D">
        <w:rPr>
          <w:rFonts w:ascii="Arial" w:eastAsia="Arial" w:hAnsi="Arial" w:cs="Arial"/>
        </w:rPr>
        <w:t xml:space="preserve">) The scaled difference in mean of slopes between all malignant and non-malignant cells from each sample of trial </w:t>
      </w:r>
      <w:r w:rsidRPr="00C721E7">
        <w:rPr>
          <w:rFonts w:ascii="Arial" w:eastAsia="Arial" w:hAnsi="Arial" w:cs="Arial"/>
          <w:color w:val="000000"/>
        </w:rPr>
        <w:t xml:space="preserve">NCT02886585 is plotted as a heatmap across all combinations of time points for both single-cell RNA-Seq and </w:t>
      </w:r>
      <w:proofErr w:type="spellStart"/>
      <w:r w:rsidRPr="00C721E7">
        <w:rPr>
          <w:rFonts w:ascii="Arial" w:eastAsia="Arial" w:hAnsi="Arial" w:cs="Arial"/>
          <w:color w:val="000000"/>
        </w:rPr>
        <w:t>cfDNA</w:t>
      </w:r>
      <w:proofErr w:type="spellEnd"/>
      <w:r w:rsidRPr="00C721E7">
        <w:rPr>
          <w:rFonts w:ascii="Arial" w:eastAsia="Arial" w:hAnsi="Arial" w:cs="Arial"/>
          <w:color w:val="000000"/>
        </w:rPr>
        <w:t>-derived reference WES data. b</w:t>
      </w:r>
      <w:r w:rsidRPr="00FA3B2D">
        <w:rPr>
          <w:rFonts w:ascii="Arial" w:eastAsia="Arial" w:hAnsi="Arial" w:cs="Arial"/>
          <w:color w:val="000000"/>
        </w:rPr>
        <w:t xml:space="preserve">) The slopes for both malignant and non-malignant cells at each time point in NCT02886585 are plotted as violins. </w:t>
      </w:r>
      <w:r w:rsidRPr="00C721E7">
        <w:rPr>
          <w:rFonts w:ascii="Arial" w:eastAsia="Arial" w:hAnsi="Arial" w:cs="Arial"/>
          <w:color w:val="000000"/>
        </w:rPr>
        <w:t>c</w:t>
      </w:r>
      <w:r w:rsidRPr="00FA3B2D">
        <w:rPr>
          <w:rFonts w:ascii="Arial" w:eastAsia="Arial" w:hAnsi="Arial" w:cs="Arial"/>
          <w:color w:val="000000"/>
        </w:rPr>
        <w:t xml:space="preserve">) Tumor fraction as measured by cytology (x-axis) and detected by Seq-Well (y-axis). Kendall’s </w:t>
      </w:r>
      <w:r w:rsidRPr="00C721E7">
        <w:rPr>
          <w:rFonts w:ascii="Arial" w:eastAsia="Arial" w:hAnsi="Arial" w:cs="Arial"/>
        </w:rPr>
        <w:t>т correlation and associated p-value indicated. CSF0119-1 not included in correlation calculation as cytology for this sample was not performed simultaneous to CSF collection.</w:t>
      </w:r>
      <w:r w:rsidR="00D80CFF">
        <w:rPr>
          <w:rFonts w:ascii="Arial" w:eastAsia="Arial" w:hAnsi="Arial" w:cs="Arial"/>
        </w:rPr>
        <w:t xml:space="preserve">  P-value for Pearson’s r correlation given by Student’s t-distribution (two-sided), p-value for Kendall-</w:t>
      </w:r>
      <w:r w:rsidR="00D80CFF" w:rsidRPr="00D80CFF">
        <w:rPr>
          <w:rFonts w:ascii="Arial" w:eastAsia="Arial" w:hAnsi="Arial" w:cs="Arial"/>
        </w:rPr>
        <w:t>τ</w:t>
      </w:r>
      <w:r w:rsidR="00D80CFF">
        <w:rPr>
          <w:rFonts w:ascii="Arial" w:eastAsia="Arial" w:hAnsi="Arial" w:cs="Arial"/>
        </w:rPr>
        <w:t xml:space="preserve"> correlation </w:t>
      </w:r>
      <w:r w:rsidR="00FA6A3E">
        <w:rPr>
          <w:rFonts w:ascii="Arial" w:eastAsia="Arial" w:hAnsi="Arial" w:cs="Arial"/>
        </w:rPr>
        <w:t xml:space="preserve">described in Methods </w:t>
      </w:r>
      <w:r w:rsidR="00D80CFF">
        <w:rPr>
          <w:rFonts w:ascii="Arial" w:eastAsia="Arial" w:hAnsi="Arial" w:cs="Arial"/>
        </w:rPr>
        <w:t xml:space="preserve">(two-sided).  </w:t>
      </w:r>
    </w:p>
    <w:p w14:paraId="7E936FBA" w14:textId="77777777" w:rsidR="001F78A2" w:rsidRDefault="001F78A2" w:rsidP="001F78A2">
      <w:pPr>
        <w:spacing w:after="60" w:line="360" w:lineRule="auto"/>
        <w:ind w:left="540" w:hanging="540"/>
        <w:rPr>
          <w:rFonts w:ascii="Arial" w:eastAsia="Arial" w:hAnsi="Arial" w:cs="Arial"/>
        </w:rPr>
      </w:pPr>
    </w:p>
    <w:p w14:paraId="793238C4" w14:textId="77777777" w:rsidR="001F78A2" w:rsidRDefault="001F78A2" w:rsidP="001F78A2">
      <w:pPr>
        <w:spacing w:after="60" w:line="360" w:lineRule="auto"/>
        <w:ind w:left="540" w:hanging="540"/>
        <w:rPr>
          <w:rFonts w:ascii="Arial" w:eastAsia="Arial" w:hAnsi="Arial" w:cs="Arial"/>
        </w:rPr>
      </w:pPr>
    </w:p>
    <w:p w14:paraId="16B89D55" w14:textId="77777777" w:rsidR="001F78A2" w:rsidRDefault="001F78A2" w:rsidP="001F78A2">
      <w:pPr>
        <w:spacing w:after="60" w:line="360" w:lineRule="auto"/>
        <w:ind w:left="540" w:hanging="540"/>
        <w:jc w:val="center"/>
        <w:rPr>
          <w:rFonts w:ascii="Arial" w:eastAsia="Arial" w:hAnsi="Arial" w:cs="Arial"/>
          <w:b/>
        </w:rPr>
      </w:pPr>
      <w:r>
        <w:rPr>
          <w:noProof/>
        </w:rPr>
        <w:lastRenderedPageBreak/>
        <w:drawing>
          <wp:inline distT="0" distB="0" distL="0" distR="0" wp14:anchorId="6A43A730" wp14:editId="4071D36D">
            <wp:extent cx="3825240" cy="7144385"/>
            <wp:effectExtent l="0" t="0" r="0" b="0"/>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0"/>
                    <pic:cNvPicPr>
                      <a:picLocks noChangeAspect="1" noChangeArrowheads="1"/>
                    </pic:cNvPicPr>
                  </pic:nvPicPr>
                  <pic:blipFill>
                    <a:blip r:embed="rId7"/>
                    <a:stretch>
                      <a:fillRect/>
                    </a:stretch>
                  </pic:blipFill>
                  <pic:spPr bwMode="auto">
                    <a:xfrm>
                      <a:off x="0" y="0"/>
                      <a:ext cx="3825240" cy="7144385"/>
                    </a:xfrm>
                    <a:prstGeom prst="rect">
                      <a:avLst/>
                    </a:prstGeom>
                  </pic:spPr>
                </pic:pic>
              </a:graphicData>
            </a:graphic>
          </wp:inline>
        </w:drawing>
      </w:r>
    </w:p>
    <w:p w14:paraId="43788F89" w14:textId="77777777" w:rsidR="001F78A2" w:rsidRDefault="001F78A2" w:rsidP="001F78A2">
      <w:pPr>
        <w:spacing w:after="60" w:line="360" w:lineRule="auto"/>
        <w:ind w:left="540" w:hanging="540"/>
        <w:rPr>
          <w:rFonts w:ascii="Arial" w:eastAsia="Arial" w:hAnsi="Arial" w:cs="Arial"/>
          <w:b/>
        </w:rPr>
      </w:pPr>
    </w:p>
    <w:p w14:paraId="03274374" w14:textId="77777777" w:rsidR="001F78A2" w:rsidRPr="007E1EF1" w:rsidRDefault="001F78A2" w:rsidP="001F78A2">
      <w:pPr>
        <w:spacing w:after="60" w:line="360" w:lineRule="auto"/>
        <w:rPr>
          <w:rFonts w:ascii="Arial" w:eastAsia="Arial" w:hAnsi="Arial" w:cs="Arial"/>
          <w:color w:val="000000"/>
        </w:rPr>
      </w:pPr>
      <w:r>
        <w:rPr>
          <w:rFonts w:ascii="Arial" w:eastAsia="Arial" w:hAnsi="Arial" w:cs="Arial"/>
          <w:b/>
        </w:rPr>
        <w:t>Supplementary Fig. 4: Peripheral blood leukocytes (PBL) vs. CSF-derived single cell data at matched time points.</w:t>
      </w:r>
      <w:r>
        <w:rPr>
          <w:rFonts w:ascii="Arial" w:eastAsia="Arial" w:hAnsi="Arial" w:cs="Arial"/>
        </w:rPr>
        <w:t xml:space="preserve"> </w:t>
      </w:r>
      <w:proofErr w:type="spellStart"/>
      <w:r w:rsidRPr="00C721E7">
        <w:rPr>
          <w:rFonts w:ascii="Arial" w:eastAsia="Arial" w:hAnsi="Arial" w:cs="Arial"/>
        </w:rPr>
        <w:t>a,b,c</w:t>
      </w:r>
      <w:proofErr w:type="spellEnd"/>
      <w:r w:rsidRPr="00FA3B2D">
        <w:rPr>
          <w:rFonts w:ascii="Arial" w:eastAsia="Arial" w:hAnsi="Arial" w:cs="Arial"/>
        </w:rPr>
        <w:t>)</w:t>
      </w:r>
      <w:r w:rsidRPr="00C721E7">
        <w:rPr>
          <w:rFonts w:ascii="Arial" w:eastAsia="Arial" w:hAnsi="Arial" w:cs="Arial"/>
        </w:rPr>
        <w:t xml:space="preserve"> </w:t>
      </w:r>
      <w:r w:rsidRPr="00FA3B2D">
        <w:rPr>
          <w:rFonts w:ascii="Arial" w:eastAsia="Arial" w:hAnsi="Arial" w:cs="Arial"/>
        </w:rPr>
        <w:t>UMAP of single-cell transcriptomes across all matched samples between CSF- and PBL-derived data, colored by patient (</w:t>
      </w:r>
      <w:r w:rsidRPr="00C721E7">
        <w:rPr>
          <w:rFonts w:ascii="Arial" w:eastAsia="Arial" w:hAnsi="Arial" w:cs="Arial"/>
        </w:rPr>
        <w:t>a</w:t>
      </w:r>
      <w:r w:rsidRPr="00FA3B2D">
        <w:rPr>
          <w:rFonts w:ascii="Arial" w:eastAsia="Arial" w:hAnsi="Arial" w:cs="Arial"/>
        </w:rPr>
        <w:t>), location (</w:t>
      </w:r>
      <w:r w:rsidRPr="00C721E7">
        <w:rPr>
          <w:rFonts w:ascii="Arial" w:eastAsia="Arial" w:hAnsi="Arial" w:cs="Arial"/>
        </w:rPr>
        <w:t>b</w:t>
      </w:r>
      <w:r w:rsidRPr="00FA3B2D">
        <w:rPr>
          <w:rFonts w:ascii="Arial" w:eastAsia="Arial" w:hAnsi="Arial" w:cs="Arial"/>
        </w:rPr>
        <w:t>) and cell type (</w:t>
      </w:r>
      <w:r w:rsidRPr="00C721E7">
        <w:rPr>
          <w:rFonts w:ascii="Arial" w:eastAsia="Arial" w:hAnsi="Arial" w:cs="Arial"/>
        </w:rPr>
        <w:t>c</w:t>
      </w:r>
      <w:r w:rsidRPr="00FA3B2D">
        <w:rPr>
          <w:rFonts w:ascii="Arial" w:eastAsia="Arial" w:hAnsi="Arial" w:cs="Arial"/>
        </w:rPr>
        <w:t xml:space="preserve">). </w:t>
      </w:r>
      <w:r w:rsidRPr="00C721E7">
        <w:rPr>
          <w:rFonts w:ascii="Arial" w:eastAsia="Arial" w:hAnsi="Arial" w:cs="Arial"/>
        </w:rPr>
        <w:t>d-e</w:t>
      </w:r>
      <w:r w:rsidRPr="00FA3B2D">
        <w:rPr>
          <w:rFonts w:ascii="Arial" w:eastAsia="Arial" w:hAnsi="Arial" w:cs="Arial"/>
        </w:rPr>
        <w:t xml:space="preserve">) </w:t>
      </w:r>
      <w:r w:rsidRPr="00FA3B2D">
        <w:rPr>
          <w:rFonts w:ascii="Arial" w:eastAsia="Arial" w:hAnsi="Arial" w:cs="Arial"/>
        </w:rPr>
        <w:lastRenderedPageBreak/>
        <w:t>Violin plots of IFN-</w:t>
      </w:r>
      <w:r w:rsidRPr="00FA3B2D">
        <w:rPr>
          <w:rFonts w:ascii="Arial" w:eastAsia="Arial" w:hAnsi="Arial" w:cs="Arial"/>
          <w:lang w:val="el-GR"/>
        </w:rPr>
        <w:t>γ</w:t>
      </w:r>
      <w:r w:rsidRPr="007E1EF1">
        <w:rPr>
          <w:rFonts w:ascii="Arial" w:eastAsia="Arial" w:hAnsi="Arial" w:cs="Arial"/>
        </w:rPr>
        <w:t xml:space="preserve"> signaling </w:t>
      </w:r>
      <w:r w:rsidRPr="00C721E7">
        <w:rPr>
          <w:rFonts w:ascii="Arial" w:eastAsia="Arial" w:hAnsi="Arial" w:cs="Arial"/>
        </w:rPr>
        <w:t>and antigen presentation in lymphoid cells. f-g</w:t>
      </w:r>
      <w:r w:rsidRPr="00FA3B2D">
        <w:rPr>
          <w:rFonts w:ascii="Arial" w:eastAsia="Arial" w:hAnsi="Arial" w:cs="Arial"/>
        </w:rPr>
        <w:t>) Violin plots of IFN-</w:t>
      </w:r>
      <w:r w:rsidRPr="007E1EF1">
        <w:rPr>
          <w:rFonts w:ascii="Arial" w:eastAsia="Arial" w:hAnsi="Arial" w:cs="Arial"/>
          <w:lang w:val="el-GR"/>
        </w:rPr>
        <w:t>γ</w:t>
      </w:r>
      <w:r w:rsidRPr="00C721E7">
        <w:rPr>
          <w:rFonts w:ascii="Arial" w:eastAsia="Arial" w:hAnsi="Arial" w:cs="Arial"/>
        </w:rPr>
        <w:t xml:space="preserve"> signaling and antigen presentation in myeloid cells. </w:t>
      </w:r>
      <w:r w:rsidRPr="00C721E7">
        <w:rPr>
          <w:rFonts w:ascii="Arial" w:eastAsia="Arial" w:hAnsi="Arial" w:cs="Arial"/>
          <w:color w:val="000000"/>
        </w:rPr>
        <w:t>h-</w:t>
      </w:r>
      <w:proofErr w:type="spellStart"/>
      <w:r w:rsidRPr="00C721E7">
        <w:rPr>
          <w:rFonts w:ascii="Arial" w:eastAsia="Arial" w:hAnsi="Arial" w:cs="Arial"/>
          <w:color w:val="000000"/>
        </w:rPr>
        <w:t>i</w:t>
      </w:r>
      <w:proofErr w:type="spellEnd"/>
      <w:r w:rsidRPr="00FA3B2D">
        <w:rPr>
          <w:rFonts w:ascii="Arial" w:eastAsia="Arial" w:hAnsi="Arial" w:cs="Arial"/>
          <w:color w:val="000000"/>
        </w:rPr>
        <w:t xml:space="preserve">) </w:t>
      </w:r>
      <w:r w:rsidRPr="007E1EF1">
        <w:rPr>
          <w:rFonts w:ascii="Arial" w:eastAsia="Arial" w:hAnsi="Arial" w:cs="Arial"/>
        </w:rPr>
        <w:t>Violin plots of IFN-</w:t>
      </w:r>
      <w:r w:rsidRPr="00C721E7">
        <w:rPr>
          <w:rFonts w:ascii="Arial" w:eastAsia="Arial" w:hAnsi="Arial" w:cs="Arial"/>
          <w:lang w:val="el-GR"/>
        </w:rPr>
        <w:t>γ</w:t>
      </w:r>
      <w:r w:rsidRPr="00C721E7">
        <w:rPr>
          <w:rFonts w:ascii="Arial" w:eastAsia="Arial" w:hAnsi="Arial" w:cs="Arial"/>
        </w:rPr>
        <w:t xml:space="preserve"> M1 vs M2 Up and M1 vs M2 Down signatures in myeloid cells. </w:t>
      </w:r>
      <w:r w:rsidRPr="00C721E7">
        <w:rPr>
          <w:rFonts w:ascii="Arial" w:eastAsia="Arial" w:hAnsi="Arial" w:cs="Arial"/>
          <w:color w:val="000000"/>
        </w:rPr>
        <w:t xml:space="preserve">P-values and effect sizes of changes between matched CSF and PBL samples, and between subsequent time points in P043, are given in </w:t>
      </w:r>
      <w:r w:rsidRPr="00C721E7">
        <w:rPr>
          <w:rFonts w:ascii="Arial" w:eastAsia="Arial" w:hAnsi="Arial" w:cs="Arial"/>
          <w:bCs/>
          <w:color w:val="000000"/>
        </w:rPr>
        <w:t xml:space="preserve">Supplementary </w:t>
      </w:r>
      <w:r>
        <w:rPr>
          <w:rFonts w:ascii="Arial" w:eastAsia="Arial" w:hAnsi="Arial" w:cs="Arial"/>
          <w:bCs/>
          <w:color w:val="000000"/>
        </w:rPr>
        <w:t>Data</w:t>
      </w:r>
      <w:r w:rsidRPr="00C721E7">
        <w:rPr>
          <w:rFonts w:ascii="Arial" w:eastAsia="Arial" w:hAnsi="Arial" w:cs="Arial"/>
          <w:bCs/>
          <w:color w:val="000000"/>
        </w:rPr>
        <w:t xml:space="preserve"> 6. </w:t>
      </w:r>
      <w:r w:rsidRPr="00FA3B2D">
        <w:rPr>
          <w:rFonts w:ascii="Arial" w:eastAsia="Arial" w:hAnsi="Arial" w:cs="Arial"/>
          <w:color w:val="000000"/>
        </w:rPr>
        <w:t>Mean values in violins indicated by blue dots.</w:t>
      </w:r>
    </w:p>
    <w:p w14:paraId="145373F6" w14:textId="77777777" w:rsidR="001F78A2" w:rsidRDefault="001F78A2" w:rsidP="001F78A2">
      <w:pPr>
        <w:spacing w:after="0" w:line="240" w:lineRule="auto"/>
        <w:rPr>
          <w:rFonts w:ascii="Arial" w:eastAsia="Arial" w:hAnsi="Arial" w:cs="Arial"/>
          <w:color w:val="000000"/>
        </w:rPr>
      </w:pPr>
      <w:r>
        <w:br w:type="page"/>
      </w:r>
    </w:p>
    <w:p w14:paraId="60946E66" w14:textId="77777777" w:rsidR="001F78A2" w:rsidRDefault="001F78A2" w:rsidP="001F78A2">
      <w:pPr>
        <w:spacing w:after="60" w:line="360" w:lineRule="auto"/>
        <w:rPr>
          <w:rFonts w:ascii="Arial" w:eastAsia="Arial" w:hAnsi="Arial" w:cs="Arial"/>
          <w:b/>
        </w:rPr>
      </w:pPr>
    </w:p>
    <w:p w14:paraId="395C1B38" w14:textId="77777777" w:rsidR="001F78A2" w:rsidRDefault="001F78A2" w:rsidP="001F78A2">
      <w:pPr>
        <w:spacing w:after="0" w:line="240" w:lineRule="auto"/>
        <w:rPr>
          <w:rFonts w:ascii="Arial" w:hAnsi="Arial" w:cs="Arial"/>
        </w:rPr>
      </w:pPr>
      <w:r>
        <w:rPr>
          <w:noProof/>
        </w:rPr>
        <w:drawing>
          <wp:anchor distT="0" distB="0" distL="0" distR="0" simplePos="0" relativeHeight="251659264" behindDoc="0" locked="0" layoutInCell="1" allowOverlap="1" wp14:anchorId="69C8C128" wp14:editId="55A6FD16">
            <wp:simplePos x="0" y="0"/>
            <wp:positionH relativeFrom="column">
              <wp:align>center</wp:align>
            </wp:positionH>
            <wp:positionV relativeFrom="paragraph">
              <wp:posOffset>635</wp:posOffset>
            </wp:positionV>
            <wp:extent cx="5943600" cy="6209665"/>
            <wp:effectExtent l="0" t="0" r="0" b="0"/>
            <wp:wrapSquare wrapText="largest"/>
            <wp:docPr id="8"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
                    <pic:cNvPicPr>
                      <a:picLocks noChangeAspect="1" noChangeArrowheads="1"/>
                    </pic:cNvPicPr>
                  </pic:nvPicPr>
                  <pic:blipFill>
                    <a:blip r:embed="rId8"/>
                    <a:stretch>
                      <a:fillRect/>
                    </a:stretch>
                  </pic:blipFill>
                  <pic:spPr bwMode="auto">
                    <a:xfrm>
                      <a:off x="0" y="0"/>
                      <a:ext cx="5943600" cy="6209665"/>
                    </a:xfrm>
                    <a:prstGeom prst="rect">
                      <a:avLst/>
                    </a:prstGeom>
                  </pic:spPr>
                </pic:pic>
              </a:graphicData>
            </a:graphic>
          </wp:anchor>
        </w:drawing>
      </w:r>
    </w:p>
    <w:p w14:paraId="1D8CF6DB" w14:textId="77777777" w:rsidR="001F78A2" w:rsidRDefault="001F78A2" w:rsidP="001F78A2">
      <w:pPr>
        <w:spacing w:after="0" w:line="240" w:lineRule="auto"/>
        <w:rPr>
          <w:rFonts w:ascii="Arial" w:hAnsi="Arial" w:cs="Arial"/>
        </w:rPr>
      </w:pPr>
    </w:p>
    <w:p w14:paraId="43E6FC49" w14:textId="5042055E" w:rsidR="001F78A2" w:rsidRPr="00C721E7" w:rsidRDefault="001F78A2" w:rsidP="001F78A2">
      <w:pPr>
        <w:suppressLineNumbers/>
        <w:spacing w:after="0" w:line="360" w:lineRule="auto"/>
        <w:rPr>
          <w:rFonts w:ascii="Arial" w:hAnsi="Arial" w:cs="Arial"/>
        </w:rPr>
      </w:pPr>
      <w:r>
        <w:rPr>
          <w:rFonts w:ascii="Arial" w:hAnsi="Arial" w:cs="Arial"/>
          <w:b/>
        </w:rPr>
        <w:t>Supplementary Fig. 5.</w:t>
      </w:r>
      <w:r>
        <w:rPr>
          <w:rFonts w:ascii="Arial" w:hAnsi="Arial" w:cs="Arial"/>
        </w:rPr>
        <w:t xml:space="preserve"> </w:t>
      </w:r>
      <w:r>
        <w:rPr>
          <w:rFonts w:ascii="Arial" w:hAnsi="Arial" w:cs="Arial"/>
          <w:b/>
        </w:rPr>
        <w:t>Analyses of tumor and immune phenotypes restricted to longitudinally matched patient samples.</w:t>
      </w:r>
      <w:r>
        <w:rPr>
          <w:rFonts w:ascii="Arial" w:hAnsi="Arial" w:cs="Arial"/>
        </w:rPr>
        <w:t xml:space="preserve"> </w:t>
      </w:r>
      <w:r w:rsidRPr="00C721E7">
        <w:rPr>
          <w:rFonts w:ascii="Arial" w:hAnsi="Arial" w:cs="Arial"/>
        </w:rPr>
        <w:t>a)</w:t>
      </w:r>
      <w:r w:rsidRPr="00FA3B2D">
        <w:rPr>
          <w:rFonts w:ascii="Arial" w:hAnsi="Arial" w:cs="Arial"/>
        </w:rPr>
        <w:t xml:space="preserve"> Comparison of pre-treatment, post-treatment cohort 1, and post-treatment cohort 2 CD8+ T cell proportion and cycling CD8+ T cell proportion restricted to longitudinally matched patient samples. </w:t>
      </w:r>
      <w:r w:rsidRPr="00C721E7">
        <w:rPr>
          <w:rFonts w:ascii="Arial" w:hAnsi="Arial" w:cs="Arial"/>
        </w:rPr>
        <w:t>b)</w:t>
      </w:r>
      <w:r w:rsidRPr="00FA3B2D">
        <w:rPr>
          <w:rFonts w:ascii="Arial" w:hAnsi="Arial" w:cs="Arial"/>
        </w:rPr>
        <w:t xml:space="preserve"> Longitudinal a</w:t>
      </w:r>
      <w:r w:rsidRPr="007E1EF1">
        <w:rPr>
          <w:rFonts w:ascii="Arial" w:hAnsi="Arial" w:cs="Arial"/>
        </w:rPr>
        <w:t>nalysis of tumor and immune phenotypes restricted to longitudinally matched patient samples.</w:t>
      </w:r>
      <w:r>
        <w:rPr>
          <w:rFonts w:ascii="Arial" w:hAnsi="Arial" w:cs="Arial"/>
        </w:rPr>
        <w:t xml:space="preserve"> </w:t>
      </w:r>
      <w:r>
        <w:rPr>
          <w:rFonts w:ascii="Arial" w:eastAsia="Arial" w:hAnsi="Arial" w:cs="Arial"/>
          <w:color w:val="000000"/>
        </w:rPr>
        <w:t xml:space="preserve">Indicated p-values are </w:t>
      </w:r>
      <w:r w:rsidR="008E135D">
        <w:rPr>
          <w:rFonts w:ascii="Arial" w:eastAsia="Arial" w:hAnsi="Arial" w:cs="Arial"/>
          <w:color w:val="000000"/>
        </w:rPr>
        <w:t xml:space="preserve">calculated via a dependent sample t-test. </w:t>
      </w:r>
    </w:p>
    <w:p w14:paraId="0F69565D" w14:textId="77777777" w:rsidR="001F78A2" w:rsidRDefault="001F78A2" w:rsidP="001F78A2">
      <w:pPr>
        <w:spacing w:after="60" w:line="360" w:lineRule="auto"/>
        <w:rPr>
          <w:rFonts w:ascii="Arial" w:hAnsi="Arial" w:cs="Arial"/>
        </w:rPr>
      </w:pPr>
    </w:p>
    <w:p w14:paraId="5722D918" w14:textId="77777777" w:rsidR="001F78A2" w:rsidRDefault="001F78A2" w:rsidP="001F78A2">
      <w:pPr>
        <w:spacing w:after="60" w:line="360" w:lineRule="auto"/>
        <w:rPr>
          <w:rFonts w:ascii="Arial" w:eastAsia="Arial" w:hAnsi="Arial" w:cs="Arial"/>
          <w:b/>
        </w:rPr>
      </w:pPr>
      <w:r>
        <w:rPr>
          <w:noProof/>
        </w:rPr>
        <w:drawing>
          <wp:inline distT="0" distB="0" distL="0" distR="0" wp14:anchorId="024821DE" wp14:editId="2447F234">
            <wp:extent cx="5943600" cy="1981200"/>
            <wp:effectExtent l="0" t="0" r="0" b="0"/>
            <wp:docPr id="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6"/>
                    <pic:cNvPicPr>
                      <a:picLocks noChangeAspect="1" noChangeArrowheads="1"/>
                    </pic:cNvPicPr>
                  </pic:nvPicPr>
                  <pic:blipFill>
                    <a:blip r:embed="rId9"/>
                    <a:stretch>
                      <a:fillRect/>
                    </a:stretch>
                  </pic:blipFill>
                  <pic:spPr bwMode="auto">
                    <a:xfrm>
                      <a:off x="0" y="0"/>
                      <a:ext cx="5943600" cy="1981200"/>
                    </a:xfrm>
                    <a:prstGeom prst="rect">
                      <a:avLst/>
                    </a:prstGeom>
                  </pic:spPr>
                </pic:pic>
              </a:graphicData>
            </a:graphic>
          </wp:inline>
        </w:drawing>
      </w:r>
    </w:p>
    <w:p w14:paraId="6EEF471B" w14:textId="77777777" w:rsidR="001F78A2" w:rsidRDefault="001F78A2" w:rsidP="001F78A2">
      <w:pPr>
        <w:spacing w:after="60" w:line="360" w:lineRule="auto"/>
        <w:rPr>
          <w:rFonts w:ascii="Arial" w:hAnsi="Arial" w:cs="Arial"/>
        </w:rPr>
      </w:pPr>
      <w:r>
        <w:rPr>
          <w:rFonts w:ascii="Arial" w:eastAsia="Arial" w:hAnsi="Arial" w:cs="Arial"/>
          <w:b/>
        </w:rPr>
        <w:t>Supplementary Fig. 6:</w:t>
      </w:r>
      <w:r>
        <w:rPr>
          <w:rFonts w:ascii="Arial" w:eastAsia="Arial" w:hAnsi="Arial" w:cs="Arial"/>
        </w:rPr>
        <w:t xml:space="preserve"> </w:t>
      </w:r>
      <w:r>
        <w:rPr>
          <w:rFonts w:ascii="Arial" w:eastAsia="Arial" w:hAnsi="Arial" w:cs="Arial"/>
          <w:b/>
        </w:rPr>
        <w:t>Unsupervised analysis of CD8+ T cells.</w:t>
      </w:r>
      <w:r>
        <w:rPr>
          <w:rFonts w:ascii="Arial" w:eastAsia="Arial" w:hAnsi="Arial" w:cs="Arial"/>
        </w:rPr>
        <w:t xml:space="preserve"> </w:t>
      </w:r>
      <w:proofErr w:type="spellStart"/>
      <w:r w:rsidRPr="00C721E7">
        <w:rPr>
          <w:rFonts w:ascii="Arial" w:eastAsia="Arial" w:hAnsi="Arial" w:cs="Arial"/>
        </w:rPr>
        <w:t>a,b</w:t>
      </w:r>
      <w:proofErr w:type="spellEnd"/>
      <w:r w:rsidRPr="00FA3B2D">
        <w:rPr>
          <w:rFonts w:ascii="Arial" w:eastAsia="Arial" w:hAnsi="Arial" w:cs="Arial"/>
        </w:rPr>
        <w:t>) Violin plots of CD8+ T cell coordinates of principal component 1 and 2, s</w:t>
      </w:r>
      <w:r w:rsidRPr="00C721E7">
        <w:rPr>
          <w:rFonts w:ascii="Arial" w:eastAsia="Arial" w:hAnsi="Arial" w:cs="Arial"/>
        </w:rPr>
        <w:t>eparated by pre-treatment, early (&lt;30 days since first administration) and late (&gt;30 days since first administration) treatment. c</w:t>
      </w:r>
      <w:r w:rsidRPr="00FA3B2D">
        <w:rPr>
          <w:rFonts w:ascii="Arial" w:eastAsia="Arial" w:hAnsi="Arial" w:cs="Arial"/>
        </w:rPr>
        <w:t xml:space="preserve">) The top 15 positive and negative loadings for PC1 and PC2 visualized as a </w:t>
      </w:r>
      <w:proofErr w:type="spellStart"/>
      <w:r w:rsidRPr="00FA3B2D">
        <w:rPr>
          <w:rFonts w:ascii="Arial" w:eastAsia="Arial" w:hAnsi="Arial" w:cs="Arial"/>
        </w:rPr>
        <w:t>dotplot</w:t>
      </w:r>
      <w:proofErr w:type="spellEnd"/>
      <w:r w:rsidRPr="00FA3B2D">
        <w:rPr>
          <w:rFonts w:ascii="Arial" w:eastAsia="Arial" w:hAnsi="Arial" w:cs="Arial"/>
        </w:rPr>
        <w:t>.</w:t>
      </w:r>
    </w:p>
    <w:p w14:paraId="6C87CB65" w14:textId="77777777" w:rsidR="001F78A2" w:rsidRDefault="001F78A2" w:rsidP="001F78A2">
      <w:pPr>
        <w:spacing w:after="60" w:line="360" w:lineRule="auto"/>
        <w:ind w:left="540" w:hanging="540"/>
        <w:rPr>
          <w:rFonts w:ascii="Arial" w:hAnsi="Arial" w:cs="Arial"/>
        </w:rPr>
      </w:pPr>
    </w:p>
    <w:p w14:paraId="3092D3CF" w14:textId="77777777" w:rsidR="001F78A2" w:rsidRDefault="001F78A2" w:rsidP="001F78A2">
      <w:pPr>
        <w:spacing w:after="60" w:line="360" w:lineRule="auto"/>
        <w:ind w:left="540" w:hanging="540"/>
        <w:rPr>
          <w:rFonts w:ascii="Arial" w:hAnsi="Arial" w:cs="Arial"/>
        </w:rPr>
      </w:pPr>
      <w:r w:rsidRPr="00864804">
        <w:rPr>
          <w:rFonts w:ascii="Arial" w:hAnsi="Arial" w:cs="Arial"/>
          <w:noProof/>
        </w:rPr>
        <w:drawing>
          <wp:inline distT="0" distB="0" distL="0" distR="0" wp14:anchorId="77238357" wp14:editId="28729845">
            <wp:extent cx="5829300" cy="3301550"/>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Fig6.png"/>
                    <pic:cNvPicPr/>
                  </pic:nvPicPr>
                  <pic:blipFill>
                    <a:blip r:embed="rId10">
                      <a:extLst>
                        <a:ext uri="{28A0092B-C50C-407E-A947-70E740481C1C}">
                          <a14:useLocalDpi xmlns:a14="http://schemas.microsoft.com/office/drawing/2010/main" val="0"/>
                        </a:ext>
                      </a:extLst>
                    </a:blip>
                    <a:stretch>
                      <a:fillRect/>
                    </a:stretch>
                  </pic:blipFill>
                  <pic:spPr>
                    <a:xfrm>
                      <a:off x="0" y="0"/>
                      <a:ext cx="5829937" cy="3301911"/>
                    </a:xfrm>
                    <a:prstGeom prst="rect">
                      <a:avLst/>
                    </a:prstGeom>
                  </pic:spPr>
                </pic:pic>
              </a:graphicData>
            </a:graphic>
          </wp:inline>
        </w:drawing>
      </w:r>
    </w:p>
    <w:p w14:paraId="0BD47841" w14:textId="77777777" w:rsidR="001F78A2" w:rsidRDefault="001F78A2" w:rsidP="001F78A2">
      <w:pPr>
        <w:spacing w:after="120" w:line="360" w:lineRule="auto"/>
        <w:rPr>
          <w:rFonts w:ascii="Arial" w:eastAsia="Arial" w:hAnsi="Arial" w:cs="Arial"/>
          <w:b/>
        </w:rPr>
      </w:pPr>
      <w:r>
        <w:rPr>
          <w:rFonts w:ascii="Arial" w:eastAsia="Arial" w:hAnsi="Arial" w:cs="Arial"/>
          <w:b/>
          <w:color w:val="000000"/>
        </w:rPr>
        <w:t>Supplementary Fig. 7: Acute antigen presentation in CSF following intravenous ICI and relationship to survival</w:t>
      </w:r>
      <w:r>
        <w:rPr>
          <w:rFonts w:ascii="Arial" w:eastAsia="Arial" w:hAnsi="Arial" w:cs="Arial"/>
          <w:color w:val="000000"/>
        </w:rPr>
        <w:t xml:space="preserve">. </w:t>
      </w:r>
      <w:r w:rsidRPr="00FA3B2D">
        <w:rPr>
          <w:rFonts w:ascii="Arial" w:eastAsia="Arial" w:hAnsi="Arial" w:cs="Arial"/>
          <w:color w:val="000000"/>
        </w:rPr>
        <w:t>Mean module score for antigen presentation within samples over time points for lymphoid (</w:t>
      </w:r>
      <w:r w:rsidRPr="00C721E7">
        <w:rPr>
          <w:rFonts w:ascii="Arial" w:eastAsia="Arial" w:hAnsi="Arial" w:cs="Arial"/>
          <w:color w:val="000000"/>
        </w:rPr>
        <w:t>a</w:t>
      </w:r>
      <w:r w:rsidRPr="00FA3B2D">
        <w:rPr>
          <w:rFonts w:ascii="Arial" w:eastAsia="Arial" w:hAnsi="Arial" w:cs="Arial"/>
          <w:color w:val="000000"/>
        </w:rPr>
        <w:t>), myeloid (</w:t>
      </w:r>
      <w:r w:rsidRPr="00C721E7">
        <w:rPr>
          <w:rFonts w:ascii="Arial" w:eastAsia="Arial" w:hAnsi="Arial" w:cs="Arial"/>
          <w:color w:val="000000"/>
        </w:rPr>
        <w:t>b</w:t>
      </w:r>
      <w:r w:rsidRPr="00FA3B2D">
        <w:rPr>
          <w:rFonts w:ascii="Arial" w:eastAsia="Arial" w:hAnsi="Arial" w:cs="Arial"/>
          <w:color w:val="000000"/>
        </w:rPr>
        <w:t>), tumor cells (</w:t>
      </w:r>
      <w:r w:rsidRPr="00C721E7">
        <w:rPr>
          <w:rFonts w:ascii="Arial" w:eastAsia="Arial" w:hAnsi="Arial" w:cs="Arial"/>
          <w:color w:val="000000"/>
        </w:rPr>
        <w:t>c</w:t>
      </w:r>
      <w:r w:rsidRPr="00FA3B2D">
        <w:rPr>
          <w:rFonts w:ascii="Arial" w:eastAsia="Arial" w:hAnsi="Arial" w:cs="Arial"/>
          <w:color w:val="000000"/>
        </w:rPr>
        <w:t>). Samples from a single patient are conn</w:t>
      </w:r>
      <w:r w:rsidRPr="007E1EF1">
        <w:rPr>
          <w:rFonts w:ascii="Arial" w:eastAsia="Arial" w:hAnsi="Arial" w:cs="Arial"/>
          <w:color w:val="000000"/>
        </w:rPr>
        <w:t xml:space="preserve">ected with a dashed line. The size of markers is proportional to the number of relevant cells in a sample. Points at 0 days relative to ICI administration are pre-treatment. </w:t>
      </w:r>
      <w:r w:rsidRPr="00C721E7">
        <w:rPr>
          <w:rFonts w:ascii="Arial" w:eastAsia="Arial" w:hAnsi="Arial" w:cs="Arial"/>
          <w:color w:val="000000"/>
        </w:rPr>
        <w:t>d</w:t>
      </w:r>
      <w:r w:rsidRPr="00FA3B2D">
        <w:rPr>
          <w:rFonts w:ascii="Arial" w:eastAsia="Arial" w:hAnsi="Arial" w:cs="Arial"/>
          <w:color w:val="000000"/>
        </w:rPr>
        <w:t xml:space="preserve">) Violin plots of </w:t>
      </w:r>
      <w:r w:rsidRPr="00FA3B2D">
        <w:rPr>
          <w:rFonts w:ascii="Arial" w:eastAsia="Arial" w:hAnsi="Arial" w:cs="Arial"/>
          <w:color w:val="000000"/>
        </w:rPr>
        <w:lastRenderedPageBreak/>
        <w:t>antigen presentation for tumor cells plotted against survival (</w:t>
      </w:r>
      <w:r w:rsidRPr="00C721E7">
        <w:rPr>
          <w:rFonts w:ascii="Arial" w:eastAsia="Arial" w:hAnsi="Arial" w:cs="Arial"/>
          <w:color w:val="000000"/>
        </w:rPr>
        <w:t>time-on-trial), for samples taken &lt;30 days after initial ICI administration. Means and upper and lower quartiles are labeled in each violin plot</w:t>
      </w:r>
      <w:r>
        <w:rPr>
          <w:rFonts w:ascii="Arial" w:eastAsia="Arial" w:hAnsi="Arial" w:cs="Arial"/>
          <w:color w:val="000000"/>
        </w:rPr>
        <w:t>.</w:t>
      </w:r>
    </w:p>
    <w:p w14:paraId="71161719" w14:textId="77777777" w:rsidR="001F78A2" w:rsidRDefault="001F78A2" w:rsidP="001F78A2">
      <w:pPr>
        <w:spacing w:after="60" w:line="360" w:lineRule="auto"/>
        <w:rPr>
          <w:rFonts w:ascii="Arial" w:eastAsia="Arial" w:hAnsi="Arial" w:cs="Arial"/>
          <w:b/>
        </w:rPr>
      </w:pPr>
    </w:p>
    <w:p w14:paraId="778110D7" w14:textId="77777777" w:rsidR="001F78A2" w:rsidRDefault="001F78A2" w:rsidP="001F78A2">
      <w:pPr>
        <w:spacing w:after="60" w:line="360" w:lineRule="auto"/>
        <w:ind w:left="540" w:hanging="540"/>
        <w:rPr>
          <w:rFonts w:ascii="Arial" w:eastAsia="Arial" w:hAnsi="Arial" w:cs="Arial"/>
          <w:b/>
        </w:rPr>
      </w:pPr>
      <w:r>
        <w:rPr>
          <w:noProof/>
        </w:rPr>
        <w:drawing>
          <wp:inline distT="0" distB="0" distL="0" distR="0" wp14:anchorId="4F4845B0" wp14:editId="22A65ABD">
            <wp:extent cx="5829300" cy="3201035"/>
            <wp:effectExtent l="0" t="0" r="0"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5"/>
                    <pic:cNvPicPr>
                      <a:picLocks noChangeAspect="1" noChangeArrowheads="1"/>
                    </pic:cNvPicPr>
                  </pic:nvPicPr>
                  <pic:blipFill>
                    <a:blip r:embed="rId11"/>
                    <a:srcRect l="50938" r="14156"/>
                    <a:stretch>
                      <a:fillRect/>
                    </a:stretch>
                  </pic:blipFill>
                  <pic:spPr bwMode="auto">
                    <a:xfrm>
                      <a:off x="0" y="0"/>
                      <a:ext cx="5829300" cy="3201035"/>
                    </a:xfrm>
                    <a:prstGeom prst="rect">
                      <a:avLst/>
                    </a:prstGeom>
                  </pic:spPr>
                </pic:pic>
              </a:graphicData>
            </a:graphic>
          </wp:inline>
        </w:drawing>
      </w:r>
      <w:r>
        <w:rPr>
          <w:rFonts w:ascii="Arial" w:hAnsi="Arial" w:cs="Arial"/>
        </w:rPr>
        <w:t xml:space="preserve">   </w:t>
      </w:r>
    </w:p>
    <w:p w14:paraId="2D700490" w14:textId="77777777" w:rsidR="001F78A2" w:rsidRPr="00C721E7" w:rsidRDefault="001F78A2" w:rsidP="001F78A2">
      <w:pPr>
        <w:spacing w:after="60" w:line="360" w:lineRule="auto"/>
        <w:rPr>
          <w:rFonts w:ascii="Arial" w:eastAsia="Arial" w:hAnsi="Arial" w:cs="Arial"/>
          <w:color w:val="000000"/>
        </w:rPr>
      </w:pPr>
      <w:r>
        <w:rPr>
          <w:rFonts w:ascii="Arial" w:eastAsia="Arial" w:hAnsi="Arial" w:cs="Arial"/>
          <w:b/>
          <w:color w:val="000000"/>
        </w:rPr>
        <w:t>Supplementary Fig. 8: Acute inflammatory response in immune cells and survival (time on trial)</w:t>
      </w:r>
      <w:r>
        <w:rPr>
          <w:rFonts w:ascii="Arial" w:eastAsia="Arial" w:hAnsi="Arial" w:cs="Arial"/>
          <w:color w:val="000000"/>
        </w:rPr>
        <w:t xml:space="preserve">. </w:t>
      </w:r>
      <w:r w:rsidRPr="00C721E7">
        <w:rPr>
          <w:rFonts w:ascii="Arial" w:eastAsia="Arial" w:hAnsi="Arial" w:cs="Arial"/>
          <w:color w:val="000000"/>
        </w:rPr>
        <w:t>a-d</w:t>
      </w:r>
      <w:r w:rsidRPr="00FA3B2D">
        <w:rPr>
          <w:rFonts w:ascii="Arial" w:eastAsia="Arial" w:hAnsi="Arial" w:cs="Arial"/>
          <w:color w:val="000000"/>
        </w:rPr>
        <w:t>) Violin plots of IFN-γ (</w:t>
      </w:r>
      <w:proofErr w:type="spellStart"/>
      <w:r w:rsidRPr="00C721E7">
        <w:rPr>
          <w:rFonts w:ascii="Arial" w:eastAsia="Arial" w:hAnsi="Arial" w:cs="Arial"/>
          <w:color w:val="000000"/>
        </w:rPr>
        <w:t>a,b</w:t>
      </w:r>
      <w:proofErr w:type="spellEnd"/>
      <w:r w:rsidRPr="00FA3B2D">
        <w:rPr>
          <w:rFonts w:ascii="Arial" w:eastAsia="Arial" w:hAnsi="Arial" w:cs="Arial"/>
          <w:color w:val="000000"/>
        </w:rPr>
        <w:t>) and antigen presentation (</w:t>
      </w:r>
      <w:proofErr w:type="spellStart"/>
      <w:r w:rsidRPr="00C721E7">
        <w:rPr>
          <w:rFonts w:ascii="Arial" w:eastAsia="Arial" w:hAnsi="Arial" w:cs="Arial"/>
          <w:color w:val="000000"/>
        </w:rPr>
        <w:t>c,d</w:t>
      </w:r>
      <w:proofErr w:type="spellEnd"/>
      <w:r w:rsidRPr="00FA3B2D">
        <w:rPr>
          <w:rFonts w:ascii="Arial" w:eastAsia="Arial" w:hAnsi="Arial" w:cs="Arial"/>
          <w:color w:val="000000"/>
        </w:rPr>
        <w:t>) for adaptive (</w:t>
      </w:r>
      <w:proofErr w:type="spellStart"/>
      <w:r w:rsidRPr="00C721E7">
        <w:rPr>
          <w:rFonts w:ascii="Arial" w:eastAsia="Arial" w:hAnsi="Arial" w:cs="Arial"/>
          <w:color w:val="000000"/>
        </w:rPr>
        <w:t>a,c</w:t>
      </w:r>
      <w:proofErr w:type="spellEnd"/>
      <w:r w:rsidRPr="00FA3B2D">
        <w:rPr>
          <w:rFonts w:ascii="Arial" w:eastAsia="Arial" w:hAnsi="Arial" w:cs="Arial"/>
          <w:color w:val="000000"/>
        </w:rPr>
        <w:t>) and innate (</w:t>
      </w:r>
      <w:proofErr w:type="spellStart"/>
      <w:r w:rsidRPr="00C721E7">
        <w:rPr>
          <w:rFonts w:ascii="Arial" w:eastAsia="Arial" w:hAnsi="Arial" w:cs="Arial"/>
          <w:color w:val="000000"/>
        </w:rPr>
        <w:t>b,d</w:t>
      </w:r>
      <w:proofErr w:type="spellEnd"/>
      <w:r w:rsidRPr="00FA3B2D">
        <w:rPr>
          <w:rFonts w:ascii="Arial" w:eastAsia="Arial" w:hAnsi="Arial" w:cs="Arial"/>
          <w:color w:val="000000"/>
        </w:rPr>
        <w:t>) immune cells plotted against survival (time-on-trial), for samples taken &lt;30 days after initial ICI administration. Means and upper and lower quartiles are lab</w:t>
      </w:r>
      <w:r w:rsidRPr="00C721E7">
        <w:rPr>
          <w:rFonts w:ascii="Arial" w:eastAsia="Arial" w:hAnsi="Arial" w:cs="Arial"/>
          <w:color w:val="000000"/>
        </w:rPr>
        <w:t>eled in each violin plot.</w:t>
      </w:r>
    </w:p>
    <w:p w14:paraId="3D6BD6EA" w14:textId="77777777" w:rsidR="001F78A2" w:rsidRDefault="001F78A2" w:rsidP="001F78A2">
      <w:pPr>
        <w:spacing w:after="60" w:line="360" w:lineRule="auto"/>
        <w:rPr>
          <w:rFonts w:ascii="Arial" w:eastAsia="Arial" w:hAnsi="Arial" w:cs="Arial"/>
          <w:color w:val="000000"/>
        </w:rPr>
      </w:pPr>
    </w:p>
    <w:p w14:paraId="6D20973C" w14:textId="77777777" w:rsidR="001F78A2" w:rsidRDefault="001F78A2" w:rsidP="001F78A2">
      <w:pPr>
        <w:spacing w:after="0" w:line="240" w:lineRule="auto"/>
        <w:rPr>
          <w:rFonts w:ascii="Arial" w:hAnsi="Arial" w:cs="Arial"/>
        </w:rPr>
      </w:pPr>
      <w:r>
        <w:br w:type="page"/>
      </w:r>
    </w:p>
    <w:p w14:paraId="1656DCE6" w14:textId="77777777" w:rsidR="001F78A2" w:rsidRDefault="001F78A2" w:rsidP="001F78A2">
      <w:pPr>
        <w:spacing w:after="0" w:line="240" w:lineRule="auto"/>
        <w:rPr>
          <w:rFonts w:ascii="Arial" w:hAnsi="Arial" w:cs="Arial"/>
        </w:rPr>
      </w:pPr>
    </w:p>
    <w:p w14:paraId="1D652006" w14:textId="77777777" w:rsidR="001F78A2" w:rsidRDefault="001F78A2" w:rsidP="001F78A2">
      <w:pPr>
        <w:spacing w:after="60" w:line="360" w:lineRule="auto"/>
        <w:rPr>
          <w:rFonts w:ascii="Arial" w:hAnsi="Arial" w:cs="Arial"/>
        </w:rPr>
      </w:pPr>
      <w:r>
        <w:rPr>
          <w:noProof/>
        </w:rPr>
        <w:drawing>
          <wp:inline distT="0" distB="0" distL="0" distR="0" wp14:anchorId="62F3CA6B" wp14:editId="3DA948D5">
            <wp:extent cx="5715000" cy="4646930"/>
            <wp:effectExtent l="0" t="0" r="0" b="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
                    <pic:cNvPicPr>
                      <a:picLocks noChangeAspect="1" noChangeArrowheads="1"/>
                    </pic:cNvPicPr>
                  </pic:nvPicPr>
                  <pic:blipFill>
                    <a:blip r:embed="rId12"/>
                    <a:stretch>
                      <a:fillRect/>
                    </a:stretch>
                  </pic:blipFill>
                  <pic:spPr bwMode="auto">
                    <a:xfrm>
                      <a:off x="0" y="0"/>
                      <a:ext cx="5715000" cy="4646930"/>
                    </a:xfrm>
                    <a:prstGeom prst="rect">
                      <a:avLst/>
                    </a:prstGeom>
                  </pic:spPr>
                </pic:pic>
              </a:graphicData>
            </a:graphic>
          </wp:inline>
        </w:drawing>
      </w:r>
    </w:p>
    <w:p w14:paraId="4B8A500F" w14:textId="77777777" w:rsidR="001F78A2" w:rsidRDefault="001F78A2" w:rsidP="001F78A2">
      <w:pPr>
        <w:suppressLineNumbers/>
        <w:spacing w:after="0" w:line="360" w:lineRule="auto"/>
        <w:rPr>
          <w:rFonts w:ascii="Arial" w:hAnsi="Arial" w:cs="Arial"/>
        </w:rPr>
      </w:pPr>
      <w:r>
        <w:rPr>
          <w:rFonts w:ascii="Arial" w:hAnsi="Arial" w:cs="Arial"/>
          <w:b/>
        </w:rPr>
        <w:t>Supplementary Fig. 9.</w:t>
      </w:r>
      <w:r>
        <w:rPr>
          <w:rFonts w:ascii="Arial" w:hAnsi="Arial" w:cs="Arial"/>
        </w:rPr>
        <w:t xml:space="preserve"> </w:t>
      </w:r>
      <w:r>
        <w:rPr>
          <w:rFonts w:ascii="Arial" w:hAnsi="Arial" w:cs="Arial"/>
          <w:b/>
        </w:rPr>
        <w:t>UMAPs of tumor cell windowed mean expression by patient.</w:t>
      </w:r>
      <w:r>
        <w:rPr>
          <w:rFonts w:ascii="Arial" w:hAnsi="Arial" w:cs="Arial"/>
        </w:rPr>
        <w:t xml:space="preserve"> UMAPs calculated over </w:t>
      </w:r>
      <w:proofErr w:type="spellStart"/>
      <w:r>
        <w:rPr>
          <w:rFonts w:ascii="Arial" w:hAnsi="Arial" w:cs="Arial"/>
        </w:rPr>
        <w:t>rWME</w:t>
      </w:r>
      <w:proofErr w:type="spellEnd"/>
      <w:r>
        <w:rPr>
          <w:rFonts w:ascii="Arial" w:hAnsi="Arial" w:cs="Arial"/>
        </w:rPr>
        <w:t xml:space="preserve"> for 15 patients with non-zero numbers of tumor cells.</w:t>
      </w:r>
    </w:p>
    <w:p w14:paraId="142E2D0A" w14:textId="77777777" w:rsidR="001F78A2" w:rsidRDefault="001F78A2" w:rsidP="001F78A2">
      <w:pPr>
        <w:spacing w:after="60" w:line="360" w:lineRule="auto"/>
        <w:rPr>
          <w:rFonts w:ascii="Arial" w:eastAsia="Arial" w:hAnsi="Arial" w:cs="Arial"/>
          <w:b/>
        </w:rPr>
      </w:pPr>
    </w:p>
    <w:p w14:paraId="4A828717" w14:textId="77777777" w:rsidR="001F78A2" w:rsidRDefault="001F78A2" w:rsidP="001F78A2">
      <w:pPr>
        <w:spacing w:after="60" w:line="360" w:lineRule="auto"/>
        <w:ind w:left="540" w:hanging="540"/>
        <w:rPr>
          <w:rFonts w:ascii="Arial" w:eastAsia="Arial" w:hAnsi="Arial" w:cs="Arial"/>
        </w:rPr>
      </w:pPr>
      <w:r>
        <w:rPr>
          <w:noProof/>
        </w:rPr>
        <w:lastRenderedPageBreak/>
        <w:drawing>
          <wp:inline distT="0" distB="0" distL="0" distR="0" wp14:anchorId="225BE4AE" wp14:editId="3A609DC2">
            <wp:extent cx="5943600" cy="6063615"/>
            <wp:effectExtent l="0" t="0" r="0" b="0"/>
            <wp:docPr id="1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9.png"/>
                    <pic:cNvPicPr>
                      <a:picLocks noChangeAspect="1" noChangeArrowheads="1"/>
                    </pic:cNvPicPr>
                  </pic:nvPicPr>
                  <pic:blipFill>
                    <a:blip r:embed="rId13"/>
                    <a:stretch>
                      <a:fillRect/>
                    </a:stretch>
                  </pic:blipFill>
                  <pic:spPr bwMode="auto">
                    <a:xfrm>
                      <a:off x="0" y="0"/>
                      <a:ext cx="5943600" cy="6063615"/>
                    </a:xfrm>
                    <a:prstGeom prst="rect">
                      <a:avLst/>
                    </a:prstGeom>
                  </pic:spPr>
                </pic:pic>
              </a:graphicData>
            </a:graphic>
          </wp:inline>
        </w:drawing>
      </w:r>
    </w:p>
    <w:p w14:paraId="0C854883" w14:textId="77777777" w:rsidR="001F78A2" w:rsidRDefault="001F78A2" w:rsidP="001F78A2">
      <w:pPr>
        <w:spacing w:after="60" w:line="360" w:lineRule="auto"/>
        <w:rPr>
          <w:rFonts w:ascii="Arial" w:eastAsia="Arial" w:hAnsi="Arial" w:cs="Arial"/>
          <w:b/>
        </w:rPr>
      </w:pPr>
      <w:r>
        <w:rPr>
          <w:rFonts w:ascii="Arial" w:eastAsia="Arial" w:hAnsi="Arial" w:cs="Arial"/>
          <w:b/>
        </w:rPr>
        <w:t xml:space="preserve">Supplementary Fig. 10: </w:t>
      </w:r>
      <w:r>
        <w:rPr>
          <w:rFonts w:ascii="Arial" w:hAnsi="Arial" w:cs="Arial"/>
          <w:b/>
          <w:bCs/>
        </w:rPr>
        <w:t>Difference in windowed mean expression (</w:t>
      </w:r>
      <w:proofErr w:type="spellStart"/>
      <w:r>
        <w:rPr>
          <w:rFonts w:ascii="Arial" w:hAnsi="Arial" w:cs="Arial"/>
          <w:b/>
          <w:bCs/>
        </w:rPr>
        <w:t>scRNA</w:t>
      </w:r>
      <w:proofErr w:type="spellEnd"/>
      <w:r>
        <w:rPr>
          <w:rFonts w:ascii="Arial" w:hAnsi="Arial" w:cs="Arial"/>
          <w:b/>
          <w:bCs/>
        </w:rPr>
        <w:t xml:space="preserve">-Seq) vs. difference in </w:t>
      </w:r>
      <w:proofErr w:type="spellStart"/>
      <w:r>
        <w:rPr>
          <w:rFonts w:ascii="Arial" w:hAnsi="Arial" w:cs="Arial"/>
          <w:b/>
          <w:bCs/>
        </w:rPr>
        <w:t>tCR</w:t>
      </w:r>
      <w:proofErr w:type="spellEnd"/>
      <w:r>
        <w:rPr>
          <w:rFonts w:ascii="Arial" w:hAnsi="Arial" w:cs="Arial"/>
          <w:b/>
          <w:bCs/>
        </w:rPr>
        <w:t xml:space="preserve"> (WES) at all time point combinations in P043.</w:t>
      </w:r>
      <w:r>
        <w:rPr>
          <w:rFonts w:ascii="Arial" w:hAnsi="Arial" w:cs="Arial"/>
        </w:rPr>
        <w:t xml:space="preserve"> </w:t>
      </w:r>
      <w:proofErr w:type="spellStart"/>
      <w:r w:rsidRPr="00C721E7">
        <w:rPr>
          <w:rStyle w:val="tl8wme"/>
          <w:rFonts w:ascii="Arial" w:hAnsi="Arial" w:cs="Arial"/>
          <w:bCs/>
        </w:rPr>
        <w:t>a,b</w:t>
      </w:r>
      <w:proofErr w:type="spellEnd"/>
      <w:r w:rsidRPr="00C721E7">
        <w:rPr>
          <w:rStyle w:val="tl8wme"/>
          <w:rFonts w:ascii="Arial" w:hAnsi="Arial" w:cs="Arial"/>
          <w:bCs/>
        </w:rPr>
        <w:t xml:space="preserve">) </w:t>
      </w:r>
      <w:r w:rsidRPr="00FA3B2D">
        <w:rPr>
          <w:rStyle w:val="tl8wme"/>
          <w:rFonts w:ascii="Arial" w:hAnsi="Arial" w:cs="Arial"/>
        </w:rPr>
        <w:t xml:space="preserve">Comparison of difference of expression between subclones (identified by agglomerative clustering over </w:t>
      </w:r>
      <w:proofErr w:type="spellStart"/>
      <w:r w:rsidRPr="00FA3B2D">
        <w:rPr>
          <w:rStyle w:val="tl8wme"/>
          <w:rFonts w:ascii="Arial" w:hAnsi="Arial" w:cs="Arial"/>
        </w:rPr>
        <w:t>rWME</w:t>
      </w:r>
      <w:proofErr w:type="spellEnd"/>
      <w:r w:rsidRPr="00FA3B2D">
        <w:rPr>
          <w:rStyle w:val="tl8wme"/>
          <w:rFonts w:ascii="Arial" w:hAnsi="Arial" w:cs="Arial"/>
        </w:rPr>
        <w:t xml:space="preserve"> signal of cells with </w:t>
      </w:r>
      <w:r w:rsidRPr="00C721E7">
        <w:rPr>
          <w:rStyle w:val="tl8wme"/>
          <w:rFonts w:ascii="Arial" w:hAnsi="Arial" w:cs="Arial"/>
        </w:rPr>
        <w:t xml:space="preserve">complexity greater than 1000) and difference in copy number profiles at early (time point 2) and late (time point 4) time points. </w:t>
      </w:r>
      <w:r w:rsidRPr="00C721E7">
        <w:rPr>
          <w:rStyle w:val="tl8wme"/>
          <w:rFonts w:ascii="Arial" w:hAnsi="Arial" w:cs="Arial"/>
          <w:i/>
          <w:iCs/>
        </w:rPr>
        <w:t>x-axis</w:t>
      </w:r>
      <w:r w:rsidRPr="00C721E7">
        <w:rPr>
          <w:rStyle w:val="tl8wme"/>
          <w:rFonts w:ascii="Arial" w:hAnsi="Arial" w:cs="Arial"/>
        </w:rPr>
        <w:t xml:space="preserve">: Difference in WME, averaged within </w:t>
      </w:r>
      <w:proofErr w:type="spellStart"/>
      <w:r w:rsidRPr="00C721E7">
        <w:rPr>
          <w:rStyle w:val="tl8wme"/>
          <w:rFonts w:ascii="Arial" w:hAnsi="Arial" w:cs="Arial"/>
        </w:rPr>
        <w:t>subclonal</w:t>
      </w:r>
      <w:proofErr w:type="spellEnd"/>
      <w:r w:rsidRPr="00C721E7">
        <w:rPr>
          <w:rStyle w:val="tl8wme"/>
          <w:rFonts w:ascii="Arial" w:hAnsi="Arial" w:cs="Arial"/>
        </w:rPr>
        <w:t xml:space="preserve"> clusters, at a given gene window (mean over 200 genes contiguous along genome). </w:t>
      </w:r>
      <w:r w:rsidRPr="00C721E7">
        <w:rPr>
          <w:rStyle w:val="tl8wme"/>
          <w:rFonts w:ascii="Arial" w:hAnsi="Arial" w:cs="Arial"/>
          <w:i/>
          <w:iCs/>
        </w:rPr>
        <w:t>y-axis</w:t>
      </w:r>
      <w:r w:rsidRPr="00C721E7">
        <w:rPr>
          <w:rStyle w:val="tl8wme"/>
          <w:rFonts w:ascii="Arial" w:hAnsi="Arial" w:cs="Arial"/>
        </w:rPr>
        <w:t xml:space="preserve">: Difference in 200-gene-window-averaged CNV profile between CNV profiles derived from </w:t>
      </w:r>
      <w:proofErr w:type="spellStart"/>
      <w:r w:rsidRPr="00C721E7">
        <w:rPr>
          <w:rStyle w:val="tl8wme"/>
          <w:rFonts w:ascii="Arial" w:hAnsi="Arial" w:cs="Arial"/>
        </w:rPr>
        <w:t>cfDNA</w:t>
      </w:r>
      <w:proofErr w:type="spellEnd"/>
      <w:r w:rsidRPr="00C721E7">
        <w:rPr>
          <w:rStyle w:val="tl8wme"/>
          <w:rFonts w:ascii="Arial" w:hAnsi="Arial" w:cs="Arial"/>
        </w:rPr>
        <w:t xml:space="preserve"> obtained at time point 4 and time point 2. Plots in </w:t>
      </w:r>
      <w:r w:rsidRPr="00C721E7">
        <w:rPr>
          <w:rStyle w:val="tl8wme"/>
          <w:rFonts w:ascii="Arial" w:hAnsi="Arial" w:cs="Arial"/>
          <w:bCs/>
        </w:rPr>
        <w:t xml:space="preserve">a) </w:t>
      </w:r>
      <w:r w:rsidRPr="00FA3B2D">
        <w:rPr>
          <w:rStyle w:val="tl8wme"/>
          <w:rFonts w:ascii="Arial" w:hAnsi="Arial" w:cs="Arial"/>
        </w:rPr>
        <w:t xml:space="preserve">take cells from all time points </w:t>
      </w:r>
      <w:r w:rsidRPr="00FA3B2D">
        <w:rPr>
          <w:rStyle w:val="tl8wme"/>
          <w:rFonts w:ascii="Arial" w:hAnsi="Arial" w:cs="Arial"/>
        </w:rPr>
        <w:lastRenderedPageBreak/>
        <w:t xml:space="preserve">into consideration. Plots in </w:t>
      </w:r>
      <w:r w:rsidRPr="00C721E7">
        <w:rPr>
          <w:rStyle w:val="tl8wme"/>
          <w:rFonts w:ascii="Arial" w:hAnsi="Arial" w:cs="Arial"/>
          <w:bCs/>
        </w:rPr>
        <w:t>b</w:t>
      </w:r>
      <w:r w:rsidRPr="00FA3B2D">
        <w:rPr>
          <w:rStyle w:val="tl8wme"/>
          <w:rFonts w:ascii="Arial" w:hAnsi="Arial" w:cs="Arial"/>
        </w:rPr>
        <w:t>) take into consideration only cells obtained at time point 3 (intermediate time point). Theil-Sen slopes indicated with 5% and 95% confidence intervals. r</w:t>
      </w:r>
      <w:r w:rsidRPr="00C721E7">
        <w:rPr>
          <w:rStyle w:val="tl8wme"/>
          <w:rFonts w:ascii="Arial" w:hAnsi="Arial" w:cs="Arial"/>
          <w:vertAlign w:val="superscript"/>
        </w:rPr>
        <w:t>2</w:t>
      </w:r>
      <w:r w:rsidRPr="00C721E7">
        <w:rPr>
          <w:rStyle w:val="tl8wme"/>
          <w:rFonts w:ascii="Arial" w:hAnsi="Arial" w:cs="Arial"/>
        </w:rPr>
        <w:t xml:space="preserve"> on in</w:t>
      </w:r>
      <w:r>
        <w:rPr>
          <w:rStyle w:val="tl8wme"/>
          <w:rFonts w:ascii="Arial" w:hAnsi="Arial" w:cs="Arial"/>
        </w:rPr>
        <w:t>ner 90% of residuals (residuals above the 95th and below the 5th percentile are ignored) given.</w:t>
      </w:r>
    </w:p>
    <w:p w14:paraId="703B842E" w14:textId="77777777" w:rsidR="001F78A2" w:rsidRDefault="001F78A2" w:rsidP="001F78A2">
      <w:pPr>
        <w:spacing w:line="360" w:lineRule="auto"/>
        <w:rPr>
          <w:rFonts w:ascii="Arial" w:eastAsia="Arial" w:hAnsi="Arial" w:cs="Arial"/>
        </w:rPr>
      </w:pPr>
    </w:p>
    <w:p w14:paraId="364ADA90" w14:textId="77777777" w:rsidR="001F78A2" w:rsidRDefault="001F78A2" w:rsidP="001F78A2">
      <w:pPr>
        <w:spacing w:after="60" w:line="360" w:lineRule="auto"/>
        <w:ind w:left="540" w:hanging="540"/>
        <w:rPr>
          <w:rFonts w:ascii="Arial" w:eastAsia="Arial" w:hAnsi="Arial" w:cs="Arial"/>
          <w:b/>
        </w:rPr>
      </w:pPr>
    </w:p>
    <w:p w14:paraId="70AF97E8" w14:textId="77777777" w:rsidR="001F78A2" w:rsidRDefault="001F78A2" w:rsidP="001F78A2">
      <w:pPr>
        <w:spacing w:after="60" w:line="360" w:lineRule="auto"/>
        <w:ind w:left="540" w:hanging="540"/>
        <w:rPr>
          <w:rFonts w:ascii="Arial" w:eastAsia="Arial" w:hAnsi="Arial" w:cs="Arial"/>
        </w:rPr>
      </w:pPr>
      <w:r>
        <w:rPr>
          <w:noProof/>
        </w:rPr>
        <w:drawing>
          <wp:inline distT="0" distB="0" distL="0" distR="0" wp14:anchorId="2790FE4F" wp14:editId="0078E695">
            <wp:extent cx="5943600" cy="4721860"/>
            <wp:effectExtent l="0" t="0" r="0" b="0"/>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7"/>
                    <pic:cNvPicPr>
                      <a:picLocks noChangeAspect="1" noChangeArrowheads="1"/>
                    </pic:cNvPicPr>
                  </pic:nvPicPr>
                  <pic:blipFill>
                    <a:blip r:embed="rId14"/>
                    <a:stretch>
                      <a:fillRect/>
                    </a:stretch>
                  </pic:blipFill>
                  <pic:spPr bwMode="auto">
                    <a:xfrm>
                      <a:off x="0" y="0"/>
                      <a:ext cx="5943600" cy="4721860"/>
                    </a:xfrm>
                    <a:prstGeom prst="rect">
                      <a:avLst/>
                    </a:prstGeom>
                  </pic:spPr>
                </pic:pic>
              </a:graphicData>
            </a:graphic>
          </wp:inline>
        </w:drawing>
      </w:r>
    </w:p>
    <w:p w14:paraId="1B639811" w14:textId="1E46B23D" w:rsidR="001F78A2" w:rsidRPr="00131EB7" w:rsidRDefault="001F78A2" w:rsidP="001F78A2">
      <w:pPr>
        <w:spacing w:line="360" w:lineRule="auto"/>
        <w:rPr>
          <w:rFonts w:ascii="Arial" w:hAnsi="Arial" w:cs="Arial"/>
        </w:rPr>
      </w:pPr>
      <w:r>
        <w:rPr>
          <w:rFonts w:ascii="Arial" w:eastAsia="Arial" w:hAnsi="Arial" w:cs="Arial"/>
          <w:b/>
        </w:rPr>
        <w:t>Supplementary Fig. 11:</w:t>
      </w:r>
      <w:r>
        <w:rPr>
          <w:rFonts w:ascii="Arial" w:hAnsi="Arial" w:cs="Arial"/>
          <w:b/>
        </w:rPr>
        <w:t xml:space="preserve"> Additional evidence of CNV-distinguishable </w:t>
      </w:r>
      <w:proofErr w:type="spellStart"/>
      <w:r>
        <w:rPr>
          <w:rFonts w:ascii="Arial" w:hAnsi="Arial" w:cs="Arial"/>
          <w:b/>
        </w:rPr>
        <w:t>subclonality</w:t>
      </w:r>
      <w:proofErr w:type="spellEnd"/>
      <w:r>
        <w:rPr>
          <w:rFonts w:ascii="Arial" w:hAnsi="Arial" w:cs="Arial"/>
          <w:b/>
        </w:rPr>
        <w:t xml:space="preserve"> in P043.</w:t>
      </w:r>
      <w:r>
        <w:rPr>
          <w:rFonts w:ascii="Arial" w:hAnsi="Arial" w:cs="Arial"/>
        </w:rPr>
        <w:t xml:space="preserve"> </w:t>
      </w:r>
      <w:r w:rsidRPr="00C721E7">
        <w:rPr>
          <w:rFonts w:ascii="Arial" w:hAnsi="Arial" w:cs="Arial"/>
        </w:rPr>
        <w:t>a</w:t>
      </w:r>
      <w:r w:rsidRPr="00FA3B2D">
        <w:rPr>
          <w:rFonts w:ascii="Arial" w:hAnsi="Arial" w:cs="Arial"/>
        </w:rPr>
        <w:t>) Heatmap of ranked windowed mean expression (</w:t>
      </w:r>
      <w:proofErr w:type="spellStart"/>
      <w:r w:rsidRPr="00FA3B2D">
        <w:rPr>
          <w:rFonts w:ascii="Arial" w:hAnsi="Arial" w:cs="Arial"/>
        </w:rPr>
        <w:t>rWME</w:t>
      </w:r>
      <w:proofErr w:type="spellEnd"/>
      <w:r w:rsidRPr="00FA3B2D">
        <w:rPr>
          <w:rFonts w:ascii="Arial" w:hAnsi="Arial" w:cs="Arial"/>
        </w:rPr>
        <w:t>) ordered by chromosome and transcriptional start site for all considered tumor cells in P043, separated by agglomerative cluster identity (bottom, arrows identify peaks of mutual information between clusters). Windows are represented in transcriptomic units (i.e. units of 200 genes continuous along the genome). Plotted above is mean difference</w:t>
      </w:r>
      <w:r w:rsidRPr="00C721E7">
        <w:rPr>
          <w:rFonts w:ascii="Arial" w:hAnsi="Arial" w:cs="Arial"/>
        </w:rPr>
        <w:t xml:space="preserve"> in single-cell gene expression between ascendant and descendant clusters overlaid with change in </w:t>
      </w:r>
      <w:proofErr w:type="spellStart"/>
      <w:r w:rsidRPr="00C721E7">
        <w:rPr>
          <w:rFonts w:ascii="Arial" w:hAnsi="Arial" w:cs="Arial"/>
        </w:rPr>
        <w:t>tCR</w:t>
      </w:r>
      <w:proofErr w:type="spellEnd"/>
      <w:r w:rsidRPr="00C721E7">
        <w:rPr>
          <w:rFonts w:ascii="Arial" w:hAnsi="Arial" w:cs="Arial"/>
        </w:rPr>
        <w:t xml:space="preserve"> between time points. WES </w:t>
      </w:r>
      <w:proofErr w:type="spellStart"/>
      <w:r w:rsidRPr="00C721E7">
        <w:rPr>
          <w:rFonts w:ascii="Arial" w:hAnsi="Arial" w:cs="Arial"/>
        </w:rPr>
        <w:t>tCR</w:t>
      </w:r>
      <w:proofErr w:type="spellEnd"/>
      <w:r w:rsidRPr="00C721E7">
        <w:rPr>
          <w:rFonts w:ascii="Arial" w:hAnsi="Arial" w:cs="Arial"/>
        </w:rPr>
        <w:t xml:space="preserve"> (ranks-by-</w:t>
      </w:r>
      <w:r w:rsidRPr="00C721E7">
        <w:rPr>
          <w:rFonts w:ascii="Arial" w:hAnsi="Arial" w:cs="Arial"/>
        </w:rPr>
        <w:lastRenderedPageBreak/>
        <w:t xml:space="preserve">window) for each of three sampled time points from CSF-derived </w:t>
      </w:r>
      <w:proofErr w:type="spellStart"/>
      <w:r w:rsidRPr="00C721E7">
        <w:rPr>
          <w:rFonts w:ascii="Arial" w:hAnsi="Arial" w:cs="Arial"/>
        </w:rPr>
        <w:t>cfDNA</w:t>
      </w:r>
      <w:proofErr w:type="spellEnd"/>
      <w:r w:rsidRPr="00C721E7">
        <w:rPr>
          <w:rFonts w:ascii="Arial" w:hAnsi="Arial" w:cs="Arial"/>
        </w:rPr>
        <w:t xml:space="preserve"> at top. b</w:t>
      </w:r>
      <w:r w:rsidRPr="00FA3B2D">
        <w:rPr>
          <w:rFonts w:ascii="Arial" w:hAnsi="Arial" w:cs="Arial"/>
        </w:rPr>
        <w:t xml:space="preserve">) Results of </w:t>
      </w:r>
      <w:proofErr w:type="spellStart"/>
      <w:r w:rsidRPr="00FA3B2D">
        <w:rPr>
          <w:rFonts w:ascii="Arial" w:hAnsi="Arial" w:cs="Arial"/>
        </w:rPr>
        <w:t>InferCNV</w:t>
      </w:r>
      <w:proofErr w:type="spellEnd"/>
      <w:r w:rsidRPr="00FA3B2D">
        <w:rPr>
          <w:rFonts w:ascii="Arial" w:hAnsi="Arial" w:cs="Arial"/>
        </w:rPr>
        <w:t xml:space="preserve"> performed on </w:t>
      </w:r>
      <w:proofErr w:type="spellStart"/>
      <w:r w:rsidRPr="00FA3B2D">
        <w:rPr>
          <w:rFonts w:ascii="Arial" w:hAnsi="Arial" w:cs="Arial"/>
        </w:rPr>
        <w:t>scRNA</w:t>
      </w:r>
      <w:proofErr w:type="spellEnd"/>
      <w:r w:rsidRPr="00FA3B2D">
        <w:rPr>
          <w:rFonts w:ascii="Arial" w:hAnsi="Arial" w:cs="Arial"/>
        </w:rPr>
        <w:t>-Seq data from cells of P043.</w:t>
      </w:r>
      <w:r w:rsidRPr="00C721E7">
        <w:rPr>
          <w:rFonts w:ascii="Arial" w:hAnsi="Arial" w:cs="Arial"/>
          <w:bCs/>
        </w:rPr>
        <w:t xml:space="preserve"> c) </w:t>
      </w:r>
      <w:r w:rsidRPr="00C721E7">
        <w:rPr>
          <w:rFonts w:ascii="Arial" w:hAnsi="Arial" w:cs="Arial"/>
          <w:iCs/>
        </w:rPr>
        <w:t xml:space="preserve">Upper row: </w:t>
      </w:r>
      <w:r w:rsidRPr="00FA3B2D">
        <w:rPr>
          <w:rFonts w:ascii="Arial" w:hAnsi="Arial" w:cs="Arial"/>
        </w:rPr>
        <w:t xml:space="preserve">Difference in Kendall’s </w:t>
      </w:r>
      <w:r w:rsidRPr="00FA3B2D">
        <w:rPr>
          <w:rFonts w:ascii="Arial" w:hAnsi="Arial" w:cs="Arial"/>
          <w:lang w:val="el-GR"/>
        </w:rPr>
        <w:t>τ</w:t>
      </w:r>
      <w:r w:rsidRPr="00FA3B2D">
        <w:rPr>
          <w:rFonts w:ascii="Arial" w:hAnsi="Arial" w:cs="Arial"/>
        </w:rPr>
        <w:t xml:space="preserve"> correlations between cells’ gene expression and copy number profiles derived from </w:t>
      </w:r>
      <w:proofErr w:type="spellStart"/>
      <w:r w:rsidRPr="00FA3B2D">
        <w:rPr>
          <w:rFonts w:ascii="Arial" w:hAnsi="Arial" w:cs="Arial"/>
        </w:rPr>
        <w:t>cfDNA</w:t>
      </w:r>
      <w:proofErr w:type="spellEnd"/>
      <w:r w:rsidRPr="00FA3B2D">
        <w:rPr>
          <w:rFonts w:ascii="Arial" w:hAnsi="Arial" w:cs="Arial"/>
        </w:rPr>
        <w:t xml:space="preserve"> obtained at time point 4 (late) vs. time point 2 (early), distribution over all single cells in P043. </w:t>
      </w:r>
      <w:r w:rsidRPr="00C721E7">
        <w:rPr>
          <w:rFonts w:ascii="Arial" w:hAnsi="Arial" w:cs="Arial"/>
          <w:iCs/>
        </w:rPr>
        <w:t xml:space="preserve">Lower row: </w:t>
      </w:r>
      <w:r w:rsidRPr="00FA3B2D">
        <w:rPr>
          <w:rFonts w:ascii="Arial" w:hAnsi="Arial" w:cs="Arial"/>
        </w:rPr>
        <w:t>Scatter plot of cells’ IFN-</w:t>
      </w:r>
      <w:r w:rsidRPr="00FA3B2D">
        <w:rPr>
          <w:rFonts w:ascii="Arial" w:hAnsi="Arial" w:cs="Arial"/>
          <w:lang w:val="el-GR"/>
        </w:rPr>
        <w:t>γ</w:t>
      </w:r>
      <w:r w:rsidRPr="00FA3B2D">
        <w:rPr>
          <w:rFonts w:ascii="Arial" w:hAnsi="Arial" w:cs="Arial"/>
        </w:rPr>
        <w:t xml:space="preserve"> response score and cells’ difference in Kendall’s </w:t>
      </w:r>
      <w:r w:rsidRPr="00FA3B2D">
        <w:rPr>
          <w:rFonts w:ascii="Arial" w:hAnsi="Arial" w:cs="Arial"/>
          <w:lang w:val="el-GR"/>
        </w:rPr>
        <w:t>τ</w:t>
      </w:r>
      <w:r w:rsidRPr="00FA3B2D">
        <w:rPr>
          <w:rFonts w:ascii="Arial" w:hAnsi="Arial" w:cs="Arial"/>
        </w:rPr>
        <w:t xml:space="preserve"> correlation between cells’ gene expression and copy number profiles derived from </w:t>
      </w:r>
      <w:proofErr w:type="spellStart"/>
      <w:r w:rsidRPr="00FA3B2D">
        <w:rPr>
          <w:rFonts w:ascii="Arial" w:hAnsi="Arial" w:cs="Arial"/>
        </w:rPr>
        <w:t>cfDNA</w:t>
      </w:r>
      <w:proofErr w:type="spellEnd"/>
      <w:r w:rsidRPr="00FA3B2D">
        <w:rPr>
          <w:rFonts w:ascii="Arial" w:hAnsi="Arial" w:cs="Arial"/>
        </w:rPr>
        <w:t xml:space="preserve"> obtained at time point 4 (late) vs. time point 2 (early), with</w:t>
      </w:r>
      <w:r w:rsidRPr="00C721E7">
        <w:rPr>
          <w:rFonts w:ascii="Arial" w:hAnsi="Arial" w:cs="Arial"/>
        </w:rPr>
        <w:t xml:space="preserve"> Theil-Sen median slopes plotted in each scatter plot (red line) with 10</w:t>
      </w:r>
      <w:r w:rsidRPr="00C721E7">
        <w:rPr>
          <w:rFonts w:ascii="Arial" w:hAnsi="Arial" w:cs="Arial"/>
          <w:vertAlign w:val="superscript"/>
        </w:rPr>
        <w:t>th</w:t>
      </w:r>
      <w:r w:rsidRPr="00C721E7">
        <w:rPr>
          <w:rFonts w:ascii="Arial" w:hAnsi="Arial" w:cs="Arial"/>
        </w:rPr>
        <w:t xml:space="preserve"> and 90</w:t>
      </w:r>
      <w:r w:rsidRPr="00C721E7">
        <w:rPr>
          <w:rFonts w:ascii="Arial" w:hAnsi="Arial" w:cs="Arial"/>
          <w:vertAlign w:val="superscript"/>
        </w:rPr>
        <w:t>th</w:t>
      </w:r>
      <w:r w:rsidRPr="00C721E7">
        <w:rPr>
          <w:rFonts w:ascii="Arial" w:hAnsi="Arial" w:cs="Arial"/>
        </w:rPr>
        <w:t xml:space="preserve"> percentile of median slopes (blue, dotted lines). </w:t>
      </w:r>
      <w:r w:rsidRPr="00C721E7">
        <w:rPr>
          <w:rFonts w:ascii="Arial" w:hAnsi="Arial" w:cs="Arial"/>
          <w:bCs/>
        </w:rPr>
        <w:t>d)</w:t>
      </w:r>
      <w:r w:rsidRPr="00FA3B2D">
        <w:rPr>
          <w:rFonts w:ascii="Arial" w:hAnsi="Arial" w:cs="Arial"/>
        </w:rPr>
        <w:t xml:space="preserve"> Violin plots of antigen processing scores for cells in the ascendant and descendant subclones over time </w:t>
      </w:r>
      <w:r w:rsidRPr="00FA3B2D">
        <w:rPr>
          <w:rFonts w:ascii="Arial" w:eastAsia="Arial" w:hAnsi="Arial" w:cs="Arial"/>
          <w:color w:val="000000"/>
        </w:rPr>
        <w:t>(*** p</w:t>
      </w:r>
      <w:r w:rsidR="00AA6F0E">
        <w:rPr>
          <w:rFonts w:ascii="Arial" w:eastAsia="Arial" w:hAnsi="Arial" w:cs="Arial"/>
          <w:color w:val="000000"/>
        </w:rPr>
        <w:t>&lt;</w:t>
      </w:r>
      <w:r w:rsidRPr="00FA3B2D">
        <w:rPr>
          <w:rFonts w:ascii="Arial" w:eastAsia="Arial" w:hAnsi="Arial" w:cs="Arial"/>
          <w:color w:val="000000"/>
        </w:rPr>
        <w:t>0.001, ** p</w:t>
      </w:r>
      <w:r w:rsidR="00AA6F0E">
        <w:rPr>
          <w:rFonts w:ascii="Arial" w:eastAsia="Arial" w:hAnsi="Arial" w:cs="Arial"/>
          <w:color w:val="000000"/>
        </w:rPr>
        <w:t>&lt;</w:t>
      </w:r>
      <w:r w:rsidRPr="00FA3B2D">
        <w:rPr>
          <w:rFonts w:ascii="Arial" w:eastAsia="Arial" w:hAnsi="Arial" w:cs="Arial"/>
          <w:color w:val="000000"/>
        </w:rPr>
        <w:t xml:space="preserve">0.01, Wilcoxon rank-sum test, Cohen’s </w:t>
      </w:r>
      <w:r w:rsidRPr="00FA3B2D">
        <w:rPr>
          <w:rFonts w:ascii="Arial" w:eastAsia="Arial" w:hAnsi="Arial" w:cs="Arial"/>
          <w:i/>
          <w:color w:val="000000"/>
        </w:rPr>
        <w:t>d</w:t>
      </w:r>
      <w:r w:rsidRPr="00FA3B2D">
        <w:rPr>
          <w:rFonts w:ascii="Arial" w:eastAsia="Arial" w:hAnsi="Arial" w:cs="Arial"/>
          <w:color w:val="000000"/>
        </w:rPr>
        <w:t xml:space="preserve"> = 0.75, N = 52 for descend</w:t>
      </w:r>
      <w:r w:rsidR="007A15D1">
        <w:rPr>
          <w:rFonts w:ascii="Arial" w:eastAsia="Arial" w:hAnsi="Arial" w:cs="Arial"/>
          <w:color w:val="000000"/>
        </w:rPr>
        <w:t>a</w:t>
      </w:r>
      <w:r w:rsidRPr="00FA3B2D">
        <w:rPr>
          <w:rFonts w:ascii="Arial" w:eastAsia="Arial" w:hAnsi="Arial" w:cs="Arial"/>
          <w:color w:val="000000"/>
        </w:rPr>
        <w:t xml:space="preserve">nt, 19 for ascendant at P043-3; Cohen’s </w:t>
      </w:r>
      <w:r w:rsidRPr="00FA3B2D">
        <w:rPr>
          <w:rFonts w:ascii="Arial" w:eastAsia="Arial" w:hAnsi="Arial" w:cs="Arial"/>
          <w:i/>
          <w:color w:val="000000"/>
        </w:rPr>
        <w:t>d</w:t>
      </w:r>
      <w:r w:rsidRPr="00FA3B2D">
        <w:rPr>
          <w:rFonts w:ascii="Arial" w:eastAsia="Arial" w:hAnsi="Arial" w:cs="Arial"/>
          <w:color w:val="000000"/>
        </w:rPr>
        <w:t xml:space="preserve"> = 1.15, N = 14 for descend</w:t>
      </w:r>
      <w:r w:rsidR="007A15D1">
        <w:rPr>
          <w:rFonts w:ascii="Arial" w:eastAsia="Arial" w:hAnsi="Arial" w:cs="Arial"/>
          <w:color w:val="000000"/>
        </w:rPr>
        <w:t>a</w:t>
      </w:r>
      <w:r w:rsidRPr="00FA3B2D">
        <w:rPr>
          <w:rFonts w:ascii="Arial" w:eastAsia="Arial" w:hAnsi="Arial" w:cs="Arial"/>
          <w:color w:val="000000"/>
        </w:rPr>
        <w:t xml:space="preserve">nt, 31 for </w:t>
      </w:r>
      <w:r w:rsidRPr="00C721E7">
        <w:rPr>
          <w:rFonts w:ascii="Arial" w:eastAsia="Arial" w:hAnsi="Arial" w:cs="Arial"/>
          <w:color w:val="000000"/>
        </w:rPr>
        <w:t>ascendant at P043-4)</w:t>
      </w:r>
      <w:r w:rsidRPr="00C721E7">
        <w:rPr>
          <w:rFonts w:ascii="Arial" w:hAnsi="Arial" w:cs="Arial"/>
        </w:rPr>
        <w:t>.</w:t>
      </w:r>
      <w:r>
        <w:rPr>
          <w:rFonts w:ascii="Arial" w:hAnsi="Arial" w:cs="Arial"/>
        </w:rPr>
        <w:t xml:space="preserve">  </w:t>
      </w:r>
    </w:p>
    <w:p w14:paraId="606B9CE0" w14:textId="40E4C5B6" w:rsidR="00611321" w:rsidRDefault="00611321"/>
    <w:sectPr w:rsidR="006113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8A2"/>
    <w:rsid w:val="001F78A2"/>
    <w:rsid w:val="00404A90"/>
    <w:rsid w:val="00611321"/>
    <w:rsid w:val="007A15D1"/>
    <w:rsid w:val="008E135D"/>
    <w:rsid w:val="00AA6F0E"/>
    <w:rsid w:val="00D80CFF"/>
    <w:rsid w:val="00F46DFD"/>
    <w:rsid w:val="00FA6A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EBEAE"/>
  <w15:chartTrackingRefBased/>
  <w15:docId w15:val="{A7BBCC6C-756B-4592-9FB9-1EE5F5560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78A2"/>
    <w:pPr>
      <w:suppressAutoHyphens/>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8wme">
    <w:name w:val="tl8wme"/>
    <w:basedOn w:val="DefaultParagraphFont"/>
    <w:qFormat/>
    <w:rsid w:val="001F78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279</TotalTime>
  <Pages>12</Pages>
  <Words>1085</Words>
  <Characters>6185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Markson, Samuel C.</dc:creator>
  <cp:keywords/>
  <dc:description/>
  <cp:lastModifiedBy>Markson, Samuel C.</cp:lastModifiedBy>
  <cp:revision>4</cp:revision>
  <dcterms:created xsi:type="dcterms:W3CDTF">2021-03-25T19:39:00Z</dcterms:created>
  <dcterms:modified xsi:type="dcterms:W3CDTF">2021-04-16T00:29:00Z</dcterms:modified>
</cp:coreProperties>
</file>