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66A" w:rsidRDefault="005D33A7">
      <w:r>
        <w:t>Description of Additional Supplementary Files</w:t>
      </w:r>
    </w:p>
    <w:p w:rsidR="005D33A7" w:rsidRDefault="005D33A7"/>
    <w:p w:rsidR="005D33A7" w:rsidRDefault="005D33A7">
      <w:r>
        <w:t>Title: Supplementary Data 1</w:t>
      </w:r>
    </w:p>
    <w:p w:rsidR="005D33A7" w:rsidRPr="005D33A7" w:rsidRDefault="005D33A7" w:rsidP="005D33A7">
      <w:pPr>
        <w:spacing w:line="240" w:lineRule="auto"/>
        <w:jc w:val="both"/>
        <w:rPr>
          <w:rFonts w:cs="Times New Roman"/>
          <w:sz w:val="24"/>
          <w:szCs w:val="24"/>
        </w:rPr>
      </w:pPr>
      <w:r>
        <w:t xml:space="preserve">Description: </w:t>
      </w:r>
      <w:r w:rsidRPr="005D33A7">
        <w:rPr>
          <w:rFonts w:cs="Times New Roman"/>
          <w:sz w:val="24"/>
          <w:szCs w:val="24"/>
        </w:rPr>
        <w:t xml:space="preserve">Tabular results for combined DE and DMR analyses covering all genes represented in both modalities (11858 in total). Each gene (identified by </w:t>
      </w:r>
      <w:proofErr w:type="spellStart"/>
      <w:r w:rsidRPr="005D33A7">
        <w:rPr>
          <w:rFonts w:cs="Times New Roman"/>
          <w:sz w:val="24"/>
          <w:szCs w:val="24"/>
        </w:rPr>
        <w:t>Ensembl</w:t>
      </w:r>
      <w:proofErr w:type="spellEnd"/>
      <w:r w:rsidRPr="005D33A7">
        <w:rPr>
          <w:rFonts w:cs="Times New Roman"/>
          <w:sz w:val="24"/>
          <w:szCs w:val="24"/>
        </w:rPr>
        <w:t xml:space="preserve"> gene ID and gene symbol) is associated with one or more DMRs (identified by an arbitrary DMR cluster number). The columns 1stExon through to TSS200 indicate how the DMR is associated with the gene based on its genomic locus as follows: within the 1st exon, in the 3' or 5' untranslated region (UTR), in the gene body, at the exon boundary, within 1500 nucleotides of the transcription start site (TSS) and within 200 nucleotides of the TSS. One or more of these is true for each (DE, DMR) pair. </w:t>
      </w:r>
    </w:p>
    <w:p w:rsidR="005D33A7" w:rsidRPr="005D33A7" w:rsidRDefault="005D33A7" w:rsidP="005D33A7">
      <w:pPr>
        <w:jc w:val="both"/>
        <w:rPr>
          <w:rFonts w:cs="Times New Roman"/>
          <w:sz w:val="24"/>
          <w:szCs w:val="24"/>
        </w:rPr>
      </w:pPr>
      <w:r w:rsidRPr="005D33A7">
        <w:rPr>
          <w:rFonts w:cs="Times New Roman"/>
          <w:sz w:val="24"/>
          <w:szCs w:val="24"/>
        </w:rPr>
        <w:t xml:space="preserve">The extent of differential expression between GIC and </w:t>
      </w:r>
      <w:proofErr w:type="spellStart"/>
      <w:r w:rsidRPr="005D33A7">
        <w:rPr>
          <w:rFonts w:cs="Times New Roman"/>
          <w:sz w:val="24"/>
          <w:szCs w:val="24"/>
        </w:rPr>
        <w:t>iNSC</w:t>
      </w:r>
      <w:proofErr w:type="spellEnd"/>
      <w:r w:rsidRPr="005D33A7">
        <w:rPr>
          <w:rFonts w:cs="Times New Roman"/>
          <w:sz w:val="24"/>
          <w:szCs w:val="24"/>
        </w:rPr>
        <w:t xml:space="preserve"> in each patient is given in the columns &lt;</w:t>
      </w:r>
      <w:proofErr w:type="spellStart"/>
      <w:r w:rsidRPr="005D33A7">
        <w:rPr>
          <w:rFonts w:cs="Times New Roman"/>
          <w:sz w:val="24"/>
          <w:szCs w:val="24"/>
        </w:rPr>
        <w:t>patient_id</w:t>
      </w:r>
      <w:proofErr w:type="spellEnd"/>
      <w:r w:rsidRPr="005D33A7">
        <w:rPr>
          <w:rFonts w:cs="Times New Roman"/>
          <w:sz w:val="24"/>
          <w:szCs w:val="24"/>
        </w:rPr>
        <w:t>&gt;_</w:t>
      </w:r>
      <w:proofErr w:type="spellStart"/>
      <w:r w:rsidRPr="005D33A7">
        <w:rPr>
          <w:rFonts w:cs="Times New Roman"/>
          <w:sz w:val="24"/>
          <w:szCs w:val="24"/>
        </w:rPr>
        <w:t>de_logfc</w:t>
      </w:r>
      <w:proofErr w:type="spellEnd"/>
      <w:r w:rsidRPr="005D33A7">
        <w:rPr>
          <w:rFonts w:cs="Times New Roman"/>
          <w:sz w:val="24"/>
          <w:szCs w:val="24"/>
        </w:rPr>
        <w:t xml:space="preserve">, quantified as the log2 fold change. Red shading indicates an increase of expression in GIC, green shading indicates a decrease. Black borders indicate comparisons for which the adjusted </w:t>
      </w:r>
      <w:r w:rsidRPr="005D33A7">
        <w:rPr>
          <w:rFonts w:cs="Times New Roman"/>
          <w:i/>
          <w:iCs/>
          <w:sz w:val="24"/>
          <w:szCs w:val="24"/>
        </w:rPr>
        <w:t>p</w:t>
      </w:r>
      <w:r w:rsidRPr="005D33A7">
        <w:rPr>
          <w:rFonts w:cs="Times New Roman"/>
          <w:sz w:val="24"/>
          <w:szCs w:val="24"/>
        </w:rPr>
        <w:t xml:space="preserve"> value is below 0.05.</w:t>
      </w:r>
    </w:p>
    <w:p w:rsidR="005D33A7" w:rsidRPr="005D33A7" w:rsidRDefault="005D33A7" w:rsidP="005D33A7">
      <w:pPr>
        <w:jc w:val="both"/>
        <w:rPr>
          <w:rFonts w:cs="Times New Roman"/>
          <w:sz w:val="24"/>
          <w:szCs w:val="24"/>
        </w:rPr>
      </w:pPr>
      <w:r w:rsidRPr="005D33A7">
        <w:rPr>
          <w:rFonts w:cs="Times New Roman"/>
          <w:sz w:val="24"/>
          <w:szCs w:val="24"/>
        </w:rPr>
        <w:t>The extent of differential methylation within DMRs is given in the columns &lt;</w:t>
      </w:r>
      <w:proofErr w:type="spellStart"/>
      <w:r w:rsidRPr="005D33A7">
        <w:rPr>
          <w:rFonts w:cs="Times New Roman"/>
          <w:sz w:val="24"/>
          <w:szCs w:val="24"/>
        </w:rPr>
        <w:t>patient_id</w:t>
      </w:r>
      <w:proofErr w:type="spellEnd"/>
      <w:r w:rsidRPr="005D33A7">
        <w:rPr>
          <w:rFonts w:cs="Times New Roman"/>
          <w:sz w:val="24"/>
          <w:szCs w:val="24"/>
        </w:rPr>
        <w:t>&gt;_</w:t>
      </w:r>
      <w:proofErr w:type="spellStart"/>
      <w:r w:rsidRPr="005D33A7">
        <w:rPr>
          <w:rFonts w:cs="Times New Roman"/>
          <w:sz w:val="24"/>
          <w:szCs w:val="24"/>
        </w:rPr>
        <w:t>dm_delta</w:t>
      </w:r>
      <w:proofErr w:type="spellEnd"/>
      <w:r w:rsidRPr="005D33A7">
        <w:rPr>
          <w:rFonts w:cs="Times New Roman"/>
          <w:sz w:val="24"/>
          <w:szCs w:val="24"/>
        </w:rPr>
        <w:t xml:space="preserve">, quantified as the median difference in </w:t>
      </w:r>
      <w:r w:rsidRPr="005D33A7">
        <w:rPr>
          <w:rFonts w:cs="Times New Roman"/>
          <w:i/>
          <w:iCs/>
          <w:sz w:val="24"/>
          <w:szCs w:val="24"/>
        </w:rPr>
        <w:t>M</w:t>
      </w:r>
      <w:r w:rsidRPr="005D33A7">
        <w:rPr>
          <w:rFonts w:cs="Times New Roman"/>
          <w:sz w:val="24"/>
          <w:szCs w:val="24"/>
        </w:rPr>
        <w:t xml:space="preserve"> value between GIC and </w:t>
      </w:r>
      <w:proofErr w:type="spellStart"/>
      <w:r w:rsidRPr="005D33A7">
        <w:rPr>
          <w:rFonts w:cs="Times New Roman"/>
          <w:sz w:val="24"/>
          <w:szCs w:val="24"/>
        </w:rPr>
        <w:t>iNSC</w:t>
      </w:r>
      <w:proofErr w:type="spellEnd"/>
      <w:r w:rsidRPr="005D33A7">
        <w:rPr>
          <w:rFonts w:cs="Times New Roman"/>
          <w:sz w:val="24"/>
          <w:szCs w:val="24"/>
        </w:rPr>
        <w:t xml:space="preserve"> across all probes in the DMR. Red shading indicates </w:t>
      </w:r>
      <w:proofErr w:type="spellStart"/>
      <w:r w:rsidRPr="005D33A7">
        <w:rPr>
          <w:rFonts w:cs="Times New Roman"/>
          <w:sz w:val="24"/>
          <w:szCs w:val="24"/>
        </w:rPr>
        <w:t>hypermethylation</w:t>
      </w:r>
      <w:proofErr w:type="spellEnd"/>
      <w:r w:rsidRPr="005D33A7">
        <w:rPr>
          <w:rFonts w:cs="Times New Roman"/>
          <w:sz w:val="24"/>
          <w:szCs w:val="24"/>
        </w:rPr>
        <w:t xml:space="preserve"> in GIC, green indicates </w:t>
      </w:r>
      <w:proofErr w:type="spellStart"/>
      <w:r w:rsidRPr="005D33A7">
        <w:rPr>
          <w:rFonts w:cs="Times New Roman"/>
          <w:sz w:val="24"/>
          <w:szCs w:val="24"/>
        </w:rPr>
        <w:t>hypomethylation</w:t>
      </w:r>
      <w:proofErr w:type="spellEnd"/>
      <w:r w:rsidRPr="005D33A7">
        <w:rPr>
          <w:rFonts w:cs="Times New Roman"/>
          <w:sz w:val="24"/>
          <w:szCs w:val="24"/>
        </w:rPr>
        <w:t xml:space="preserve">. Black borders indicate comparisons for which the adjusted </w:t>
      </w:r>
      <w:r w:rsidRPr="005D33A7">
        <w:rPr>
          <w:rFonts w:cs="Times New Roman"/>
          <w:i/>
          <w:iCs/>
          <w:sz w:val="24"/>
          <w:szCs w:val="24"/>
        </w:rPr>
        <w:t>p</w:t>
      </w:r>
      <w:r w:rsidRPr="005D33A7">
        <w:rPr>
          <w:rFonts w:cs="Times New Roman"/>
          <w:sz w:val="24"/>
          <w:szCs w:val="24"/>
        </w:rPr>
        <w:t xml:space="preserve"> value is below 0.05.</w:t>
      </w:r>
    </w:p>
    <w:p w:rsidR="005D33A7" w:rsidRPr="005D33A7" w:rsidRDefault="005D33A7" w:rsidP="005D33A7">
      <w:pPr>
        <w:jc w:val="both"/>
        <w:rPr>
          <w:rFonts w:cs="Times New Roman"/>
          <w:sz w:val="24"/>
          <w:szCs w:val="24"/>
        </w:rPr>
      </w:pPr>
      <w:r w:rsidRPr="005D33A7">
        <w:rPr>
          <w:rFonts w:cs="Times New Roman"/>
          <w:sz w:val="24"/>
          <w:szCs w:val="24"/>
        </w:rPr>
        <w:t>Within the DE and DMR blocks, bold text indicates concordance between DE and DMR values, defined as differing signs. Italic text indicates discordance (equal signs).</w:t>
      </w:r>
    </w:p>
    <w:p w:rsidR="005D33A7" w:rsidRPr="005D33A7" w:rsidRDefault="005D33A7" w:rsidP="005D33A7">
      <w:pPr>
        <w:jc w:val="both"/>
        <w:rPr>
          <w:rFonts w:cs="Times New Roman"/>
          <w:sz w:val="24"/>
          <w:szCs w:val="24"/>
        </w:rPr>
      </w:pPr>
    </w:p>
    <w:p w:rsidR="005D33A7" w:rsidRPr="005D33A7" w:rsidRDefault="005D33A7" w:rsidP="005D33A7">
      <w:pPr>
        <w:jc w:val="both"/>
        <w:rPr>
          <w:rFonts w:cs="Times New Roman"/>
          <w:sz w:val="24"/>
          <w:szCs w:val="24"/>
        </w:rPr>
      </w:pPr>
      <w:r w:rsidRPr="005D33A7">
        <w:rPr>
          <w:rFonts w:cs="Times New Roman"/>
          <w:sz w:val="24"/>
          <w:szCs w:val="24"/>
        </w:rPr>
        <w:t xml:space="preserve">The </w:t>
      </w:r>
      <w:proofErr w:type="spellStart"/>
      <w:r w:rsidRPr="005D33A7">
        <w:rPr>
          <w:rFonts w:cs="Times New Roman"/>
          <w:sz w:val="24"/>
          <w:szCs w:val="24"/>
        </w:rPr>
        <w:t>num_DGIdb_interactions</w:t>
      </w:r>
      <w:proofErr w:type="spellEnd"/>
      <w:r w:rsidRPr="005D33A7">
        <w:rPr>
          <w:rFonts w:cs="Times New Roman"/>
          <w:sz w:val="24"/>
          <w:szCs w:val="24"/>
        </w:rPr>
        <w:t xml:space="preserve"> column displays how many known drug compounds are listed against this gene in the drug gene interaction database. Comments list the compounds; more information is available in the </w:t>
      </w:r>
      <w:proofErr w:type="spellStart"/>
      <w:r w:rsidRPr="005D33A7">
        <w:rPr>
          <w:rFonts w:cs="Times New Roman"/>
          <w:sz w:val="24"/>
          <w:szCs w:val="24"/>
        </w:rPr>
        <w:t>DGIdb</w:t>
      </w:r>
      <w:proofErr w:type="spellEnd"/>
      <w:r w:rsidRPr="005D33A7">
        <w:rPr>
          <w:rFonts w:cs="Times New Roman"/>
          <w:sz w:val="24"/>
          <w:szCs w:val="24"/>
        </w:rPr>
        <w:t xml:space="preserve"> worksheet. Finally, the </w:t>
      </w:r>
      <w:proofErr w:type="spellStart"/>
      <w:r w:rsidRPr="005D33A7">
        <w:rPr>
          <w:rFonts w:cs="Times New Roman"/>
          <w:sz w:val="24"/>
          <w:szCs w:val="24"/>
        </w:rPr>
        <w:t>list_member</w:t>
      </w:r>
      <w:proofErr w:type="spellEnd"/>
      <w:r w:rsidRPr="005D33A7">
        <w:rPr>
          <w:rFonts w:cs="Times New Roman"/>
          <w:sz w:val="24"/>
          <w:szCs w:val="24"/>
        </w:rPr>
        <w:t xml:space="preserve"> column indicates which list, if any, a given (DE, DMR) pair belongs to. Further details of the short and long lists are given in the results section of the manuscript.</w:t>
      </w:r>
    </w:p>
    <w:p w:rsidR="005D33A7" w:rsidRPr="005D33A7" w:rsidRDefault="005D33A7">
      <w:bookmarkStart w:id="0" w:name="_GoBack"/>
      <w:bookmarkEnd w:id="0"/>
    </w:p>
    <w:sectPr w:rsidR="005D33A7" w:rsidRPr="005D33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3A7"/>
    <w:rsid w:val="005D33A7"/>
    <w:rsid w:val="00E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31B1"/>
  <w15:chartTrackingRefBased/>
  <w15:docId w15:val="{9A5114D0-B162-46A2-AA95-9C4D462A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60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Whittingham</dc:creator>
  <cp:keywords/>
  <dc:description/>
  <cp:lastModifiedBy>Alessandra Whittingham</cp:lastModifiedBy>
  <cp:revision>1</cp:revision>
  <dcterms:created xsi:type="dcterms:W3CDTF">2021-09-20T13:03:00Z</dcterms:created>
  <dcterms:modified xsi:type="dcterms:W3CDTF">2021-09-20T13:04:00Z</dcterms:modified>
</cp:coreProperties>
</file>