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C8B" w:rsidRDefault="00871C8B" w:rsidP="00871C8B">
      <w:pPr>
        <w:widowControl w:val="0"/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Supplementary </w:t>
      </w:r>
      <w:r w:rsidR="00C520A3">
        <w:rPr>
          <w:b/>
          <w:sz w:val="32"/>
          <w:szCs w:val="32"/>
        </w:rPr>
        <w:t>information</w:t>
      </w:r>
    </w:p>
    <w:p w:rsidR="00871C8B" w:rsidRDefault="00871C8B" w:rsidP="00871C8B">
      <w:pPr>
        <w:widowControl w:val="0"/>
        <w:spacing w:after="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220CF" w:rsidRPr="00431021" w:rsidRDefault="00871C8B" w:rsidP="00822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</w:rPr>
      </w:pPr>
      <w:r>
        <w:rPr>
          <w:b/>
          <w:sz w:val="24"/>
          <w:szCs w:val="24"/>
        </w:rPr>
        <w:t xml:space="preserve">Supplement to: </w:t>
      </w:r>
      <w:r w:rsidR="005F02B1">
        <w:t>Effectiveness of ChAdOx1 vaccine in older adults during SARS-CoV-2 Gamma variant circulation in São Paulo</w:t>
      </w:r>
      <w:bookmarkStart w:id="0" w:name="_GoBack"/>
      <w:bookmarkEnd w:id="0"/>
    </w:p>
    <w:p w:rsidR="00871C8B" w:rsidRDefault="00871C8B" w:rsidP="00871C8B">
      <w:pPr>
        <w:widowControl w:val="0"/>
        <w:spacing w:after="0" w:line="276" w:lineRule="auto"/>
        <w:rPr>
          <w:sz w:val="24"/>
          <w:szCs w:val="24"/>
        </w:rPr>
      </w:pPr>
    </w:p>
    <w:p w:rsidR="00871C8B" w:rsidRDefault="00871C8B" w:rsidP="00871C8B">
      <w:pPr>
        <w:widowControl w:val="0"/>
        <w:spacing w:after="240" w:line="240" w:lineRule="auto"/>
      </w:pPr>
    </w:p>
    <w:p w:rsidR="00871C8B" w:rsidRDefault="00EF302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44EE0F9" wp14:editId="51197F95">
            <wp:simplePos x="0" y="0"/>
            <wp:positionH relativeFrom="column">
              <wp:posOffset>6350</wp:posOffset>
            </wp:positionH>
            <wp:positionV relativeFrom="paragraph">
              <wp:posOffset>602615</wp:posOffset>
            </wp:positionV>
            <wp:extent cx="5943600" cy="4953000"/>
            <wp:effectExtent l="0" t="0" r="0" b="0"/>
            <wp:wrapTopAndBottom distT="114300" distB="11430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71C8B">
        <w:rPr>
          <w:rFonts w:ascii="Times New Roman" w:eastAsia="Times New Roman" w:hAnsi="Times New Roman" w:cs="Times New Roman"/>
          <w:sz w:val="20"/>
          <w:szCs w:val="20"/>
        </w:rPr>
        <w:t xml:space="preserve">Supplementary Figure 1. </w:t>
      </w:r>
      <w:r w:rsidR="0073272E">
        <w:rPr>
          <w:rFonts w:ascii="Times New Roman" w:eastAsia="Times New Roman" w:hAnsi="Times New Roman" w:cs="Times New Roman"/>
          <w:b/>
          <w:sz w:val="20"/>
          <w:szCs w:val="20"/>
        </w:rPr>
        <w:t xml:space="preserve">Timing of discordant case-control pair selection. </w:t>
      </w:r>
      <w:r w:rsidR="00871C8B">
        <w:rPr>
          <w:rFonts w:ascii="Times New Roman" w:eastAsia="Times New Roman" w:hAnsi="Times New Roman" w:cs="Times New Roman"/>
          <w:sz w:val="20"/>
          <w:szCs w:val="20"/>
        </w:rPr>
        <w:t>Timing of enrolment of discordant case-control pairs by vaccination category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(n=4,046 discordant pairs)</w:t>
      </w:r>
      <w:r w:rsidR="00B457F1">
        <w:rPr>
          <w:rFonts w:ascii="Times New Roman" w:eastAsia="Times New Roman" w:hAnsi="Times New Roman" w:cs="Times New Roman"/>
          <w:sz w:val="20"/>
          <w:szCs w:val="20"/>
        </w:rPr>
        <w:t>. Source data are provided as a Source Data file.</w:t>
      </w: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Supplementary Figure 2. </w:t>
      </w:r>
      <w:r w:rsidR="0073272E">
        <w:rPr>
          <w:rFonts w:ascii="Times New Roman" w:eastAsia="Times New Roman" w:hAnsi="Times New Roman" w:cs="Times New Roman"/>
          <w:b/>
          <w:sz w:val="20"/>
          <w:szCs w:val="20"/>
        </w:rPr>
        <w:t xml:space="preserve">Timing of RT-PCR sample collection date relative to vaccination. </w:t>
      </w:r>
      <w:r>
        <w:rPr>
          <w:rFonts w:ascii="Times New Roman" w:eastAsia="Times New Roman" w:hAnsi="Times New Roman" w:cs="Times New Roman"/>
          <w:sz w:val="20"/>
          <w:szCs w:val="20"/>
        </w:rPr>
        <w:t>Timing of RT-PCR sample collection date relative to 1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(left column) and 2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(right column) vaccine dose date, among cases (top row) and controls (bottom row) who were vaccinated during the study period.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A4049C6" wp14:editId="6F5B182E">
            <wp:simplePos x="0" y="0"/>
            <wp:positionH relativeFrom="column">
              <wp:posOffset>19051</wp:posOffset>
            </wp:positionH>
            <wp:positionV relativeFrom="paragraph">
              <wp:posOffset>609563</wp:posOffset>
            </wp:positionV>
            <wp:extent cx="2436019" cy="4872038"/>
            <wp:effectExtent l="0" t="0" r="0" b="0"/>
            <wp:wrapTopAndBottom distT="114300" distB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6019" cy="4872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14BB8218" wp14:editId="787A7D0D">
            <wp:simplePos x="0" y="0"/>
            <wp:positionH relativeFrom="column">
              <wp:posOffset>2457450</wp:posOffset>
            </wp:positionH>
            <wp:positionV relativeFrom="paragraph">
              <wp:posOffset>604838</wp:posOffset>
            </wp:positionV>
            <wp:extent cx="2438400" cy="4889053"/>
            <wp:effectExtent l="0" t="0" r="0" b="0"/>
            <wp:wrapTopAndBottom distT="114300" distB="11430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889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457F1">
        <w:rPr>
          <w:rFonts w:ascii="Times New Roman" w:eastAsia="Times New Roman" w:hAnsi="Times New Roman" w:cs="Times New Roman"/>
          <w:sz w:val="20"/>
          <w:szCs w:val="20"/>
        </w:rPr>
        <w:t xml:space="preserve"> Source data are provided as a Source Data file.</w:t>
      </w: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45F8" w:rsidRDefault="005A45F8" w:rsidP="005A45F8">
      <w:pPr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Supplementary Table 1. </w:t>
      </w:r>
      <w:r w:rsidRPr="00B050A1">
        <w:rPr>
          <w:rFonts w:ascii="Times New Roman" w:hAnsi="Times New Roman" w:cs="Times New Roman"/>
          <w:sz w:val="20"/>
        </w:rPr>
        <w:t>Characteristics of adults ≥60 years of age who were eligible for matching and selected into case-test negative pairs.</w:t>
      </w:r>
    </w:p>
    <w:tbl>
      <w:tblPr>
        <w:tblpPr w:leftFromText="180" w:rightFromText="180" w:vertAnchor="page" w:horzAnchor="margin" w:tblpY="2042"/>
        <w:tblW w:w="95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40"/>
        <w:gridCol w:w="1440"/>
        <w:gridCol w:w="1540"/>
        <w:gridCol w:w="1260"/>
        <w:gridCol w:w="1260"/>
      </w:tblGrid>
      <w:tr w:rsidR="00F11F1E" w:rsidRPr="0025354B" w:rsidTr="00F11F1E">
        <w:trPr>
          <w:trHeight w:val="170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bookmarkStart w:id="1" w:name="_jxapvzfmt8nh" w:colFirst="0" w:colLast="0"/>
            <w:bookmarkStart w:id="2" w:name="_heading=h.cbfuhl1ks0b4" w:colFirst="0" w:colLast="0"/>
            <w:bookmarkEnd w:id="1"/>
            <w:bookmarkEnd w:id="2"/>
          </w:p>
        </w:tc>
        <w:tc>
          <w:tcPr>
            <w:tcW w:w="298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Eligible cases and controls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Matched pairs</w:t>
            </w:r>
          </w:p>
        </w:tc>
      </w:tr>
      <w:tr w:rsidR="00F11F1E" w:rsidRPr="0025354B" w:rsidTr="00F11F1E">
        <w:trPr>
          <w:trHeight w:val="235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Characteristics*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25354B">
              <w:rPr>
                <w:rFonts w:asciiTheme="majorHAnsi" w:hAnsiTheme="majorHAnsi" w:cstheme="majorHAnsi"/>
                <w:b/>
              </w:rPr>
              <w:t>Test-negative  (n=56,676)^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Test-positive (n=81,997)^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Controls (n=30,680)^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Cases (n=30,680)^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Demographics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Age categories, n (%)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60-69 years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39,842 (70.3)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58,181 (71.0)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23,684 (77.2)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23,684 (77.2)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70-79 years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10,346 (18.3)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15,963 (19.5)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4,858 (15.8)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4,858 (15.8)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80-89 years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5,570 (9.8)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6,949 (8.5)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1,966 (6.4)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1,966 (6.4)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≥90 years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918 (1.6)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904 (1.1)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172 (0.6)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172 (0.6)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t>Comorbidities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Cardiovascular disease, n (%)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13,069 (23.1)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24,456 (29.8)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6,865 (22.4)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9,429 (30.7)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Diabetes, n (%)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8,078 (14.3)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16,592 (20.2)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4,308 (14.0)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6,319 (20.6)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b/>
              </w:rPr>
              <w:t>Clinical outcomes</w:t>
            </w:r>
            <w:r>
              <w:rPr>
                <w:rFonts w:asciiTheme="majorHAnsi" w:hAnsiTheme="majorHAnsi" w:cstheme="majorHAnsi"/>
                <w:b/>
              </w:rPr>
              <w:t xml:space="preserve"> and vaccine timing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ARI-related hospitalization, n/n not missing (%)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7,531/56,468 (13.3)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30,189/81,515 (37.0)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3,818/30,581 (12.5)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11,250/ 30,502 (36.9)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ARI-related death, n/n not missing (%)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2,571/55,495 (4.6)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14,082/78,921 (17.8)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1,321/30,144 (4.4)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4,850/29,543 (16.4)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Interval between symptom onset and RT-PCR testing, median (IQR), days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3 (2-5)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4 (3-6)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3 (2-5)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4 (2-6)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Interval between symptom onset and hospitalization, median (IQR), days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3 (1-5)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7 (4-10)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2 (1-5)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7 (4-10)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Interval between symptom onset and death, median (IQR), days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8 (4-15)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16 (11-24)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8.5 (4-16)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17 (11-25)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Interval between 1st and 2nd dose, median (IQR), days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85 (84-90)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86 (84-92)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85 (84-90)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86 (84-92)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Interval between 1st dose and RT-PCR testing, median (IQR), days</w:t>
            </w:r>
          </w:p>
        </w:tc>
        <w:tc>
          <w:tcPr>
            <w:tcW w:w="14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37 (21-57)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28 (15-48)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33 (18-50)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30 (15-48)</w:t>
            </w:r>
          </w:p>
        </w:tc>
      </w:tr>
      <w:tr w:rsidR="00F11F1E" w:rsidRPr="0025354B" w:rsidTr="00F11F1E">
        <w:trPr>
          <w:trHeight w:val="170"/>
        </w:trPr>
        <w:tc>
          <w:tcPr>
            <w:tcW w:w="4040" w:type="dxa"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1F1E" w:rsidRPr="0025354B" w:rsidRDefault="00F11F1E" w:rsidP="00F11F1E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Interval between 2nd dose and RT-PCR testing, median (IQR), days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21 (12-33)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13 (8-24)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20 (10-34)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F11F1E" w:rsidRPr="0025354B" w:rsidRDefault="00F11F1E" w:rsidP="00F11F1E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  <w:color w:val="000000"/>
              </w:rPr>
              <w:t>13 (8-24)</w:t>
            </w:r>
          </w:p>
        </w:tc>
      </w:tr>
    </w:tbl>
    <w:p w:rsidR="00B050A1" w:rsidRDefault="00B050A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F1E" w:rsidRDefault="00F11F1E" w:rsidP="00F11F1E">
      <w:pPr>
        <w:spacing w:after="0" w:line="240" w:lineRule="auto"/>
      </w:pPr>
      <w:r>
        <w:lastRenderedPageBreak/>
        <w:t>*Continuous variables are displayed as mean (SD); categorical variables are displayed as n (%).</w:t>
      </w:r>
    </w:p>
    <w:p w:rsidR="00F11F1E" w:rsidRDefault="00F11F1E" w:rsidP="00F11F1E">
      <w:pPr>
        <w:spacing w:after="0" w:line="240" w:lineRule="auto"/>
      </w:pPr>
      <w:r>
        <w:t>^These numbers refer to RT-PCR tests and represent 120,483 individuals for the eligible cases and controls and 53,495 individuals in the matched cases and controls.</w:t>
      </w:r>
    </w:p>
    <w:p w:rsidR="00F11F1E" w:rsidRDefault="00F11F1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5A45F8" w:rsidRPr="009C5E24" w:rsidRDefault="005A45F8" w:rsidP="005A45F8">
      <w:pPr>
        <w:pStyle w:val="Heading1"/>
        <w:keepNext w:val="0"/>
        <w:keepLines w:val="0"/>
        <w:widowControl w:val="0"/>
        <w:spacing w:line="267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</w:rPr>
        <w:lastRenderedPageBreak/>
        <w:t>Supplementary Table 2</w:t>
      </w:r>
      <w:r w:rsidRPr="009C5E24">
        <w:rPr>
          <w:rFonts w:ascii="Times New Roman" w:eastAsia="Times New Roman" w:hAnsi="Times New Roman" w:cs="Times New Roman"/>
          <w:b w:val="0"/>
          <w:sz w:val="20"/>
          <w:szCs w:val="20"/>
        </w:rPr>
        <w:t>. Distribution of concordant and discordant matched case-control pairs.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525"/>
        <w:gridCol w:w="1271"/>
        <w:gridCol w:w="1249"/>
        <w:gridCol w:w="1260"/>
        <w:gridCol w:w="1260"/>
        <w:gridCol w:w="1325"/>
        <w:gridCol w:w="1375"/>
      </w:tblGrid>
      <w:tr w:rsidR="005A45F8" w:rsidRPr="009C5E24" w:rsidTr="00E35CE6">
        <w:trPr>
          <w:trHeight w:val="290"/>
        </w:trPr>
        <w:tc>
          <w:tcPr>
            <w:tcW w:w="15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unvaccinated</w:t>
            </w:r>
          </w:p>
        </w:tc>
        <w:tc>
          <w:tcPr>
            <w:tcW w:w="1249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Case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1 dose,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14-27 days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1 dose,  ≥28 days</w:t>
            </w:r>
          </w:p>
        </w:tc>
        <w:tc>
          <w:tcPr>
            <w:tcW w:w="13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2 doses,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37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2 doses, ≥14 days</w:t>
            </w:r>
          </w:p>
        </w:tc>
      </w:tr>
      <w:tr w:rsidR="005A45F8" w:rsidRPr="009C5E24" w:rsidTr="00E35CE6">
        <w:trPr>
          <w:trHeight w:val="290"/>
        </w:trPr>
        <w:tc>
          <w:tcPr>
            <w:tcW w:w="15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unvaccinated</w:t>
            </w:r>
          </w:p>
        </w:tc>
        <w:tc>
          <w:tcPr>
            <w:tcW w:w="1271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23,575</w:t>
            </w:r>
          </w:p>
        </w:tc>
        <w:tc>
          <w:tcPr>
            <w:tcW w:w="1249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32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7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A45F8" w:rsidRPr="009C5E24" w:rsidTr="00E35CE6">
        <w:trPr>
          <w:trHeight w:val="290"/>
        </w:trPr>
        <w:tc>
          <w:tcPr>
            <w:tcW w:w="15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271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249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2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45F8" w:rsidRPr="009C5E24" w:rsidTr="00E35CE6">
        <w:trPr>
          <w:trHeight w:val="290"/>
        </w:trPr>
        <w:tc>
          <w:tcPr>
            <w:tcW w:w="15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1 dose,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14-27 days</w:t>
            </w:r>
          </w:p>
        </w:tc>
        <w:tc>
          <w:tcPr>
            <w:tcW w:w="1271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249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32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A45F8" w:rsidRPr="009C5E24" w:rsidTr="00E35CE6">
        <w:trPr>
          <w:trHeight w:val="290"/>
        </w:trPr>
        <w:tc>
          <w:tcPr>
            <w:tcW w:w="15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≥28 days</w:t>
            </w:r>
          </w:p>
        </w:tc>
        <w:tc>
          <w:tcPr>
            <w:tcW w:w="1271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249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1922</w:t>
            </w:r>
          </w:p>
        </w:tc>
        <w:tc>
          <w:tcPr>
            <w:tcW w:w="132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7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A45F8" w:rsidRPr="009C5E24" w:rsidTr="00E35CE6">
        <w:trPr>
          <w:trHeight w:val="290"/>
        </w:trPr>
        <w:tc>
          <w:tcPr>
            <w:tcW w:w="15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2 doses,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271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49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7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A45F8" w:rsidRPr="009C5E24" w:rsidTr="00E35CE6">
        <w:trPr>
          <w:trHeight w:val="290"/>
        </w:trPr>
        <w:tc>
          <w:tcPr>
            <w:tcW w:w="1525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2 doses,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≥14 days</w:t>
            </w:r>
          </w:p>
        </w:tc>
        <w:tc>
          <w:tcPr>
            <w:tcW w:w="1271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49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2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75" w:type="dxa"/>
            <w:noWrap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</w:tbl>
    <w:p w:rsidR="005A45F8" w:rsidRPr="009C5E24" w:rsidRDefault="005A45F8" w:rsidP="005A45F8">
      <w:pPr>
        <w:pStyle w:val="Heading1"/>
        <w:keepNext w:val="0"/>
        <w:keepLines w:val="0"/>
        <w:widowControl w:val="0"/>
        <w:spacing w:line="267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</w:rPr>
        <w:t>Supplementary Table 3</w:t>
      </w:r>
      <w:r w:rsidRPr="009C5E24">
        <w:rPr>
          <w:rFonts w:ascii="Times New Roman" w:eastAsia="Times New Roman" w:hAnsi="Times New Roman" w:cs="Times New Roman"/>
          <w:b w:val="0"/>
          <w:sz w:val="20"/>
          <w:szCs w:val="20"/>
        </w:rPr>
        <w:t>. Distribution of concordant and discordant matched case-control pairs with hospitalized cases.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533"/>
        <w:gridCol w:w="1361"/>
        <w:gridCol w:w="1242"/>
        <w:gridCol w:w="1260"/>
        <w:gridCol w:w="1259"/>
        <w:gridCol w:w="1350"/>
        <w:gridCol w:w="1345"/>
      </w:tblGrid>
      <w:tr w:rsidR="005A45F8" w:rsidRPr="009C5E24" w:rsidTr="00E35CE6">
        <w:trPr>
          <w:trHeight w:val="290"/>
        </w:trPr>
        <w:tc>
          <w:tcPr>
            <w:tcW w:w="820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unvaccinated</w:t>
            </w:r>
          </w:p>
        </w:tc>
        <w:tc>
          <w:tcPr>
            <w:tcW w:w="664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Case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674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1 dose,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14-27 days</w:t>
            </w:r>
          </w:p>
        </w:tc>
        <w:tc>
          <w:tcPr>
            <w:tcW w:w="673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1 dose,  ≥28 days</w:t>
            </w:r>
          </w:p>
        </w:tc>
        <w:tc>
          <w:tcPr>
            <w:tcW w:w="722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2 doses,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719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2 doses, ≥14 days</w:t>
            </w:r>
          </w:p>
        </w:tc>
      </w:tr>
      <w:tr w:rsidR="005A45F8" w:rsidRPr="009C5E24" w:rsidTr="00E35CE6">
        <w:trPr>
          <w:trHeight w:val="290"/>
        </w:trPr>
        <w:tc>
          <w:tcPr>
            <w:tcW w:w="820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unvaccinated</w:t>
            </w:r>
          </w:p>
        </w:tc>
        <w:tc>
          <w:tcPr>
            <w:tcW w:w="728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8,454</w:t>
            </w:r>
          </w:p>
        </w:tc>
        <w:tc>
          <w:tcPr>
            <w:tcW w:w="66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67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73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722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9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5A45F8" w:rsidRPr="009C5E24" w:rsidTr="00E35CE6">
        <w:trPr>
          <w:trHeight w:val="290"/>
        </w:trPr>
        <w:tc>
          <w:tcPr>
            <w:tcW w:w="820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728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66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7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73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2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9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A45F8" w:rsidRPr="009C5E24" w:rsidTr="00E35CE6">
        <w:trPr>
          <w:trHeight w:val="290"/>
        </w:trPr>
        <w:tc>
          <w:tcPr>
            <w:tcW w:w="820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1 dose,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14-27 days</w:t>
            </w:r>
          </w:p>
        </w:tc>
        <w:tc>
          <w:tcPr>
            <w:tcW w:w="728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6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7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673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22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9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A45F8" w:rsidRPr="009C5E24" w:rsidTr="00E35CE6">
        <w:trPr>
          <w:trHeight w:val="290"/>
        </w:trPr>
        <w:tc>
          <w:tcPr>
            <w:tcW w:w="820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≥28 days</w:t>
            </w:r>
          </w:p>
        </w:tc>
        <w:tc>
          <w:tcPr>
            <w:tcW w:w="728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66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7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73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722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9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5A45F8" w:rsidRPr="009C5E24" w:rsidTr="00E35CE6">
        <w:trPr>
          <w:trHeight w:val="290"/>
        </w:trPr>
        <w:tc>
          <w:tcPr>
            <w:tcW w:w="820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2 doses,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728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3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2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9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A45F8" w:rsidRPr="009C5E24" w:rsidTr="00E35CE6">
        <w:trPr>
          <w:trHeight w:val="290"/>
        </w:trPr>
        <w:tc>
          <w:tcPr>
            <w:tcW w:w="820" w:type="pct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2 doses,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≥14 days</w:t>
            </w:r>
          </w:p>
        </w:tc>
        <w:tc>
          <w:tcPr>
            <w:tcW w:w="728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6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3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2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9" w:type="pct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</w:tbl>
    <w:p w:rsidR="005A45F8" w:rsidRPr="009C5E24" w:rsidRDefault="005A45F8" w:rsidP="005A45F8">
      <w:pPr>
        <w:pStyle w:val="Heading1"/>
        <w:keepNext w:val="0"/>
        <w:keepLines w:val="0"/>
        <w:widowControl w:val="0"/>
        <w:spacing w:line="267" w:lineRule="auto"/>
        <w:rPr>
          <w:rFonts w:ascii="Times New Roman" w:eastAsia="Times New Roman" w:hAnsi="Times New Roman" w:cs="Times New Roman"/>
          <w:b w:val="0"/>
          <w:sz w:val="20"/>
          <w:szCs w:val="20"/>
        </w:rPr>
      </w:pPr>
    </w:p>
    <w:p w:rsidR="005A45F8" w:rsidRPr="009C5E24" w:rsidRDefault="005A45F8" w:rsidP="005A45F8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:rsidR="005A45F8" w:rsidRPr="009C5E24" w:rsidRDefault="005A45F8" w:rsidP="005A45F8">
      <w:pPr>
        <w:pStyle w:val="Heading1"/>
        <w:keepNext w:val="0"/>
        <w:keepLines w:val="0"/>
        <w:widowControl w:val="0"/>
        <w:spacing w:line="267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sz w:val="20"/>
          <w:szCs w:val="20"/>
        </w:rPr>
        <w:lastRenderedPageBreak/>
        <w:t>Supplementary Table 4</w:t>
      </w:r>
      <w:r w:rsidRPr="009C5E24">
        <w:rPr>
          <w:rFonts w:ascii="Times New Roman" w:eastAsia="Times New Roman" w:hAnsi="Times New Roman" w:cs="Times New Roman"/>
          <w:b w:val="0"/>
          <w:sz w:val="20"/>
          <w:szCs w:val="20"/>
        </w:rPr>
        <w:t>. Distribution of concordant and discordant matched case-control pairs with cases who died.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658"/>
        <w:gridCol w:w="1271"/>
        <w:gridCol w:w="1260"/>
        <w:gridCol w:w="1260"/>
        <w:gridCol w:w="1260"/>
        <w:gridCol w:w="1350"/>
        <w:gridCol w:w="1350"/>
      </w:tblGrid>
      <w:tr w:rsidR="005A45F8" w:rsidRPr="009C5E24" w:rsidTr="00E35CE6">
        <w:trPr>
          <w:trHeight w:val="290"/>
        </w:trPr>
        <w:tc>
          <w:tcPr>
            <w:tcW w:w="1658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unvaccinated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Case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1 dose,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14-27 days</w:t>
            </w:r>
          </w:p>
        </w:tc>
        <w:tc>
          <w:tcPr>
            <w:tcW w:w="1260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1 dose,  ≥28 days</w:t>
            </w:r>
          </w:p>
        </w:tc>
        <w:tc>
          <w:tcPr>
            <w:tcW w:w="1350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2 doses,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350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 2 doses, ≥14 days</w:t>
            </w:r>
          </w:p>
        </w:tc>
      </w:tr>
      <w:tr w:rsidR="005A45F8" w:rsidRPr="009C5E24" w:rsidTr="00E35CE6">
        <w:trPr>
          <w:trHeight w:val="290"/>
        </w:trPr>
        <w:tc>
          <w:tcPr>
            <w:tcW w:w="1658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unvaccinated</w:t>
            </w:r>
          </w:p>
        </w:tc>
        <w:tc>
          <w:tcPr>
            <w:tcW w:w="1217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3,734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A45F8" w:rsidRPr="009C5E24" w:rsidTr="00E35CE6">
        <w:trPr>
          <w:trHeight w:val="290"/>
        </w:trPr>
        <w:tc>
          <w:tcPr>
            <w:tcW w:w="1658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217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A45F8" w:rsidRPr="009C5E24" w:rsidTr="00E35CE6">
        <w:trPr>
          <w:trHeight w:val="290"/>
        </w:trPr>
        <w:tc>
          <w:tcPr>
            <w:tcW w:w="1658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1 dose,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14-27 days</w:t>
            </w:r>
          </w:p>
        </w:tc>
        <w:tc>
          <w:tcPr>
            <w:tcW w:w="1217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A45F8" w:rsidRPr="009C5E24" w:rsidTr="00E35CE6">
        <w:trPr>
          <w:trHeight w:val="290"/>
        </w:trPr>
        <w:tc>
          <w:tcPr>
            <w:tcW w:w="1658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1 dose,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≥28 days</w:t>
            </w:r>
          </w:p>
        </w:tc>
        <w:tc>
          <w:tcPr>
            <w:tcW w:w="1217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A45F8" w:rsidRPr="009C5E24" w:rsidTr="00E35CE6">
        <w:trPr>
          <w:trHeight w:val="290"/>
        </w:trPr>
        <w:tc>
          <w:tcPr>
            <w:tcW w:w="1658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2 doses, 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0-13 days</w:t>
            </w:r>
          </w:p>
        </w:tc>
        <w:tc>
          <w:tcPr>
            <w:tcW w:w="1217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A45F8" w:rsidRPr="009C5E24" w:rsidTr="00E35CE6">
        <w:trPr>
          <w:trHeight w:val="290"/>
        </w:trPr>
        <w:tc>
          <w:tcPr>
            <w:tcW w:w="1658" w:type="dxa"/>
            <w:noWrap/>
            <w:hideMark/>
          </w:tcPr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2 doses,</w:t>
            </w:r>
          </w:p>
          <w:p w:rsidR="005A45F8" w:rsidRPr="009C5E24" w:rsidRDefault="005A45F8" w:rsidP="00E35C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≥14 days</w:t>
            </w:r>
          </w:p>
        </w:tc>
        <w:tc>
          <w:tcPr>
            <w:tcW w:w="1217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noWrap/>
            <w:vAlign w:val="bottom"/>
            <w:hideMark/>
          </w:tcPr>
          <w:p w:rsidR="005A45F8" w:rsidRPr="009C5E24" w:rsidRDefault="005A45F8" w:rsidP="00E35C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</w:tbl>
    <w:p w:rsidR="005631CC" w:rsidRDefault="005A45F8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tbl>
      <w:tblPr>
        <w:tblW w:w="10170" w:type="dxa"/>
        <w:tblInd w:w="-280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4770"/>
      </w:tblGrid>
      <w:tr w:rsidR="005631CC" w:rsidRPr="0025354B" w:rsidTr="00F11F1E">
        <w:trPr>
          <w:trHeight w:val="235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E35CE6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</w:rPr>
            </w:pPr>
            <w:r w:rsidRPr="0025354B">
              <w:rPr>
                <w:rFonts w:asciiTheme="majorHAnsi" w:hAnsiTheme="majorHAnsi" w:cstheme="majorHAnsi"/>
                <w:b/>
              </w:rPr>
              <w:lastRenderedPageBreak/>
              <w:t>Characteristics*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COVID-19 with positive RT-PCR or rapid antigen test</w:t>
            </w:r>
            <w:r w:rsidRPr="0025354B">
              <w:rPr>
                <w:rFonts w:asciiTheme="majorHAnsi" w:hAnsiTheme="majorHAnsi" w:cstheme="majorHAnsi"/>
                <w:b/>
              </w:rPr>
              <w:t xml:space="preserve"> (n=</w:t>
            </w:r>
            <w:r>
              <w:rPr>
                <w:rFonts w:asciiTheme="majorHAnsi" w:hAnsiTheme="majorHAnsi" w:cstheme="majorHAnsi"/>
                <w:b/>
              </w:rPr>
              <w:t>82,061)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Age, mean (SD), years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F11F1E" w:rsidP="00F11F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67.7 (7.3</w:t>
            </w:r>
            <w:r w:rsidR="005631CC"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Male sex,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 (48.0)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 </w:t>
            </w:r>
            <w:r w:rsidR="00F11F1E" w:rsidRPr="0025354B">
              <w:rPr>
                <w:rFonts w:asciiTheme="majorHAnsi" w:hAnsiTheme="majorHAnsi" w:cstheme="majorHAnsi"/>
              </w:rPr>
              <w:t>Self-reported race</w:t>
            </w:r>
            <w:r w:rsidR="00F11F1E" w:rsidRPr="0025354B">
              <w:rPr>
                <w:rFonts w:asciiTheme="majorHAnsi" w:hAnsiTheme="majorHAnsi" w:cstheme="majorHAnsi"/>
                <w:vertAlign w:val="superscript"/>
              </w:rPr>
              <w:t>†</w:t>
            </w:r>
            <w:r w:rsidR="00F11F1E">
              <w:rPr>
                <w:rFonts w:asciiTheme="majorHAnsi" w:hAnsiTheme="majorHAnsi" w:cstheme="majorHAnsi"/>
              </w:rPr>
              <w:t xml:space="preserve">: </w:t>
            </w:r>
            <w:r w:rsidRPr="0025354B">
              <w:rPr>
                <w:rFonts w:asciiTheme="majorHAnsi" w:hAnsiTheme="majorHAnsi" w:cstheme="majorHAnsi"/>
              </w:rPr>
              <w:t>White/Branca</w:t>
            </w:r>
            <w:r w:rsidR="00F11F1E">
              <w:rPr>
                <w:rFonts w:asciiTheme="majorHAnsi" w:hAnsiTheme="majorHAnsi" w:cstheme="majorHAnsi"/>
              </w:rPr>
              <w:t>, n(%)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 (71.1)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 </w:t>
            </w:r>
            <w:r w:rsidR="00F11F1E" w:rsidRPr="0025354B">
              <w:rPr>
                <w:rFonts w:asciiTheme="majorHAnsi" w:hAnsiTheme="majorHAnsi" w:cstheme="majorHAnsi"/>
              </w:rPr>
              <w:t>Self-reported race</w:t>
            </w:r>
            <w:r w:rsidR="00F11F1E" w:rsidRPr="0025354B">
              <w:rPr>
                <w:rFonts w:asciiTheme="majorHAnsi" w:hAnsiTheme="majorHAnsi" w:cstheme="majorHAnsi"/>
                <w:vertAlign w:val="superscript"/>
              </w:rPr>
              <w:t>†</w:t>
            </w:r>
            <w:r w:rsidR="00F11F1E">
              <w:rPr>
                <w:rFonts w:asciiTheme="majorHAnsi" w:hAnsiTheme="majorHAnsi" w:cstheme="majorHAnsi"/>
              </w:rPr>
              <w:t xml:space="preserve">: </w:t>
            </w:r>
            <w:r w:rsidRPr="0025354B">
              <w:rPr>
                <w:rFonts w:asciiTheme="majorHAnsi" w:hAnsiTheme="majorHAnsi" w:cstheme="majorHAnsi"/>
              </w:rPr>
              <w:t>Brown/Pardo</w:t>
            </w:r>
            <w:r w:rsidR="00F11F1E">
              <w:rPr>
                <w:rFonts w:asciiTheme="majorHAnsi" w:hAnsiTheme="majorHAnsi" w:cstheme="majorHAnsi"/>
              </w:rPr>
              <w:t>, n(%)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 (22.7)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 </w:t>
            </w:r>
            <w:r w:rsidR="00F11F1E" w:rsidRPr="0025354B">
              <w:rPr>
                <w:rFonts w:asciiTheme="majorHAnsi" w:hAnsiTheme="majorHAnsi" w:cstheme="majorHAnsi"/>
              </w:rPr>
              <w:t>Self-reported race</w:t>
            </w:r>
            <w:r w:rsidR="00F11F1E" w:rsidRPr="0025354B">
              <w:rPr>
                <w:rFonts w:asciiTheme="majorHAnsi" w:hAnsiTheme="majorHAnsi" w:cstheme="majorHAnsi"/>
                <w:vertAlign w:val="superscript"/>
              </w:rPr>
              <w:t>†</w:t>
            </w:r>
            <w:r w:rsidR="00F11F1E">
              <w:rPr>
                <w:rFonts w:asciiTheme="majorHAnsi" w:hAnsiTheme="majorHAnsi" w:cstheme="majorHAnsi"/>
              </w:rPr>
              <w:t xml:space="preserve">: </w:t>
            </w:r>
            <w:r w:rsidRPr="0025354B">
              <w:rPr>
                <w:rFonts w:asciiTheme="majorHAnsi" w:hAnsiTheme="majorHAnsi" w:cstheme="majorHAnsi"/>
              </w:rPr>
              <w:t>Black/Preta</w:t>
            </w:r>
            <w:r w:rsidR="00F11F1E">
              <w:rPr>
                <w:rFonts w:asciiTheme="majorHAnsi" w:hAnsiTheme="majorHAnsi" w:cstheme="majorHAnsi"/>
              </w:rPr>
              <w:t>, n(%)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(5.0)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</w:t>
            </w:r>
            <w:r w:rsidR="00F11F1E" w:rsidRPr="0025354B">
              <w:rPr>
                <w:rFonts w:asciiTheme="majorHAnsi" w:hAnsiTheme="majorHAnsi" w:cstheme="majorHAnsi"/>
              </w:rPr>
              <w:t>Self-reported race</w:t>
            </w:r>
            <w:r w:rsidR="00F11F1E" w:rsidRPr="0025354B">
              <w:rPr>
                <w:rFonts w:asciiTheme="majorHAnsi" w:hAnsiTheme="majorHAnsi" w:cstheme="majorHAnsi"/>
                <w:vertAlign w:val="superscript"/>
              </w:rPr>
              <w:t>†</w:t>
            </w:r>
            <w:r w:rsidR="00F11F1E">
              <w:rPr>
                <w:rFonts w:asciiTheme="majorHAnsi" w:hAnsiTheme="majorHAnsi" w:cstheme="majorHAnsi"/>
              </w:rPr>
              <w:t xml:space="preserve">: </w:t>
            </w:r>
            <w:r w:rsidRPr="0025354B">
              <w:rPr>
                <w:rFonts w:asciiTheme="majorHAnsi" w:hAnsiTheme="majorHAnsi" w:cstheme="majorHAnsi"/>
              </w:rPr>
              <w:t>Yellow/ Amarela</w:t>
            </w:r>
            <w:r w:rsidR="00F11F1E">
              <w:rPr>
                <w:rFonts w:asciiTheme="majorHAnsi" w:hAnsiTheme="majorHAnsi" w:cstheme="majorHAnsi"/>
              </w:rPr>
              <w:t>, n(%)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 (1.1)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 </w:t>
            </w:r>
            <w:r w:rsidR="00F11F1E" w:rsidRPr="0025354B">
              <w:rPr>
                <w:rFonts w:asciiTheme="majorHAnsi" w:hAnsiTheme="majorHAnsi" w:cstheme="majorHAnsi"/>
              </w:rPr>
              <w:t>Self-reported race</w:t>
            </w:r>
            <w:r w:rsidR="00F11F1E" w:rsidRPr="0025354B">
              <w:rPr>
                <w:rFonts w:asciiTheme="majorHAnsi" w:hAnsiTheme="majorHAnsi" w:cstheme="majorHAnsi"/>
                <w:vertAlign w:val="superscript"/>
              </w:rPr>
              <w:t>†</w:t>
            </w:r>
            <w:r w:rsidR="00F11F1E">
              <w:rPr>
                <w:rFonts w:asciiTheme="majorHAnsi" w:hAnsiTheme="majorHAnsi" w:cstheme="majorHAnsi"/>
              </w:rPr>
              <w:t xml:space="preserve">: </w:t>
            </w:r>
            <w:r w:rsidRPr="0025354B">
              <w:rPr>
                <w:rFonts w:asciiTheme="majorHAnsi" w:hAnsiTheme="majorHAnsi" w:cstheme="majorHAnsi"/>
              </w:rPr>
              <w:t>Indigenous/Indigena</w:t>
            </w:r>
            <w:r w:rsidR="00F11F1E">
              <w:rPr>
                <w:rFonts w:asciiTheme="majorHAnsi" w:hAnsiTheme="majorHAnsi" w:cstheme="majorHAnsi"/>
              </w:rPr>
              <w:t>, n(%)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(0.0)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E35CE6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Reported number</w:t>
            </w:r>
            <w:r>
              <w:rPr>
                <w:rFonts w:asciiTheme="majorHAnsi" w:hAnsiTheme="majorHAnsi" w:cstheme="majorHAnsi"/>
              </w:rPr>
              <w:t xml:space="preserve"> of comorbidities</w:t>
            </w:r>
            <w:r w:rsidRPr="0025354B">
              <w:rPr>
                <w:rFonts w:asciiTheme="majorHAnsi" w:hAnsiTheme="majorHAnsi" w:cstheme="majorHAnsi"/>
                <w:vertAlign w:val="superscript"/>
              </w:rPr>
              <w:t>‡</w:t>
            </w:r>
            <w:r w:rsidRPr="0025354B">
              <w:rPr>
                <w:rFonts w:asciiTheme="majorHAnsi" w:hAnsiTheme="majorHAnsi" w:cstheme="majorHAnsi"/>
              </w:rPr>
              <w:t>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FC2A1A" w:rsidRDefault="005631CC" w:rsidP="00FC2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 None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(56.7)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 One or two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 (40.0)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   Three or more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 (3.3)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Not vaccinated,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 (84.4)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Single dose, within 0-13 days,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643 (4.4)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Single dose, 14-27 days, n (%) 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 (5.5)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Single dose, ≥28 days,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 (5.2)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>2nd dose, within 0-13 days,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(0.3)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5631CC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 w:rsidRPr="0025354B">
              <w:rPr>
                <w:rFonts w:asciiTheme="majorHAnsi" w:hAnsiTheme="majorHAnsi" w:cstheme="majorHAnsi"/>
              </w:rPr>
              <w:t xml:space="preserve">2nd dose, ≥14 days, n (%) 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5631CC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(0.1)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FC2A1A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</w:t>
            </w:r>
            <w:r w:rsidRPr="0025354B">
              <w:rPr>
                <w:rFonts w:asciiTheme="majorHAnsi" w:hAnsiTheme="majorHAnsi" w:cstheme="majorHAnsi"/>
              </w:rPr>
              <w:t>ospitalization,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FC2A1A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33,034 (40.3%)</w:t>
            </w:r>
          </w:p>
        </w:tc>
      </w:tr>
      <w:tr w:rsidR="005631CC" w:rsidRPr="0025354B" w:rsidTr="00F11F1E">
        <w:trPr>
          <w:trHeight w:val="17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631CC" w:rsidRPr="0025354B" w:rsidRDefault="005631CC" w:rsidP="00FC2A1A">
            <w:pPr>
              <w:spacing w:after="0" w:line="24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</w:t>
            </w:r>
            <w:r w:rsidRPr="0025354B">
              <w:rPr>
                <w:rFonts w:asciiTheme="majorHAnsi" w:hAnsiTheme="majorHAnsi" w:cstheme="majorHAnsi"/>
              </w:rPr>
              <w:t>eath, n (%)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631CC" w:rsidRPr="00FC2A1A" w:rsidRDefault="00FC2A1A" w:rsidP="00FC2A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15,611 (19.0%)</w:t>
            </w:r>
          </w:p>
        </w:tc>
      </w:tr>
    </w:tbl>
    <w:p w:rsidR="00F11F1E" w:rsidRDefault="00F11F1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F1E" w:rsidRDefault="00F11F1E" w:rsidP="00F11F1E">
      <w:pPr>
        <w:spacing w:after="0" w:line="240" w:lineRule="auto"/>
      </w:pPr>
      <w:r>
        <w:lastRenderedPageBreak/>
        <w:t>*Continuous variables are displayed as mean (SD); categorical variables are displayed as n (%).</w:t>
      </w:r>
    </w:p>
    <w:p w:rsidR="00F11F1E" w:rsidRDefault="00F11F1E" w:rsidP="00F11F1E">
      <w:pPr>
        <w:spacing w:after="0" w:line="240" w:lineRule="auto"/>
      </w:pPr>
      <w:r>
        <w:t>^These numbers refer to RT-PCR tests and represent 120,483 individuals for the eligible cases and controls and 53,495 individuals in the matched cases and controls.</w:t>
      </w:r>
    </w:p>
    <w:p w:rsidR="00F11F1E" w:rsidRPr="00A361F7" w:rsidRDefault="00F11F1E" w:rsidP="00F11F1E">
      <w:pPr>
        <w:spacing w:after="0" w:line="240" w:lineRule="auto"/>
        <w:rPr>
          <w:b/>
        </w:rPr>
      </w:pPr>
      <w:r w:rsidRPr="00A361F7">
        <w:rPr>
          <w:vertAlign w:val="superscript"/>
        </w:rPr>
        <w:t>†</w:t>
      </w:r>
      <w:r w:rsidRPr="00A361F7">
        <w:t>Race/skin color as defined by the Brazilian national census bureau (Instituto Nacional de Geografia e Estatísticas).</w:t>
      </w:r>
      <w:r>
        <w:fldChar w:fldCharType="begin" w:fldLock="1"/>
      </w:r>
      <w:r>
        <w:instrText>ADDIN CSL_CITATION {"citationItems":[{"id":"ITEM-1","itemData":{"URL":"https://biblioteca.ibge.gov.br/visualizacao/livros/liv63405.pdf","accessed":{"date-parts":[["2021","7","19"]]},"author":[{"dropping-particle":"","family":"Brazilian Insitute of Geography and Statistics - IBGE","given":"","non-dropping-particle":"","parse-names":false,"suffix":""}],"id":"ITEM-1","issued":{"date-parts":[["2013"]]},"title":"Ethnic and racial characteristics of the population. Classifications and identities","type":"webpage"},"uris":["http://www.mendeley.com/documents/?uuid=65c652fb-2cd0-4636-82ca-2ab47a067fa2"]}],"mendeley":{"formattedCitation":"&lt;sup&gt;35&lt;/sup&gt;","plainTextFormattedCitation":"35","previouslyFormattedCitation":"&lt;sup&gt;35&lt;/sup&gt;"},"properties":{"noteIndex":0},"schema":"https://github.com/citation-style-language/schema/raw/master/csl-citation.json"}</w:instrText>
      </w:r>
      <w:r>
        <w:fldChar w:fldCharType="separate"/>
      </w:r>
      <w:r w:rsidRPr="00BE6A38">
        <w:rPr>
          <w:noProof/>
          <w:vertAlign w:val="superscript"/>
        </w:rPr>
        <w:t>35</w:t>
      </w:r>
      <w:r>
        <w:fldChar w:fldCharType="end"/>
      </w:r>
      <w:r w:rsidRPr="00A361F7">
        <w:rPr>
          <w:b/>
        </w:rPr>
        <w:t xml:space="preserve"> </w:t>
      </w:r>
    </w:p>
    <w:p w:rsidR="00F11F1E" w:rsidRDefault="00F11F1E" w:rsidP="00F11F1E">
      <w:pPr>
        <w:spacing w:after="0" w:line="240" w:lineRule="auto"/>
      </w:pPr>
      <w:r w:rsidRPr="00A361F7">
        <w:rPr>
          <w:vertAlign w:val="superscript"/>
        </w:rPr>
        <w:t>‡</w:t>
      </w:r>
      <w:r w:rsidRPr="00A361F7">
        <w:t>Comorbidities included: cardiovascular, renal, neurological, hematological, or hepatic comorbidities, diabetes, chronic respiratory disorder, obesity, or immunosuppression.</w:t>
      </w:r>
    </w:p>
    <w:p w:rsidR="00F11F1E" w:rsidRDefault="00F11F1E" w:rsidP="00F11F1E">
      <w:pPr>
        <w:spacing w:after="0" w:line="240" w:lineRule="auto"/>
      </w:pPr>
    </w:p>
    <w:p w:rsidR="00F11F1E" w:rsidRPr="00A361F7" w:rsidRDefault="00F11F1E" w:rsidP="00F11F1E">
      <w:pPr>
        <w:spacing w:after="0" w:line="240" w:lineRule="auto"/>
        <w:rPr>
          <w:vertAlign w:val="superscript"/>
        </w:rPr>
      </w:pPr>
      <w:r>
        <w:t xml:space="preserve">Supplementary Table 5. Characteristics of adults ≥60 years of age who were eligible for inclusion in the cohort of individuals with RT-PCR- or antigen-confirmed COVID-19. </w:t>
      </w:r>
    </w:p>
    <w:p w:rsidR="005631CC" w:rsidRDefault="005631C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5A45F8" w:rsidRPr="009C5E24" w:rsidRDefault="005A45F8" w:rsidP="00871C8B">
      <w:pPr>
        <w:rPr>
          <w:rFonts w:ascii="Times New Roman" w:eastAsia="Times New Roman" w:hAnsi="Times New Roman" w:cs="Times New Roman"/>
          <w:sz w:val="20"/>
          <w:szCs w:val="20"/>
        </w:rPr>
        <w:sectPr w:rsidR="005A45F8" w:rsidRPr="009C5E24">
          <w:pgSz w:w="12240" w:h="15840"/>
          <w:pgMar w:top="1440" w:right="1440" w:bottom="1440" w:left="1440" w:header="720" w:footer="720" w:gutter="0"/>
          <w:cols w:space="720"/>
        </w:sectPr>
      </w:pPr>
    </w:p>
    <w:p w:rsidR="00871C8B" w:rsidRDefault="00F11F1E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Supplementary Table 6</w:t>
      </w:r>
      <w:r w:rsidR="00871C8B">
        <w:rPr>
          <w:rFonts w:ascii="Times New Roman" w:eastAsia="Times New Roman" w:hAnsi="Times New Roman" w:cs="Times New Roman"/>
          <w:sz w:val="20"/>
          <w:szCs w:val="20"/>
        </w:rPr>
        <w:t xml:space="preserve">. Unadjusted </w:t>
      </w:r>
      <w:r w:rsidR="00871C8B" w:rsidRPr="009C5E24">
        <w:rPr>
          <w:rFonts w:ascii="Times New Roman" w:eastAsia="Times New Roman" w:hAnsi="Times New Roman" w:cs="Times New Roman"/>
          <w:sz w:val="20"/>
          <w:szCs w:val="20"/>
        </w:rPr>
        <w:t>effectiveness of a ChAdOx1 against clinical Covid-19 outcomes in adults ≥60 years of age</w:t>
      </w:r>
    </w:p>
    <w:tbl>
      <w:tblPr>
        <w:tblpPr w:leftFromText="180" w:rightFromText="180" w:vertAnchor="page" w:horzAnchor="margin" w:tblpY="1979"/>
        <w:tblW w:w="11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40"/>
        <w:gridCol w:w="1710"/>
        <w:gridCol w:w="1800"/>
        <w:gridCol w:w="1800"/>
        <w:gridCol w:w="1980"/>
        <w:gridCol w:w="1710"/>
      </w:tblGrid>
      <w:tr w:rsidR="00C174C8" w:rsidRPr="009C5E24" w:rsidTr="00C174C8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4C8" w:rsidRPr="009C5E24" w:rsidRDefault="00C174C8" w:rsidP="00C174C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</w:tcPr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Symptomatic Covid-19</w:t>
            </w:r>
          </w:p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pairs=48,452)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</w:tcPr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 hospitalization</w:t>
            </w:r>
          </w:p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pairs=18,552)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ICU admission</w:t>
            </w:r>
          </w:p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pairs=7,444)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Invasive mechanical ventilation</w:t>
            </w:r>
          </w:p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pairs=4,391)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</w:tcPr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Covid-19-related death</w:t>
            </w:r>
          </w:p>
          <w:p w:rsidR="00C174C8" w:rsidRPr="009C5E24" w:rsidRDefault="00C174C8" w:rsidP="00C17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pairs=8,109)</w:t>
            </w:r>
          </w:p>
        </w:tc>
      </w:tr>
      <w:tr w:rsidR="00C174C8" w:rsidRPr="009C5E24" w:rsidTr="00C174C8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4C8" w:rsidRPr="009C5E24" w:rsidRDefault="00C174C8" w:rsidP="00C174C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Vaccine doses and timing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9C5E24" w:rsidRDefault="00C174C8" w:rsidP="00C174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VE (95% CI)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9C5E24" w:rsidRDefault="00C174C8" w:rsidP="00C174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VE (95% CI)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9C5E24" w:rsidRDefault="00C174C8" w:rsidP="00C174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VE (95% CI)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C174C8" w:rsidRPr="009C5E24" w:rsidRDefault="00C174C8" w:rsidP="00C174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VE (95% CI)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9C5E24" w:rsidRDefault="00C174C8" w:rsidP="00C174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VE (95% CI)</w:t>
            </w:r>
          </w:p>
        </w:tc>
      </w:tr>
      <w:tr w:rsidR="00C174C8" w:rsidRPr="009C5E24" w:rsidTr="00C174C8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4C8" w:rsidRPr="009C5E24" w:rsidRDefault="00C174C8" w:rsidP="00C174C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Single dose, 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thin 0-13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sz w:val="20"/>
                <w:szCs w:val="20"/>
              </w:rPr>
              <w:t>-5.1% (-17.2-5.8)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13.7% (-2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-26.9)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4.2% (-24.4-26.3)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18.7% (-14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-42.1)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(-4.9-37.5)</w:t>
            </w:r>
          </w:p>
        </w:tc>
      </w:tr>
      <w:tr w:rsidR="00C174C8" w:rsidRPr="009C5E24" w:rsidTr="00C174C8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4C8" w:rsidRPr="009C5E24" w:rsidRDefault="00C174C8" w:rsidP="00C174C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Single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se, 14-27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sz w:val="20"/>
                <w:szCs w:val="20"/>
              </w:rPr>
              <w:t>17.6%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sz w:val="20"/>
                <w:szCs w:val="20"/>
              </w:rPr>
              <w:t>-26.3)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29.5% (16.4-40.6)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(26.3-59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50.9% (28.8-66.1)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40.1% (20.9-54.6)</w:t>
            </w:r>
          </w:p>
        </w:tc>
      </w:tr>
      <w:tr w:rsidR="00C174C8" w:rsidRPr="009C5E24" w:rsidTr="00C174C8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4C8" w:rsidRPr="009C5E24" w:rsidRDefault="00C174C8" w:rsidP="00C174C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 xml:space="preserve">Single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dose, ≥28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sz w:val="20"/>
                <w:szCs w:val="20"/>
              </w:rPr>
              <w:t>34.1% (27.3-40.3)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52.9% (44.9-59.8)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54.5% (40.8-65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71.1% (58.4-80)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(50.8-70.6)</w:t>
            </w:r>
          </w:p>
        </w:tc>
      </w:tr>
      <w:tr w:rsidR="00C174C8" w:rsidRPr="009C5E24" w:rsidTr="00C174C8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4C8" w:rsidRPr="009C5E24" w:rsidRDefault="00C174C8" w:rsidP="00C174C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Two doses, 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thin 0-13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sz w:val="20"/>
                <w:szCs w:val="20"/>
              </w:rPr>
              <w:t>% (13.4-57)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53.5% (25.6-71)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41.8% (-38.9-75.6)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72.4% (3.2-92.1)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73.9% (44.2-87.8)</w:t>
            </w:r>
          </w:p>
        </w:tc>
      </w:tr>
      <w:tr w:rsidR="00C174C8" w:rsidRPr="009C5E24" w:rsidTr="00C174C8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4C8" w:rsidRPr="009C5E24" w:rsidRDefault="00C174C8" w:rsidP="00C174C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Two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oses, ≥14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sz w:val="20"/>
                <w:szCs w:val="20"/>
              </w:rPr>
              <w:t>76.8% (67.8-83.3)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83.6% (72.4-90.2)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87.3% (66.4-95.2)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95.6% (79.7-99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C174C8" w:rsidRPr="00832E1D" w:rsidRDefault="00C174C8" w:rsidP="00C174C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92.5% (80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832E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-97.2)</w:t>
            </w:r>
          </w:p>
        </w:tc>
      </w:tr>
    </w:tbl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871C8B" w:rsidRPr="009C5E24" w:rsidRDefault="00F11F1E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Supplementary Table 7</w:t>
      </w:r>
      <w:r w:rsidR="00871C8B">
        <w:rPr>
          <w:rFonts w:ascii="Times New Roman" w:eastAsia="Times New Roman" w:hAnsi="Times New Roman" w:cs="Times New Roman"/>
          <w:sz w:val="20"/>
          <w:szCs w:val="20"/>
        </w:rPr>
        <w:t>.</w:t>
      </w:r>
      <w:r w:rsidR="00871C8B" w:rsidRPr="009C5E24">
        <w:rPr>
          <w:rFonts w:ascii="Times New Roman" w:eastAsia="Times New Roman" w:hAnsi="Times New Roman" w:cs="Times New Roman"/>
          <w:sz w:val="20"/>
          <w:szCs w:val="20"/>
        </w:rPr>
        <w:t xml:space="preserve"> Adjusted effectiveness of a ChAdOx1 against clinical Covid-19 outcomes in adults ≥60 years of age, when controls were sampled with replacement.</w:t>
      </w:r>
    </w:p>
    <w:tbl>
      <w:tblPr>
        <w:tblpPr w:leftFromText="180" w:rightFromText="180" w:vertAnchor="page" w:horzAnchor="margin" w:tblpXSpec="center" w:tblpY="2218"/>
        <w:tblW w:w="11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40"/>
        <w:gridCol w:w="1710"/>
        <w:gridCol w:w="1710"/>
        <w:gridCol w:w="1800"/>
        <w:gridCol w:w="1890"/>
        <w:gridCol w:w="1800"/>
      </w:tblGrid>
      <w:tr w:rsidR="00871C8B" w:rsidRPr="009C5E24" w:rsidTr="00F241BD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Symptomatic Covid-19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pairs=48,452)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 hospitalization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pairs=18,552)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ICU admission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pairs=7,444)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Invasive mechanical ventilation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pairs=4,391)</w:t>
            </w: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Covid-19-related death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pairs=8,109)</w:t>
            </w:r>
          </w:p>
        </w:tc>
      </w:tr>
      <w:tr w:rsidR="00871C8B" w:rsidRPr="009C5E24" w:rsidTr="00F241BD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Vaccine doses and timing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</w:tr>
      <w:tr w:rsidR="00871C8B" w:rsidRPr="009C5E24" w:rsidTr="00F241BD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F86F9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Single dose, w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ithin 0-13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-4.8% (-14.1-3.7)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0.7% (-14</w:t>
            </w:r>
            <w:r w:rsidR="00F24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-13.5)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-20.6% (-50.9-3.7)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8.9% (-22.4-32.2)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9.3% (-12.1-26.7)</w:t>
            </w:r>
          </w:p>
        </w:tc>
      </w:tr>
      <w:tr w:rsidR="00871C8B" w:rsidRPr="009C5E24" w:rsidTr="00F241BD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Single dose, 14-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27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13.2% (5.3-20.4)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27.3% (16</w:t>
            </w:r>
            <w:r w:rsidR="00F24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-37.1)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33.4% (15</w:t>
            </w:r>
            <w:r w:rsidR="00F24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-47.8)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46.7% (26</w:t>
            </w:r>
            <w:r w:rsidR="00F24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-61.7)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35% (18.1-48.4)</w:t>
            </w:r>
          </w:p>
        </w:tc>
      </w:tr>
      <w:tr w:rsidR="00871C8B" w:rsidRPr="009C5E24" w:rsidTr="00F241BD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 xml:space="preserve">Single 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dose, ≥28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34.4% (28.7-39.6)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56.9% (50.2-62.7)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54.9% (42.1-64.8)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69.8% (57.5-78.6)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62% (51.8-70.1)</w:t>
            </w:r>
          </w:p>
        </w:tc>
      </w:tr>
      <w:tr w:rsidR="00871C8B" w:rsidRPr="009C5E24" w:rsidTr="00F241BD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Two doses, wi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thin 0-13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28.4% (5.3-45.8)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47.4% (22.3-64.3)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42.4% (-17.1-71.6)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76.4% (26.7-92.4)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69.5% (42.8-83.7)</w:t>
            </w:r>
          </w:p>
        </w:tc>
      </w:tr>
      <w:tr w:rsidR="00871C8B" w:rsidRPr="009C5E24" w:rsidTr="00F241BD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Two d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oses, ≥14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74.4% (66.2-80.6)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="00F241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(79.4-91.8)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89.7% (76.1-95.6)</w:t>
            </w:r>
          </w:p>
        </w:tc>
        <w:tc>
          <w:tcPr>
            <w:tcW w:w="189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96.9% (87.8-99.2)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92.2% (82.2-96.6)</w:t>
            </w:r>
          </w:p>
        </w:tc>
      </w:tr>
    </w:tbl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Pr="009C5E24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t>aVE: Adjusted vaccine effectiveness</w:t>
      </w:r>
      <w:r w:rsidR="00C174C8">
        <w:rPr>
          <w:rFonts w:ascii="Times New Roman" w:eastAsia="Times New Roman" w:hAnsi="Times New Roman" w:cs="Times New Roman"/>
          <w:sz w:val="20"/>
          <w:szCs w:val="20"/>
        </w:rPr>
        <w:t>. In all adjusted models, conditional logistic regression included</w:t>
      </w:r>
      <w:r w:rsidR="00C174C8" w:rsidRPr="00C174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174C8" w:rsidRPr="009C5E24">
        <w:rPr>
          <w:rFonts w:ascii="Times New Roman" w:eastAsia="Times New Roman" w:hAnsi="Times New Roman" w:cs="Times New Roman"/>
          <w:sz w:val="20"/>
          <w:szCs w:val="20"/>
        </w:rPr>
        <w:t xml:space="preserve">age as a continuous variable, </w:t>
      </w:r>
      <w:r w:rsidR="00F86F99">
        <w:rPr>
          <w:rFonts w:ascii="Times New Roman" w:eastAsia="Times New Roman" w:hAnsi="Times New Roman" w:cs="Times New Roman"/>
          <w:sz w:val="20"/>
          <w:szCs w:val="20"/>
        </w:rPr>
        <w:t>number of reported comorbidities (none vs. one-two vs. three or more), and prior positive SARS-CoV-2 PCR</w:t>
      </w:r>
      <w:r w:rsidR="009A6223" w:rsidRPr="009A62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6223">
        <w:rPr>
          <w:rFonts w:ascii="Times New Roman" w:eastAsia="Times New Roman" w:hAnsi="Times New Roman" w:cs="Times New Roman"/>
          <w:sz w:val="20"/>
          <w:szCs w:val="20"/>
        </w:rPr>
        <w:t>or rapid antigen</w:t>
      </w:r>
      <w:r w:rsidR="00F86F99">
        <w:rPr>
          <w:rFonts w:ascii="Times New Roman" w:eastAsia="Times New Roman" w:hAnsi="Times New Roman" w:cs="Times New Roman"/>
          <w:sz w:val="20"/>
          <w:szCs w:val="20"/>
        </w:rPr>
        <w:t xml:space="preserve"> test</w:t>
      </w:r>
      <w:r w:rsidR="00C174C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71C8B" w:rsidRPr="009C5E24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871C8B" w:rsidRDefault="00F11F1E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Supplementary Table 8</w:t>
      </w:r>
      <w:r w:rsidR="00871C8B">
        <w:rPr>
          <w:rFonts w:ascii="Times New Roman" w:eastAsia="Times New Roman" w:hAnsi="Times New Roman" w:cs="Times New Roman"/>
          <w:sz w:val="20"/>
          <w:szCs w:val="20"/>
        </w:rPr>
        <w:t>.</w:t>
      </w:r>
      <w:r w:rsidR="00871C8B" w:rsidRPr="009C5E24">
        <w:rPr>
          <w:rFonts w:ascii="Times New Roman" w:eastAsia="Times New Roman" w:hAnsi="Times New Roman" w:cs="Times New Roman"/>
          <w:sz w:val="20"/>
          <w:szCs w:val="20"/>
        </w:rPr>
        <w:t xml:space="preserve"> Adjusted effectiveness of a ChAdOx1 against clinical Covid-19 outcomes in adults ≥60 years of age, when two controls per case were sampled with replacement.</w:t>
      </w:r>
    </w:p>
    <w:tbl>
      <w:tblPr>
        <w:tblpPr w:leftFromText="180" w:rightFromText="180" w:vertAnchor="page" w:horzAnchor="margin" w:tblpXSpec="center" w:tblpY="2230"/>
        <w:tblW w:w="11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40"/>
        <w:gridCol w:w="1710"/>
        <w:gridCol w:w="1980"/>
        <w:gridCol w:w="1800"/>
        <w:gridCol w:w="1800"/>
        <w:gridCol w:w="1710"/>
      </w:tblGrid>
      <w:tr w:rsidR="00871C8B" w:rsidRPr="009C5E24" w:rsidTr="00322123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Symptomatic Covid-19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pairs=48,452)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 hospitalization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pairs=18,552)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ICU admission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pairs=7,444)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Invasive mechanical ventilation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pairs=4,391)</w:t>
            </w:r>
          </w:p>
        </w:tc>
        <w:tc>
          <w:tcPr>
            <w:tcW w:w="1710" w:type="dxa"/>
            <w:tcBorders>
              <w:bottom w:val="single" w:sz="8" w:space="0" w:color="000000"/>
              <w:right w:val="single" w:sz="8" w:space="0" w:color="000000"/>
            </w:tcBorders>
          </w:tcPr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Covid-19-related death</w:t>
            </w:r>
          </w:p>
          <w:p w:rsidR="00871C8B" w:rsidRPr="009C5E24" w:rsidRDefault="00871C8B" w:rsidP="003949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(n pairs=8,109)</w:t>
            </w:r>
          </w:p>
        </w:tc>
      </w:tr>
      <w:tr w:rsidR="00871C8B" w:rsidRPr="009C5E24" w:rsidTr="00322123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Vaccine doses and timing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</w:tr>
      <w:tr w:rsidR="00871C8B" w:rsidRPr="009C5E24" w:rsidTr="00322123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Single dose, wi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thin 0-13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-5.9% (-15.3-2.8)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-2.1% (-16.7-10.7)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-14.7% (-41.7-7.1)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14.4% (-14</w:t>
            </w:r>
            <w:r w:rsidR="0032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-35.8)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 (-5.2-31.4)</w:t>
            </w:r>
          </w:p>
        </w:tc>
      </w:tr>
      <w:tr w:rsidR="00871C8B" w:rsidRPr="009C5E24" w:rsidTr="00322123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Single do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se, 14-27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15.5% (7.7-22.6)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34.4% (24.3-43.1)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41.3% (25.5-53.8)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  <w:r w:rsidR="0032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(31.1-63.8)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48.6% (35</w:t>
            </w:r>
            <w:r w:rsidR="0032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-59.4)</w:t>
            </w:r>
          </w:p>
        </w:tc>
      </w:tr>
      <w:tr w:rsidR="00871C8B" w:rsidRPr="009C5E24" w:rsidTr="00322123">
        <w:trPr>
          <w:trHeight w:val="464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 xml:space="preserve">Single 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dose, ≥28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36.1% (30.6-41.2)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58.4% (52.1-63.8)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58.5% (47.7-67.1)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66.3% (54-75.4)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62.5% (52.7-70.3)</w:t>
            </w:r>
          </w:p>
        </w:tc>
      </w:tr>
      <w:tr w:rsidR="00871C8B" w:rsidRPr="009C5E24" w:rsidTr="00322123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Two doses, wi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thin 0-13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28.6% (4.2-46.8)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58.4% (38.6-71.8)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52.6% (7-75.9)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322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(-31.5-80.2)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71.8% (47.2-85)</w:t>
            </w:r>
          </w:p>
        </w:tc>
      </w:tr>
      <w:tr w:rsidR="00871C8B" w:rsidRPr="009C5E24" w:rsidTr="00322123">
        <w:trPr>
          <w:trHeight w:val="227"/>
        </w:trPr>
        <w:tc>
          <w:tcPr>
            <w:tcW w:w="2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Two d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oses, ≥14 days vs. unvaccinated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74.6% (65.7-81.2)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85.4% (77.2-90.7)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83.5% (65.2-92.2)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93.5% (78.4-98.1)</w:t>
            </w:r>
          </w:p>
        </w:tc>
        <w:tc>
          <w:tcPr>
            <w:tcW w:w="1710" w:type="dxa"/>
            <w:tcBorders>
              <w:bottom w:val="single" w:sz="8" w:space="0" w:color="000000"/>
            </w:tcBorders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87.9% (73.7-94.4)</w:t>
            </w:r>
          </w:p>
        </w:tc>
      </w:tr>
    </w:tbl>
    <w:p w:rsidR="00871C8B" w:rsidRPr="009C5E24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t>aVE: Adjusted vaccine effectiveness</w:t>
      </w:r>
      <w:r w:rsidR="00C174C8">
        <w:rPr>
          <w:rFonts w:ascii="Times New Roman" w:eastAsia="Times New Roman" w:hAnsi="Times New Roman" w:cs="Times New Roman"/>
          <w:sz w:val="20"/>
          <w:szCs w:val="20"/>
        </w:rPr>
        <w:t xml:space="preserve">. In all adjusted models, conditional logistic regression included </w:t>
      </w:r>
      <w:r w:rsidR="00C174C8" w:rsidRPr="009C5E24">
        <w:rPr>
          <w:rFonts w:ascii="Times New Roman" w:eastAsia="Times New Roman" w:hAnsi="Times New Roman" w:cs="Times New Roman"/>
          <w:sz w:val="20"/>
          <w:szCs w:val="20"/>
        </w:rPr>
        <w:t xml:space="preserve">age as a continuous variable, </w:t>
      </w:r>
      <w:r w:rsidR="00C174C8">
        <w:rPr>
          <w:rFonts w:ascii="Times New Roman" w:eastAsia="Times New Roman" w:hAnsi="Times New Roman" w:cs="Times New Roman"/>
          <w:sz w:val="20"/>
          <w:szCs w:val="20"/>
        </w:rPr>
        <w:t>number of reported comorbidities (none vs. one-two vs. three or more), and prior positive SARS-CoV-2 PCR</w:t>
      </w:r>
      <w:r w:rsidR="009A6223">
        <w:rPr>
          <w:rFonts w:ascii="Times New Roman" w:eastAsia="Times New Roman" w:hAnsi="Times New Roman" w:cs="Times New Roman"/>
          <w:sz w:val="20"/>
          <w:szCs w:val="20"/>
        </w:rPr>
        <w:t xml:space="preserve"> or rapid antigen</w:t>
      </w:r>
      <w:r w:rsidR="00C174C8">
        <w:rPr>
          <w:rFonts w:ascii="Times New Roman" w:eastAsia="Times New Roman" w:hAnsi="Times New Roman" w:cs="Times New Roman"/>
          <w:sz w:val="20"/>
          <w:szCs w:val="20"/>
        </w:rPr>
        <w:t xml:space="preserve"> test.</w:t>
      </w: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Pr="009C5E24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871C8B" w:rsidRPr="009C5E24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  <w:sectPr w:rsidR="00871C8B" w:rsidRPr="009C5E24" w:rsidSect="003949D9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:rsidR="00871C8B" w:rsidRPr="009C5E24" w:rsidRDefault="00F11F1E" w:rsidP="00871C8B">
      <w:pPr>
        <w:widowControl w:val="0"/>
        <w:spacing w:after="24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lastRenderedPageBreak/>
        <w:t>Supplementary Table 9</w:t>
      </w:r>
      <w:r w:rsidR="00871C8B">
        <w:rPr>
          <w:rFonts w:ascii="Times New Roman" w:hAnsi="Times New Roman" w:cs="Times New Roman"/>
          <w:color w:val="000000"/>
          <w:sz w:val="20"/>
        </w:rPr>
        <w:t>.</w:t>
      </w:r>
      <w:r w:rsidR="00871C8B" w:rsidRPr="009C5E24">
        <w:rPr>
          <w:rFonts w:ascii="Times New Roman" w:hAnsi="Times New Roman" w:cs="Times New Roman"/>
          <w:color w:val="000000"/>
          <w:sz w:val="20"/>
        </w:rPr>
        <w:t xml:space="preserve"> Adjusted one- and two-dose effectiveness against </w:t>
      </w:r>
      <w:r w:rsidR="00871C8B">
        <w:rPr>
          <w:rFonts w:ascii="Times New Roman" w:hAnsi="Times New Roman" w:cs="Times New Roman"/>
          <w:color w:val="000000"/>
          <w:sz w:val="20"/>
        </w:rPr>
        <w:t xml:space="preserve">progression to </w:t>
      </w:r>
      <w:r w:rsidR="00871C8B" w:rsidRPr="009C5E24">
        <w:rPr>
          <w:rFonts w:ascii="Times New Roman" w:hAnsi="Times New Roman" w:cs="Times New Roman"/>
          <w:color w:val="000000"/>
          <w:sz w:val="20"/>
        </w:rPr>
        <w:t>Covid-19 hospitalization</w:t>
      </w:r>
      <w:r w:rsidR="00871C8B">
        <w:rPr>
          <w:rFonts w:ascii="Times New Roman" w:hAnsi="Times New Roman" w:cs="Times New Roman"/>
          <w:color w:val="000000"/>
          <w:sz w:val="20"/>
        </w:rPr>
        <w:t>, Covid-19 ICU admission,</w:t>
      </w:r>
      <w:r w:rsidR="00871C8B" w:rsidRPr="009C5E24">
        <w:rPr>
          <w:rFonts w:ascii="Times New Roman" w:hAnsi="Times New Roman" w:cs="Times New Roman"/>
          <w:color w:val="000000"/>
          <w:sz w:val="20"/>
        </w:rPr>
        <w:t xml:space="preserve"> and Covid-19-related death</w:t>
      </w:r>
      <w:r w:rsidR="00871C8B">
        <w:rPr>
          <w:rFonts w:ascii="Times New Roman" w:hAnsi="Times New Roman" w:cs="Times New Roman"/>
          <w:color w:val="000000"/>
          <w:sz w:val="20"/>
        </w:rPr>
        <w:t xml:space="preserve"> among individuals testing positive for SARS-CoV-2</w:t>
      </w:r>
      <w:r w:rsidR="007B0DF8">
        <w:rPr>
          <w:rFonts w:ascii="Times New Roman" w:hAnsi="Times New Roman" w:cs="Times New Roman"/>
          <w:color w:val="000000"/>
          <w:sz w:val="20"/>
        </w:rPr>
        <w:t xml:space="preserve"> (n=102,842)</w:t>
      </w:r>
    </w:p>
    <w:tbl>
      <w:tblPr>
        <w:tblpPr w:leftFromText="180" w:rightFromText="180" w:vertAnchor="page" w:horzAnchor="margin" w:tblpY="2421"/>
        <w:tblW w:w="51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4129"/>
        <w:gridCol w:w="1803"/>
        <w:gridCol w:w="1798"/>
        <w:gridCol w:w="1801"/>
      </w:tblGrid>
      <w:tr w:rsidR="00871C8B" w:rsidRPr="00A867A9" w:rsidTr="007B0DF8">
        <w:trPr>
          <w:trHeight w:val="20"/>
        </w:trPr>
        <w:tc>
          <w:tcPr>
            <w:tcW w:w="216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A867A9" w:rsidRDefault="00871C8B" w:rsidP="007B0DF8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6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871C8B" w:rsidRPr="00A867A9" w:rsidRDefault="00871C8B" w:rsidP="007B0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>Covid-19 hospitalization within 21 days of symptom onset</w:t>
            </w:r>
          </w:p>
        </w:tc>
        <w:tc>
          <w:tcPr>
            <w:tcW w:w="943" w:type="pct"/>
            <w:tcBorders>
              <w:bottom w:val="single" w:sz="8" w:space="0" w:color="000000"/>
            </w:tcBorders>
          </w:tcPr>
          <w:p w:rsidR="00871C8B" w:rsidRPr="00A867A9" w:rsidRDefault="00871C8B" w:rsidP="007B0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Covid-19 ICU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admission </w:t>
            </w: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>within 21 days of symptom onset</w:t>
            </w:r>
          </w:p>
        </w:tc>
        <w:tc>
          <w:tcPr>
            <w:tcW w:w="945" w:type="pct"/>
            <w:tcBorders>
              <w:bottom w:val="single" w:sz="8" w:space="0" w:color="000000"/>
              <w:right w:val="single" w:sz="8" w:space="0" w:color="000000"/>
            </w:tcBorders>
          </w:tcPr>
          <w:p w:rsidR="00871C8B" w:rsidRPr="00A867A9" w:rsidRDefault="00871C8B" w:rsidP="007B0D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>Covid-19 death within 28 days of symptom onset</w:t>
            </w:r>
          </w:p>
        </w:tc>
      </w:tr>
      <w:tr w:rsidR="00871C8B" w:rsidRPr="00A867A9" w:rsidTr="007B0DF8">
        <w:trPr>
          <w:trHeight w:val="20"/>
        </w:trPr>
        <w:tc>
          <w:tcPr>
            <w:tcW w:w="216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A867A9" w:rsidRDefault="00871C8B" w:rsidP="007B0D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>Vaccine doses and timing</w:t>
            </w:r>
          </w:p>
        </w:tc>
        <w:tc>
          <w:tcPr>
            <w:tcW w:w="946" w:type="pct"/>
            <w:tcBorders>
              <w:bottom w:val="single" w:sz="8" w:space="0" w:color="000000"/>
            </w:tcBorders>
            <w:vAlign w:val="center"/>
          </w:tcPr>
          <w:p w:rsidR="00871C8B" w:rsidRPr="00A867A9" w:rsidRDefault="00871C8B" w:rsidP="007B0D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943" w:type="pct"/>
            <w:tcBorders>
              <w:bottom w:val="single" w:sz="8" w:space="0" w:color="000000"/>
            </w:tcBorders>
          </w:tcPr>
          <w:p w:rsidR="00871C8B" w:rsidRPr="00A867A9" w:rsidRDefault="00871C8B" w:rsidP="007B0D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  <w:tc>
          <w:tcPr>
            <w:tcW w:w="945" w:type="pct"/>
            <w:tcBorders>
              <w:bottom w:val="single" w:sz="8" w:space="0" w:color="000000"/>
            </w:tcBorders>
          </w:tcPr>
          <w:p w:rsidR="00871C8B" w:rsidRPr="00A867A9" w:rsidRDefault="00871C8B" w:rsidP="007B0D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b/>
                <w:sz w:val="20"/>
                <w:szCs w:val="20"/>
              </w:rPr>
              <w:t>aVE (95% CI)</w:t>
            </w:r>
          </w:p>
        </w:tc>
      </w:tr>
      <w:tr w:rsidR="00871C8B" w:rsidRPr="00A867A9" w:rsidTr="007B0DF8">
        <w:trPr>
          <w:trHeight w:val="20"/>
        </w:trPr>
        <w:tc>
          <w:tcPr>
            <w:tcW w:w="216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A867A9" w:rsidRDefault="00871C8B" w:rsidP="00F86F9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sz w:val="20"/>
                <w:szCs w:val="20"/>
              </w:rPr>
              <w:t>Single dose, within 0-13 days vs. unvaccinated</w:t>
            </w:r>
          </w:p>
        </w:tc>
        <w:tc>
          <w:tcPr>
            <w:tcW w:w="946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sz w:val="20"/>
                <w:szCs w:val="20"/>
              </w:rPr>
              <w:t>1.9% (-3.1-6.6)</w:t>
            </w:r>
          </w:p>
        </w:tc>
        <w:tc>
          <w:tcPr>
            <w:tcW w:w="943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(-2.3-13.5)</w:t>
            </w:r>
          </w:p>
        </w:tc>
        <w:tc>
          <w:tcPr>
            <w:tcW w:w="945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14.9% (7.8-21.4)</w:t>
            </w:r>
          </w:p>
        </w:tc>
      </w:tr>
      <w:tr w:rsidR="00871C8B" w:rsidRPr="00A867A9" w:rsidTr="007B0DF8">
        <w:trPr>
          <w:trHeight w:val="20"/>
        </w:trPr>
        <w:tc>
          <w:tcPr>
            <w:tcW w:w="216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A867A9" w:rsidRDefault="00871C8B" w:rsidP="007B0D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sz w:val="20"/>
                <w:szCs w:val="20"/>
              </w:rPr>
              <w:t>Single dose, 14-27 days vs. u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nvaccinated</w:t>
            </w:r>
          </w:p>
        </w:tc>
        <w:tc>
          <w:tcPr>
            <w:tcW w:w="946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sz w:val="20"/>
                <w:szCs w:val="20"/>
              </w:rPr>
              <w:t>27.7% (23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966E7A">
              <w:rPr>
                <w:rFonts w:ascii="Times New Roman" w:hAnsi="Times New Roman" w:cs="Times New Roman"/>
                <w:sz w:val="20"/>
                <w:szCs w:val="20"/>
              </w:rPr>
              <w:t>-32)</w:t>
            </w:r>
          </w:p>
        </w:tc>
        <w:tc>
          <w:tcPr>
            <w:tcW w:w="943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28.6% (20.4-36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35.2% (28.5-41.2)</w:t>
            </w:r>
          </w:p>
        </w:tc>
      </w:tr>
      <w:tr w:rsidR="00871C8B" w:rsidRPr="00A867A9" w:rsidTr="007B0DF8">
        <w:trPr>
          <w:trHeight w:val="20"/>
        </w:trPr>
        <w:tc>
          <w:tcPr>
            <w:tcW w:w="216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A867A9" w:rsidRDefault="00871C8B" w:rsidP="007B0D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sz w:val="20"/>
                <w:szCs w:val="20"/>
              </w:rPr>
              <w:t xml:space="preserve">Single 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dose, ≥28 days vs. unvaccinated</w:t>
            </w:r>
          </w:p>
        </w:tc>
        <w:tc>
          <w:tcPr>
            <w:tcW w:w="946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sz w:val="20"/>
                <w:szCs w:val="20"/>
              </w:rPr>
              <w:t>36.7% (32.7-40.4)</w:t>
            </w:r>
          </w:p>
        </w:tc>
        <w:tc>
          <w:tcPr>
            <w:tcW w:w="943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36.2% (29.2-42.5)</w:t>
            </w:r>
          </w:p>
        </w:tc>
        <w:tc>
          <w:tcPr>
            <w:tcW w:w="945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(37.6-48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871C8B" w:rsidRPr="00A867A9" w:rsidTr="007B0DF8">
        <w:trPr>
          <w:trHeight w:val="20"/>
        </w:trPr>
        <w:tc>
          <w:tcPr>
            <w:tcW w:w="216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A867A9" w:rsidRDefault="00871C8B" w:rsidP="007B0D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sz w:val="20"/>
                <w:szCs w:val="20"/>
              </w:rPr>
              <w:t>Two doses, wi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thin 0-13 days vs. unvaccinated</w:t>
            </w:r>
          </w:p>
        </w:tc>
        <w:tc>
          <w:tcPr>
            <w:tcW w:w="946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sz w:val="20"/>
                <w:szCs w:val="20"/>
              </w:rPr>
              <w:t>36.9% (22.9-48.4)</w:t>
            </w:r>
          </w:p>
        </w:tc>
        <w:tc>
          <w:tcPr>
            <w:tcW w:w="943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40.2% (15.7-57.6)</w:t>
            </w:r>
          </w:p>
        </w:tc>
        <w:tc>
          <w:tcPr>
            <w:tcW w:w="945" w:type="pct"/>
            <w:tcBorders>
              <w:bottom w:val="single" w:sz="8" w:space="0" w:color="000000"/>
            </w:tcBorders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45.1% (26.2-59.2)</w:t>
            </w:r>
          </w:p>
        </w:tc>
      </w:tr>
      <w:tr w:rsidR="00871C8B" w:rsidRPr="00A867A9" w:rsidTr="007B0DF8">
        <w:trPr>
          <w:trHeight w:val="20"/>
        </w:trPr>
        <w:tc>
          <w:tcPr>
            <w:tcW w:w="2166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1C8B" w:rsidRPr="00A867A9" w:rsidRDefault="00871C8B" w:rsidP="007B0DF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7A9">
              <w:rPr>
                <w:rFonts w:ascii="Times New Roman" w:hAnsi="Times New Roman" w:cs="Times New Roman"/>
                <w:sz w:val="20"/>
                <w:szCs w:val="20"/>
              </w:rPr>
              <w:t>Two d</w:t>
            </w:r>
            <w:r w:rsidR="00F86F99">
              <w:rPr>
                <w:rFonts w:ascii="Times New Roman" w:hAnsi="Times New Roman" w:cs="Times New Roman"/>
                <w:sz w:val="20"/>
                <w:szCs w:val="20"/>
              </w:rPr>
              <w:t>oses, ≥14 days vs. unvaccinated</w:t>
            </w:r>
          </w:p>
        </w:tc>
        <w:tc>
          <w:tcPr>
            <w:tcW w:w="946" w:type="pct"/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sz w:val="20"/>
                <w:szCs w:val="20"/>
              </w:rPr>
              <w:t>34.8% (-4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966E7A">
              <w:rPr>
                <w:rFonts w:ascii="Times New Roman" w:hAnsi="Times New Roman" w:cs="Times New Roman"/>
                <w:sz w:val="20"/>
                <w:szCs w:val="20"/>
              </w:rPr>
              <w:t>-59.1)</w:t>
            </w:r>
          </w:p>
        </w:tc>
        <w:tc>
          <w:tcPr>
            <w:tcW w:w="943" w:type="pct"/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46.3% (-28.1-77.5)</w:t>
            </w:r>
          </w:p>
        </w:tc>
        <w:tc>
          <w:tcPr>
            <w:tcW w:w="945" w:type="pct"/>
            <w:vAlign w:val="center"/>
          </w:tcPr>
          <w:p w:rsidR="00871C8B" w:rsidRPr="00185243" w:rsidRDefault="00871C8B" w:rsidP="007B0D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E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19.3% (-46.4-55.5)</w:t>
            </w:r>
          </w:p>
        </w:tc>
      </w:tr>
    </w:tbl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t>aVE: Adjusted vaccine effectiveness</w:t>
      </w:r>
      <w:r w:rsidR="00C174C8">
        <w:rPr>
          <w:rFonts w:ascii="Times New Roman" w:eastAsia="Times New Roman" w:hAnsi="Times New Roman" w:cs="Times New Roman"/>
          <w:sz w:val="20"/>
          <w:szCs w:val="20"/>
        </w:rPr>
        <w:t xml:space="preserve">. In all adjusted models, stratified Cox proportional hazards regression included age (restricted cubic spline), sex, self-reported race, number of reported comorbidities (none vs. one-two vs. three or more), and prior positive SARS-CoV-2 PCR </w:t>
      </w:r>
      <w:r w:rsidR="009A6223">
        <w:rPr>
          <w:rFonts w:ascii="Times New Roman" w:eastAsia="Times New Roman" w:hAnsi="Times New Roman" w:cs="Times New Roman"/>
          <w:sz w:val="20"/>
          <w:szCs w:val="20"/>
        </w:rPr>
        <w:t xml:space="preserve">or rapid antigen </w:t>
      </w:r>
      <w:r w:rsidR="00C174C8">
        <w:rPr>
          <w:rFonts w:ascii="Times New Roman" w:eastAsia="Times New Roman" w:hAnsi="Times New Roman" w:cs="Times New Roman"/>
          <w:sz w:val="20"/>
          <w:szCs w:val="20"/>
        </w:rPr>
        <w:t>test. Baseline hazard was stratified by municipality of residence and week of symptom onset.</w:t>
      </w:r>
    </w:p>
    <w:p w:rsidR="00F86F99" w:rsidRPr="00F86F99" w:rsidRDefault="00F86F99" w:rsidP="00F86F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871C8B" w:rsidRPr="009C5E24" w:rsidRDefault="00871C8B" w:rsidP="00871C8B">
      <w:pPr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lastRenderedPageBreak/>
        <w:t>S</w:t>
      </w:r>
      <w:r w:rsidR="00F11F1E">
        <w:rPr>
          <w:rFonts w:ascii="Times New Roman" w:eastAsia="Times New Roman" w:hAnsi="Times New Roman" w:cs="Times New Roman"/>
          <w:sz w:val="20"/>
          <w:szCs w:val="20"/>
        </w:rPr>
        <w:t>upplementary Table 10</w:t>
      </w:r>
      <w:r w:rsidRPr="009C5E2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9C5E24">
        <w:rPr>
          <w:rFonts w:ascii="Times New Roman" w:hAnsi="Times New Roman" w:cs="Times New Roman"/>
          <w:sz w:val="20"/>
          <w:szCs w:val="20"/>
        </w:rPr>
        <w:t xml:space="preserve"> </w:t>
      </w:r>
      <w:r w:rsidRPr="009C5E24">
        <w:rPr>
          <w:rFonts w:ascii="Times New Roman" w:eastAsia="Times New Roman" w:hAnsi="Times New Roman" w:cs="Times New Roman"/>
          <w:sz w:val="20"/>
          <w:szCs w:val="20"/>
        </w:rPr>
        <w:t xml:space="preserve">Adjusted single-dose vaccine effectiveness against symptomatic Covid-19, ≥28 days after first dose, within subgroups </w:t>
      </w:r>
    </w:p>
    <w:tbl>
      <w:tblPr>
        <w:tblStyle w:val="TableGrid"/>
        <w:tblW w:w="7585" w:type="dxa"/>
        <w:tblLook w:val="04A0" w:firstRow="1" w:lastRow="0" w:firstColumn="1" w:lastColumn="0" w:noHBand="0" w:noVBand="1"/>
      </w:tblPr>
      <w:tblGrid>
        <w:gridCol w:w="3633"/>
        <w:gridCol w:w="2072"/>
        <w:gridCol w:w="1880"/>
      </w:tblGrid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2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aVE* (95% CI)</w:t>
            </w:r>
          </w:p>
        </w:tc>
        <w:tc>
          <w:tcPr>
            <w:tcW w:w="1880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p-value for interaction</w:t>
            </w:r>
            <w:r w:rsidR="003949D9" w:rsidRPr="003949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2072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Age 60-69 years</w:t>
            </w:r>
          </w:p>
        </w:tc>
        <w:tc>
          <w:tcPr>
            <w:tcW w:w="2072" w:type="dxa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34.5% (26.6-41.5)</w:t>
            </w:r>
          </w:p>
        </w:tc>
        <w:tc>
          <w:tcPr>
            <w:tcW w:w="1880" w:type="dxa"/>
            <w:vMerge w:val="restart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</w:t>
            </w: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70 years</w:t>
            </w:r>
          </w:p>
        </w:tc>
        <w:tc>
          <w:tcPr>
            <w:tcW w:w="2072" w:type="dxa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29.7% (13.3-42.9)</w:t>
            </w:r>
          </w:p>
        </w:tc>
        <w:tc>
          <w:tcPr>
            <w:tcW w:w="1880" w:type="dxa"/>
            <w:vMerge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2072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 xml:space="preserve">Females 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31.3% (21.6-39.9)</w:t>
            </w:r>
          </w:p>
        </w:tc>
        <w:tc>
          <w:tcPr>
            <w:tcW w:w="1880" w:type="dxa"/>
            <w:vMerge w:val="restart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36.0% (25.6-44.9)</w:t>
            </w:r>
          </w:p>
        </w:tc>
        <w:tc>
          <w:tcPr>
            <w:tcW w:w="1880" w:type="dxa"/>
            <w:vMerge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Comorbidities</w:t>
            </w:r>
          </w:p>
        </w:tc>
        <w:tc>
          <w:tcPr>
            <w:tcW w:w="2072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 xml:space="preserve">None 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37.0% (29.6-43.5)</w:t>
            </w:r>
          </w:p>
        </w:tc>
        <w:tc>
          <w:tcPr>
            <w:tcW w:w="1880" w:type="dxa"/>
            <w:vMerge w:val="restart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 xml:space="preserve">One or more 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27.0% (17.2-35.6)</w:t>
            </w:r>
          </w:p>
        </w:tc>
        <w:tc>
          <w:tcPr>
            <w:tcW w:w="1880" w:type="dxa"/>
            <w:vMerge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CVD</w:t>
            </w:r>
          </w:p>
        </w:tc>
        <w:tc>
          <w:tcPr>
            <w:tcW w:w="2072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34.9% (27.7-41.5)</w:t>
            </w:r>
          </w:p>
        </w:tc>
        <w:tc>
          <w:tcPr>
            <w:tcW w:w="1880" w:type="dxa"/>
            <w:vMerge w:val="restart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Reported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28.7% (18.0-38.0)</w:t>
            </w:r>
          </w:p>
        </w:tc>
        <w:tc>
          <w:tcPr>
            <w:tcW w:w="1880" w:type="dxa"/>
            <w:vMerge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Diabetes mellitus</w:t>
            </w:r>
          </w:p>
        </w:tc>
        <w:tc>
          <w:tcPr>
            <w:tcW w:w="2072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35.3% (28.3-41.6)</w:t>
            </w:r>
          </w:p>
        </w:tc>
        <w:tc>
          <w:tcPr>
            <w:tcW w:w="1880" w:type="dxa"/>
            <w:vMerge w:val="restart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Reported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24.2% (11.0-35.4)</w:t>
            </w:r>
          </w:p>
        </w:tc>
        <w:tc>
          <w:tcPr>
            <w:tcW w:w="1880" w:type="dxa"/>
            <w:vMerge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Health regional area</w:t>
            </w:r>
          </w:p>
        </w:tc>
        <w:tc>
          <w:tcPr>
            <w:tcW w:w="2072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C8B" w:rsidRPr="009C5E24" w:rsidTr="003949D9"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“Grande São Paulo”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28.3% (16.3-38.5)</w:t>
            </w:r>
          </w:p>
        </w:tc>
        <w:tc>
          <w:tcPr>
            <w:tcW w:w="1880" w:type="dxa"/>
            <w:vMerge w:val="restart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871C8B" w:rsidRPr="009C5E24" w:rsidTr="003949D9">
        <w:trPr>
          <w:trHeight w:val="241"/>
        </w:trPr>
        <w:tc>
          <w:tcPr>
            <w:tcW w:w="3633" w:type="dxa"/>
            <w:vAlign w:val="center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Not “Grande São Paulo”</w:t>
            </w:r>
          </w:p>
        </w:tc>
        <w:tc>
          <w:tcPr>
            <w:tcW w:w="2072" w:type="dxa"/>
            <w:vAlign w:val="bottom"/>
          </w:tcPr>
          <w:p w:rsidR="00871C8B" w:rsidRPr="009C5E24" w:rsidRDefault="00871C8B" w:rsidP="003949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37.2% (28.4-44.9)</w:t>
            </w:r>
          </w:p>
        </w:tc>
        <w:tc>
          <w:tcPr>
            <w:tcW w:w="1880" w:type="dxa"/>
            <w:vMerge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71C8B" w:rsidRDefault="00871C8B" w:rsidP="007B0DF8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t>* All models adjusted for age as a continuous variable, number of reported comorbidities (none vs. one-two vs. three or more) and previous positive SARS-CoV-2 RT-PCR test</w:t>
      </w:r>
    </w:p>
    <w:p w:rsidR="00871C8B" w:rsidRPr="00430023" w:rsidRDefault="003949D9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  <w:r w:rsidRPr="003949D9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0"/>
          <w:szCs w:val="20"/>
        </w:rPr>
        <w:t xml:space="preserve"> p-value from a </w:t>
      </w:r>
      <w:r w:rsidR="002E0FAC">
        <w:rPr>
          <w:rFonts w:ascii="Times New Roman" w:hAnsi="Times New Roman" w:cs="Times New Roman"/>
          <w:sz w:val="20"/>
          <w:szCs w:val="20"/>
        </w:rPr>
        <w:t xml:space="preserve">two-sided </w:t>
      </w:r>
      <w:r>
        <w:rPr>
          <w:rFonts w:ascii="Times New Roman" w:hAnsi="Times New Roman" w:cs="Times New Roman"/>
          <w:sz w:val="20"/>
          <w:szCs w:val="20"/>
        </w:rPr>
        <w:t xml:space="preserve">likelihood ratio test comparing </w:t>
      </w:r>
      <w:r w:rsidR="006A50F4">
        <w:rPr>
          <w:rFonts w:ascii="Times New Roman" w:hAnsi="Times New Roman" w:cs="Times New Roman"/>
          <w:sz w:val="20"/>
          <w:szCs w:val="20"/>
        </w:rPr>
        <w:t xml:space="preserve">the primary model with a nested model with an interaction between each variable of interest and vaccination with a single dose </w:t>
      </w:r>
      <w:r w:rsidR="006A50F4" w:rsidRPr="009C5E24">
        <w:rPr>
          <w:rFonts w:ascii="Times New Roman" w:hAnsi="Times New Roman" w:cs="Times New Roman"/>
          <w:color w:val="000000"/>
          <w:sz w:val="20"/>
          <w:szCs w:val="20"/>
        </w:rPr>
        <w:t>≥</w:t>
      </w:r>
      <w:r w:rsidR="006A50F4">
        <w:rPr>
          <w:rFonts w:ascii="Times New Roman" w:hAnsi="Times New Roman" w:cs="Times New Roman"/>
          <w:color w:val="000000"/>
          <w:sz w:val="20"/>
          <w:szCs w:val="20"/>
        </w:rPr>
        <w:t>28 days before RT-PCR sample collection date.</w:t>
      </w: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430023" w:rsidRDefault="006A50F4" w:rsidP="006A50F4">
      <w:pPr>
        <w:widowControl w:val="0"/>
        <w:tabs>
          <w:tab w:val="left" w:pos="4000"/>
        </w:tabs>
        <w:spacing w:after="24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430023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Default="00871C8B" w:rsidP="00871C8B">
      <w:pPr>
        <w:widowControl w:val="0"/>
        <w:spacing w:after="240" w:line="240" w:lineRule="auto"/>
        <w:rPr>
          <w:rFonts w:asciiTheme="minorHAnsi" w:hAnsiTheme="minorHAnsi" w:cstheme="minorHAnsi"/>
        </w:rPr>
      </w:pPr>
    </w:p>
    <w:p w:rsidR="00871C8B" w:rsidRPr="00773107" w:rsidRDefault="00871C8B" w:rsidP="00871C8B">
      <w:pPr>
        <w:rPr>
          <w:rFonts w:asciiTheme="minorHAnsi" w:hAnsiTheme="minorHAnsi" w:cstheme="minorHAnsi"/>
          <w:color w:val="000000"/>
          <w:sz w:val="20"/>
        </w:rPr>
      </w:pPr>
      <w:r>
        <w:rPr>
          <w:rFonts w:asciiTheme="minorHAnsi" w:hAnsiTheme="minorHAnsi" w:cstheme="minorHAnsi"/>
          <w:color w:val="000000"/>
          <w:sz w:val="20"/>
        </w:rPr>
        <w:br w:type="page"/>
      </w:r>
    </w:p>
    <w:p w:rsidR="00871C8B" w:rsidRPr="009C5E24" w:rsidRDefault="00F11F1E" w:rsidP="00871C8B">
      <w:pPr>
        <w:widowControl w:val="0"/>
        <w:spacing w:after="24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lastRenderedPageBreak/>
        <w:t>Supplementary Table 11</w:t>
      </w:r>
      <w:r w:rsidR="00871C8B" w:rsidRPr="009C5E24">
        <w:rPr>
          <w:rFonts w:ascii="Times New Roman" w:hAnsi="Times New Roman" w:cs="Times New Roman"/>
          <w:color w:val="000000"/>
          <w:sz w:val="20"/>
        </w:rPr>
        <w:t>. Adjusted one- and two-dose effectiveness against Covid-19 hospitalization and Covid-19-related death by age</w:t>
      </w:r>
    </w:p>
    <w:tbl>
      <w:tblPr>
        <w:tblStyle w:val="TableGrid"/>
        <w:tblW w:w="9340" w:type="dxa"/>
        <w:tblLook w:val="0600" w:firstRow="0" w:lastRow="0" w:firstColumn="0" w:lastColumn="0" w:noHBand="1" w:noVBand="1"/>
      </w:tblPr>
      <w:tblGrid>
        <w:gridCol w:w="2605"/>
        <w:gridCol w:w="2028"/>
        <w:gridCol w:w="1525"/>
        <w:gridCol w:w="1939"/>
        <w:gridCol w:w="1243"/>
      </w:tblGrid>
      <w:tr w:rsidR="00871C8B" w:rsidRPr="009C5E24" w:rsidTr="003949D9">
        <w:trPr>
          <w:trHeight w:val="227"/>
        </w:trPr>
        <w:tc>
          <w:tcPr>
            <w:tcW w:w="2605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Adjusted one-dose VE* (95% CI)</w:t>
            </w:r>
          </w:p>
        </w:tc>
        <w:tc>
          <w:tcPr>
            <w:tcW w:w="1525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p-value for interaction</w:t>
            </w:r>
            <w:r w:rsidR="006A50F4" w:rsidRPr="003949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939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Adjusted two-dose VE* (95% CI)</w:t>
            </w:r>
          </w:p>
        </w:tc>
        <w:tc>
          <w:tcPr>
            <w:tcW w:w="1243" w:type="dxa"/>
            <w:vAlign w:val="center"/>
          </w:tcPr>
          <w:p w:rsidR="00871C8B" w:rsidRPr="009C5E24" w:rsidRDefault="00871C8B" w:rsidP="00394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p-value for interaction</w:t>
            </w:r>
            <w:r w:rsidR="006A50F4" w:rsidRPr="006A50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</w:tr>
      <w:tr w:rsidR="00871C8B" w:rsidRPr="009C5E24" w:rsidTr="003949D9">
        <w:trPr>
          <w:trHeight w:val="227"/>
        </w:trPr>
        <w:tc>
          <w:tcPr>
            <w:tcW w:w="2605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 hospitalization</w:t>
            </w:r>
          </w:p>
        </w:tc>
        <w:tc>
          <w:tcPr>
            <w:tcW w:w="6735" w:type="dxa"/>
            <w:gridSpan w:val="4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C8B" w:rsidRPr="009C5E24" w:rsidTr="003949D9">
        <w:trPr>
          <w:trHeight w:val="227"/>
        </w:trPr>
        <w:tc>
          <w:tcPr>
            <w:tcW w:w="2605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Age 60-69 years</w:t>
            </w:r>
          </w:p>
        </w:tc>
        <w:tc>
          <w:tcPr>
            <w:tcW w:w="2028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60.7% (51.1-68.4)</w:t>
            </w:r>
          </w:p>
        </w:tc>
        <w:tc>
          <w:tcPr>
            <w:tcW w:w="1525" w:type="dxa"/>
            <w:vMerge w:val="restart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939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100.0% (N/A)</w:t>
            </w:r>
          </w:p>
        </w:tc>
        <w:tc>
          <w:tcPr>
            <w:tcW w:w="1243" w:type="dxa"/>
            <w:vMerge w:val="restart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71C8B" w:rsidRPr="009C5E24" w:rsidTr="003949D9">
        <w:trPr>
          <w:trHeight w:val="227"/>
        </w:trPr>
        <w:tc>
          <w:tcPr>
            <w:tcW w:w="2605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Age ≥70 years</w:t>
            </w:r>
          </w:p>
        </w:tc>
        <w:tc>
          <w:tcPr>
            <w:tcW w:w="2028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41.9% (22.5-56.5)</w:t>
            </w:r>
          </w:p>
        </w:tc>
        <w:tc>
          <w:tcPr>
            <w:tcW w:w="1525" w:type="dxa"/>
            <w:vMerge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80.8% (65.2-89.4)</w:t>
            </w:r>
          </w:p>
        </w:tc>
        <w:tc>
          <w:tcPr>
            <w:tcW w:w="1243" w:type="dxa"/>
            <w:vMerge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C8B" w:rsidRPr="009C5E24" w:rsidTr="003949D9">
        <w:trPr>
          <w:trHeight w:val="227"/>
        </w:trPr>
        <w:tc>
          <w:tcPr>
            <w:tcW w:w="2605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b/>
                <w:sz w:val="20"/>
                <w:szCs w:val="20"/>
              </w:rPr>
              <w:t>Covid-19-related death</w:t>
            </w:r>
          </w:p>
        </w:tc>
        <w:tc>
          <w:tcPr>
            <w:tcW w:w="6735" w:type="dxa"/>
            <w:gridSpan w:val="4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71C8B" w:rsidRPr="009C5E24" w:rsidTr="003949D9">
        <w:trPr>
          <w:trHeight w:val="227"/>
        </w:trPr>
        <w:tc>
          <w:tcPr>
            <w:tcW w:w="2605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Age 60-69 years</w:t>
            </w:r>
          </w:p>
        </w:tc>
        <w:tc>
          <w:tcPr>
            <w:tcW w:w="2028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72.1% (57.6-81.7)</w:t>
            </w:r>
          </w:p>
        </w:tc>
        <w:tc>
          <w:tcPr>
            <w:tcW w:w="1525" w:type="dxa"/>
            <w:vMerge w:val="restart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939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100.0% (N/A)</w:t>
            </w:r>
          </w:p>
        </w:tc>
        <w:tc>
          <w:tcPr>
            <w:tcW w:w="1243" w:type="dxa"/>
            <w:vMerge w:val="restart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871C8B" w:rsidRPr="009C5E24" w:rsidTr="003949D9">
        <w:trPr>
          <w:trHeight w:val="227"/>
        </w:trPr>
        <w:tc>
          <w:tcPr>
            <w:tcW w:w="2605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sz w:val="20"/>
                <w:szCs w:val="20"/>
              </w:rPr>
              <w:t>Age ≥70 years</w:t>
            </w:r>
          </w:p>
        </w:tc>
        <w:tc>
          <w:tcPr>
            <w:tcW w:w="2028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48.0% (22.1-65.3)</w:t>
            </w:r>
          </w:p>
        </w:tc>
        <w:tc>
          <w:tcPr>
            <w:tcW w:w="1525" w:type="dxa"/>
            <w:vMerge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E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89.9% (69.7-96.7)</w:t>
            </w:r>
          </w:p>
        </w:tc>
        <w:tc>
          <w:tcPr>
            <w:tcW w:w="1243" w:type="dxa"/>
            <w:vMerge/>
            <w:vAlign w:val="center"/>
          </w:tcPr>
          <w:p w:rsidR="00871C8B" w:rsidRPr="009C5E24" w:rsidRDefault="00871C8B" w:rsidP="003949D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71C8B" w:rsidRDefault="00871C8B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5E24">
        <w:rPr>
          <w:rFonts w:ascii="Times New Roman" w:eastAsia="Times New Roman" w:hAnsi="Times New Roman" w:cs="Times New Roman"/>
          <w:sz w:val="20"/>
          <w:szCs w:val="20"/>
        </w:rPr>
        <w:t>* All models adjusted for age as a continuous variable, number of reported comorbidities (none vs. one-two vs. three or more) and previous positive SARS-CoV-2 RT-PCR test</w:t>
      </w:r>
    </w:p>
    <w:p w:rsidR="006A50F4" w:rsidRDefault="006A50F4" w:rsidP="006A50F4">
      <w:pPr>
        <w:widowControl w:val="0"/>
        <w:spacing w:after="24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949D9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0"/>
          <w:szCs w:val="20"/>
        </w:rPr>
        <w:t xml:space="preserve"> p-value from a </w:t>
      </w:r>
      <w:r w:rsidR="002E0FAC">
        <w:rPr>
          <w:rFonts w:ascii="Times New Roman" w:hAnsi="Times New Roman" w:cs="Times New Roman"/>
          <w:sz w:val="20"/>
          <w:szCs w:val="20"/>
        </w:rPr>
        <w:t xml:space="preserve">two-sided </w:t>
      </w:r>
      <w:r>
        <w:rPr>
          <w:rFonts w:ascii="Times New Roman" w:hAnsi="Times New Roman" w:cs="Times New Roman"/>
          <w:sz w:val="20"/>
          <w:szCs w:val="20"/>
        </w:rPr>
        <w:t xml:space="preserve">likelihood ratio test comparing the primary model with a nested model with an interaction between each variable of interest and vaccination with a single dose </w:t>
      </w:r>
      <w:r w:rsidRPr="009C5E24">
        <w:rPr>
          <w:rFonts w:ascii="Times New Roman" w:hAnsi="Times New Roman" w:cs="Times New Roman"/>
          <w:color w:val="000000"/>
          <w:sz w:val="20"/>
          <w:szCs w:val="20"/>
        </w:rPr>
        <w:t>≥</w:t>
      </w:r>
      <w:r>
        <w:rPr>
          <w:rFonts w:ascii="Times New Roman" w:hAnsi="Times New Roman" w:cs="Times New Roman"/>
          <w:color w:val="000000"/>
          <w:sz w:val="20"/>
          <w:szCs w:val="20"/>
        </w:rPr>
        <w:t>28 days before RT-PCR sample collection date.</w:t>
      </w:r>
    </w:p>
    <w:p w:rsidR="006A50F4" w:rsidRDefault="006A50F4" w:rsidP="006A50F4">
      <w:pPr>
        <w:widowControl w:val="0"/>
        <w:spacing w:after="24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50F4">
        <w:rPr>
          <w:rFonts w:ascii="Times New Roman" w:hAnsi="Times New Roman" w:cs="Times New Roman"/>
          <w:sz w:val="20"/>
          <w:szCs w:val="20"/>
          <w:vertAlign w:val="superscript"/>
        </w:rPr>
        <w:t>‡</w:t>
      </w:r>
      <w:r w:rsidRPr="006A50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p-value from a </w:t>
      </w:r>
      <w:r w:rsidR="002E0FAC">
        <w:rPr>
          <w:rFonts w:ascii="Times New Roman" w:hAnsi="Times New Roman" w:cs="Times New Roman"/>
          <w:sz w:val="20"/>
          <w:szCs w:val="20"/>
        </w:rPr>
        <w:t xml:space="preserve">two-sided </w:t>
      </w:r>
      <w:r>
        <w:rPr>
          <w:rFonts w:ascii="Times New Roman" w:hAnsi="Times New Roman" w:cs="Times New Roman"/>
          <w:sz w:val="20"/>
          <w:szCs w:val="20"/>
        </w:rPr>
        <w:t xml:space="preserve">likelihood ratio test comparing the primary model with a nested model with an interaction between each variable of interest and vaccination with two doses </w:t>
      </w:r>
      <w:r w:rsidRPr="009C5E24">
        <w:rPr>
          <w:rFonts w:ascii="Times New Roman" w:hAnsi="Times New Roman" w:cs="Times New Roman"/>
          <w:color w:val="000000"/>
          <w:sz w:val="20"/>
          <w:szCs w:val="20"/>
        </w:rPr>
        <w:t>≥</w:t>
      </w:r>
      <w:r>
        <w:rPr>
          <w:rFonts w:ascii="Times New Roman" w:hAnsi="Times New Roman" w:cs="Times New Roman"/>
          <w:color w:val="000000"/>
          <w:sz w:val="20"/>
          <w:szCs w:val="20"/>
        </w:rPr>
        <w:t>14 days before RT-PCR sample collection date.</w:t>
      </w:r>
    </w:p>
    <w:p w:rsidR="006A50F4" w:rsidRPr="003949D9" w:rsidRDefault="006A50F4" w:rsidP="006A50F4">
      <w:pPr>
        <w:widowControl w:val="0"/>
        <w:spacing w:after="240" w:line="240" w:lineRule="auto"/>
        <w:rPr>
          <w:rFonts w:asciiTheme="minorHAnsi" w:eastAsia="Times New Roman" w:hAnsiTheme="minorHAnsi" w:cstheme="minorHAnsi"/>
          <w:sz w:val="20"/>
          <w:szCs w:val="20"/>
        </w:rPr>
      </w:pPr>
    </w:p>
    <w:p w:rsidR="006A50F4" w:rsidRDefault="006A50F4" w:rsidP="00871C8B">
      <w:pPr>
        <w:widowControl w:val="0"/>
        <w:spacing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71C8B" w:rsidRDefault="00871C8B" w:rsidP="00871C8B">
      <w:pPr>
        <w:pStyle w:val="TableTitle"/>
        <w:rPr>
          <w:sz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sz w:val="20"/>
        </w:rPr>
        <w:br w:type="page"/>
      </w:r>
    </w:p>
    <w:tbl>
      <w:tblPr>
        <w:tblStyle w:val="TableGrid"/>
        <w:tblpPr w:leftFromText="180" w:rightFromText="180" w:horzAnchor="margin" w:tblpY="526"/>
        <w:tblW w:w="9360" w:type="dxa"/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871C8B" w:rsidRPr="00321C5A" w:rsidTr="003949D9"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Database acronym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b/>
                <w:sz w:val="20"/>
                <w:szCs w:val="20"/>
              </w:rPr>
              <w:t>Domain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b/>
                <w:sz w:val="20"/>
                <w:szCs w:val="20"/>
              </w:rPr>
              <w:t>Comment</w:t>
            </w:r>
          </w:p>
        </w:tc>
      </w:tr>
      <w:tr w:rsidR="00871C8B" w:rsidRPr="00321C5A" w:rsidTr="003949D9"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“Vacina Já”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State COVID-19 vaccination registry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tate vaccination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transferred</w:t>
            </w: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 xml:space="preserve"> to the National Immunization System (SIPNI)</w:t>
            </w:r>
          </w:p>
        </w:tc>
      </w:tr>
      <w:tr w:rsidR="00871C8B" w:rsidRPr="00321C5A" w:rsidTr="003949D9"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SIVEP-Gripe (“Sistema de Informação da Vigilância Epidemiológica da Gripe”)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National surveillance database of severe acute respiratory illnesses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 xml:space="preserve">Contains 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suspected or confirmed</w:t>
            </w: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 xml:space="preserve"> COVID-19 hospitalizations and deaths. In São Paulo State, there is a protocol for </w:t>
            </w:r>
            <w:r w:rsidRPr="009B5F46">
              <w:rPr>
                <w:rFonts w:ascii="Times New Roman" w:hAnsi="Times New Roman" w:cs="Times New Roman"/>
                <w:i/>
                <w:sz w:val="20"/>
                <w:szCs w:val="20"/>
              </w:rPr>
              <w:t>post mortem</w:t>
            </w: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 xml:space="preserve"> RT-PCR SARS-CoV-2 testing for suspected COVID-19 deaths that are also notified to SIVEP-Gripe.</w:t>
            </w:r>
          </w:p>
        </w:tc>
      </w:tr>
      <w:tr w:rsidR="00871C8B" w:rsidRPr="00321C5A" w:rsidTr="003949D9"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e-SUS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National surveillance system of suspected cases of COVID-19 from mild to moderate "influenza like illness"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Contains n</w:t>
            </w: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otifications from primary health care and specialty outpatient visits.</w:t>
            </w:r>
          </w:p>
        </w:tc>
      </w:tr>
      <w:tr w:rsidR="00871C8B" w:rsidRPr="00321C5A" w:rsidTr="003949D9"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GAL (“Gerenciador de Ambiente Laboratorial”)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>State laboratory testing registry of the network of public health laboratories</w:t>
            </w:r>
          </w:p>
        </w:tc>
        <w:tc>
          <w:tcPr>
            <w:tcW w:w="3120" w:type="dxa"/>
          </w:tcPr>
          <w:p w:rsidR="00871C8B" w:rsidRPr="00321C5A" w:rsidRDefault="00871C8B" w:rsidP="00394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 xml:space="preserve">In São Paulo State, diagnostic tests performed in GAL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are automatically merged into eSUS and</w:t>
            </w:r>
            <w:r w:rsidRPr="00321C5A">
              <w:rPr>
                <w:rFonts w:ascii="Times New Roman" w:hAnsi="Times New Roman" w:cs="Times New Roman"/>
                <w:sz w:val="20"/>
                <w:szCs w:val="20"/>
              </w:rPr>
              <w:t xml:space="preserve"> SIVEP-Gripe</w:t>
            </w:r>
          </w:p>
        </w:tc>
      </w:tr>
    </w:tbl>
    <w:p w:rsidR="00871C8B" w:rsidRDefault="00871C8B" w:rsidP="00871C8B">
      <w:pPr>
        <w:pStyle w:val="TableTitle"/>
        <w:rPr>
          <w:sz w:val="20"/>
        </w:rPr>
      </w:pPr>
      <w:r>
        <w:rPr>
          <w:sz w:val="20"/>
        </w:rPr>
        <w:t xml:space="preserve"> Supplementary Table 1</w:t>
      </w:r>
      <w:r w:rsidR="00F11F1E">
        <w:rPr>
          <w:sz w:val="20"/>
        </w:rPr>
        <w:t>2</w:t>
      </w:r>
      <w:r>
        <w:rPr>
          <w:sz w:val="20"/>
        </w:rPr>
        <w:t>. Description of data sources.</w:t>
      </w:r>
    </w:p>
    <w:p w:rsidR="00871C8B" w:rsidRDefault="00871C8B" w:rsidP="00871C8B">
      <w:pPr>
        <w:pStyle w:val="TableTitle"/>
        <w:rPr>
          <w:sz w:val="20"/>
        </w:rPr>
      </w:pPr>
    </w:p>
    <w:p w:rsidR="00871C8B" w:rsidRDefault="00871C8B" w:rsidP="00871C8B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>
        <w:rPr>
          <w:sz w:val="20"/>
        </w:rPr>
        <w:br w:type="page"/>
      </w:r>
    </w:p>
    <w:p w:rsidR="00871C8B" w:rsidRPr="0081106F" w:rsidRDefault="00F11F1E" w:rsidP="00871C8B">
      <w:pPr>
        <w:pStyle w:val="TableTitle"/>
        <w:rPr>
          <w:sz w:val="20"/>
        </w:rPr>
      </w:pPr>
      <w:r>
        <w:rPr>
          <w:sz w:val="20"/>
        </w:rPr>
        <w:lastRenderedPageBreak/>
        <w:t>Supplementary Table 13</w:t>
      </w:r>
      <w:r w:rsidR="00871C8B">
        <w:rPr>
          <w:sz w:val="20"/>
        </w:rPr>
        <w:t>.</w:t>
      </w:r>
      <w:r w:rsidR="00871C8B" w:rsidRPr="0081106F">
        <w:rPr>
          <w:sz w:val="20"/>
        </w:rPr>
        <w:t xml:space="preserve"> STROBE Statement—Checklist of items that should be included in reports of case-control studies </w:t>
      </w:r>
    </w:p>
    <w:tbl>
      <w:tblPr>
        <w:tblW w:w="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630"/>
        <w:gridCol w:w="6570"/>
        <w:gridCol w:w="1101"/>
      </w:tblGrid>
      <w:tr w:rsidR="00871C8B" w:rsidRPr="0081106F" w:rsidTr="003949D9"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bold4" w:colFirst="3" w:colLast="3"/>
            <w:bookmarkStart w:id="4" w:name="italic5" w:colFirst="3" w:colLast="3"/>
            <w:bookmarkStart w:id="5" w:name="bold3" w:colFirst="3" w:colLast="3"/>
            <w:bookmarkStart w:id="6" w:name="italic4" w:colFirst="3" w:colLast="3"/>
            <w:bookmarkStart w:id="7" w:name="italic3" w:colFirst="2" w:colLast="2"/>
            <w:bookmarkStart w:id="8" w:name="bold2" w:colFirst="2" w:colLast="2"/>
            <w:bookmarkStart w:id="9" w:name="italic2" w:colFirst="1" w:colLast="1"/>
            <w:bookmarkStart w:id="10" w:name="bold1" w:colFirst="1" w:colLast="1"/>
            <w:bookmarkStart w:id="11" w:name="italic1" w:colFirst="0" w:colLast="0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1106F">
              <w:rPr>
                <w:bCs/>
                <w:sz w:val="20"/>
              </w:rPr>
              <w:t>Item No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1C8B" w:rsidRPr="0081106F" w:rsidRDefault="00871C8B" w:rsidP="003949D9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81106F">
              <w:rPr>
                <w:bCs/>
                <w:sz w:val="20"/>
              </w:rPr>
              <w:t>Recommendation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pStyle w:val="TableHeader"/>
              <w:tabs>
                <w:tab w:val="left" w:pos="5400"/>
              </w:tabs>
              <w:jc w:val="center"/>
              <w:rPr>
                <w:sz w:val="20"/>
              </w:rPr>
            </w:pPr>
            <w:r w:rsidRPr="0081106F">
              <w:rPr>
                <w:sz w:val="20"/>
              </w:rPr>
              <w:t>Page No</w:t>
            </w:r>
          </w:p>
        </w:tc>
      </w:tr>
      <w:tr w:rsidR="00871C8B" w:rsidRPr="0081106F" w:rsidTr="003949D9">
        <w:tc>
          <w:tcPr>
            <w:tcW w:w="18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bold5"/>
            <w:bookmarkStart w:id="13" w:name="italic6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Pr="0081106F">
              <w:rPr>
                <w:rFonts w:ascii="Times New Roman" w:hAnsi="Times New Roman" w:cs="Times New Roman"/>
                <w:b/>
                <w:sz w:val="20"/>
                <w:szCs w:val="20"/>
              </w:rPr>
              <w:t>Title and abstract</w:t>
            </w:r>
            <w:bookmarkEnd w:id="12"/>
            <w:bookmarkEnd w:id="13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Indicate the study’s design with a commonly used term in the title or the abstract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bold6"/>
            <w:bookmarkStart w:id="15" w:name="italic7"/>
            <w:bookmarkEnd w:id="14"/>
            <w:bookmarkEnd w:id="15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Provide in the abstract an informative and balanced summary of what was done and what was found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71C8B" w:rsidRPr="0081106F" w:rsidTr="003949D9">
        <w:tc>
          <w:tcPr>
            <w:tcW w:w="10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6" w:name="bold7"/>
            <w:bookmarkStart w:id="17" w:name="italic8"/>
            <w:r w:rsidRPr="0081106F">
              <w:rPr>
                <w:sz w:val="20"/>
              </w:rPr>
              <w:t>Introduction</w:t>
            </w:r>
            <w:bookmarkEnd w:id="16"/>
            <w:bookmarkEnd w:id="17"/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8" w:name="bold8"/>
            <w:bookmarkStart w:id="19" w:name="italic9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Background/</w:t>
            </w:r>
            <w:bookmarkStart w:id="20" w:name="bold9"/>
            <w:bookmarkStart w:id="21" w:name="italic10"/>
            <w:bookmarkEnd w:id="18"/>
            <w:bookmarkEnd w:id="19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rationale</w:t>
            </w:r>
            <w:bookmarkEnd w:id="20"/>
            <w:bookmarkEnd w:id="21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2" w:name="bold10" w:colFirst="0" w:colLast="0"/>
            <w:bookmarkStart w:id="23" w:name="italic11" w:colFirst="0" w:colLast="0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Objectives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71C8B" w:rsidRPr="0081106F" w:rsidTr="003949D9">
        <w:tc>
          <w:tcPr>
            <w:tcW w:w="10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4" w:name="bold11"/>
            <w:bookmarkStart w:id="25" w:name="italic12"/>
            <w:bookmarkEnd w:id="22"/>
            <w:bookmarkEnd w:id="23"/>
            <w:r w:rsidRPr="0081106F">
              <w:rPr>
                <w:sz w:val="20"/>
              </w:rPr>
              <w:t>Methods</w:t>
            </w:r>
            <w:bookmarkEnd w:id="24"/>
            <w:bookmarkEnd w:id="25"/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6" w:name="bold12" w:colFirst="0" w:colLast="0"/>
            <w:bookmarkStart w:id="27" w:name="italic13" w:colFirst="0" w:colLast="0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Study design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8" w:name="bold13" w:colFirst="0" w:colLast="0"/>
            <w:bookmarkStart w:id="29" w:name="italic14" w:colFirst="0" w:colLast="0"/>
            <w:bookmarkEnd w:id="26"/>
            <w:bookmarkEnd w:id="27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Setting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</w:t>
            </w:r>
          </w:p>
        </w:tc>
      </w:tr>
      <w:bookmarkEnd w:id="28"/>
      <w:bookmarkEnd w:id="29"/>
      <w:tr w:rsidR="00871C8B" w:rsidRPr="0081106F" w:rsidTr="003949D9">
        <w:tc>
          <w:tcPr>
            <w:tcW w:w="18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Participants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Give the eligibility criteria, and the sources and methods of case ascertainment and control selection. Give the rationale for the choice of cases and controls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bold14"/>
            <w:bookmarkStart w:id="31" w:name="italic15"/>
            <w:bookmarkEnd w:id="30"/>
            <w:bookmarkEnd w:id="31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110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For matched studies, give matching criteria and the number of controls per case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2" w:name="bold16" w:colFirst="0" w:colLast="0"/>
            <w:bookmarkStart w:id="33" w:name="italic17" w:colFirst="0" w:colLast="0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Variables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10-11;</w:t>
            </w:r>
          </w:p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protocol</w:t>
            </w:r>
          </w:p>
        </w:tc>
      </w:tr>
      <w:tr w:rsidR="00871C8B" w:rsidRPr="0081106F" w:rsidTr="003949D9">
        <w:trPr>
          <w:trHeight w:val="294"/>
        </w:trPr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4" w:name="bold17"/>
            <w:bookmarkStart w:id="35" w:name="italic18"/>
            <w:bookmarkEnd w:id="32"/>
            <w:bookmarkEnd w:id="33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Data sources/</w:t>
            </w:r>
            <w:bookmarkStart w:id="36" w:name="bold18"/>
            <w:bookmarkStart w:id="37" w:name="italic19"/>
            <w:bookmarkEnd w:id="34"/>
            <w:bookmarkEnd w:id="35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measurement</w:t>
            </w:r>
            <w:bookmarkEnd w:id="36"/>
            <w:bookmarkEnd w:id="37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38" w:name="bold19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38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39" w:name="bold20" w:colFirst="0" w:colLast="0"/>
            <w:bookmarkStart w:id="40" w:name="italic20" w:colFirst="0" w:colLast="0"/>
            <w:r w:rsidRPr="008110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41" w:name="bold21" w:colFirst="0" w:colLast="0"/>
            <w:bookmarkStart w:id="42" w:name="italic21" w:colFirst="0" w:colLast="0"/>
            <w:bookmarkEnd w:id="39"/>
            <w:bookmarkEnd w:id="40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Study size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Explain how the study size was arrived at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; Fig2</w:t>
            </w:r>
          </w:p>
        </w:tc>
      </w:tr>
      <w:tr w:rsidR="00871C8B" w:rsidRPr="0081106F" w:rsidTr="003949D9"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43" w:name="bold22"/>
            <w:bookmarkStart w:id="44" w:name="italic22"/>
            <w:bookmarkEnd w:id="41"/>
            <w:bookmarkEnd w:id="42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Quantitative</w:t>
            </w:r>
            <w:bookmarkStart w:id="45" w:name="bold23"/>
            <w:bookmarkStart w:id="46" w:name="italic23"/>
            <w:bookmarkEnd w:id="43"/>
            <w:bookmarkEnd w:id="44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variables</w:t>
            </w:r>
            <w:bookmarkEnd w:id="45"/>
            <w:bookmarkEnd w:id="46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; Protocol</w:t>
            </w:r>
          </w:p>
        </w:tc>
      </w:tr>
      <w:tr w:rsidR="00871C8B" w:rsidRPr="0081106F" w:rsidTr="003949D9">
        <w:tc>
          <w:tcPr>
            <w:tcW w:w="18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47" w:name="italic24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Statistical</w:t>
            </w:r>
            <w:bookmarkStart w:id="48" w:name="italic25"/>
            <w:bookmarkEnd w:id="47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 xml:space="preserve"> methods</w:t>
            </w:r>
            <w:bookmarkEnd w:id="48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Describe all statistical methods, including those used to control for confounding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bold24"/>
            <w:bookmarkStart w:id="50" w:name="italic26"/>
            <w:bookmarkEnd w:id="49"/>
            <w:bookmarkEnd w:id="50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Describe any methods used to examine subgroups and interactions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bold25"/>
            <w:bookmarkStart w:id="52" w:name="italic27"/>
            <w:bookmarkEnd w:id="51"/>
            <w:bookmarkEnd w:id="52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Explain how missing data were addressed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Protocol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bold26"/>
            <w:bookmarkStart w:id="54" w:name="italic28"/>
            <w:bookmarkEnd w:id="53"/>
            <w:bookmarkEnd w:id="54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If applicable, explain how matching of cases and controls was addressed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bold27"/>
            <w:bookmarkStart w:id="56" w:name="italic29"/>
            <w:bookmarkEnd w:id="55"/>
            <w:bookmarkEnd w:id="56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110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) Describe any sensitivity analyses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71C8B" w:rsidRPr="0081106F" w:rsidTr="003949D9">
        <w:tc>
          <w:tcPr>
            <w:tcW w:w="10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7" w:name="bold28"/>
            <w:bookmarkStart w:id="58" w:name="italic30"/>
            <w:r w:rsidRPr="0081106F">
              <w:rPr>
                <w:sz w:val="20"/>
              </w:rPr>
              <w:t>Results</w:t>
            </w:r>
            <w:bookmarkEnd w:id="57"/>
            <w:bookmarkEnd w:id="58"/>
          </w:p>
        </w:tc>
      </w:tr>
      <w:tr w:rsidR="00871C8B" w:rsidRPr="0081106F" w:rsidTr="003949D9">
        <w:tc>
          <w:tcPr>
            <w:tcW w:w="18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59" w:name="bold29"/>
            <w:bookmarkStart w:id="60" w:name="italic31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Participants</w:t>
            </w:r>
            <w:bookmarkEnd w:id="59"/>
            <w:bookmarkEnd w:id="60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bookmarkStart w:id="61" w:name="bold30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61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; Fig 2, Supp Mat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bold31"/>
            <w:bookmarkStart w:id="63" w:name="italic32"/>
            <w:bookmarkEnd w:id="62"/>
            <w:bookmarkEnd w:id="63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Fig 2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bold32"/>
            <w:bookmarkStart w:id="65" w:name="italic33"/>
            <w:bookmarkStart w:id="66" w:name="OLE_LINK4"/>
            <w:bookmarkEnd w:id="64"/>
            <w:bookmarkEnd w:id="65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(c) Consider use of a flow diagram</w:t>
            </w:r>
            <w:bookmarkEnd w:id="66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Fig 2</w:t>
            </w:r>
          </w:p>
        </w:tc>
      </w:tr>
      <w:tr w:rsidR="00871C8B" w:rsidRPr="0081106F" w:rsidTr="003949D9">
        <w:tc>
          <w:tcPr>
            <w:tcW w:w="18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67" w:name="bold33"/>
            <w:bookmarkStart w:id="68" w:name="italic34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Descriptive </w:t>
            </w:r>
            <w:bookmarkStart w:id="69" w:name="bold34"/>
            <w:bookmarkStart w:id="70" w:name="italic35"/>
            <w:bookmarkEnd w:id="67"/>
            <w:bookmarkEnd w:id="68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bookmarkEnd w:id="69"/>
            <w:bookmarkEnd w:id="70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bookmarkStart w:id="71" w:name="bold35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71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; Table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71C8B" w:rsidRPr="0081106F" w:rsidTr="003949D9">
        <w:tc>
          <w:tcPr>
            <w:tcW w:w="10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" w:name="bold36"/>
            <w:bookmarkStart w:id="73" w:name="italic36"/>
            <w:bookmarkEnd w:id="72"/>
            <w:bookmarkEnd w:id="73"/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71C8B" w:rsidRPr="0081106F" w:rsidTr="003949D9">
        <w:trPr>
          <w:trHeight w:val="295"/>
        </w:trPr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74" w:name="bold38" w:colFirst="0" w:colLast="0"/>
            <w:bookmarkStart w:id="75" w:name="italic38" w:colFirst="0" w:colLast="0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Outcome data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Start w:id="76" w:name="bold39"/>
            <w:r w:rsidRPr="0081106F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bookmarkEnd w:id="76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C8B" w:rsidRPr="0081106F" w:rsidRDefault="00871C8B" w:rsidP="003949D9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Report numbers in each exposure category, or summary measures of exposure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71C8B" w:rsidRPr="0081106F" w:rsidRDefault="00871C8B" w:rsidP="003949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10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Supp Mat</w:t>
            </w:r>
          </w:p>
        </w:tc>
      </w:tr>
      <w:bookmarkEnd w:id="74"/>
      <w:bookmarkEnd w:id="75"/>
    </w:tbl>
    <w:p w:rsidR="00871C8B" w:rsidRPr="0081106F" w:rsidRDefault="00871C8B" w:rsidP="00871C8B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3949D9" w:rsidRDefault="003949D9"/>
    <w:sectPr w:rsidR="003949D9" w:rsidSect="003949D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E19FF"/>
    <w:multiLevelType w:val="hybridMultilevel"/>
    <w:tmpl w:val="7C0C5C46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0A"/>
    <w:rsid w:val="0007474D"/>
    <w:rsid w:val="002E0FAC"/>
    <w:rsid w:val="00322123"/>
    <w:rsid w:val="0037030A"/>
    <w:rsid w:val="003949D9"/>
    <w:rsid w:val="005631CC"/>
    <w:rsid w:val="005A45F8"/>
    <w:rsid w:val="005F02B1"/>
    <w:rsid w:val="006A50F4"/>
    <w:rsid w:val="0073272E"/>
    <w:rsid w:val="007B0DF8"/>
    <w:rsid w:val="008220CF"/>
    <w:rsid w:val="008377EC"/>
    <w:rsid w:val="00871C8B"/>
    <w:rsid w:val="009A6223"/>
    <w:rsid w:val="009C53DD"/>
    <w:rsid w:val="00A3013F"/>
    <w:rsid w:val="00B050A1"/>
    <w:rsid w:val="00B457F1"/>
    <w:rsid w:val="00BC7B6F"/>
    <w:rsid w:val="00C174C8"/>
    <w:rsid w:val="00C520A3"/>
    <w:rsid w:val="00D33C84"/>
    <w:rsid w:val="00D7498E"/>
    <w:rsid w:val="00EF302B"/>
    <w:rsid w:val="00F11F1E"/>
    <w:rsid w:val="00F241BD"/>
    <w:rsid w:val="00F86CAB"/>
    <w:rsid w:val="00F86F99"/>
    <w:rsid w:val="00FC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96BCA8-5E70-4DA0-97D9-CACEF67C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1C8B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rsid w:val="00871C8B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1C8B"/>
    <w:rPr>
      <w:rFonts w:ascii="Calibri" w:eastAsia="Calibri" w:hAnsi="Calibri" w:cs="Calibri"/>
      <w:b/>
      <w:sz w:val="48"/>
      <w:szCs w:val="48"/>
    </w:rPr>
  </w:style>
  <w:style w:type="table" w:styleId="TableGrid">
    <w:name w:val="Table Grid"/>
    <w:basedOn w:val="TableNormal"/>
    <w:uiPriority w:val="39"/>
    <w:rsid w:val="00871C8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Title"/>
    <w:basedOn w:val="Normal"/>
    <w:rsid w:val="00871C8B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871C8B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71C8B"/>
  </w:style>
  <w:style w:type="paragraph" w:styleId="ListParagraph">
    <w:name w:val="List Paragraph"/>
    <w:basedOn w:val="Normal"/>
    <w:uiPriority w:val="34"/>
    <w:qFormat/>
    <w:rsid w:val="00F86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17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Hitchings,Matthew David Thomas</dc:creator>
  <cp:keywords/>
  <dc:description/>
  <cp:lastModifiedBy>Hitchings,Matthew David Thomas</cp:lastModifiedBy>
  <cp:revision>16</cp:revision>
  <dcterms:created xsi:type="dcterms:W3CDTF">2021-09-23T14:38:00Z</dcterms:created>
  <dcterms:modified xsi:type="dcterms:W3CDTF">2021-10-07T14:46:00Z</dcterms:modified>
</cp:coreProperties>
</file>