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F2" w:rsidRDefault="00D34DF2" w:rsidP="00D34DF2">
      <w:pPr>
        <w:spacing w:after="0" w:line="240" w:lineRule="auto"/>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Description of Additional Supplementary Files</w:t>
      </w:r>
    </w:p>
    <w:p w:rsidR="00D34DF2" w:rsidRDefault="00D34DF2" w:rsidP="00D34DF2">
      <w:pPr>
        <w:spacing w:after="0" w:line="240" w:lineRule="auto"/>
        <w:jc w:val="both"/>
        <w:rPr>
          <w:rFonts w:ascii="Arial" w:eastAsia="Times New Roman" w:hAnsi="Arial" w:cs="Arial"/>
          <w:b/>
          <w:bCs/>
          <w:color w:val="000000" w:themeColor="text1"/>
          <w:sz w:val="20"/>
          <w:szCs w:val="20"/>
        </w:rPr>
      </w:pPr>
    </w:p>
    <w:p w:rsidR="00D34DF2" w:rsidRDefault="00D34DF2" w:rsidP="00D34DF2">
      <w:pPr>
        <w:spacing w:after="0" w:line="240" w:lineRule="auto"/>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Title: </w:t>
      </w:r>
      <w:r>
        <w:rPr>
          <w:rFonts w:ascii="Arial" w:eastAsia="Times New Roman" w:hAnsi="Arial" w:cs="Arial"/>
          <w:b/>
          <w:bCs/>
          <w:color w:val="000000" w:themeColor="text1"/>
          <w:sz w:val="20"/>
          <w:szCs w:val="20"/>
        </w:rPr>
        <w:t xml:space="preserve">Supplementary Datasheet 1. </w:t>
      </w:r>
    </w:p>
    <w:p w:rsidR="00D34DF2" w:rsidRDefault="00D34DF2" w:rsidP="00D34DF2">
      <w:pPr>
        <w:spacing w:after="0" w:line="240" w:lineRule="auto"/>
        <w:jc w:val="both"/>
        <w:rPr>
          <w:rFonts w:ascii="Arial" w:eastAsia="Times New Roman" w:hAnsi="Arial" w:cs="Arial"/>
          <w:color w:val="000000" w:themeColor="text1"/>
          <w:sz w:val="20"/>
          <w:szCs w:val="20"/>
        </w:rPr>
      </w:pPr>
      <w:r>
        <w:rPr>
          <w:rFonts w:ascii="Arial" w:eastAsia="Times New Roman" w:hAnsi="Arial" w:cs="Arial"/>
          <w:b/>
          <w:bCs/>
          <w:color w:val="000000" w:themeColor="text1"/>
          <w:sz w:val="20"/>
          <w:szCs w:val="20"/>
        </w:rPr>
        <w:t xml:space="preserve">Description: </w:t>
      </w:r>
      <w:r>
        <w:rPr>
          <w:rFonts w:ascii="Arial" w:eastAsia="Times New Roman" w:hAnsi="Arial" w:cs="Arial"/>
          <w:b/>
          <w:bCs/>
          <w:color w:val="000000" w:themeColor="text1"/>
          <w:sz w:val="20"/>
          <w:szCs w:val="20"/>
        </w:rPr>
        <w:t xml:space="preserve">Additional information for generation of single cell libraries. </w:t>
      </w:r>
      <w:r>
        <w:rPr>
          <w:rFonts w:ascii="Arial" w:eastAsia="Times New Roman" w:hAnsi="Arial" w:cs="Arial"/>
          <w:color w:val="000000" w:themeColor="text1"/>
          <w:sz w:val="20"/>
          <w:szCs w:val="20"/>
        </w:rPr>
        <w:t xml:space="preserve">For each library generated, the number of animals, sex, number of cells loaded onto 10x chip, estimate number of cells, mean reads per cell, median genes per cell, and sequencing saturation or fraction of transposition events in peaks in cell barcodes is included. </w:t>
      </w:r>
    </w:p>
    <w:p w:rsidR="00D34DF2" w:rsidRDefault="00D34DF2" w:rsidP="00D34DF2">
      <w:pPr>
        <w:spacing w:after="0" w:line="240" w:lineRule="auto"/>
        <w:jc w:val="both"/>
        <w:rPr>
          <w:rFonts w:ascii="Arial" w:eastAsia="Times New Roman" w:hAnsi="Arial" w:cs="Arial"/>
          <w:color w:val="000000" w:themeColor="text1"/>
          <w:sz w:val="20"/>
          <w:szCs w:val="20"/>
        </w:rPr>
      </w:pPr>
    </w:p>
    <w:p w:rsidR="00D34DF2" w:rsidRDefault="00D34DF2" w:rsidP="00D34DF2">
      <w:pPr>
        <w:spacing w:after="0" w:line="240" w:lineRule="auto"/>
        <w:jc w:val="both"/>
        <w:rPr>
          <w:rFonts w:ascii="Arial" w:eastAsia="Times New Roman" w:hAnsi="Arial" w:cs="Arial"/>
          <w:b/>
          <w:bCs/>
          <w:color w:val="000000" w:themeColor="text1"/>
          <w:sz w:val="20"/>
          <w:szCs w:val="20"/>
        </w:rPr>
      </w:pPr>
    </w:p>
    <w:p w:rsidR="00D34DF2" w:rsidRDefault="00D34DF2" w:rsidP="00D34DF2">
      <w:pPr>
        <w:spacing w:after="0" w:line="240" w:lineRule="auto"/>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Title: Supplementary Datasheet 2. </w:t>
      </w:r>
    </w:p>
    <w:p w:rsidR="00D34DF2" w:rsidRDefault="00D34DF2" w:rsidP="00D34DF2">
      <w:pPr>
        <w:spacing w:after="0" w:line="240" w:lineRule="auto"/>
        <w:jc w:val="both"/>
        <w:rPr>
          <w:rFonts w:ascii="Arial" w:eastAsia="Times New Roman" w:hAnsi="Arial" w:cs="Arial"/>
          <w:color w:val="0078D4"/>
          <w:sz w:val="20"/>
          <w:szCs w:val="20"/>
        </w:rPr>
      </w:pPr>
      <w:r>
        <w:rPr>
          <w:rFonts w:ascii="Arial" w:eastAsia="Times New Roman" w:hAnsi="Arial" w:cs="Arial"/>
          <w:b/>
          <w:bCs/>
          <w:color w:val="000000" w:themeColor="text1"/>
          <w:sz w:val="20"/>
          <w:szCs w:val="20"/>
        </w:rPr>
        <w:t xml:space="preserve">Description: Cluster marker genes, gene body activities, and motifs for each single-cell experiment. </w:t>
      </w:r>
      <w:r>
        <w:rPr>
          <w:rFonts w:ascii="Arial" w:eastAsia="Times New Roman" w:hAnsi="Arial" w:cs="Arial"/>
          <w:color w:val="000000" w:themeColor="text1"/>
          <w:sz w:val="20"/>
          <w:szCs w:val="20"/>
        </w:rPr>
        <w:t xml:space="preserve">Shown are the top marker genes for each </w:t>
      </w:r>
      <w:proofErr w:type="spellStart"/>
      <w:r>
        <w:rPr>
          <w:rFonts w:ascii="Arial" w:eastAsia="Times New Roman" w:hAnsi="Arial" w:cs="Arial"/>
          <w:color w:val="000000" w:themeColor="text1"/>
          <w:sz w:val="20"/>
          <w:szCs w:val="20"/>
        </w:rPr>
        <w:t>scRNAseq</w:t>
      </w:r>
      <w:proofErr w:type="spellEnd"/>
      <w:r>
        <w:rPr>
          <w:rFonts w:ascii="Arial" w:eastAsia="Times New Roman" w:hAnsi="Arial" w:cs="Arial"/>
          <w:color w:val="000000" w:themeColor="text1"/>
          <w:sz w:val="20"/>
          <w:szCs w:val="20"/>
        </w:rPr>
        <w:t xml:space="preserve"> dataset, and top gene body activities and motifs for each </w:t>
      </w:r>
      <w:proofErr w:type="spellStart"/>
      <w:r>
        <w:rPr>
          <w:rFonts w:ascii="Arial" w:eastAsia="Times New Roman" w:hAnsi="Arial" w:cs="Arial"/>
          <w:color w:val="000000" w:themeColor="text1"/>
          <w:sz w:val="20"/>
          <w:szCs w:val="20"/>
        </w:rPr>
        <w:t>snATACseq</w:t>
      </w:r>
      <w:proofErr w:type="spellEnd"/>
      <w:r>
        <w:rPr>
          <w:rFonts w:ascii="Arial" w:eastAsia="Times New Roman" w:hAnsi="Arial" w:cs="Arial"/>
          <w:color w:val="000000" w:themeColor="text1"/>
          <w:sz w:val="20"/>
          <w:szCs w:val="20"/>
        </w:rPr>
        <w:t xml:space="preserve"> dat</w:t>
      </w:r>
      <w:r>
        <w:rPr>
          <w:rFonts w:ascii="Arial" w:eastAsia="Times New Roman" w:hAnsi="Arial" w:cs="Arial"/>
          <w:sz w:val="20"/>
          <w:szCs w:val="20"/>
        </w:rPr>
        <w:t xml:space="preserve">aset. Significant cluster markers for zebrafish craniofacial cell types derived from </w:t>
      </w:r>
      <w:proofErr w:type="spellStart"/>
      <w:r>
        <w:rPr>
          <w:rFonts w:ascii="Arial" w:eastAsia="Times New Roman" w:hAnsi="Arial" w:cs="Arial"/>
          <w:sz w:val="20"/>
          <w:szCs w:val="20"/>
        </w:rPr>
        <w:t>scRNAseq</w:t>
      </w:r>
      <w:proofErr w:type="spellEnd"/>
      <w:r>
        <w:rPr>
          <w:rFonts w:ascii="Arial" w:eastAsia="Times New Roman" w:hAnsi="Arial" w:cs="Arial"/>
          <w:sz w:val="20"/>
          <w:szCs w:val="20"/>
        </w:rPr>
        <w:t xml:space="preserve"> and </w:t>
      </w:r>
      <w:proofErr w:type="spellStart"/>
      <w:r>
        <w:rPr>
          <w:rFonts w:ascii="Arial" w:eastAsia="Times New Roman" w:hAnsi="Arial" w:cs="Arial"/>
          <w:sz w:val="20"/>
          <w:szCs w:val="20"/>
        </w:rPr>
        <w:t>snATACseq</w:t>
      </w:r>
      <w:proofErr w:type="spellEnd"/>
      <w:r>
        <w:rPr>
          <w:rFonts w:ascii="Arial" w:eastAsia="Times New Roman" w:hAnsi="Arial" w:cs="Arial"/>
          <w:sz w:val="20"/>
          <w:szCs w:val="20"/>
        </w:rPr>
        <w:t xml:space="preserve"> (</w:t>
      </w:r>
      <w:r>
        <w:rPr>
          <w:rFonts w:ascii="Arial" w:eastAsia="Times New Roman" w:hAnsi="Arial" w:cs="Arial"/>
          <w:i/>
          <w:iCs/>
          <w:sz w:val="20"/>
          <w:szCs w:val="20"/>
        </w:rPr>
        <w:t>P</w:t>
      </w:r>
      <w:r>
        <w:rPr>
          <w:rFonts w:ascii="Arial" w:eastAsia="Times New Roman" w:hAnsi="Arial" w:cs="Arial"/>
          <w:sz w:val="20"/>
          <w:szCs w:val="20"/>
        </w:rPr>
        <w:t xml:space="preserve"> value less than 0.001 using </w:t>
      </w:r>
      <w:r>
        <w:rPr>
          <w:rFonts w:ascii="Arial" w:eastAsia="Arial" w:hAnsi="Arial" w:cs="Arial"/>
          <w:color w:val="121313"/>
          <w:sz w:val="20"/>
          <w:szCs w:val="20"/>
        </w:rPr>
        <w:t>two-sided Wilcoxon rank sum test</w:t>
      </w:r>
      <w:r>
        <w:rPr>
          <w:rFonts w:ascii="Arial" w:eastAsia="Times New Roman" w:hAnsi="Arial" w:cs="Arial"/>
          <w:sz w:val="20"/>
          <w:szCs w:val="20"/>
        </w:rPr>
        <w:t xml:space="preserve">). Sheets with datasets are organized chronologically (1.5, 2, 3, 5, 14, 60, 150, 210 </w:t>
      </w:r>
      <w:proofErr w:type="spellStart"/>
      <w:r>
        <w:rPr>
          <w:rFonts w:ascii="Arial" w:eastAsia="Times New Roman" w:hAnsi="Arial" w:cs="Arial"/>
          <w:sz w:val="20"/>
          <w:szCs w:val="20"/>
        </w:rPr>
        <w:t>dpf</w:t>
      </w:r>
      <w:proofErr w:type="spellEnd"/>
      <w:r>
        <w:rPr>
          <w:rFonts w:ascii="Arial" w:eastAsia="Times New Roman" w:hAnsi="Arial" w:cs="Arial"/>
          <w:sz w:val="20"/>
          <w:szCs w:val="20"/>
        </w:rPr>
        <w:t>). Every sheet has UMAP visualization with the unsupervised clustering.</w:t>
      </w:r>
    </w:p>
    <w:p w:rsidR="00D34DF2" w:rsidRDefault="00D34DF2" w:rsidP="00D34DF2">
      <w:pPr>
        <w:spacing w:after="0" w:line="240" w:lineRule="auto"/>
        <w:jc w:val="both"/>
        <w:rPr>
          <w:rFonts w:ascii="Arial" w:eastAsia="Times New Roman" w:hAnsi="Arial" w:cs="Arial"/>
          <w:color w:val="000000"/>
          <w:sz w:val="20"/>
          <w:szCs w:val="20"/>
        </w:rPr>
      </w:pPr>
    </w:p>
    <w:p w:rsidR="00D34DF2" w:rsidRDefault="00D34DF2" w:rsidP="00D34DF2">
      <w:pPr>
        <w:spacing w:after="0" w:line="240" w:lineRule="auto"/>
        <w:jc w:val="both"/>
        <w:rPr>
          <w:rFonts w:ascii="Arial" w:eastAsia="Times New Roman" w:hAnsi="Arial" w:cs="Arial"/>
          <w:color w:val="000000"/>
          <w:sz w:val="20"/>
          <w:szCs w:val="20"/>
        </w:rPr>
      </w:pPr>
    </w:p>
    <w:p w:rsidR="00D34DF2" w:rsidRDefault="00D34DF2" w:rsidP="00D34DF2">
      <w:pPr>
        <w:spacing w:after="0" w:line="240" w:lineRule="auto"/>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Title: Supplementary Datasheet 3. </w:t>
      </w:r>
    </w:p>
    <w:p w:rsidR="00D34DF2" w:rsidRDefault="00D34DF2" w:rsidP="00D34DF2">
      <w:pPr>
        <w:spacing w:after="0" w:line="240" w:lineRule="auto"/>
        <w:jc w:val="both"/>
        <w:rPr>
          <w:rFonts w:ascii="Arial" w:eastAsia="Times New Roman" w:hAnsi="Arial" w:cs="Arial"/>
          <w:color w:val="000000" w:themeColor="text1"/>
          <w:sz w:val="20"/>
          <w:szCs w:val="20"/>
        </w:rPr>
      </w:pPr>
      <w:r>
        <w:rPr>
          <w:rFonts w:ascii="Arial" w:eastAsia="Times New Roman" w:hAnsi="Arial" w:cs="Arial"/>
          <w:b/>
          <w:bCs/>
          <w:color w:val="000000" w:themeColor="text1"/>
          <w:sz w:val="20"/>
          <w:szCs w:val="20"/>
        </w:rPr>
        <w:t xml:space="preserve">Description: Gene ontology, motif family, and TF analysis of mesenchyme population in </w:t>
      </w:r>
      <w:proofErr w:type="spellStart"/>
      <w:r>
        <w:rPr>
          <w:rFonts w:ascii="Arial" w:eastAsia="Times New Roman" w:hAnsi="Arial" w:cs="Arial"/>
          <w:b/>
          <w:bCs/>
          <w:color w:val="000000" w:themeColor="text1"/>
          <w:sz w:val="20"/>
          <w:szCs w:val="20"/>
        </w:rPr>
        <w:t>scRNAseq</w:t>
      </w:r>
      <w:proofErr w:type="spellEnd"/>
      <w:r>
        <w:rPr>
          <w:rFonts w:ascii="Arial" w:eastAsia="Times New Roman" w:hAnsi="Arial" w:cs="Arial"/>
          <w:b/>
          <w:bCs/>
          <w:color w:val="000000" w:themeColor="text1"/>
          <w:sz w:val="20"/>
          <w:szCs w:val="20"/>
        </w:rPr>
        <w:t xml:space="preserve"> data. Sheet 1,</w:t>
      </w:r>
      <w:r>
        <w:rPr>
          <w:rFonts w:ascii="Arial" w:eastAsia="Times New Roman" w:hAnsi="Arial" w:cs="Arial"/>
          <w:color w:val="000000" w:themeColor="text1"/>
          <w:sz w:val="20"/>
          <w:szCs w:val="20"/>
        </w:rPr>
        <w:t xml:space="preserve"> Gene ontology analysis of biological process (BP) for each mesenchymal cluster with p value calculated by Fisher’s exact test. </w:t>
      </w:r>
      <w:r>
        <w:rPr>
          <w:rFonts w:ascii="Arial" w:eastAsia="Times New Roman" w:hAnsi="Arial" w:cs="Arial"/>
          <w:b/>
          <w:bCs/>
          <w:color w:val="000000" w:themeColor="text1"/>
          <w:sz w:val="20"/>
          <w:szCs w:val="20"/>
        </w:rPr>
        <w:t>Sheet 2,</w:t>
      </w:r>
      <w:r>
        <w:rPr>
          <w:rFonts w:ascii="Arial" w:eastAsia="Times New Roman" w:hAnsi="Arial" w:cs="Arial"/>
          <w:color w:val="000000" w:themeColor="text1"/>
          <w:sz w:val="20"/>
          <w:szCs w:val="20"/>
        </w:rPr>
        <w:t xml:space="preserve"> Scaled means of every motif family of each mesenchymal cluster. </w:t>
      </w:r>
      <w:r>
        <w:rPr>
          <w:rFonts w:ascii="Arial" w:eastAsia="Times New Roman" w:hAnsi="Arial" w:cs="Arial"/>
          <w:b/>
          <w:bCs/>
          <w:color w:val="000000" w:themeColor="text1"/>
          <w:sz w:val="20"/>
          <w:szCs w:val="20"/>
        </w:rPr>
        <w:t>Sheet 3,</w:t>
      </w:r>
      <w:r>
        <w:rPr>
          <w:rFonts w:ascii="Arial" w:eastAsia="Times New Roman" w:hAnsi="Arial" w:cs="Arial"/>
          <w:color w:val="000000" w:themeColor="text1"/>
          <w:sz w:val="20"/>
          <w:szCs w:val="20"/>
        </w:rPr>
        <w:t xml:space="preserve"> Scaled means of every TF of each mesenchymal cluster. </w:t>
      </w:r>
    </w:p>
    <w:p w:rsidR="00D34DF2" w:rsidRDefault="00D34DF2" w:rsidP="00D34DF2">
      <w:pPr>
        <w:spacing w:after="0" w:line="240" w:lineRule="auto"/>
        <w:jc w:val="both"/>
        <w:rPr>
          <w:rFonts w:ascii="Arial" w:eastAsia="Times New Roman" w:hAnsi="Arial" w:cs="Arial"/>
          <w:sz w:val="20"/>
          <w:szCs w:val="20"/>
        </w:rPr>
      </w:pPr>
    </w:p>
    <w:p w:rsidR="00D34DF2" w:rsidRDefault="00D34DF2" w:rsidP="00D34DF2">
      <w:pPr>
        <w:spacing w:after="0" w:line="240" w:lineRule="auto"/>
        <w:jc w:val="both"/>
        <w:rPr>
          <w:rFonts w:ascii="Arial" w:eastAsia="Times New Roman" w:hAnsi="Arial" w:cs="Arial"/>
          <w:sz w:val="20"/>
          <w:szCs w:val="20"/>
        </w:rPr>
      </w:pPr>
    </w:p>
    <w:p w:rsidR="00D34DF2" w:rsidRDefault="00D34DF2" w:rsidP="00D34DF2">
      <w:pPr>
        <w:spacing w:after="0" w:line="240" w:lineRule="auto"/>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Title: Supplementary Datasheet 4. </w:t>
      </w:r>
    </w:p>
    <w:p w:rsidR="00D34DF2" w:rsidRDefault="00D34DF2" w:rsidP="00D34DF2">
      <w:pPr>
        <w:spacing w:after="0" w:line="240" w:lineRule="auto"/>
        <w:jc w:val="both"/>
        <w:rPr>
          <w:rFonts w:ascii="Arial" w:eastAsia="Times New Roman" w:hAnsi="Arial" w:cs="Arial"/>
          <w:color w:val="000000" w:themeColor="text1"/>
          <w:sz w:val="20"/>
          <w:szCs w:val="20"/>
        </w:rPr>
      </w:pPr>
      <w:r>
        <w:rPr>
          <w:rFonts w:ascii="Arial" w:eastAsia="Times New Roman" w:hAnsi="Arial" w:cs="Arial"/>
          <w:b/>
          <w:bCs/>
          <w:color w:val="000000" w:themeColor="text1"/>
          <w:sz w:val="20"/>
          <w:szCs w:val="20"/>
        </w:rPr>
        <w:t xml:space="preserve">Description: Peaks used for tissue module score calculations in the Constellations analysis. </w:t>
      </w:r>
      <w:r>
        <w:rPr>
          <w:rFonts w:ascii="Arial" w:eastAsia="Times New Roman" w:hAnsi="Arial" w:cs="Arial"/>
          <w:color w:val="000000" w:themeColor="text1"/>
          <w:sz w:val="20"/>
          <w:szCs w:val="20"/>
        </w:rPr>
        <w:t xml:space="preserve">Genomic coordinates (GRCz11 build) are shown for the top peaks used to calculate module scores for each of the 23 clusters identified at 14 </w:t>
      </w:r>
      <w:proofErr w:type="spellStart"/>
      <w:r>
        <w:rPr>
          <w:rFonts w:ascii="Arial" w:eastAsia="Times New Roman" w:hAnsi="Arial" w:cs="Arial"/>
          <w:color w:val="000000" w:themeColor="text1"/>
          <w:sz w:val="20"/>
          <w:szCs w:val="20"/>
        </w:rPr>
        <w:t>dpf</w:t>
      </w:r>
      <w:proofErr w:type="spellEnd"/>
      <w:r>
        <w:rPr>
          <w:rFonts w:ascii="Arial" w:eastAsia="Times New Roman" w:hAnsi="Arial" w:cs="Arial"/>
          <w:color w:val="000000" w:themeColor="text1"/>
          <w:sz w:val="20"/>
          <w:szCs w:val="20"/>
        </w:rPr>
        <w:t>.</w:t>
      </w:r>
    </w:p>
    <w:p w:rsidR="00D34DF2" w:rsidRDefault="00D34DF2" w:rsidP="00D34DF2">
      <w:pPr>
        <w:spacing w:after="0" w:line="240" w:lineRule="auto"/>
        <w:jc w:val="both"/>
        <w:rPr>
          <w:rFonts w:ascii="Arial" w:eastAsia="Times New Roman" w:hAnsi="Arial" w:cs="Arial"/>
          <w:color w:val="000000" w:themeColor="text1"/>
          <w:sz w:val="20"/>
          <w:szCs w:val="20"/>
        </w:rPr>
      </w:pPr>
      <w:bookmarkStart w:id="0" w:name="_GoBack"/>
      <w:bookmarkEnd w:id="0"/>
    </w:p>
    <w:p w:rsidR="00D34DF2" w:rsidRDefault="00D34DF2" w:rsidP="00D34DF2">
      <w:pPr>
        <w:spacing w:after="0" w:line="240" w:lineRule="auto"/>
        <w:jc w:val="both"/>
        <w:rPr>
          <w:rFonts w:ascii="Arial" w:eastAsia="Times New Roman" w:hAnsi="Arial" w:cs="Arial"/>
          <w:color w:val="000000"/>
          <w:sz w:val="20"/>
          <w:szCs w:val="20"/>
        </w:rPr>
      </w:pPr>
    </w:p>
    <w:p w:rsidR="00D34DF2" w:rsidRDefault="00D34DF2" w:rsidP="00D34DF2">
      <w:pPr>
        <w:spacing w:after="0" w:line="240" w:lineRule="auto"/>
        <w:jc w:val="both"/>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 xml:space="preserve">Title: Supplementary Datasheet 5. </w:t>
      </w:r>
    </w:p>
    <w:p w:rsidR="00D34DF2" w:rsidRDefault="00D34DF2" w:rsidP="00D34DF2">
      <w:pPr>
        <w:spacing w:after="0" w:line="240" w:lineRule="auto"/>
        <w:jc w:val="both"/>
        <w:rPr>
          <w:rFonts w:ascii="Arial" w:eastAsia="Times New Roman" w:hAnsi="Arial" w:cs="Arial"/>
          <w:color w:val="000000" w:themeColor="text1"/>
          <w:sz w:val="20"/>
          <w:szCs w:val="20"/>
        </w:rPr>
      </w:pPr>
      <w:r>
        <w:rPr>
          <w:rFonts w:ascii="Arial" w:eastAsia="Times New Roman" w:hAnsi="Arial" w:cs="Arial"/>
          <w:b/>
          <w:bCs/>
          <w:color w:val="000000" w:themeColor="text1"/>
          <w:sz w:val="20"/>
          <w:szCs w:val="20"/>
        </w:rPr>
        <w:t xml:space="preserve">Description: Top correlated motifs and TFs to tissue module scores at each skewed stage. </w:t>
      </w:r>
      <w:r>
        <w:rPr>
          <w:rFonts w:ascii="Arial" w:eastAsia="Times New Roman" w:hAnsi="Arial" w:cs="Arial"/>
          <w:color w:val="000000" w:themeColor="text1"/>
          <w:sz w:val="20"/>
          <w:szCs w:val="20"/>
        </w:rPr>
        <w:t>List of top 20 TFs with highest coefficients for each tissue module score at each skewed time point. The list of these top TFs is used to search for their corresponding motifs which exist in the top 100 highest coefficients for each tissue module score at each skewed time point. Lists of motifs and TFs are in descending order by their degree of correlation.</w:t>
      </w:r>
    </w:p>
    <w:p w:rsidR="00D34DF2" w:rsidRDefault="00D34DF2" w:rsidP="00D34DF2">
      <w:pPr>
        <w:spacing w:after="0" w:line="240" w:lineRule="auto"/>
        <w:jc w:val="both"/>
        <w:rPr>
          <w:rFonts w:ascii="Arial" w:eastAsia="Times New Roman" w:hAnsi="Arial" w:cs="Arial"/>
          <w:color w:val="000000" w:themeColor="text1"/>
          <w:sz w:val="20"/>
          <w:szCs w:val="20"/>
        </w:rPr>
      </w:pPr>
    </w:p>
    <w:p w:rsidR="00CB4E3B" w:rsidRDefault="00CB4E3B"/>
    <w:sectPr w:rsidR="00CB4E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DF2"/>
    <w:rsid w:val="00CB4E3B"/>
    <w:rsid w:val="00D34D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B225"/>
  <w15:chartTrackingRefBased/>
  <w15:docId w15:val="{327B9DDA-06BB-42E7-B546-0E63AA96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DF2"/>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84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Whittingham</dc:creator>
  <cp:keywords/>
  <dc:description/>
  <cp:lastModifiedBy>Alessandra Whittingham</cp:lastModifiedBy>
  <cp:revision>1</cp:revision>
  <dcterms:created xsi:type="dcterms:W3CDTF">2021-11-23T14:20:00Z</dcterms:created>
  <dcterms:modified xsi:type="dcterms:W3CDTF">2021-11-23T14:21:00Z</dcterms:modified>
</cp:coreProperties>
</file>