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Description of Additional Supplementary Files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1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Phenotype data summary statistics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2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Summary statistics of kingdom, phylum and core genera relative abundances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3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Alpha diversity analysis results (species and KEGG KO)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4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Beta diversity analysis results (species and KEGG KO)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5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MWAS univariate analysis results (number of cases analyzed, results for species and KEGG KOs)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6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Summary table of identified associations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7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Species and KEGG KOs in shared dysbiosis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8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Mean AUROC values for predictive modelling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b w:val="1"/>
          <w:rtl w:val="0"/>
        </w:rPr>
        <w:t xml:space="preserve">File Name:</w:t>
      </w:r>
      <w:r w:rsidDel="00000000" w:rsidR="00000000" w:rsidRPr="00000000">
        <w:rPr>
          <w:rtl w:val="0"/>
        </w:rPr>
        <w:t xml:space="preserve"> Supplementary Data 9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b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Number of cases for all three-digit ICD10 codes in the EstMB cohort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240" w:line="360" w:lineRule="auto"/>
      <w:jc w:val="both"/>
    </w:pPr>
    <w:rPr>
      <w:rFonts w:ascii="Times New Roman" w:cs="Times New Roman" w:eastAsia="Times New Roman" w:hAnsi="Times New Roman"/>
      <w:b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