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E8767" w14:textId="77777777" w:rsidR="002D58FB" w:rsidRPr="002D58FB" w:rsidRDefault="002D58FB" w:rsidP="002D58FB">
      <w:pPr>
        <w:jc w:val="both"/>
        <w:rPr>
          <w:rFonts w:ascii="Times New Roman" w:eastAsia="Calibri" w:hAnsi="Times New Roman" w:cs="Times New Roman"/>
          <w:sz w:val="20"/>
          <w:szCs w:val="20"/>
        </w:rPr>
      </w:pPr>
    </w:p>
    <w:p w14:paraId="012C7004" w14:textId="77777777" w:rsidR="002D58FB" w:rsidRPr="002D58FB" w:rsidRDefault="002D58FB" w:rsidP="002D58FB">
      <w:pPr>
        <w:keepNext/>
        <w:spacing w:before="240" w:after="60"/>
        <w:jc w:val="both"/>
        <w:outlineLvl w:val="0"/>
        <w:rPr>
          <w:rFonts w:ascii="Times New Roman" w:eastAsia="Times New Roman" w:hAnsi="Times New Roman" w:cs="Times New Roman"/>
          <w:b/>
          <w:bCs/>
          <w:kern w:val="32"/>
        </w:rPr>
      </w:pPr>
      <w:r w:rsidRPr="002D58FB">
        <w:rPr>
          <w:rFonts w:ascii="Times New Roman" w:eastAsia="Times New Roman" w:hAnsi="Times New Roman" w:cs="Times New Roman"/>
          <w:b/>
          <w:bCs/>
          <w:kern w:val="32"/>
        </w:rPr>
        <w:t>Supplementary Notes:</w:t>
      </w:r>
    </w:p>
    <w:p w14:paraId="20D20420" w14:textId="2232FC79" w:rsidR="002D58FB" w:rsidRPr="002D58FB" w:rsidRDefault="002D58FB" w:rsidP="002D58FB">
      <w:pPr>
        <w:jc w:val="both"/>
        <w:rPr>
          <w:rFonts w:ascii="Times New Roman" w:eastAsia="Times New Roman" w:hAnsi="Times New Roman" w:cs="Times New Roman"/>
          <w:u w:val="single"/>
        </w:rPr>
      </w:pPr>
      <w:r w:rsidRPr="002D58FB">
        <w:rPr>
          <w:rFonts w:ascii="Times New Roman" w:eastAsia="Times New Roman" w:hAnsi="Times New Roman" w:cs="Times New Roman"/>
          <w:u w:val="single"/>
        </w:rPr>
        <w:t xml:space="preserve">Permeabilization Methods for Immunofluorescence of Growth Cone Cofilactin Bundles (Figs. 1 and </w:t>
      </w:r>
      <w:r w:rsidR="00E45DE1">
        <w:rPr>
          <w:rFonts w:ascii="Times New Roman" w:eastAsia="Times New Roman" w:hAnsi="Times New Roman" w:cs="Times New Roman"/>
          <w:u w:val="single"/>
        </w:rPr>
        <w:t xml:space="preserve">Supplementary Figure </w:t>
      </w:r>
      <w:r w:rsidRPr="002D58FB">
        <w:rPr>
          <w:rFonts w:ascii="Times New Roman" w:eastAsia="Times New Roman" w:hAnsi="Times New Roman" w:cs="Times New Roman"/>
          <w:u w:val="single"/>
        </w:rPr>
        <w:t>4):</w:t>
      </w:r>
    </w:p>
    <w:p w14:paraId="33F4FBB8" w14:textId="03A90A74" w:rsidR="002D58FB" w:rsidRPr="002D58FB" w:rsidRDefault="002D58FB" w:rsidP="002D58FB">
      <w:pPr>
        <w:ind w:firstLine="720"/>
        <w:jc w:val="both"/>
        <w:rPr>
          <w:rFonts w:ascii="Times New Roman" w:eastAsia="Times New Roman" w:hAnsi="Times New Roman" w:cs="Times New Roman"/>
        </w:rPr>
      </w:pPr>
      <w:r w:rsidRPr="002D58FB">
        <w:rPr>
          <w:rFonts w:ascii="Times New Roman" w:eastAsia="Times New Roman" w:hAnsi="Times New Roman" w:cs="Times New Roman"/>
          <w:b/>
        </w:rPr>
        <w:t xml:space="preserve">Figure 1 and </w:t>
      </w:r>
      <w:r w:rsidR="0055345B" w:rsidRPr="0055345B">
        <w:rPr>
          <w:rFonts w:ascii="Times New Roman" w:eastAsia="Calibri" w:hAnsi="Times New Roman" w:cs="Times New Roman"/>
          <w:b/>
        </w:rPr>
        <w:t>Supplementar</w:t>
      </w:r>
      <w:r w:rsidR="0055345B">
        <w:rPr>
          <w:rFonts w:ascii="Times New Roman" w:eastAsia="Calibri" w:hAnsi="Times New Roman" w:cs="Times New Roman"/>
          <w:b/>
        </w:rPr>
        <w:t xml:space="preserve">y Figure </w:t>
      </w:r>
      <w:r w:rsidRPr="002D58FB">
        <w:rPr>
          <w:rFonts w:ascii="Times New Roman" w:eastAsia="Times New Roman" w:hAnsi="Times New Roman" w:cs="Times New Roman"/>
          <w:b/>
        </w:rPr>
        <w:t>4</w:t>
      </w:r>
      <w:r w:rsidRPr="002D58FB">
        <w:rPr>
          <w:rFonts w:ascii="Times New Roman" w:eastAsia="Times New Roman" w:hAnsi="Times New Roman" w:cs="Times New Roman"/>
        </w:rPr>
        <w:t xml:space="preserve"> contain immunofluorescence microscopy images that show cofilactin bundles in growth cones. Depending on the additional staining performed (actin or fascin), different fixation and permeabilization protocols were used.</w:t>
      </w:r>
    </w:p>
    <w:p w14:paraId="58699ABF" w14:textId="2437B8B9" w:rsidR="002D58FB" w:rsidRPr="002D58FB" w:rsidRDefault="002D58FB" w:rsidP="002D58FB">
      <w:pPr>
        <w:ind w:firstLine="720"/>
        <w:jc w:val="both"/>
        <w:rPr>
          <w:rFonts w:ascii="Times New Roman" w:eastAsia="Times New Roman" w:hAnsi="Times New Roman" w:cs="Times New Roman"/>
        </w:rPr>
      </w:pPr>
      <w:r w:rsidRPr="002D58FB">
        <w:rPr>
          <w:rFonts w:ascii="Times New Roman" w:eastAsia="Times New Roman" w:hAnsi="Times New Roman" w:cs="Times New Roman"/>
        </w:rPr>
        <w:t>We have observed that the use of Triton-X 100 as a permeabilizing agent before immunolabeling disrupts cofilactin bundle staining (</w:t>
      </w:r>
      <w:r w:rsidR="0055345B" w:rsidRPr="0055345B">
        <w:rPr>
          <w:rFonts w:ascii="Times New Roman" w:eastAsia="Calibri" w:hAnsi="Times New Roman" w:cs="Times New Roman"/>
          <w:b/>
        </w:rPr>
        <w:t>Supplementary</w:t>
      </w:r>
      <w:r w:rsidR="0055345B" w:rsidRPr="0055345B">
        <w:rPr>
          <w:rFonts w:ascii="Times New Roman" w:eastAsia="Calibri" w:hAnsi="Times New Roman" w:cs="Times New Roman"/>
          <w:sz w:val="20"/>
        </w:rPr>
        <w:t xml:space="preserve"> </w:t>
      </w:r>
      <w:r w:rsidRPr="002D58FB">
        <w:rPr>
          <w:rFonts w:ascii="Times New Roman" w:eastAsia="Times New Roman" w:hAnsi="Times New Roman" w:cs="Times New Roman"/>
          <w:b/>
        </w:rPr>
        <w:t>Fig. 4A</w:t>
      </w:r>
      <w:r w:rsidRPr="002D58FB">
        <w:rPr>
          <w:rFonts w:ascii="Times New Roman" w:eastAsia="Times New Roman" w:hAnsi="Times New Roman" w:cs="Times New Roman"/>
        </w:rPr>
        <w:t xml:space="preserve">). Cofilin is still labeled throughout the cell, but there are no discernable aggregates of cofilin signal beneath filopodia. In contrast, the use of organic solvents (ice-cold acetone or methanol) for permeabilization preserves cofilactin bundle staining. Interestingly, this phenomenon has also been shown for cofilin-actin rods </w:t>
      </w:r>
      <w:sdt>
        <w:sdtPr>
          <w:rPr>
            <w:rFonts w:ascii="Times New Roman" w:eastAsia="Times New Roman" w:hAnsi="Times New Roman" w:cs="Times New Roman"/>
          </w:rPr>
          <w:alias w:val="SmartCite Citation"/>
          <w:tag w:val="eac6bb81-182f-4d55-9ff9-fbf85b400bbb:189671a3-c464-4567-a816-6f91f64d1700,eac6bb81-182f-4d55-9ff9-fbf85b400bbb:eef15ab3-8d5e-4a80-9c2b-ef522e15b4c9,eac6bb81-182f-4d55-9ff9-fbf85b400bbb:1bde0903-24cd-4857-8f0a-d5e9fc7a042a+"/>
          <w:id w:val="1002472876"/>
          <w:placeholder>
            <w:docPart w:val="D9A84F9133A56844B7AC7C6E057BE6A4"/>
          </w:placeholder>
        </w:sdtPr>
        <w:sdtEndPr/>
        <w:sdtContent>
          <w:r w:rsidR="00470A4B" w:rsidRPr="00470A4B">
            <w:rPr>
              <w:rFonts w:ascii="Times New Roman" w:eastAsia="Times New Roman" w:hAnsi="Times New Roman" w:cs="Times New Roman"/>
              <w:color w:val="000000"/>
              <w:vertAlign w:val="superscript"/>
            </w:rPr>
            <w:t>1–3</w:t>
          </w:r>
        </w:sdtContent>
      </w:sdt>
      <w:r w:rsidRPr="002D58FB">
        <w:rPr>
          <w:rFonts w:ascii="Times New Roman" w:eastAsia="Times New Roman" w:hAnsi="Times New Roman" w:cs="Times New Roman"/>
        </w:rPr>
        <w:t>.</w:t>
      </w:r>
    </w:p>
    <w:p w14:paraId="66626BDC" w14:textId="6E773297" w:rsidR="002D58FB" w:rsidRPr="002D58FB" w:rsidRDefault="002D58FB" w:rsidP="002D58FB">
      <w:pPr>
        <w:ind w:firstLine="720"/>
        <w:jc w:val="both"/>
        <w:rPr>
          <w:rFonts w:ascii="Times New Roman" w:eastAsia="Times New Roman" w:hAnsi="Times New Roman" w:cs="Times New Roman"/>
          <w:u w:val="words"/>
        </w:rPr>
      </w:pPr>
      <w:r w:rsidRPr="002D58FB">
        <w:rPr>
          <w:rFonts w:ascii="Times New Roman" w:eastAsia="Times New Roman" w:hAnsi="Times New Roman" w:cs="Times New Roman"/>
        </w:rPr>
        <w:t>When staining cofilin and actin, acetone was used as a permeabilizing agent as methanol destroys the phalloidin binding site on actin (</w:t>
      </w:r>
      <w:r w:rsidR="0055345B" w:rsidRPr="0055345B">
        <w:rPr>
          <w:rFonts w:ascii="Times New Roman" w:eastAsia="Calibri" w:hAnsi="Times New Roman" w:cs="Times New Roman"/>
          <w:b/>
        </w:rPr>
        <w:t>Supplementary</w:t>
      </w:r>
      <w:r w:rsidR="0055345B" w:rsidRPr="0055345B">
        <w:rPr>
          <w:rFonts w:ascii="Times New Roman" w:eastAsia="Calibri" w:hAnsi="Times New Roman" w:cs="Times New Roman"/>
          <w:sz w:val="20"/>
        </w:rPr>
        <w:t xml:space="preserve"> </w:t>
      </w:r>
      <w:r w:rsidRPr="002D58FB">
        <w:rPr>
          <w:rFonts w:ascii="Times New Roman" w:eastAsia="Times New Roman" w:hAnsi="Times New Roman" w:cs="Times New Roman"/>
          <w:b/>
        </w:rPr>
        <w:t>Fig. 4B</w:t>
      </w:r>
      <w:r w:rsidRPr="002D58FB">
        <w:rPr>
          <w:rFonts w:ascii="Times New Roman" w:eastAsia="Times New Roman" w:hAnsi="Times New Roman" w:cs="Times New Roman"/>
        </w:rPr>
        <w:t>). When staining cofilin and fascin, methanol was used as a fixative instead of PFA (</w:t>
      </w:r>
      <w:r w:rsidR="0055345B" w:rsidRPr="0055345B">
        <w:rPr>
          <w:rFonts w:ascii="Times New Roman" w:eastAsia="Calibri" w:hAnsi="Times New Roman" w:cs="Times New Roman"/>
          <w:b/>
        </w:rPr>
        <w:t>Supplementary</w:t>
      </w:r>
      <w:r w:rsidR="0055345B" w:rsidRPr="0055345B">
        <w:rPr>
          <w:rFonts w:ascii="Times New Roman" w:eastAsia="Calibri" w:hAnsi="Times New Roman" w:cs="Times New Roman"/>
          <w:sz w:val="20"/>
        </w:rPr>
        <w:t xml:space="preserve"> </w:t>
      </w:r>
      <w:r w:rsidRPr="002D58FB">
        <w:rPr>
          <w:rFonts w:ascii="Times New Roman" w:eastAsia="Times New Roman" w:hAnsi="Times New Roman" w:cs="Times New Roman"/>
          <w:b/>
        </w:rPr>
        <w:t>Fig. 4C</w:t>
      </w:r>
      <w:r w:rsidRPr="002D58FB">
        <w:rPr>
          <w:rFonts w:ascii="Times New Roman" w:eastAsia="Times New Roman" w:hAnsi="Times New Roman" w:cs="Times New Roman"/>
        </w:rPr>
        <w:t>). Methanol is used since PFA disrupts the binding of our fascin antibody. Methanol acts as a fixative and permeabilizer in this case. Cofilactin bundles also stain well with PFA fixation and methanol permeabilization. We have noticed that acetone slightly diminishes phalloidin and cofilin signal and that cofilin bundle morphology is best preserved with methanol fixation and permeabilization. This is why filopodial bundle length and cofilactin bundle frequency measurements were made on growth cones treated in this way.</w:t>
      </w:r>
    </w:p>
    <w:p w14:paraId="6D2529A5" w14:textId="77777777" w:rsidR="0055345B" w:rsidRDefault="002D58FB" w:rsidP="0055345B">
      <w:pPr>
        <w:jc w:val="both"/>
        <w:rPr>
          <w:rFonts w:ascii="Times New Roman" w:eastAsia="Times New Roman" w:hAnsi="Times New Roman" w:cs="Times New Roman"/>
        </w:rPr>
      </w:pPr>
      <w:r w:rsidRPr="002D58FB">
        <w:rPr>
          <w:rFonts w:ascii="Times New Roman" w:eastAsia="Times New Roman" w:hAnsi="Times New Roman" w:cs="Times New Roman"/>
          <w:u w:val="single"/>
        </w:rPr>
        <w:t>Definition of the Filopodial “Transition Region” (</w:t>
      </w:r>
      <w:r w:rsidR="0055345B" w:rsidRPr="0055345B">
        <w:rPr>
          <w:rFonts w:ascii="Times New Roman" w:eastAsia="Calibri" w:hAnsi="Times New Roman" w:cs="Times New Roman"/>
          <w:b/>
          <w:u w:val="single"/>
        </w:rPr>
        <w:t>Supplementar</w:t>
      </w:r>
      <w:r w:rsidR="0055345B">
        <w:rPr>
          <w:rFonts w:ascii="Times New Roman" w:eastAsia="Calibri" w:hAnsi="Times New Roman" w:cs="Times New Roman"/>
          <w:b/>
          <w:u w:val="single"/>
        </w:rPr>
        <w:t xml:space="preserve">y </w:t>
      </w:r>
      <w:r w:rsidRPr="002D58FB">
        <w:rPr>
          <w:rFonts w:ascii="Times New Roman" w:eastAsia="Times New Roman" w:hAnsi="Times New Roman" w:cs="Times New Roman"/>
          <w:b/>
          <w:u w:val="single"/>
        </w:rPr>
        <w:t>Fig. 1</w:t>
      </w:r>
      <w:r w:rsidRPr="002D58FB">
        <w:rPr>
          <w:rFonts w:ascii="Times New Roman" w:eastAsia="Times New Roman" w:hAnsi="Times New Roman" w:cs="Times New Roman"/>
          <w:u w:val="single"/>
        </w:rPr>
        <w:t>):</w:t>
      </w:r>
      <w:r w:rsidR="0055345B" w:rsidRPr="002D58FB">
        <w:rPr>
          <w:rFonts w:ascii="Times New Roman" w:eastAsia="Times New Roman" w:hAnsi="Times New Roman" w:cs="Times New Roman"/>
        </w:rPr>
        <w:t xml:space="preserve"> </w:t>
      </w:r>
    </w:p>
    <w:p w14:paraId="2DDFA38D" w14:textId="409FEE85" w:rsidR="002D58FB" w:rsidRDefault="002D58FB" w:rsidP="0055345B">
      <w:pPr>
        <w:ind w:firstLine="720"/>
        <w:jc w:val="both"/>
        <w:rPr>
          <w:rFonts w:ascii="Times New Roman" w:eastAsia="Times New Roman" w:hAnsi="Times New Roman" w:cs="Times New Roman"/>
        </w:rPr>
      </w:pPr>
      <w:r w:rsidRPr="002D58FB">
        <w:rPr>
          <w:rFonts w:ascii="Times New Roman" w:eastAsia="Times New Roman" w:hAnsi="Times New Roman" w:cs="Times New Roman"/>
        </w:rPr>
        <w:t>For colocalization analysis (</w:t>
      </w:r>
      <w:r w:rsidR="0055345B" w:rsidRPr="0055345B">
        <w:rPr>
          <w:rFonts w:ascii="Times New Roman" w:eastAsia="Calibri" w:hAnsi="Times New Roman" w:cs="Times New Roman"/>
          <w:b/>
        </w:rPr>
        <w:t>Supplementary</w:t>
      </w:r>
      <w:r w:rsidR="0055345B" w:rsidRPr="0055345B">
        <w:rPr>
          <w:rFonts w:ascii="Times New Roman" w:eastAsia="Calibri" w:hAnsi="Times New Roman" w:cs="Times New Roman"/>
          <w:sz w:val="20"/>
        </w:rPr>
        <w:t xml:space="preserve"> </w:t>
      </w:r>
      <w:r w:rsidRPr="002D58FB">
        <w:rPr>
          <w:rFonts w:ascii="Times New Roman" w:eastAsia="Times New Roman" w:hAnsi="Times New Roman" w:cs="Times New Roman"/>
          <w:b/>
        </w:rPr>
        <w:t>Fig. 1</w:t>
      </w:r>
      <w:r w:rsidRPr="002D58FB">
        <w:rPr>
          <w:rFonts w:ascii="Times New Roman" w:eastAsia="Times New Roman" w:hAnsi="Times New Roman" w:cs="Times New Roman"/>
        </w:rPr>
        <w:t xml:space="preserve">), either an entire filopodium was measured, or, if measuring the transition region, a rectangular box that ran 400-nm along the length of the filopodia and was equal to their width was placed in the middle of the filopodia where, on the merged image with both channels activated, the fascin and cofilin signals met. The box was placed immediately distal (towards the fascin-labelled portion) to this spot. This location is diagrammed in </w:t>
      </w:r>
      <w:r w:rsidRPr="002D58FB">
        <w:rPr>
          <w:rFonts w:ascii="Times New Roman" w:eastAsia="Times New Roman" w:hAnsi="Times New Roman" w:cs="Times New Roman"/>
          <w:b/>
        </w:rPr>
        <w:t>Figure 1E</w:t>
      </w:r>
      <w:r w:rsidRPr="002D58FB">
        <w:rPr>
          <w:rFonts w:ascii="Times New Roman" w:eastAsia="Times New Roman" w:hAnsi="Times New Roman" w:cs="Times New Roman"/>
        </w:rPr>
        <w:t>. The transition region is also referred to as an inflection point throughout this manuscript.</w:t>
      </w:r>
      <w:bookmarkStart w:id="0" w:name="Figures"/>
      <w:bookmarkEnd w:id="0"/>
    </w:p>
    <w:p w14:paraId="528E3696" w14:textId="639A6574" w:rsidR="00470A4B" w:rsidRDefault="00470A4B" w:rsidP="0055345B">
      <w:pPr>
        <w:ind w:firstLine="720"/>
        <w:jc w:val="both"/>
        <w:rPr>
          <w:rFonts w:ascii="Times New Roman" w:eastAsia="Times New Roman" w:hAnsi="Times New Roman" w:cs="Times New Roman"/>
        </w:rPr>
      </w:pPr>
    </w:p>
    <w:sdt>
      <w:sdtPr>
        <w:rPr>
          <w:b/>
        </w:rPr>
        <w:alias w:val="SmartCite Bibliography"/>
        <w:tag w:val="Nature"/>
        <w:id w:val="44490980"/>
        <w:placeholder>
          <w:docPart w:val="B32DD2CBAC73A54FAC795EC6FDD09F1B"/>
        </w:placeholder>
      </w:sdtPr>
      <w:sdtEndPr>
        <w:rPr>
          <w:b w:val="0"/>
        </w:rPr>
      </w:sdtEndPr>
      <w:sdtContent>
        <w:p w14:paraId="7E7AC230" w14:textId="55B008CC" w:rsidR="00470A4B" w:rsidRPr="00E45DE1" w:rsidRDefault="00470A4B" w:rsidP="00470A4B">
          <w:pPr>
            <w:rPr>
              <w:rFonts w:ascii="Times New Roman" w:eastAsia="Times New Roman" w:hAnsi="Times New Roman" w:cs="Times New Roman"/>
              <w:b/>
              <w:color w:val="000000"/>
            </w:rPr>
          </w:pPr>
          <w:r w:rsidRPr="00E45DE1">
            <w:rPr>
              <w:rFonts w:ascii="Times New Roman" w:hAnsi="Times New Roman" w:cs="Times New Roman"/>
              <w:b/>
            </w:rPr>
            <w:t>Supplementary References:</w:t>
          </w:r>
        </w:p>
        <w:p w14:paraId="4678A39F" w14:textId="77777777" w:rsidR="00470A4B" w:rsidRPr="00E45DE1" w:rsidRDefault="00470A4B" w:rsidP="00470A4B">
          <w:pPr>
            <w:pStyle w:val="csl-entry"/>
            <w:rPr>
              <w:color w:val="000000"/>
            </w:rPr>
          </w:pPr>
          <w:r w:rsidRPr="00E45DE1">
            <w:rPr>
              <w:color w:val="000000"/>
            </w:rPr>
            <w:t xml:space="preserve">1. Bamburg, J. R. </w:t>
          </w:r>
          <w:r w:rsidRPr="00E45DE1">
            <w:rPr>
              <w:i/>
              <w:iCs/>
              <w:color w:val="000000"/>
            </w:rPr>
            <w:t>et al.</w:t>
          </w:r>
          <w:r w:rsidRPr="00E45DE1">
            <w:rPr>
              <w:color w:val="000000"/>
            </w:rPr>
            <w:t xml:space="preserve"> ADF/Cofilin-actin rods in neurodegenerative diseases. </w:t>
          </w:r>
          <w:proofErr w:type="spellStart"/>
          <w:r w:rsidRPr="00E45DE1">
            <w:rPr>
              <w:i/>
              <w:iCs/>
              <w:color w:val="000000"/>
            </w:rPr>
            <w:t>Curr</w:t>
          </w:r>
          <w:proofErr w:type="spellEnd"/>
          <w:r w:rsidRPr="00E45DE1">
            <w:rPr>
              <w:i/>
              <w:iCs/>
              <w:color w:val="000000"/>
            </w:rPr>
            <w:t xml:space="preserve"> Alzheimer Res</w:t>
          </w:r>
          <w:r w:rsidRPr="00E45DE1">
            <w:rPr>
              <w:color w:val="000000"/>
            </w:rPr>
            <w:t xml:space="preserve"> </w:t>
          </w:r>
          <w:r w:rsidRPr="00E45DE1">
            <w:rPr>
              <w:bCs/>
              <w:color w:val="000000"/>
            </w:rPr>
            <w:t>7</w:t>
          </w:r>
          <w:r w:rsidRPr="00E45DE1">
            <w:rPr>
              <w:color w:val="000000"/>
            </w:rPr>
            <w:t>, 241–250 (2010).</w:t>
          </w:r>
        </w:p>
        <w:p w14:paraId="1D29F217" w14:textId="77777777" w:rsidR="00470A4B" w:rsidRPr="00E45DE1" w:rsidRDefault="00470A4B" w:rsidP="00470A4B">
          <w:pPr>
            <w:pStyle w:val="csl-entry"/>
            <w:rPr>
              <w:color w:val="000000"/>
            </w:rPr>
          </w:pPr>
          <w:r w:rsidRPr="00E45DE1">
            <w:rPr>
              <w:color w:val="000000"/>
            </w:rPr>
            <w:t xml:space="preserve">2. Bernstein, B. W., Shaw, A. E., Minamide, L. S., Pak, C. W. &amp; Bamburg, J. R. Incorporation of cofilin into rods depends on disulfide intermolecular bonds: implications for actin regulation and neurodegenerative disease. </w:t>
          </w:r>
          <w:r w:rsidRPr="00E45DE1">
            <w:rPr>
              <w:i/>
              <w:iCs/>
              <w:color w:val="000000"/>
            </w:rPr>
            <w:t>J. Neurosci.</w:t>
          </w:r>
          <w:r w:rsidRPr="00E45DE1">
            <w:rPr>
              <w:color w:val="000000"/>
            </w:rPr>
            <w:t xml:space="preserve"> </w:t>
          </w:r>
          <w:r w:rsidRPr="00E45DE1">
            <w:rPr>
              <w:bCs/>
              <w:color w:val="000000"/>
            </w:rPr>
            <w:t>32</w:t>
          </w:r>
          <w:r w:rsidRPr="00E45DE1">
            <w:rPr>
              <w:color w:val="000000"/>
            </w:rPr>
            <w:t>, 6670–6681 (2012).</w:t>
          </w:r>
        </w:p>
        <w:p w14:paraId="6D392256" w14:textId="77777777" w:rsidR="00470A4B" w:rsidRPr="00E45DE1" w:rsidRDefault="00470A4B" w:rsidP="00470A4B">
          <w:pPr>
            <w:pStyle w:val="csl-entry"/>
            <w:rPr>
              <w:color w:val="000000"/>
            </w:rPr>
          </w:pPr>
          <w:r w:rsidRPr="00E45DE1">
            <w:rPr>
              <w:color w:val="000000"/>
            </w:rPr>
            <w:t xml:space="preserve">3. Minamide, L. S. </w:t>
          </w:r>
          <w:r w:rsidRPr="00E45DE1">
            <w:rPr>
              <w:i/>
              <w:iCs/>
              <w:color w:val="000000"/>
            </w:rPr>
            <w:t>et al.</w:t>
          </w:r>
          <w:r w:rsidRPr="00E45DE1">
            <w:rPr>
              <w:color w:val="000000"/>
            </w:rPr>
            <w:t xml:space="preserve"> Isolation and characterization of cytoplasmic cofilin-actin rods. </w:t>
          </w:r>
          <w:r w:rsidRPr="00E45DE1">
            <w:rPr>
              <w:i/>
              <w:iCs/>
              <w:color w:val="000000"/>
            </w:rPr>
            <w:t>Journal of Biological Chemistry</w:t>
          </w:r>
          <w:r w:rsidRPr="00E45DE1">
            <w:rPr>
              <w:color w:val="000000"/>
            </w:rPr>
            <w:t xml:space="preserve"> </w:t>
          </w:r>
          <w:r w:rsidRPr="00E45DE1">
            <w:rPr>
              <w:bCs/>
              <w:color w:val="000000"/>
            </w:rPr>
            <w:t>285</w:t>
          </w:r>
          <w:r w:rsidRPr="00E45DE1">
            <w:rPr>
              <w:color w:val="000000"/>
            </w:rPr>
            <w:t>, 5450–5460 (2010).</w:t>
          </w:r>
        </w:p>
        <w:p w14:paraId="43E7301B" w14:textId="77777777" w:rsidR="00470A4B" w:rsidRDefault="00470A4B" w:rsidP="00470A4B">
          <w:r w:rsidRPr="00470A4B">
            <w:rPr>
              <w:rFonts w:ascii="Calibri" w:eastAsia="Times New Roman" w:hAnsi="Calibri"/>
              <w:color w:val="000000"/>
            </w:rPr>
            <w:t> </w:t>
          </w:r>
        </w:p>
      </w:sdtContent>
    </w:sdt>
    <w:p w14:paraId="3532F200" w14:textId="77777777" w:rsidR="00470A4B" w:rsidRPr="002D58FB" w:rsidRDefault="00470A4B" w:rsidP="0055345B">
      <w:pPr>
        <w:ind w:firstLine="720"/>
        <w:jc w:val="both"/>
        <w:rPr>
          <w:rFonts w:ascii="Times New Roman" w:eastAsia="Times New Roman" w:hAnsi="Times New Roman" w:cs="Times New Roman"/>
        </w:rPr>
      </w:pPr>
    </w:p>
    <w:p w14:paraId="4A0D42CC" w14:textId="120D1D1E" w:rsidR="002D58FB" w:rsidRPr="002D58FB" w:rsidRDefault="00836F67" w:rsidP="002D58FB">
      <w:pPr>
        <w:keepNext/>
        <w:spacing w:before="240" w:after="60"/>
        <w:jc w:val="both"/>
        <w:outlineLvl w:val="0"/>
        <w:rPr>
          <w:rFonts w:ascii="Times New Roman" w:eastAsia="Times New Roman" w:hAnsi="Times New Roman" w:cs="Times New Roman"/>
          <w:b/>
          <w:bCs/>
          <w:kern w:val="32"/>
        </w:rPr>
      </w:pPr>
      <w:r>
        <w:rPr>
          <w:rFonts w:ascii="Times New Roman" w:eastAsia="Calibri" w:hAnsi="Times New Roman" w:cs="Times New Roman"/>
          <w:b/>
          <w:noProof/>
        </w:rPr>
        <w:lastRenderedPageBreak/>
        <w:drawing>
          <wp:inline distT="0" distB="0" distL="0" distR="0" wp14:anchorId="1C22B2FC" wp14:editId="03FACDD8">
            <wp:extent cx="59436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S1.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r w:rsidR="0055345B" w:rsidRPr="0055345B">
        <w:rPr>
          <w:rFonts w:ascii="Times New Roman" w:eastAsia="Calibri" w:hAnsi="Times New Roman" w:cs="Times New Roman"/>
          <w:b/>
        </w:rPr>
        <w:t>Supplementary</w:t>
      </w:r>
      <w:r w:rsidR="0055345B" w:rsidRPr="0055345B">
        <w:rPr>
          <w:rFonts w:ascii="Times New Roman" w:eastAsia="Calibri" w:hAnsi="Times New Roman" w:cs="Times New Roman"/>
          <w:sz w:val="20"/>
        </w:rPr>
        <w:t xml:space="preserve"> </w:t>
      </w:r>
      <w:r w:rsidR="002D58FB" w:rsidRPr="002D58FB">
        <w:rPr>
          <w:rFonts w:ascii="Times New Roman" w:eastAsia="Times New Roman" w:hAnsi="Times New Roman" w:cs="Times New Roman"/>
          <w:b/>
          <w:bCs/>
          <w:kern w:val="32"/>
        </w:rPr>
        <w:t>Fig. 1.</w:t>
      </w:r>
    </w:p>
    <w:p w14:paraId="79C877C7" w14:textId="14D3FD6B" w:rsidR="00836F67" w:rsidRDefault="002D58FB" w:rsidP="002D58FB">
      <w:pPr>
        <w:jc w:val="both"/>
        <w:rPr>
          <w:rFonts w:ascii="Times New Roman" w:eastAsia="Times New Roman" w:hAnsi="Times New Roman" w:cs="Times New Roman"/>
        </w:rPr>
      </w:pPr>
      <w:r w:rsidRPr="002D58FB">
        <w:rPr>
          <w:rFonts w:ascii="Times New Roman" w:eastAsia="Times New Roman" w:hAnsi="Times New Roman" w:cs="Times New Roman"/>
          <w:b/>
        </w:rPr>
        <w:t>Colocalization of fascin and cofilin in neuronal growth cone filopodia.</w:t>
      </w:r>
      <w:r w:rsidRPr="002D58FB">
        <w:rPr>
          <w:rFonts w:ascii="Times New Roman" w:eastAsia="Times New Roman" w:hAnsi="Times New Roman" w:cs="Times New Roman"/>
        </w:rPr>
        <w:t xml:space="preserve"> </w:t>
      </w:r>
      <w:r w:rsidRPr="002D58FB">
        <w:rPr>
          <w:rFonts w:ascii="Times New Roman" w:eastAsia="Times New Roman" w:hAnsi="Times New Roman" w:cs="Times New Roman"/>
          <w:b/>
        </w:rPr>
        <w:t>(</w:t>
      </w:r>
      <w:r w:rsidR="00E45DE1">
        <w:rPr>
          <w:rFonts w:ascii="Times New Roman" w:eastAsia="Times New Roman" w:hAnsi="Times New Roman" w:cs="Times New Roman"/>
          <w:b/>
        </w:rPr>
        <w:t>a</w:t>
      </w:r>
      <w:r w:rsidRPr="002D58FB">
        <w:rPr>
          <w:rFonts w:ascii="Times New Roman" w:eastAsia="Times New Roman" w:hAnsi="Times New Roman" w:cs="Times New Roman"/>
          <w:b/>
        </w:rPr>
        <w:t>) &amp; (</w:t>
      </w:r>
      <w:r w:rsidR="00E45DE1">
        <w:rPr>
          <w:rFonts w:ascii="Times New Roman" w:eastAsia="Times New Roman" w:hAnsi="Times New Roman" w:cs="Times New Roman"/>
          <w:b/>
        </w:rPr>
        <w:t>b</w:t>
      </w:r>
      <w:r w:rsidRPr="002D58FB">
        <w:rPr>
          <w:rFonts w:ascii="Times New Roman" w:eastAsia="Times New Roman" w:hAnsi="Times New Roman" w:cs="Times New Roman"/>
          <w:b/>
        </w:rPr>
        <w:t>)</w:t>
      </w:r>
      <w:r w:rsidRPr="002D58FB">
        <w:rPr>
          <w:rFonts w:ascii="Times New Roman" w:eastAsia="Times New Roman" w:hAnsi="Times New Roman" w:cs="Times New Roman"/>
        </w:rPr>
        <w:t xml:space="preserve"> Representative scattergrams resulting from colocalization analysis of fascin and cofilin in a whole filopodium (</w:t>
      </w:r>
      <w:r w:rsidR="00E45DE1">
        <w:rPr>
          <w:rFonts w:ascii="Times New Roman" w:eastAsia="Times New Roman" w:hAnsi="Times New Roman" w:cs="Times New Roman"/>
        </w:rPr>
        <w:t>a</w:t>
      </w:r>
      <w:r w:rsidRPr="002D58FB">
        <w:rPr>
          <w:rFonts w:ascii="Times New Roman" w:eastAsia="Times New Roman" w:hAnsi="Times New Roman" w:cs="Times New Roman"/>
        </w:rPr>
        <w:t>) and the transition region (</w:t>
      </w:r>
      <w:r w:rsidR="00E45DE1">
        <w:rPr>
          <w:rFonts w:ascii="Times New Roman" w:eastAsia="Times New Roman" w:hAnsi="Times New Roman" w:cs="Times New Roman"/>
        </w:rPr>
        <w:t>b</w:t>
      </w:r>
      <w:r w:rsidRPr="002D58FB">
        <w:rPr>
          <w:rFonts w:ascii="Times New Roman" w:eastAsia="Times New Roman" w:hAnsi="Times New Roman" w:cs="Times New Roman"/>
        </w:rPr>
        <w:t xml:space="preserve">) (as defined in the </w:t>
      </w:r>
      <w:r w:rsidR="00E45DE1">
        <w:rPr>
          <w:rFonts w:ascii="Times New Roman" w:eastAsia="Times New Roman" w:hAnsi="Times New Roman" w:cs="Times New Roman"/>
        </w:rPr>
        <w:t>Supplementary Notes</w:t>
      </w:r>
      <w:r w:rsidRPr="002D58FB">
        <w:rPr>
          <w:rFonts w:ascii="Times New Roman" w:eastAsia="Times New Roman" w:hAnsi="Times New Roman" w:cs="Times New Roman"/>
        </w:rPr>
        <w:t xml:space="preserve"> and shown in Figure 1E). The average Pearson’s Correlation Coefficient for whole filopodia was -0.28 +/- 0.19 (+/- S.D.) and for the transition region was 0.39 +/- 0.29. Green and red arrows in (</w:t>
      </w:r>
      <w:r w:rsidR="00E45DE1">
        <w:rPr>
          <w:rFonts w:ascii="Times New Roman" w:eastAsia="Times New Roman" w:hAnsi="Times New Roman" w:cs="Times New Roman"/>
        </w:rPr>
        <w:t>a</w:t>
      </w:r>
      <w:r w:rsidRPr="002D58FB">
        <w:rPr>
          <w:rFonts w:ascii="Times New Roman" w:eastAsia="Times New Roman" w:hAnsi="Times New Roman" w:cs="Times New Roman"/>
        </w:rPr>
        <w:t>) show pixels that predominately had fascin or cofilin signal, respectively. The yellow arrow in (</w:t>
      </w:r>
      <w:r w:rsidR="00E45DE1">
        <w:rPr>
          <w:rFonts w:ascii="Times New Roman" w:eastAsia="Times New Roman" w:hAnsi="Times New Roman" w:cs="Times New Roman"/>
        </w:rPr>
        <w:t>b</w:t>
      </w:r>
      <w:r w:rsidRPr="002D58FB">
        <w:rPr>
          <w:rFonts w:ascii="Times New Roman" w:eastAsia="Times New Roman" w:hAnsi="Times New Roman" w:cs="Times New Roman"/>
        </w:rPr>
        <w:t xml:space="preserve">) brings attention to the linear relationship between pixel intensities in the green and red channels in the transition region. </w:t>
      </w:r>
    </w:p>
    <w:p w14:paraId="23ADAC78" w14:textId="77777777" w:rsidR="00836F67" w:rsidRDefault="00836F67">
      <w:pPr>
        <w:rPr>
          <w:rFonts w:ascii="Times New Roman" w:eastAsia="Times New Roman" w:hAnsi="Times New Roman" w:cs="Times New Roman"/>
        </w:rPr>
      </w:pPr>
      <w:r>
        <w:rPr>
          <w:rFonts w:ascii="Times New Roman" w:eastAsia="Times New Roman" w:hAnsi="Times New Roman" w:cs="Times New Roman"/>
        </w:rPr>
        <w:br w:type="page"/>
      </w:r>
    </w:p>
    <w:p w14:paraId="67E9F11E" w14:textId="12C6605E" w:rsidR="002D58FB" w:rsidRPr="002D58FB" w:rsidRDefault="00836F67" w:rsidP="002D58FB">
      <w:pPr>
        <w:jc w:val="both"/>
        <w:rPr>
          <w:rFonts w:ascii="Times New Roman" w:eastAsia="Times New Roman" w:hAnsi="Times New Roman" w:cs="Times New Roman"/>
          <w:szCs w:val="20"/>
        </w:rPr>
      </w:pPr>
      <w:r>
        <w:rPr>
          <w:rFonts w:ascii="Times New Roman" w:eastAsia="Times New Roman" w:hAnsi="Times New Roman" w:cs="Times New Roman"/>
          <w:noProof/>
          <w:szCs w:val="20"/>
        </w:rPr>
        <w:lastRenderedPageBreak/>
        <w:drawing>
          <wp:inline distT="0" distB="0" distL="0" distR="0" wp14:anchorId="5F6BC19A" wp14:editId="3E10CC9C">
            <wp:extent cx="5943600" cy="1908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S2.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908175"/>
                    </a:xfrm>
                    <a:prstGeom prst="rect">
                      <a:avLst/>
                    </a:prstGeom>
                  </pic:spPr>
                </pic:pic>
              </a:graphicData>
            </a:graphic>
          </wp:inline>
        </w:drawing>
      </w:r>
    </w:p>
    <w:p w14:paraId="71E44030" w14:textId="77777777" w:rsidR="002D58FB" w:rsidRDefault="002D58FB" w:rsidP="002D58FB">
      <w:pPr>
        <w:rPr>
          <w:rFonts w:ascii="Times New Roman" w:eastAsia="Calibri" w:hAnsi="Times New Roman" w:cs="Times New Roman"/>
          <w:sz w:val="20"/>
          <w:szCs w:val="20"/>
        </w:rPr>
      </w:pPr>
    </w:p>
    <w:p w14:paraId="42F8A19B" w14:textId="23DE97F5" w:rsidR="002D58FB" w:rsidRPr="002D58FB" w:rsidRDefault="0055345B" w:rsidP="002D58FB">
      <w:pPr>
        <w:rPr>
          <w:rFonts w:ascii="Times New Roman" w:eastAsia="Times New Roman" w:hAnsi="Times New Roman" w:cs="Times New Roman"/>
          <w:szCs w:val="20"/>
        </w:rPr>
      </w:pPr>
      <w:r w:rsidRPr="0055345B">
        <w:rPr>
          <w:rFonts w:ascii="Times New Roman" w:eastAsia="Calibri" w:hAnsi="Times New Roman" w:cs="Times New Roman"/>
          <w:b/>
        </w:rPr>
        <w:t>Supplementary</w:t>
      </w:r>
      <w:r w:rsidRPr="0055345B">
        <w:rPr>
          <w:rFonts w:ascii="Times New Roman" w:eastAsia="Calibri" w:hAnsi="Times New Roman" w:cs="Times New Roman"/>
          <w:sz w:val="20"/>
        </w:rPr>
        <w:t xml:space="preserve"> </w:t>
      </w:r>
      <w:r w:rsidR="002D58FB" w:rsidRPr="002D58FB">
        <w:rPr>
          <w:rFonts w:ascii="Times New Roman" w:eastAsia="Times New Roman" w:hAnsi="Times New Roman" w:cs="Times New Roman"/>
          <w:b/>
          <w:bCs/>
          <w:kern w:val="32"/>
        </w:rPr>
        <w:t>Fig. 2.</w:t>
      </w:r>
    </w:p>
    <w:p w14:paraId="575C88E8" w14:textId="7138CA4B" w:rsidR="00836F67" w:rsidRDefault="002D58FB" w:rsidP="002D58FB">
      <w:pPr>
        <w:jc w:val="both"/>
        <w:rPr>
          <w:rFonts w:ascii="Times New Roman" w:eastAsia="Times New Roman" w:hAnsi="Times New Roman" w:cs="Times New Roman"/>
          <w:szCs w:val="20"/>
        </w:rPr>
      </w:pPr>
      <w:r w:rsidRPr="002D58FB">
        <w:rPr>
          <w:rFonts w:ascii="Times New Roman" w:eastAsia="Times New Roman" w:hAnsi="Times New Roman" w:cs="Times New Roman"/>
          <w:b/>
        </w:rPr>
        <w:t>Box plots of data from throughout the paper.</w:t>
      </w:r>
      <w:r w:rsidRPr="002D58FB">
        <w:rPr>
          <w:rFonts w:ascii="Times New Roman" w:eastAsia="Times New Roman" w:hAnsi="Times New Roman" w:cs="Times New Roman"/>
        </w:rPr>
        <w:t xml:space="preserve"> </w:t>
      </w:r>
      <w:r w:rsidRPr="002D58FB">
        <w:rPr>
          <w:rFonts w:ascii="Times New Roman" w:eastAsia="Times New Roman" w:hAnsi="Times New Roman" w:cs="Times New Roman"/>
          <w:b/>
        </w:rPr>
        <w:t>(</w:t>
      </w:r>
      <w:r w:rsidR="00E45DE1">
        <w:rPr>
          <w:rFonts w:ascii="Times New Roman" w:eastAsia="Times New Roman" w:hAnsi="Times New Roman" w:cs="Times New Roman"/>
          <w:b/>
        </w:rPr>
        <w:t>a</w:t>
      </w:r>
      <w:r w:rsidRPr="002D58FB">
        <w:rPr>
          <w:rFonts w:ascii="Times New Roman" w:eastAsia="Times New Roman" w:hAnsi="Times New Roman" w:cs="Times New Roman"/>
          <w:b/>
        </w:rPr>
        <w:t xml:space="preserve">) </w:t>
      </w:r>
      <w:r w:rsidRPr="002D58FB">
        <w:rPr>
          <w:rFonts w:ascii="Times New Roman" w:eastAsia="Times New Roman" w:hAnsi="Times New Roman" w:cs="Times New Roman"/>
        </w:rPr>
        <w:t xml:space="preserve">Box plot showing the average length of the fascin-labeled portion of filopodia with (red, n = 97) and without (green, n = 72) a cofilactin bundle at their base. </w:t>
      </w:r>
      <w:r w:rsidRPr="002D58FB">
        <w:rPr>
          <w:rFonts w:ascii="Times New Roman" w:eastAsia="Times New Roman" w:hAnsi="Times New Roman" w:cs="Times New Roman"/>
          <w:szCs w:val="20"/>
        </w:rPr>
        <w:t xml:space="preserve">Graphs in </w:t>
      </w:r>
      <w:r w:rsidRPr="002D58FB">
        <w:rPr>
          <w:rFonts w:ascii="Times New Roman" w:eastAsia="Times New Roman" w:hAnsi="Times New Roman" w:cs="Times New Roman"/>
          <w:b/>
          <w:szCs w:val="20"/>
        </w:rPr>
        <w:t>(</w:t>
      </w:r>
      <w:r w:rsidR="00E45DE1">
        <w:rPr>
          <w:rFonts w:ascii="Times New Roman" w:eastAsia="Times New Roman" w:hAnsi="Times New Roman" w:cs="Times New Roman"/>
          <w:b/>
          <w:szCs w:val="20"/>
        </w:rPr>
        <w:t>b</w:t>
      </w:r>
      <w:r w:rsidRPr="002D58FB">
        <w:rPr>
          <w:rFonts w:ascii="Times New Roman" w:eastAsia="Times New Roman" w:hAnsi="Times New Roman" w:cs="Times New Roman"/>
          <w:b/>
          <w:szCs w:val="20"/>
        </w:rPr>
        <w:t>)</w:t>
      </w:r>
      <w:r w:rsidRPr="002D58FB">
        <w:rPr>
          <w:rFonts w:ascii="Times New Roman" w:eastAsia="Times New Roman" w:hAnsi="Times New Roman" w:cs="Times New Roman"/>
          <w:szCs w:val="20"/>
        </w:rPr>
        <w:t xml:space="preserve"> and </w:t>
      </w:r>
      <w:r w:rsidRPr="002D58FB">
        <w:rPr>
          <w:rFonts w:ascii="Times New Roman" w:eastAsia="Times New Roman" w:hAnsi="Times New Roman" w:cs="Times New Roman"/>
          <w:b/>
          <w:szCs w:val="20"/>
        </w:rPr>
        <w:t>(</w:t>
      </w:r>
      <w:r w:rsidR="00E45DE1">
        <w:rPr>
          <w:rFonts w:ascii="Times New Roman" w:eastAsia="Times New Roman" w:hAnsi="Times New Roman" w:cs="Times New Roman"/>
          <w:b/>
          <w:szCs w:val="20"/>
        </w:rPr>
        <w:t>c</w:t>
      </w:r>
      <w:r w:rsidRPr="002D58FB">
        <w:rPr>
          <w:rFonts w:ascii="Times New Roman" w:eastAsia="Times New Roman" w:hAnsi="Times New Roman" w:cs="Times New Roman"/>
          <w:b/>
          <w:szCs w:val="20"/>
        </w:rPr>
        <w:t>)</w:t>
      </w:r>
      <w:r w:rsidRPr="002D58FB">
        <w:rPr>
          <w:rFonts w:ascii="Times New Roman" w:eastAsia="Times New Roman" w:hAnsi="Times New Roman" w:cs="Times New Roman"/>
          <w:szCs w:val="20"/>
        </w:rPr>
        <w:t xml:space="preserve"> show the average width of cofilin (red), actin (green), and the inflection points (yellow) within MIPS made from live-cell movies of resting ((</w:t>
      </w:r>
      <w:r w:rsidR="00E45DE1">
        <w:rPr>
          <w:rFonts w:ascii="Times New Roman" w:eastAsia="Times New Roman" w:hAnsi="Times New Roman" w:cs="Times New Roman"/>
          <w:szCs w:val="20"/>
        </w:rPr>
        <w:t>b</w:t>
      </w:r>
      <w:r w:rsidRPr="002D58FB">
        <w:rPr>
          <w:rFonts w:ascii="Times New Roman" w:eastAsia="Times New Roman" w:hAnsi="Times New Roman" w:cs="Times New Roman"/>
          <w:szCs w:val="20"/>
        </w:rPr>
        <w:t>), n = 64) and searching ((</w:t>
      </w:r>
      <w:r w:rsidR="00E45DE1">
        <w:rPr>
          <w:rFonts w:ascii="Times New Roman" w:eastAsia="Times New Roman" w:hAnsi="Times New Roman" w:cs="Times New Roman"/>
          <w:szCs w:val="20"/>
        </w:rPr>
        <w:t>c</w:t>
      </w:r>
      <w:r w:rsidRPr="002D58FB">
        <w:rPr>
          <w:rFonts w:ascii="Times New Roman" w:eastAsia="Times New Roman" w:hAnsi="Times New Roman" w:cs="Times New Roman"/>
          <w:szCs w:val="20"/>
        </w:rPr>
        <w:t>), n = 15) filopodia. The y-axis values for all plots are in µm. The middle line in each box represents the median. The top and bottom of each box represent the third and first quartile measurements, respectively. Error bars show the range of the data without outliers. Outliers were designated as such using the interquartile range method.</w:t>
      </w:r>
      <w:r w:rsidR="00C97B9C">
        <w:rPr>
          <w:rFonts w:ascii="Times New Roman" w:eastAsia="Times New Roman" w:hAnsi="Times New Roman" w:cs="Times New Roman"/>
          <w:szCs w:val="20"/>
        </w:rPr>
        <w:t xml:space="preserve"> </w:t>
      </w:r>
      <w:r w:rsidR="00C97B9C" w:rsidRPr="00C97B9C">
        <w:rPr>
          <w:rFonts w:ascii="Times New Roman" w:eastAsia="Times New Roman" w:hAnsi="Times New Roman" w:cs="Times New Roman"/>
          <w:szCs w:val="20"/>
        </w:rPr>
        <w:t>Source data are provided as a Source Data file.</w:t>
      </w:r>
    </w:p>
    <w:p w14:paraId="2AB59EED" w14:textId="77777777" w:rsidR="00836F67" w:rsidRDefault="00836F67">
      <w:pPr>
        <w:rPr>
          <w:rFonts w:ascii="Times New Roman" w:eastAsia="Times New Roman" w:hAnsi="Times New Roman" w:cs="Times New Roman"/>
          <w:szCs w:val="20"/>
        </w:rPr>
      </w:pPr>
      <w:r>
        <w:rPr>
          <w:rFonts w:ascii="Times New Roman" w:eastAsia="Times New Roman" w:hAnsi="Times New Roman" w:cs="Times New Roman"/>
          <w:szCs w:val="20"/>
        </w:rPr>
        <w:br w:type="page"/>
      </w:r>
    </w:p>
    <w:p w14:paraId="2F2D2031" w14:textId="2706BFEF" w:rsidR="002D58FB" w:rsidRPr="002D58FB" w:rsidRDefault="00836F67" w:rsidP="002D58FB">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48FDFF6D" wp14:editId="064AC966">
            <wp:extent cx="5943600" cy="6121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S3.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6121400"/>
                    </a:xfrm>
                    <a:prstGeom prst="rect">
                      <a:avLst/>
                    </a:prstGeom>
                  </pic:spPr>
                </pic:pic>
              </a:graphicData>
            </a:graphic>
          </wp:inline>
        </w:drawing>
      </w:r>
    </w:p>
    <w:p w14:paraId="13FCFEB5" w14:textId="77777777" w:rsidR="002D58FB" w:rsidRPr="002D58FB" w:rsidRDefault="002D58FB" w:rsidP="002D58FB">
      <w:pPr>
        <w:jc w:val="both"/>
        <w:rPr>
          <w:rFonts w:ascii="Times New Roman" w:eastAsia="Times New Roman" w:hAnsi="Times New Roman" w:cs="Times New Roman"/>
        </w:rPr>
      </w:pPr>
    </w:p>
    <w:p w14:paraId="1FF08E49" w14:textId="5C4D5B5F" w:rsidR="002D58FB" w:rsidRPr="002D58FB" w:rsidRDefault="0055345B" w:rsidP="002D58FB">
      <w:pPr>
        <w:jc w:val="both"/>
        <w:rPr>
          <w:rFonts w:ascii="Times New Roman" w:eastAsia="Calibri" w:hAnsi="Times New Roman" w:cs="Times New Roman"/>
          <w:sz w:val="20"/>
          <w:szCs w:val="20"/>
        </w:rPr>
      </w:pPr>
      <w:r w:rsidRPr="0055345B">
        <w:rPr>
          <w:rFonts w:ascii="Times New Roman" w:eastAsia="Calibri" w:hAnsi="Times New Roman" w:cs="Times New Roman"/>
          <w:b/>
        </w:rPr>
        <w:t>Supplementary</w:t>
      </w:r>
      <w:r w:rsidRPr="0055345B">
        <w:rPr>
          <w:rFonts w:ascii="Times New Roman" w:eastAsia="Calibri" w:hAnsi="Times New Roman" w:cs="Times New Roman"/>
          <w:sz w:val="20"/>
        </w:rPr>
        <w:t xml:space="preserve"> </w:t>
      </w:r>
      <w:r w:rsidR="002D58FB" w:rsidRPr="002D58FB">
        <w:rPr>
          <w:rFonts w:ascii="Times New Roman" w:eastAsia="Times New Roman" w:hAnsi="Times New Roman" w:cs="Times New Roman"/>
          <w:b/>
          <w:bCs/>
          <w:kern w:val="32"/>
        </w:rPr>
        <w:t>Fig. 3.</w:t>
      </w:r>
    </w:p>
    <w:p w14:paraId="6A8F3D37" w14:textId="6FA7E07F" w:rsidR="00836F67" w:rsidRDefault="002D58FB" w:rsidP="002D58FB">
      <w:pPr>
        <w:jc w:val="both"/>
        <w:rPr>
          <w:rFonts w:ascii="Times New Roman" w:eastAsia="Times New Roman" w:hAnsi="Times New Roman" w:cs="Times New Roman"/>
        </w:rPr>
      </w:pPr>
      <w:r w:rsidRPr="002D58FB">
        <w:rPr>
          <w:rFonts w:ascii="Times New Roman" w:eastAsia="Times New Roman" w:hAnsi="Times New Roman" w:cs="Times New Roman"/>
          <w:b/>
        </w:rPr>
        <w:t>Neural network segmentation and interfilament distance analysis workflow.</w:t>
      </w:r>
      <w:r w:rsidRPr="002D58FB">
        <w:rPr>
          <w:rFonts w:ascii="Times New Roman" w:eastAsia="Times New Roman" w:hAnsi="Times New Roman" w:cs="Times New Roman"/>
        </w:rPr>
        <w:t xml:space="preserve"> </w:t>
      </w:r>
      <w:r w:rsidRPr="002D58FB">
        <w:rPr>
          <w:rFonts w:ascii="Times New Roman" w:eastAsia="Times New Roman" w:hAnsi="Times New Roman" w:cs="Times New Roman"/>
          <w:b/>
        </w:rPr>
        <w:t>(</w:t>
      </w:r>
      <w:r w:rsidR="00E45DE1">
        <w:rPr>
          <w:rFonts w:ascii="Times New Roman" w:eastAsia="Times New Roman" w:hAnsi="Times New Roman" w:cs="Times New Roman"/>
          <w:b/>
        </w:rPr>
        <w:t>a</w:t>
      </w:r>
      <w:r w:rsidRPr="002D58FB">
        <w:rPr>
          <w:rFonts w:ascii="Times New Roman" w:eastAsia="Times New Roman" w:hAnsi="Times New Roman" w:cs="Times New Roman"/>
          <w:b/>
        </w:rPr>
        <w:t>-</w:t>
      </w:r>
      <w:r w:rsidR="00E45DE1">
        <w:rPr>
          <w:rFonts w:ascii="Times New Roman" w:eastAsia="Times New Roman" w:hAnsi="Times New Roman" w:cs="Times New Roman"/>
          <w:b/>
        </w:rPr>
        <w:t>f</w:t>
      </w:r>
      <w:r w:rsidRPr="002D58FB">
        <w:rPr>
          <w:rFonts w:ascii="Times New Roman" w:eastAsia="Times New Roman" w:hAnsi="Times New Roman" w:cs="Times New Roman"/>
          <w:b/>
        </w:rPr>
        <w:t>)</w:t>
      </w:r>
      <w:r w:rsidRPr="002D58FB">
        <w:rPr>
          <w:rFonts w:ascii="Times New Roman" w:eastAsia="Times New Roman" w:hAnsi="Times New Roman" w:cs="Times New Roman"/>
        </w:rPr>
        <w:t xml:space="preserve"> The workflow for the segmentation and filament centerline extraction is displayed in the following way (filopodial tips/actin bundles and filopodial bases/cofilactin bundles were analyzed the same as one another): (</w:t>
      </w:r>
      <w:r w:rsidR="00E45DE1">
        <w:rPr>
          <w:rFonts w:ascii="Times New Roman" w:eastAsia="Times New Roman" w:hAnsi="Times New Roman" w:cs="Times New Roman"/>
        </w:rPr>
        <w:t>a</w:t>
      </w:r>
      <w:r w:rsidRPr="002D58FB">
        <w:rPr>
          <w:rFonts w:ascii="Times New Roman" w:eastAsia="Times New Roman" w:hAnsi="Times New Roman" w:cs="Times New Roman"/>
        </w:rPr>
        <w:t>) and (</w:t>
      </w:r>
      <w:r w:rsidR="00E45DE1">
        <w:rPr>
          <w:rFonts w:ascii="Times New Roman" w:eastAsia="Times New Roman" w:hAnsi="Times New Roman" w:cs="Times New Roman"/>
        </w:rPr>
        <w:t>b</w:t>
      </w:r>
      <w:r w:rsidRPr="002D58FB">
        <w:rPr>
          <w:rFonts w:ascii="Times New Roman" w:eastAsia="Times New Roman" w:hAnsi="Times New Roman" w:cs="Times New Roman"/>
        </w:rPr>
        <w:t>) show example raw tomograms that were segmented. (</w:t>
      </w:r>
      <w:r w:rsidR="00E45DE1">
        <w:rPr>
          <w:rFonts w:ascii="Times New Roman" w:eastAsia="Times New Roman" w:hAnsi="Times New Roman" w:cs="Times New Roman"/>
        </w:rPr>
        <w:t>c</w:t>
      </w:r>
      <w:r w:rsidRPr="002D58FB">
        <w:rPr>
          <w:rFonts w:ascii="Times New Roman" w:eastAsia="Times New Roman" w:hAnsi="Times New Roman" w:cs="Times New Roman"/>
        </w:rPr>
        <w:t>) and (</w:t>
      </w:r>
      <w:r w:rsidR="00E45DE1">
        <w:rPr>
          <w:rFonts w:ascii="Times New Roman" w:eastAsia="Times New Roman" w:hAnsi="Times New Roman" w:cs="Times New Roman"/>
        </w:rPr>
        <w:t>d</w:t>
      </w:r>
      <w:r w:rsidRPr="002D58FB">
        <w:rPr>
          <w:rFonts w:ascii="Times New Roman" w:eastAsia="Times New Roman" w:hAnsi="Times New Roman" w:cs="Times New Roman"/>
        </w:rPr>
        <w:t>) show annotated actin and cofilactin filaments, respectively, after segmentation in Dragonfly. (</w:t>
      </w:r>
      <w:r w:rsidR="00E45DE1">
        <w:rPr>
          <w:rFonts w:ascii="Times New Roman" w:eastAsia="Times New Roman" w:hAnsi="Times New Roman" w:cs="Times New Roman"/>
        </w:rPr>
        <w:t>e</w:t>
      </w:r>
      <w:r w:rsidRPr="002D58FB">
        <w:rPr>
          <w:rFonts w:ascii="Times New Roman" w:eastAsia="Times New Roman" w:hAnsi="Times New Roman" w:cs="Times New Roman"/>
        </w:rPr>
        <w:t>) and (</w:t>
      </w:r>
      <w:r w:rsidR="00E45DE1">
        <w:rPr>
          <w:rFonts w:ascii="Times New Roman" w:eastAsia="Times New Roman" w:hAnsi="Times New Roman" w:cs="Times New Roman"/>
        </w:rPr>
        <w:t>f</w:t>
      </w:r>
      <w:r w:rsidRPr="002D58FB">
        <w:rPr>
          <w:rFonts w:ascii="Times New Roman" w:eastAsia="Times New Roman" w:hAnsi="Times New Roman" w:cs="Times New Roman"/>
        </w:rPr>
        <w:t xml:space="preserve">) show centerlines that were extracted from filaments using Amira. The points along each line were the points from which nearest neighbor calculations were made in MATLAB using a custom script. </w:t>
      </w:r>
      <w:r w:rsidRPr="002D58FB">
        <w:rPr>
          <w:rFonts w:ascii="Times New Roman" w:eastAsia="Times New Roman" w:hAnsi="Times New Roman" w:cs="Times New Roman"/>
          <w:b/>
        </w:rPr>
        <w:t>(</w:t>
      </w:r>
      <w:r w:rsidR="00E45DE1">
        <w:rPr>
          <w:rFonts w:ascii="Times New Roman" w:eastAsia="Times New Roman" w:hAnsi="Times New Roman" w:cs="Times New Roman"/>
          <w:b/>
        </w:rPr>
        <w:t>g</w:t>
      </w:r>
      <w:r w:rsidRPr="002D58FB">
        <w:rPr>
          <w:rFonts w:ascii="Times New Roman" w:eastAsia="Times New Roman" w:hAnsi="Times New Roman" w:cs="Times New Roman"/>
          <w:b/>
        </w:rPr>
        <w:t xml:space="preserve"> &amp; </w:t>
      </w:r>
      <w:r w:rsidR="00E45DE1">
        <w:rPr>
          <w:rFonts w:ascii="Times New Roman" w:eastAsia="Times New Roman" w:hAnsi="Times New Roman" w:cs="Times New Roman"/>
          <w:b/>
        </w:rPr>
        <w:t>h</w:t>
      </w:r>
      <w:r w:rsidRPr="002D58FB">
        <w:rPr>
          <w:rFonts w:ascii="Times New Roman" w:eastAsia="Times New Roman" w:hAnsi="Times New Roman" w:cs="Times New Roman"/>
          <w:b/>
        </w:rPr>
        <w:t xml:space="preserve">) </w:t>
      </w:r>
      <w:r w:rsidRPr="002D58FB">
        <w:rPr>
          <w:rFonts w:ascii="Times New Roman" w:eastAsia="Times New Roman" w:hAnsi="Times New Roman" w:cs="Times New Roman"/>
        </w:rPr>
        <w:t xml:space="preserve">Three bundles of each type were segmented and analyzed. Nearest neighbor measurements are plotted as histograms and all bundles from each type are overlaid together. Bundles from each </w:t>
      </w:r>
      <w:r w:rsidRPr="002D58FB">
        <w:rPr>
          <w:rFonts w:ascii="Times New Roman" w:eastAsia="Times New Roman" w:hAnsi="Times New Roman" w:cs="Times New Roman"/>
        </w:rPr>
        <w:lastRenderedPageBreak/>
        <w:t>type overlap heavily, indicating a consistent structure across multiple filopodia. Scale bars in (</w:t>
      </w:r>
      <w:r w:rsidR="00E45DE1">
        <w:rPr>
          <w:rFonts w:ascii="Times New Roman" w:eastAsia="Times New Roman" w:hAnsi="Times New Roman" w:cs="Times New Roman"/>
        </w:rPr>
        <w:t>a</w:t>
      </w:r>
      <w:r w:rsidRPr="002D58FB">
        <w:rPr>
          <w:rFonts w:ascii="Times New Roman" w:eastAsia="Times New Roman" w:hAnsi="Times New Roman" w:cs="Times New Roman"/>
        </w:rPr>
        <w:t>) and (</w:t>
      </w:r>
      <w:r w:rsidR="00E45DE1">
        <w:rPr>
          <w:rFonts w:ascii="Times New Roman" w:eastAsia="Times New Roman" w:hAnsi="Times New Roman" w:cs="Times New Roman"/>
        </w:rPr>
        <w:t>b</w:t>
      </w:r>
      <w:r w:rsidRPr="002D58FB">
        <w:rPr>
          <w:rFonts w:ascii="Times New Roman" w:eastAsia="Times New Roman" w:hAnsi="Times New Roman" w:cs="Times New Roman"/>
        </w:rPr>
        <w:t>) are 40 nm.</w:t>
      </w:r>
    </w:p>
    <w:p w14:paraId="165C6AF7" w14:textId="77777777" w:rsidR="00836F67" w:rsidRDefault="00836F67">
      <w:pPr>
        <w:rPr>
          <w:rFonts w:ascii="Times New Roman" w:eastAsia="Times New Roman" w:hAnsi="Times New Roman" w:cs="Times New Roman"/>
        </w:rPr>
      </w:pPr>
      <w:r>
        <w:rPr>
          <w:rFonts w:ascii="Times New Roman" w:eastAsia="Times New Roman" w:hAnsi="Times New Roman" w:cs="Times New Roman"/>
        </w:rPr>
        <w:br w:type="page"/>
      </w:r>
    </w:p>
    <w:p w14:paraId="3A3DCB2A" w14:textId="3CF9EE19" w:rsidR="002D58FB" w:rsidRPr="002D58FB" w:rsidRDefault="00836F67" w:rsidP="002D58FB">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5B300853" wp14:editId="14C768E7">
            <wp:extent cx="5943600" cy="16700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_S4.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670050"/>
                    </a:xfrm>
                    <a:prstGeom prst="rect">
                      <a:avLst/>
                    </a:prstGeom>
                  </pic:spPr>
                </pic:pic>
              </a:graphicData>
            </a:graphic>
          </wp:inline>
        </w:drawing>
      </w:r>
    </w:p>
    <w:p w14:paraId="420C6EFF" w14:textId="77777777" w:rsidR="002D58FB" w:rsidRDefault="002D58FB" w:rsidP="002D58FB">
      <w:pPr>
        <w:jc w:val="both"/>
        <w:rPr>
          <w:rFonts w:ascii="Times New Roman" w:eastAsia="Calibri" w:hAnsi="Times New Roman" w:cs="Times New Roman"/>
          <w:b/>
          <w:sz w:val="20"/>
          <w:szCs w:val="20"/>
        </w:rPr>
      </w:pPr>
    </w:p>
    <w:p w14:paraId="1F470E4D" w14:textId="328EB8EB" w:rsidR="002D58FB" w:rsidRPr="002D58FB" w:rsidRDefault="0055345B" w:rsidP="002D58FB">
      <w:pPr>
        <w:jc w:val="both"/>
        <w:rPr>
          <w:rFonts w:ascii="Times New Roman" w:eastAsia="Times New Roman" w:hAnsi="Times New Roman" w:cs="Times New Roman"/>
          <w:b/>
          <w:szCs w:val="20"/>
        </w:rPr>
      </w:pPr>
      <w:r w:rsidRPr="0055345B">
        <w:rPr>
          <w:rFonts w:ascii="Times New Roman" w:eastAsia="Calibri" w:hAnsi="Times New Roman" w:cs="Times New Roman"/>
          <w:b/>
        </w:rPr>
        <w:t>Supplementary</w:t>
      </w:r>
      <w:r w:rsidRPr="0055345B">
        <w:rPr>
          <w:rFonts w:ascii="Times New Roman" w:eastAsia="Calibri" w:hAnsi="Times New Roman" w:cs="Times New Roman"/>
          <w:sz w:val="20"/>
        </w:rPr>
        <w:t xml:space="preserve"> </w:t>
      </w:r>
      <w:r w:rsidR="002D58FB" w:rsidRPr="002D58FB">
        <w:rPr>
          <w:rFonts w:ascii="Times New Roman" w:eastAsia="Times New Roman" w:hAnsi="Times New Roman" w:cs="Times New Roman"/>
          <w:b/>
          <w:bCs/>
          <w:kern w:val="32"/>
        </w:rPr>
        <w:t>Fig. 4.</w:t>
      </w:r>
    </w:p>
    <w:p w14:paraId="03FC6DC1" w14:textId="1E18C989" w:rsidR="00836F67" w:rsidRDefault="002D58FB" w:rsidP="002D58FB">
      <w:pPr>
        <w:jc w:val="both"/>
        <w:rPr>
          <w:rFonts w:ascii="Times New Roman" w:eastAsia="Times New Roman" w:hAnsi="Times New Roman" w:cs="Times New Roman"/>
          <w:highlight w:val="yellow"/>
        </w:rPr>
      </w:pPr>
      <w:r w:rsidRPr="002D58FB">
        <w:rPr>
          <w:rFonts w:ascii="Times New Roman" w:eastAsia="Times New Roman" w:hAnsi="Times New Roman" w:cs="Times New Roman"/>
          <w:b/>
        </w:rPr>
        <w:t xml:space="preserve">Effect of permeabilization on cofilactin bundle visualization. </w:t>
      </w:r>
      <w:r w:rsidRPr="002D58FB">
        <w:rPr>
          <w:rFonts w:ascii="Times New Roman" w:eastAsia="Times New Roman" w:hAnsi="Times New Roman" w:cs="Times New Roman"/>
        </w:rPr>
        <w:t xml:space="preserve">As discussed in the </w:t>
      </w:r>
      <w:r w:rsidR="00E45DE1">
        <w:rPr>
          <w:rFonts w:ascii="Times New Roman" w:eastAsia="Times New Roman" w:hAnsi="Times New Roman" w:cs="Times New Roman"/>
        </w:rPr>
        <w:t>Supplementary Notes</w:t>
      </w:r>
      <w:r w:rsidRPr="002D58FB">
        <w:rPr>
          <w:rFonts w:ascii="Times New Roman" w:eastAsia="Times New Roman" w:hAnsi="Times New Roman" w:cs="Times New Roman"/>
        </w:rPr>
        <w:t>, multiple fixation and permeabilization protocols were used prior to immunolabeling growth cones. In general, permeabilization with Triton-X 100 seems to prohibit cofilactin bundle labeling, while permeabilization with organic solvents does not. In (</w:t>
      </w:r>
      <w:r w:rsidR="00E45DE1">
        <w:rPr>
          <w:rFonts w:ascii="Times New Roman" w:eastAsia="Times New Roman" w:hAnsi="Times New Roman" w:cs="Times New Roman"/>
        </w:rPr>
        <w:t>a</w:t>
      </w:r>
      <w:r w:rsidRPr="002D58FB">
        <w:rPr>
          <w:rFonts w:ascii="Times New Roman" w:eastAsia="Times New Roman" w:hAnsi="Times New Roman" w:cs="Times New Roman"/>
        </w:rPr>
        <w:t>) and (</w:t>
      </w:r>
      <w:r w:rsidR="00E45DE1">
        <w:rPr>
          <w:rFonts w:ascii="Times New Roman" w:eastAsia="Times New Roman" w:hAnsi="Times New Roman" w:cs="Times New Roman"/>
        </w:rPr>
        <w:t>b</w:t>
      </w:r>
      <w:r w:rsidRPr="002D58FB">
        <w:rPr>
          <w:rFonts w:ascii="Times New Roman" w:eastAsia="Times New Roman" w:hAnsi="Times New Roman" w:cs="Times New Roman"/>
        </w:rPr>
        <w:t>), green is actin (phalloidin) and red is cofilin. In (</w:t>
      </w:r>
      <w:r w:rsidR="00E45DE1">
        <w:rPr>
          <w:rFonts w:ascii="Times New Roman" w:eastAsia="Times New Roman" w:hAnsi="Times New Roman" w:cs="Times New Roman"/>
        </w:rPr>
        <w:t>c</w:t>
      </w:r>
      <w:r w:rsidRPr="002D58FB">
        <w:rPr>
          <w:rFonts w:ascii="Times New Roman" w:eastAsia="Times New Roman" w:hAnsi="Times New Roman" w:cs="Times New Roman"/>
        </w:rPr>
        <w:t xml:space="preserve">) green is fascin and red is cofilin. </w:t>
      </w:r>
      <w:r w:rsidRPr="002D58FB">
        <w:rPr>
          <w:rFonts w:ascii="Times New Roman" w:eastAsia="Times New Roman" w:hAnsi="Times New Roman" w:cs="Times New Roman"/>
          <w:b/>
        </w:rPr>
        <w:t>(</w:t>
      </w:r>
      <w:r w:rsidR="00E45DE1">
        <w:rPr>
          <w:rFonts w:ascii="Times New Roman" w:eastAsia="Times New Roman" w:hAnsi="Times New Roman" w:cs="Times New Roman"/>
          <w:b/>
        </w:rPr>
        <w:t>a</w:t>
      </w:r>
      <w:r w:rsidRPr="002D58FB">
        <w:rPr>
          <w:rFonts w:ascii="Times New Roman" w:eastAsia="Times New Roman" w:hAnsi="Times New Roman" w:cs="Times New Roman"/>
          <w:b/>
        </w:rPr>
        <w:t>)</w:t>
      </w:r>
      <w:r w:rsidRPr="002D58FB">
        <w:rPr>
          <w:rFonts w:ascii="Times New Roman" w:eastAsia="Times New Roman" w:hAnsi="Times New Roman" w:cs="Times New Roman"/>
        </w:rPr>
        <w:t xml:space="preserve"> Fixation with 4% PFA followed by permeabilization with 0.5% Triton-X 100 enables cofilin labeling, but no cofilactin bundles are visible. </w:t>
      </w:r>
      <w:r w:rsidRPr="002D58FB">
        <w:rPr>
          <w:rFonts w:ascii="Times New Roman" w:eastAsia="Times New Roman" w:hAnsi="Times New Roman" w:cs="Times New Roman"/>
          <w:b/>
        </w:rPr>
        <w:t>(</w:t>
      </w:r>
      <w:r w:rsidR="00E45DE1">
        <w:rPr>
          <w:rFonts w:ascii="Times New Roman" w:eastAsia="Times New Roman" w:hAnsi="Times New Roman" w:cs="Times New Roman"/>
          <w:b/>
        </w:rPr>
        <w:t>b</w:t>
      </w:r>
      <w:r w:rsidRPr="002D58FB">
        <w:rPr>
          <w:rFonts w:ascii="Times New Roman" w:eastAsia="Times New Roman" w:hAnsi="Times New Roman" w:cs="Times New Roman"/>
          <w:b/>
        </w:rPr>
        <w:t>)</w:t>
      </w:r>
      <w:r w:rsidRPr="002D58FB">
        <w:rPr>
          <w:rFonts w:ascii="Times New Roman" w:eastAsia="Times New Roman" w:hAnsi="Times New Roman" w:cs="Times New Roman"/>
        </w:rPr>
        <w:t xml:space="preserve"> Fixation with 4% PFA and permeabilization with ice-cold acetone preserves cofilactin bundle morphology, although slightly reduces phalloidin and cofilin signal intensity. </w:t>
      </w:r>
      <w:r w:rsidRPr="002D58FB">
        <w:rPr>
          <w:rFonts w:ascii="Times New Roman" w:eastAsia="Times New Roman" w:hAnsi="Times New Roman" w:cs="Times New Roman"/>
          <w:b/>
        </w:rPr>
        <w:t>(</w:t>
      </w:r>
      <w:r w:rsidR="00E45DE1">
        <w:rPr>
          <w:rFonts w:ascii="Times New Roman" w:eastAsia="Times New Roman" w:hAnsi="Times New Roman" w:cs="Times New Roman"/>
          <w:b/>
        </w:rPr>
        <w:t>c</w:t>
      </w:r>
      <w:r w:rsidRPr="002D58FB">
        <w:rPr>
          <w:rFonts w:ascii="Times New Roman" w:eastAsia="Times New Roman" w:hAnsi="Times New Roman" w:cs="Times New Roman"/>
          <w:b/>
        </w:rPr>
        <w:t>)</w:t>
      </w:r>
      <w:r w:rsidRPr="002D58FB">
        <w:rPr>
          <w:rFonts w:ascii="Times New Roman" w:eastAsia="Times New Roman" w:hAnsi="Times New Roman" w:cs="Times New Roman"/>
        </w:rPr>
        <w:t xml:space="preserve"> Fixation with methanol preserves cofilactin bundle morphology but destroys phalloidin’s binding epitope, so fascin is used to label the more distal filopodial regions. Methanol also acts as a permeabilizing agent.</w:t>
      </w:r>
      <w:r w:rsidR="00A90214">
        <w:rPr>
          <w:rFonts w:ascii="Times New Roman" w:eastAsia="Times New Roman" w:hAnsi="Times New Roman" w:cs="Times New Roman"/>
        </w:rPr>
        <w:t xml:space="preserve"> </w:t>
      </w:r>
      <w:r w:rsidR="005E7B74" w:rsidRPr="006C2074">
        <w:rPr>
          <w:rFonts w:ascii="Times New Roman" w:eastAsia="Times New Roman" w:hAnsi="Times New Roman" w:cs="Times New Roman"/>
          <w:highlight w:val="yellow"/>
        </w:rPr>
        <w:t xml:space="preserve">(a) and (b) are representative images from two independent experiments and (c) is a representative image from three independent experiments. </w:t>
      </w:r>
      <w:r w:rsidRPr="006C2074">
        <w:rPr>
          <w:rFonts w:ascii="Times New Roman" w:eastAsia="Times New Roman" w:hAnsi="Times New Roman" w:cs="Times New Roman"/>
          <w:highlight w:val="yellow"/>
        </w:rPr>
        <w:t>Scale bars are all 5 µm.</w:t>
      </w:r>
    </w:p>
    <w:p w14:paraId="37F848A3" w14:textId="77777777" w:rsidR="00836F67" w:rsidRDefault="00836F67">
      <w:pPr>
        <w:rPr>
          <w:rFonts w:ascii="Times New Roman" w:eastAsia="Times New Roman" w:hAnsi="Times New Roman" w:cs="Times New Roman"/>
          <w:highlight w:val="yellow"/>
        </w:rPr>
      </w:pPr>
      <w:r>
        <w:rPr>
          <w:rFonts w:ascii="Times New Roman" w:eastAsia="Times New Roman" w:hAnsi="Times New Roman" w:cs="Times New Roman"/>
          <w:highlight w:val="yellow"/>
        </w:rPr>
        <w:br w:type="page"/>
      </w:r>
    </w:p>
    <w:p w14:paraId="211E2FB4" w14:textId="77FCD517" w:rsidR="002D58FB" w:rsidRPr="002D58FB" w:rsidRDefault="00836F67" w:rsidP="002D58FB">
      <w:pPr>
        <w:jc w:val="both"/>
        <w:rPr>
          <w:rFonts w:ascii="Times New Roman" w:eastAsia="Times New Roman" w:hAnsi="Times New Roman" w:cs="Times New Roman"/>
        </w:rPr>
      </w:pPr>
      <w:bookmarkStart w:id="1" w:name="_GoBack"/>
      <w:r>
        <w:rPr>
          <w:rFonts w:ascii="Times New Roman" w:eastAsia="Times New Roman" w:hAnsi="Times New Roman" w:cs="Times New Roman"/>
          <w:noProof/>
        </w:rPr>
        <w:lastRenderedPageBreak/>
        <w:drawing>
          <wp:inline distT="0" distB="0" distL="0" distR="0" wp14:anchorId="3987CB8B" wp14:editId="45138FB2">
            <wp:extent cx="59436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_S5.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bookmarkEnd w:id="1"/>
    </w:p>
    <w:p w14:paraId="06D7CDE9" w14:textId="77777777" w:rsidR="002D58FB" w:rsidRDefault="002D58FB" w:rsidP="002D58FB">
      <w:pPr>
        <w:rPr>
          <w:rFonts w:ascii="Times New Roman" w:eastAsia="Calibri" w:hAnsi="Times New Roman" w:cs="Times New Roman"/>
          <w:sz w:val="20"/>
        </w:rPr>
      </w:pPr>
    </w:p>
    <w:p w14:paraId="3CB7AC05" w14:textId="5AF10AFB" w:rsidR="002D58FB" w:rsidRPr="002D58FB" w:rsidRDefault="0055345B" w:rsidP="002D58FB">
      <w:pPr>
        <w:rPr>
          <w:rFonts w:ascii="Times New Roman" w:eastAsia="Times New Roman" w:hAnsi="Times New Roman" w:cs="Times New Roman"/>
        </w:rPr>
      </w:pPr>
      <w:r w:rsidRPr="0055345B">
        <w:rPr>
          <w:rFonts w:ascii="Times New Roman" w:eastAsia="Calibri" w:hAnsi="Times New Roman" w:cs="Times New Roman"/>
          <w:b/>
        </w:rPr>
        <w:t>Supplementary</w:t>
      </w:r>
      <w:r w:rsidRPr="0055345B">
        <w:rPr>
          <w:rFonts w:ascii="Times New Roman" w:eastAsia="Calibri" w:hAnsi="Times New Roman" w:cs="Times New Roman"/>
          <w:sz w:val="20"/>
        </w:rPr>
        <w:t xml:space="preserve"> </w:t>
      </w:r>
      <w:r w:rsidR="002D58FB" w:rsidRPr="002D58FB">
        <w:rPr>
          <w:rFonts w:ascii="Times New Roman" w:eastAsia="Times New Roman" w:hAnsi="Times New Roman" w:cs="Times New Roman"/>
          <w:b/>
          <w:bCs/>
          <w:kern w:val="32"/>
        </w:rPr>
        <w:t>Fig. 5.</w:t>
      </w:r>
    </w:p>
    <w:p w14:paraId="6D4EFF2D" w14:textId="2E0612F8" w:rsidR="002D58FB" w:rsidRDefault="002D58FB" w:rsidP="002D58FB">
      <w:pPr>
        <w:jc w:val="both"/>
        <w:rPr>
          <w:rFonts w:ascii="Times New Roman" w:eastAsia="Times New Roman" w:hAnsi="Times New Roman" w:cs="Times New Roman"/>
        </w:rPr>
      </w:pPr>
      <w:r w:rsidRPr="002D58FB">
        <w:rPr>
          <w:rFonts w:ascii="Times New Roman" w:eastAsia="Times New Roman" w:hAnsi="Times New Roman" w:cs="Times New Roman"/>
          <w:b/>
        </w:rPr>
        <w:t xml:space="preserve">A cofilin-rich filopodial base is observed with numerous pairs of fluorescent tags. </w:t>
      </w:r>
      <w:r w:rsidRPr="002D58FB">
        <w:rPr>
          <w:rFonts w:ascii="Times New Roman" w:eastAsia="Times New Roman" w:hAnsi="Times New Roman" w:cs="Times New Roman"/>
        </w:rPr>
        <w:t xml:space="preserve">Cofilactin bundles were observed at the base of growth cone filopodia in neurons transfected with both EGFP-cofilin and RFP-cofilin. Moreover, they were also seen when either Lifeact (a small peptide that binds to F-actin) or LCK (a membrane marker) were used in conjunction with cofilin. </w:t>
      </w:r>
      <w:r w:rsidRPr="00E45DE1">
        <w:rPr>
          <w:rFonts w:ascii="Times New Roman" w:eastAsia="Times New Roman" w:hAnsi="Times New Roman" w:cs="Times New Roman"/>
          <w:b/>
        </w:rPr>
        <w:t>(</w:t>
      </w:r>
      <w:r w:rsidR="00E45DE1">
        <w:rPr>
          <w:rFonts w:ascii="Times New Roman" w:eastAsia="Times New Roman" w:hAnsi="Times New Roman" w:cs="Times New Roman"/>
          <w:b/>
        </w:rPr>
        <w:t>a</w:t>
      </w:r>
      <w:r w:rsidRPr="00E45DE1">
        <w:rPr>
          <w:rFonts w:ascii="Times New Roman" w:eastAsia="Times New Roman" w:hAnsi="Times New Roman" w:cs="Times New Roman"/>
          <w:b/>
        </w:rPr>
        <w:t>)</w:t>
      </w:r>
      <w:r w:rsidRPr="002D58FB">
        <w:rPr>
          <w:rFonts w:ascii="Times New Roman" w:eastAsia="Times New Roman" w:hAnsi="Times New Roman" w:cs="Times New Roman"/>
        </w:rPr>
        <w:t xml:space="preserve"> Cofilin-EGFP and Lifeact-tdTomato, </w:t>
      </w:r>
      <w:r w:rsidRPr="00E45DE1">
        <w:rPr>
          <w:rFonts w:ascii="Times New Roman" w:eastAsia="Times New Roman" w:hAnsi="Times New Roman" w:cs="Times New Roman"/>
          <w:b/>
        </w:rPr>
        <w:t>(</w:t>
      </w:r>
      <w:r w:rsidR="00E45DE1">
        <w:rPr>
          <w:rFonts w:ascii="Times New Roman" w:eastAsia="Times New Roman" w:hAnsi="Times New Roman" w:cs="Times New Roman"/>
          <w:b/>
        </w:rPr>
        <w:t>b</w:t>
      </w:r>
      <w:r w:rsidRPr="00E45DE1">
        <w:rPr>
          <w:rFonts w:ascii="Times New Roman" w:eastAsia="Times New Roman" w:hAnsi="Times New Roman" w:cs="Times New Roman"/>
          <w:b/>
        </w:rPr>
        <w:t>)</w:t>
      </w:r>
      <w:r w:rsidRPr="002D58FB">
        <w:rPr>
          <w:rFonts w:ascii="Times New Roman" w:eastAsia="Times New Roman" w:hAnsi="Times New Roman" w:cs="Times New Roman"/>
        </w:rPr>
        <w:t xml:space="preserve"> Cofilin-EGFP and LCK-mScarlet, </w:t>
      </w:r>
      <w:r w:rsidRPr="00E45DE1">
        <w:rPr>
          <w:rFonts w:ascii="Times New Roman" w:eastAsia="Times New Roman" w:hAnsi="Times New Roman" w:cs="Times New Roman"/>
          <w:b/>
        </w:rPr>
        <w:t>(</w:t>
      </w:r>
      <w:r w:rsidR="00E45DE1">
        <w:rPr>
          <w:rFonts w:ascii="Times New Roman" w:eastAsia="Times New Roman" w:hAnsi="Times New Roman" w:cs="Times New Roman"/>
          <w:b/>
        </w:rPr>
        <w:t>c</w:t>
      </w:r>
      <w:r w:rsidRPr="00E45DE1">
        <w:rPr>
          <w:rFonts w:ascii="Times New Roman" w:eastAsia="Times New Roman" w:hAnsi="Times New Roman" w:cs="Times New Roman"/>
          <w:b/>
        </w:rPr>
        <w:t>)</w:t>
      </w:r>
      <w:r w:rsidRPr="002D58FB">
        <w:rPr>
          <w:rFonts w:ascii="Times New Roman" w:eastAsia="Times New Roman" w:hAnsi="Times New Roman" w:cs="Times New Roman"/>
        </w:rPr>
        <w:t xml:space="preserve"> Cofilin-RFP and Lifeact-EGFP, </w:t>
      </w:r>
      <w:r w:rsidRPr="00E45DE1">
        <w:rPr>
          <w:rFonts w:ascii="Times New Roman" w:eastAsia="Times New Roman" w:hAnsi="Times New Roman" w:cs="Times New Roman"/>
          <w:b/>
        </w:rPr>
        <w:t>(</w:t>
      </w:r>
      <w:r w:rsidR="00E45DE1">
        <w:rPr>
          <w:rFonts w:ascii="Times New Roman" w:eastAsia="Times New Roman" w:hAnsi="Times New Roman" w:cs="Times New Roman"/>
          <w:b/>
        </w:rPr>
        <w:t>d</w:t>
      </w:r>
      <w:r w:rsidRPr="00E45DE1">
        <w:rPr>
          <w:rFonts w:ascii="Times New Roman" w:eastAsia="Times New Roman" w:hAnsi="Times New Roman" w:cs="Times New Roman"/>
          <w:b/>
        </w:rPr>
        <w:t>)</w:t>
      </w:r>
      <w:r w:rsidRPr="002D58FB">
        <w:rPr>
          <w:rFonts w:ascii="Times New Roman" w:eastAsia="Times New Roman" w:hAnsi="Times New Roman" w:cs="Times New Roman"/>
        </w:rPr>
        <w:t xml:space="preserve"> Cofilin-RFP and LCK-EGFP. </w:t>
      </w:r>
      <w:r w:rsidR="00283EAB" w:rsidRPr="006C2074">
        <w:rPr>
          <w:rFonts w:ascii="Times New Roman" w:eastAsia="Times New Roman" w:hAnsi="Times New Roman" w:cs="Times New Roman"/>
          <w:highlight w:val="yellow"/>
        </w:rPr>
        <w:t xml:space="preserve">Similar results were observed in </w:t>
      </w:r>
      <w:r w:rsidR="0080532D" w:rsidRPr="006C2074">
        <w:rPr>
          <w:rFonts w:ascii="Times New Roman" w:eastAsia="Times New Roman" w:hAnsi="Times New Roman" w:cs="Times New Roman"/>
          <w:highlight w:val="yellow"/>
        </w:rPr>
        <w:t xml:space="preserve">multiple cells from </w:t>
      </w:r>
      <w:r w:rsidR="00713302" w:rsidRPr="006C2074">
        <w:rPr>
          <w:rFonts w:ascii="Times New Roman" w:eastAsia="Times New Roman" w:hAnsi="Times New Roman" w:cs="Times New Roman"/>
          <w:highlight w:val="yellow"/>
        </w:rPr>
        <w:t>two</w:t>
      </w:r>
      <w:r w:rsidR="00283EAB" w:rsidRPr="006C2074">
        <w:rPr>
          <w:rFonts w:ascii="Times New Roman" w:eastAsia="Times New Roman" w:hAnsi="Times New Roman" w:cs="Times New Roman"/>
          <w:highlight w:val="yellow"/>
        </w:rPr>
        <w:t xml:space="preserve"> independent experiment</w:t>
      </w:r>
      <w:r w:rsidR="00713302" w:rsidRPr="006C2074">
        <w:rPr>
          <w:rFonts w:ascii="Times New Roman" w:eastAsia="Times New Roman" w:hAnsi="Times New Roman" w:cs="Times New Roman"/>
          <w:highlight w:val="yellow"/>
        </w:rPr>
        <w:t>s</w:t>
      </w:r>
      <w:r w:rsidR="00283EAB" w:rsidRPr="006C2074">
        <w:rPr>
          <w:rFonts w:ascii="Times New Roman" w:eastAsia="Times New Roman" w:hAnsi="Times New Roman" w:cs="Times New Roman"/>
          <w:highlight w:val="yellow"/>
        </w:rPr>
        <w:t xml:space="preserve"> for (a), one experiment for (b), three experiments for (c), and four experiments for (d)</w:t>
      </w:r>
      <w:r w:rsidR="005E7B74">
        <w:rPr>
          <w:rFonts w:ascii="Times New Roman" w:eastAsia="Times New Roman" w:hAnsi="Times New Roman" w:cs="Times New Roman"/>
        </w:rPr>
        <w:t xml:space="preserve">. </w:t>
      </w:r>
      <w:r w:rsidRPr="002D58FB">
        <w:rPr>
          <w:rFonts w:ascii="Times New Roman" w:eastAsia="Times New Roman" w:hAnsi="Times New Roman" w:cs="Times New Roman"/>
        </w:rPr>
        <w:t>Scale bar in (</w:t>
      </w:r>
      <w:r w:rsidR="00E45DE1">
        <w:rPr>
          <w:rFonts w:ascii="Times New Roman" w:eastAsia="Times New Roman" w:hAnsi="Times New Roman" w:cs="Times New Roman"/>
        </w:rPr>
        <w:t>a</w:t>
      </w:r>
      <w:r w:rsidRPr="002D58FB">
        <w:rPr>
          <w:rFonts w:ascii="Times New Roman" w:eastAsia="Times New Roman" w:hAnsi="Times New Roman" w:cs="Times New Roman"/>
        </w:rPr>
        <w:t>) is 5 µm and also corresponds to (</w:t>
      </w:r>
      <w:r w:rsidR="00E45DE1">
        <w:rPr>
          <w:rFonts w:ascii="Times New Roman" w:eastAsia="Times New Roman" w:hAnsi="Times New Roman" w:cs="Times New Roman"/>
        </w:rPr>
        <w:t>b</w:t>
      </w:r>
      <w:r w:rsidRPr="002D58FB">
        <w:rPr>
          <w:rFonts w:ascii="Times New Roman" w:eastAsia="Times New Roman" w:hAnsi="Times New Roman" w:cs="Times New Roman"/>
        </w:rPr>
        <w:t>)-(</w:t>
      </w:r>
      <w:r w:rsidR="00E45DE1">
        <w:rPr>
          <w:rFonts w:ascii="Times New Roman" w:eastAsia="Times New Roman" w:hAnsi="Times New Roman" w:cs="Times New Roman"/>
        </w:rPr>
        <w:t>d</w:t>
      </w:r>
      <w:r w:rsidRPr="002D58FB">
        <w:rPr>
          <w:rFonts w:ascii="Times New Roman" w:eastAsia="Times New Roman" w:hAnsi="Times New Roman" w:cs="Times New Roman"/>
        </w:rPr>
        <w:t>).</w:t>
      </w:r>
    </w:p>
    <w:p w14:paraId="3A127189" w14:textId="709A6C82" w:rsidR="00686F1A" w:rsidRDefault="00686F1A" w:rsidP="002D58FB">
      <w:pPr>
        <w:jc w:val="both"/>
        <w:rPr>
          <w:rFonts w:ascii="Times New Roman" w:eastAsia="Times New Roman" w:hAnsi="Times New Roman" w:cs="Times New Roman"/>
        </w:rPr>
      </w:pPr>
    </w:p>
    <w:p w14:paraId="27E44FDD" w14:textId="77777777" w:rsidR="00686F1A" w:rsidRPr="00686F1A" w:rsidRDefault="00686F1A" w:rsidP="00686F1A">
      <w:pPr>
        <w:jc w:val="both"/>
        <w:rPr>
          <w:rFonts w:ascii="Times New Roman" w:hAnsi="Times New Roman" w:cs="Times New Roman"/>
        </w:rPr>
      </w:pPr>
    </w:p>
    <w:p w14:paraId="6F41ABF6" w14:textId="77777777" w:rsidR="00686F1A" w:rsidRPr="002D58FB" w:rsidRDefault="00686F1A" w:rsidP="002D58FB">
      <w:pPr>
        <w:jc w:val="both"/>
        <w:rPr>
          <w:rFonts w:ascii="Times New Roman" w:eastAsia="Times New Roman" w:hAnsi="Times New Roman" w:cs="Times New Roman"/>
        </w:rPr>
      </w:pPr>
    </w:p>
    <w:p w14:paraId="0AA04681" w14:textId="25BCEC8E" w:rsidR="002D58FB" w:rsidRPr="002D58FB" w:rsidRDefault="002D58FB" w:rsidP="002D58FB">
      <w:pPr>
        <w:rPr>
          <w:rFonts w:ascii="Times New Roman" w:eastAsia="Times New Roman" w:hAnsi="Times New Roman" w:cs="Times New Roman"/>
          <w:b/>
          <w:bCs/>
          <w:kern w:val="32"/>
        </w:rPr>
      </w:pPr>
    </w:p>
    <w:sectPr w:rsidR="002D58FB" w:rsidRPr="002D58FB" w:rsidSect="001D0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wulius, Matthew">
    <w15:presenceInfo w15:providerId="AD" w15:userId="S::mswulius@pennstatehealth.psu.edu::fa6381ed-c7f3-4216-8fe0-517a8e50da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8FB"/>
    <w:rsid w:val="001D0C34"/>
    <w:rsid w:val="00283EAB"/>
    <w:rsid w:val="002D58FB"/>
    <w:rsid w:val="002E7FB3"/>
    <w:rsid w:val="00304E35"/>
    <w:rsid w:val="00390C88"/>
    <w:rsid w:val="00470A4B"/>
    <w:rsid w:val="00480E7B"/>
    <w:rsid w:val="0055345B"/>
    <w:rsid w:val="005E7B74"/>
    <w:rsid w:val="00686F1A"/>
    <w:rsid w:val="006C2074"/>
    <w:rsid w:val="00713302"/>
    <w:rsid w:val="0080532D"/>
    <w:rsid w:val="00836F67"/>
    <w:rsid w:val="00A90214"/>
    <w:rsid w:val="00C97B9C"/>
    <w:rsid w:val="00D90794"/>
    <w:rsid w:val="00E42825"/>
    <w:rsid w:val="00E45DE1"/>
    <w:rsid w:val="00E816E6"/>
    <w:rsid w:val="00EB4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0C95F"/>
  <w15:chartTrackingRefBased/>
  <w15:docId w15:val="{1D39BAB5-C244-944B-9383-8E54FF464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0A4B"/>
    <w:rPr>
      <w:color w:val="808080"/>
    </w:rPr>
  </w:style>
  <w:style w:type="paragraph" w:customStyle="1" w:styleId="csl-entry">
    <w:name w:val="csl-entry"/>
    <w:basedOn w:val="Normal"/>
    <w:rsid w:val="00470A4B"/>
    <w:pPr>
      <w:spacing w:before="100" w:beforeAutospacing="1" w:after="100" w:afterAutospacing="1"/>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372756">
      <w:bodyDiv w:val="1"/>
      <w:marLeft w:val="0"/>
      <w:marRight w:val="0"/>
      <w:marTop w:val="0"/>
      <w:marBottom w:val="0"/>
      <w:divBdr>
        <w:top w:val="none" w:sz="0" w:space="0" w:color="auto"/>
        <w:left w:val="none" w:sz="0" w:space="0" w:color="auto"/>
        <w:bottom w:val="none" w:sz="0" w:space="0" w:color="auto"/>
        <w:right w:val="none" w:sz="0" w:space="0" w:color="auto"/>
      </w:divBdr>
    </w:div>
    <w:div w:id="140459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glossaryDocument" Target="glossary/document.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9A84F9133A56844B7AC7C6E057BE6A4"/>
        <w:category>
          <w:name w:val="General"/>
          <w:gallery w:val="placeholder"/>
        </w:category>
        <w:types>
          <w:type w:val="bbPlcHdr"/>
        </w:types>
        <w:behaviors>
          <w:behavior w:val="content"/>
        </w:behaviors>
        <w:guid w:val="{3F75E550-73DC-514A-9246-2AA526F4AAB1}"/>
      </w:docPartPr>
      <w:docPartBody>
        <w:p w:rsidR="00D937BB" w:rsidRDefault="00861633" w:rsidP="00861633">
          <w:pPr>
            <w:pStyle w:val="D9A84F9133A56844B7AC7C6E057BE6A4"/>
          </w:pPr>
          <w:r w:rsidRPr="002B2930">
            <w:rPr>
              <w:rStyle w:val="PlaceholderText"/>
            </w:rPr>
            <w:t>Click or tap here to enter text.</w:t>
          </w:r>
        </w:p>
      </w:docPartBody>
    </w:docPart>
    <w:docPart>
      <w:docPartPr>
        <w:name w:val="B32DD2CBAC73A54FAC795EC6FDD09F1B"/>
        <w:category>
          <w:name w:val="General"/>
          <w:gallery w:val="placeholder"/>
        </w:category>
        <w:types>
          <w:type w:val="bbPlcHdr"/>
        </w:types>
        <w:behaviors>
          <w:behavior w:val="content"/>
        </w:behaviors>
        <w:guid w:val="{A488F21B-B7EF-954F-86E0-43482C20B197}"/>
      </w:docPartPr>
      <w:docPartBody>
        <w:p w:rsidR="00D937BB" w:rsidRDefault="00861633" w:rsidP="00861633">
          <w:pPr>
            <w:pStyle w:val="B32DD2CBAC73A54FAC795EC6FDD09F1B"/>
          </w:pPr>
          <w:r w:rsidRPr="002B2930">
            <w:rPr>
              <w:rStyle w:val="PlaceholderText"/>
              <w:rPrChange w:id="0" w:author="Swulius, Matthew" w:date="2022-03-22T14:12:00Z">
                <w:rPr/>
              </w:rPrChange>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33"/>
    <w:rsid w:val="00327FA3"/>
    <w:rsid w:val="003D3A61"/>
    <w:rsid w:val="006E7538"/>
    <w:rsid w:val="007B0CEC"/>
    <w:rsid w:val="00861633"/>
    <w:rsid w:val="008D21C1"/>
    <w:rsid w:val="009464C2"/>
    <w:rsid w:val="00D93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61633"/>
    <w:rPr>
      <w:color w:val="808080"/>
    </w:rPr>
  </w:style>
  <w:style w:type="paragraph" w:customStyle="1" w:styleId="606DAE038E7F8742B1B7FC28CC79FFC5">
    <w:name w:val="606DAE038E7F8742B1B7FC28CC79FFC5"/>
    <w:rsid w:val="00861633"/>
  </w:style>
  <w:style w:type="paragraph" w:customStyle="1" w:styleId="D9A84F9133A56844B7AC7C6E057BE6A4">
    <w:name w:val="D9A84F9133A56844B7AC7C6E057BE6A4"/>
    <w:rsid w:val="00861633"/>
  </w:style>
  <w:style w:type="paragraph" w:customStyle="1" w:styleId="B32DD2CBAC73A54FAC795EC6FDD09F1B">
    <w:name w:val="B32DD2CBAC73A54FAC795EC6FDD09F1B"/>
    <w:rsid w:val="008616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91CCFBE-C244-2B4C-8707-0D38EDE4564B}">
  <we:reference id="wa104380917" version="1.0.1.0" store="en-US" storeType="OMEX"/>
  <we:alternateReferences>
    <we:reference id="wa104380917" version="1.0.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AD343-BA3D-F84B-B286-9EF912C8D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Swulius, Matthew</dc:creator>
  <cp:keywords/>
  <dc:description/>
  <cp:lastModifiedBy>Swulius, Matthew</cp:lastModifiedBy>
  <cp:revision>2</cp:revision>
  <dcterms:created xsi:type="dcterms:W3CDTF">2022-04-13T14:21:00Z</dcterms:created>
  <dcterms:modified xsi:type="dcterms:W3CDTF">2022-04-13T14:21:00Z</dcterms:modified>
</cp:coreProperties>
</file>