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121B2" w14:textId="07D671B4" w:rsidR="009F237C" w:rsidRDefault="0077304F">
      <w:r>
        <w:rPr>
          <w:noProof/>
        </w:rPr>
        <w:drawing>
          <wp:inline distT="0" distB="0" distL="0" distR="0" wp14:anchorId="18DB89C0" wp14:editId="5E627996">
            <wp:extent cx="5943600" cy="25232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30"/>
                    <a:stretch/>
                  </pic:blipFill>
                  <pic:spPr bwMode="auto">
                    <a:xfrm>
                      <a:off x="0" y="0"/>
                      <a:ext cx="5943600" cy="252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7E485" w14:textId="27006761" w:rsidR="005C2363" w:rsidRPr="005C2363" w:rsidRDefault="005C2363" w:rsidP="005C2363">
      <w:pPr>
        <w:jc w:val="both"/>
        <w:rPr>
          <w:rFonts w:ascii="Times New Roman" w:hAnsi="Times New Roman" w:cs="Times New Roman"/>
          <w:sz w:val="24"/>
          <w:szCs w:val="24"/>
        </w:rPr>
      </w:pPr>
      <w:r w:rsidRPr="005C2363"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  <w:r w:rsidRPr="005C2363">
        <w:rPr>
          <w:rFonts w:ascii="Times New Roman" w:hAnsi="Times New Roman" w:cs="Times New Roman"/>
          <w:sz w:val="24"/>
          <w:szCs w:val="24"/>
        </w:rPr>
        <w:t xml:space="preserve"> Repeatability and reproducibility studies. </w:t>
      </w:r>
      <w:r w:rsidRPr="005C236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C2363">
        <w:rPr>
          <w:rFonts w:ascii="Times New Roman" w:hAnsi="Times New Roman" w:cs="Times New Roman"/>
          <w:sz w:val="24"/>
          <w:szCs w:val="24"/>
        </w:rPr>
        <w:t xml:space="preserve"> Quality control analysis of patients </w:t>
      </w:r>
      <w:r w:rsidR="00825EE5">
        <w:rPr>
          <w:rFonts w:ascii="Times New Roman" w:hAnsi="Times New Roman" w:cs="Times New Roman"/>
          <w:sz w:val="24"/>
          <w:szCs w:val="24"/>
        </w:rPr>
        <w:t xml:space="preserve">with </w:t>
      </w:r>
      <w:r w:rsidR="00825EE5" w:rsidRPr="00825EE5">
        <w:rPr>
          <w:rFonts w:ascii="Times New Roman" w:hAnsi="Times New Roman" w:cs="Times New Roman"/>
          <w:i/>
          <w:iCs/>
          <w:sz w:val="24"/>
          <w:szCs w:val="24"/>
        </w:rPr>
        <w:t>C9ORF72</w:t>
      </w:r>
      <w:r w:rsidR="00825EE5">
        <w:rPr>
          <w:rFonts w:ascii="Times New Roman" w:hAnsi="Times New Roman" w:cs="Times New Roman"/>
          <w:sz w:val="24"/>
          <w:szCs w:val="24"/>
        </w:rPr>
        <w:t xml:space="preserve"> mutations </w:t>
      </w:r>
      <w:r w:rsidRPr="005C2363">
        <w:rPr>
          <w:rFonts w:ascii="Times New Roman" w:hAnsi="Times New Roman" w:cs="Times New Roman"/>
          <w:sz w:val="24"/>
          <w:szCs w:val="24"/>
        </w:rPr>
        <w:t xml:space="preserve">(n=3) CSF samples showed high accuracy, with low CVs (1.5%-0.5%) in intra-series (tested in 4 wells) and higher CVs (5.35%-16.24%) in inter-series (tested in 4 wells, 3 independent runs). </w:t>
      </w:r>
      <w:r w:rsidRPr="005C236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C2363">
        <w:rPr>
          <w:rFonts w:ascii="Times New Roman" w:hAnsi="Times New Roman" w:cs="Times New Roman"/>
          <w:sz w:val="24"/>
          <w:szCs w:val="24"/>
        </w:rPr>
        <w:t xml:space="preserve"> </w:t>
      </w:r>
      <w:r w:rsidR="00825EE5">
        <w:rPr>
          <w:rFonts w:ascii="Times New Roman" w:hAnsi="Times New Roman" w:cs="Times New Roman"/>
          <w:sz w:val="24"/>
          <w:szCs w:val="24"/>
        </w:rPr>
        <w:t>P</w:t>
      </w:r>
      <w:r w:rsidRPr="005C2363">
        <w:rPr>
          <w:rFonts w:ascii="Times New Roman" w:hAnsi="Times New Roman" w:cs="Times New Roman"/>
          <w:sz w:val="24"/>
          <w:szCs w:val="24"/>
        </w:rPr>
        <w:t xml:space="preserve">atients </w:t>
      </w:r>
      <w:r w:rsidR="00825EE5">
        <w:rPr>
          <w:rFonts w:ascii="Times New Roman" w:hAnsi="Times New Roman" w:cs="Times New Roman"/>
          <w:sz w:val="24"/>
          <w:szCs w:val="24"/>
        </w:rPr>
        <w:t xml:space="preserve">with </w:t>
      </w:r>
      <w:r w:rsidR="00825EE5" w:rsidRPr="00825EE5">
        <w:rPr>
          <w:rFonts w:ascii="Times New Roman" w:hAnsi="Times New Roman" w:cs="Times New Roman"/>
          <w:i/>
          <w:iCs/>
          <w:sz w:val="24"/>
          <w:szCs w:val="24"/>
        </w:rPr>
        <w:t>C9ORF72</w:t>
      </w:r>
      <w:r w:rsidR="00825EE5">
        <w:rPr>
          <w:rFonts w:ascii="Times New Roman" w:hAnsi="Times New Roman" w:cs="Times New Roman"/>
          <w:sz w:val="24"/>
          <w:szCs w:val="24"/>
        </w:rPr>
        <w:t xml:space="preserve"> mutations </w:t>
      </w:r>
      <w:r w:rsidRPr="005C2363">
        <w:rPr>
          <w:rFonts w:ascii="Times New Roman" w:hAnsi="Times New Roman" w:cs="Times New Roman"/>
          <w:sz w:val="24"/>
          <w:szCs w:val="24"/>
        </w:rPr>
        <w:t>(n=25) CSF samples measured in duplicate has intra-assay CVs between (0.15%-20.35%).</w:t>
      </w:r>
    </w:p>
    <w:p w14:paraId="4BFBA8D1" w14:textId="1088368B" w:rsidR="005C2363" w:rsidRDefault="005C2363" w:rsidP="005C2363">
      <w:pPr>
        <w:jc w:val="both"/>
      </w:pPr>
    </w:p>
    <w:p w14:paraId="54A12A18" w14:textId="77777777" w:rsidR="005C2363" w:rsidRDefault="005C2363" w:rsidP="005C2363">
      <w:pPr>
        <w:jc w:val="both"/>
      </w:pPr>
    </w:p>
    <w:p w14:paraId="78D5A4F9" w14:textId="3726D4B3" w:rsidR="0077304F" w:rsidRDefault="0077304F"/>
    <w:p w14:paraId="67BAB4C3" w14:textId="00B57F99" w:rsidR="0077304F" w:rsidRDefault="0077304F"/>
    <w:p w14:paraId="4DECD37E" w14:textId="117A6A7C" w:rsidR="0077304F" w:rsidRDefault="0077304F"/>
    <w:p w14:paraId="2053D098" w14:textId="4A761DE0" w:rsidR="0077304F" w:rsidRDefault="0077304F"/>
    <w:p w14:paraId="3064FF3B" w14:textId="2DA040A5" w:rsidR="0077304F" w:rsidRDefault="0077304F"/>
    <w:p w14:paraId="77DCB4FB" w14:textId="6918067B" w:rsidR="0077304F" w:rsidRDefault="0077304F"/>
    <w:p w14:paraId="59BD7BEB" w14:textId="5547BB0A" w:rsidR="0077304F" w:rsidRDefault="0077304F"/>
    <w:p w14:paraId="3BDF5237" w14:textId="0161CAD2" w:rsidR="0077304F" w:rsidRDefault="0077304F"/>
    <w:p w14:paraId="1FAE8EAB" w14:textId="06A3E854" w:rsidR="0077304F" w:rsidRDefault="0077304F"/>
    <w:p w14:paraId="591491F4" w14:textId="05301F04" w:rsidR="0077304F" w:rsidRDefault="0077304F"/>
    <w:p w14:paraId="22227E53" w14:textId="2054ED87" w:rsidR="0077304F" w:rsidRDefault="0077304F"/>
    <w:p w14:paraId="7529106F" w14:textId="43685B99" w:rsidR="0077304F" w:rsidRDefault="0077304F"/>
    <w:p w14:paraId="158EDE5E" w14:textId="24F57133" w:rsidR="0077304F" w:rsidRDefault="0077304F"/>
    <w:p w14:paraId="77047C14" w14:textId="02190135" w:rsidR="0077304F" w:rsidRDefault="0077304F"/>
    <w:p w14:paraId="1E3E33F4" w14:textId="4B46B4E0" w:rsidR="0077304F" w:rsidRDefault="009761B6">
      <w:r w:rsidRPr="009761B6">
        <w:lastRenderedPageBreak/>
        <w:drawing>
          <wp:inline distT="0" distB="0" distL="0" distR="0" wp14:anchorId="7295CE3D" wp14:editId="7815E455">
            <wp:extent cx="4787900" cy="6337300"/>
            <wp:effectExtent l="0" t="0" r="0" b="0"/>
            <wp:docPr id="3" name="Picture 3" descr="Chart, diagram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diagram, scatter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633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A11C" w14:textId="41F775AE" w:rsidR="0077304F" w:rsidRDefault="0077304F"/>
    <w:p w14:paraId="109DBC9E" w14:textId="4B56FA04" w:rsidR="005C2363" w:rsidRPr="005C2363" w:rsidRDefault="005C2363" w:rsidP="005C2363">
      <w:pPr>
        <w:jc w:val="both"/>
        <w:rPr>
          <w:rFonts w:ascii="Times New Roman" w:hAnsi="Times New Roman" w:cs="Times New Roman"/>
          <w:sz w:val="24"/>
          <w:szCs w:val="24"/>
        </w:rPr>
      </w:pPr>
      <w:r w:rsidRPr="005C2363">
        <w:rPr>
          <w:rFonts w:ascii="Times New Roman" w:hAnsi="Times New Roman" w:cs="Times New Roman"/>
          <w:b/>
          <w:bCs/>
          <w:sz w:val="24"/>
          <w:szCs w:val="24"/>
        </w:rPr>
        <w:t>Supplementary Figure 2.</w:t>
      </w:r>
      <w:r w:rsidRPr="005C23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2363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Pr="005C2363">
        <w:rPr>
          <w:rFonts w:ascii="Times New Roman" w:hAnsi="Times New Roman" w:cs="Times New Roman"/>
          <w:sz w:val="24"/>
          <w:szCs w:val="24"/>
        </w:rPr>
        <w:t>GR) (a) and poly(GA) (b) levels in CSF do not correlate with ALSFRS-R scores closest to CSF collection of patients</w:t>
      </w:r>
      <w:r w:rsidR="00940CB1">
        <w:rPr>
          <w:rFonts w:ascii="Times New Roman" w:hAnsi="Times New Roman" w:cs="Times New Roman"/>
          <w:sz w:val="24"/>
          <w:szCs w:val="24"/>
        </w:rPr>
        <w:t xml:space="preserve"> with </w:t>
      </w:r>
      <w:r w:rsidR="00940CB1" w:rsidRPr="00940CB1">
        <w:rPr>
          <w:rFonts w:ascii="Times New Roman" w:hAnsi="Times New Roman" w:cs="Times New Roman"/>
          <w:i/>
          <w:iCs/>
          <w:sz w:val="24"/>
          <w:szCs w:val="24"/>
        </w:rPr>
        <w:t>C9ORF72</w:t>
      </w:r>
      <w:r w:rsidR="00940CB1">
        <w:rPr>
          <w:rFonts w:ascii="Times New Roman" w:hAnsi="Times New Roman" w:cs="Times New Roman"/>
          <w:sz w:val="24"/>
          <w:szCs w:val="24"/>
        </w:rPr>
        <w:t xml:space="preserve"> mutations</w:t>
      </w:r>
      <w:r w:rsidRPr="005C2363">
        <w:rPr>
          <w:rFonts w:ascii="Times New Roman" w:hAnsi="Times New Roman" w:cs="Times New Roman"/>
          <w:sz w:val="24"/>
          <w:szCs w:val="24"/>
        </w:rPr>
        <w:t xml:space="preserve">. </w:t>
      </w:r>
      <w:r w:rsidR="00081947">
        <w:rPr>
          <w:rFonts w:ascii="Times New Roman" w:hAnsi="Times New Roman" w:cs="Times New Roman"/>
          <w:sz w:val="24"/>
          <w:szCs w:val="24"/>
        </w:rPr>
        <w:t>p</w:t>
      </w:r>
      <w:r w:rsidRPr="005C2363">
        <w:rPr>
          <w:rFonts w:ascii="Times New Roman" w:hAnsi="Times New Roman" w:cs="Times New Roman"/>
          <w:sz w:val="24"/>
          <w:szCs w:val="24"/>
        </w:rPr>
        <w:t xml:space="preserve"> values determined by two tailed spearman’s rank correlation analysis. ALS Functional Rating Scale revised (ALSFRS-R)</w:t>
      </w:r>
    </w:p>
    <w:p w14:paraId="4D6A6B21" w14:textId="1F00635D" w:rsidR="0077304F" w:rsidRDefault="0077304F"/>
    <w:p w14:paraId="6CF09A8F" w14:textId="65664D7E" w:rsidR="005C2363" w:rsidRDefault="005C2363"/>
    <w:p w14:paraId="20B7CA32" w14:textId="45D49776" w:rsidR="005C2363" w:rsidRDefault="005C2363"/>
    <w:p w14:paraId="07C365A8" w14:textId="6E1FA510" w:rsidR="005C2363" w:rsidRDefault="005C2363"/>
    <w:p w14:paraId="4F0C3825" w14:textId="77777777" w:rsidR="005C2363" w:rsidRDefault="005C2363"/>
    <w:p w14:paraId="4D705C32" w14:textId="5C6EBBBF" w:rsidR="0077304F" w:rsidRPr="00081947" w:rsidRDefault="0077304F" w:rsidP="0077304F">
      <w:pPr>
        <w:rPr>
          <w:rFonts w:ascii="Times New Roman" w:hAnsi="Times New Roman" w:cs="Times New Roman"/>
          <w:b/>
          <w:bCs/>
        </w:rPr>
      </w:pPr>
      <w:r w:rsidRPr="00081947">
        <w:rPr>
          <w:rFonts w:ascii="Times New Roman" w:hAnsi="Times New Roman" w:cs="Times New Roman"/>
          <w:b/>
          <w:bCs/>
        </w:rPr>
        <w:t xml:space="preserve">Table S1: Clinical characteristics of the </w:t>
      </w:r>
      <w:r w:rsidR="00D1517C">
        <w:rPr>
          <w:rFonts w:ascii="Times New Roman" w:hAnsi="Times New Roman" w:cs="Times New Roman"/>
          <w:b/>
          <w:bCs/>
        </w:rPr>
        <w:t>participant</w:t>
      </w:r>
      <w:r w:rsidRPr="00081947">
        <w:rPr>
          <w:rFonts w:ascii="Times New Roman" w:hAnsi="Times New Roman" w:cs="Times New Roman"/>
          <w:b/>
          <w:bCs/>
        </w:rPr>
        <w:t>s</w:t>
      </w:r>
    </w:p>
    <w:tbl>
      <w:tblPr>
        <w:tblStyle w:val="TableGrid"/>
        <w:tblW w:w="9952" w:type="dxa"/>
        <w:tblLayout w:type="fixed"/>
        <w:tblLook w:val="04A0" w:firstRow="1" w:lastRow="0" w:firstColumn="1" w:lastColumn="0" w:noHBand="0" w:noVBand="1"/>
      </w:tblPr>
      <w:tblGrid>
        <w:gridCol w:w="1789"/>
        <w:gridCol w:w="1410"/>
        <w:gridCol w:w="1090"/>
        <w:gridCol w:w="1549"/>
        <w:gridCol w:w="1315"/>
        <w:gridCol w:w="1192"/>
        <w:gridCol w:w="1607"/>
      </w:tblGrid>
      <w:tr w:rsidR="006C6268" w:rsidRPr="00081947" w14:paraId="37DD0132" w14:textId="77777777" w:rsidTr="00081947">
        <w:trPr>
          <w:trHeight w:val="2269"/>
        </w:trPr>
        <w:tc>
          <w:tcPr>
            <w:tcW w:w="1789" w:type="dxa"/>
          </w:tcPr>
          <w:p w14:paraId="7B7B5837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14:paraId="45F42DF1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Healthy Control</w:t>
            </w:r>
          </w:p>
          <w:p w14:paraId="4393490C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(n=19)</w:t>
            </w:r>
          </w:p>
          <w:p w14:paraId="04662AAE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(Samples used in GR assay)</w:t>
            </w:r>
          </w:p>
        </w:tc>
        <w:tc>
          <w:tcPr>
            <w:tcW w:w="1090" w:type="dxa"/>
          </w:tcPr>
          <w:p w14:paraId="5E7FF61A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Non-C9-ALS (n=19)</w:t>
            </w:r>
          </w:p>
          <w:p w14:paraId="6E1139AE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(Samples used in GR assay)</w:t>
            </w:r>
          </w:p>
        </w:tc>
        <w:tc>
          <w:tcPr>
            <w:tcW w:w="1549" w:type="dxa"/>
          </w:tcPr>
          <w:p w14:paraId="25DEBA2E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C9-ALS or ALS-FTD (n=41)</w:t>
            </w:r>
          </w:p>
          <w:p w14:paraId="6C9934D3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(Samples used in GR assay)</w:t>
            </w:r>
          </w:p>
        </w:tc>
        <w:tc>
          <w:tcPr>
            <w:tcW w:w="1315" w:type="dxa"/>
          </w:tcPr>
          <w:p w14:paraId="4C8C72B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Asymptomatic</w:t>
            </w:r>
          </w:p>
          <w:p w14:paraId="431AD909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(n=10)</w:t>
            </w:r>
          </w:p>
          <w:p w14:paraId="78050B54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(Samples used in GR assay)</w:t>
            </w:r>
          </w:p>
        </w:tc>
        <w:tc>
          <w:tcPr>
            <w:tcW w:w="1192" w:type="dxa"/>
          </w:tcPr>
          <w:p w14:paraId="74908648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C9-ALS or ALS-FTD (n=25)</w:t>
            </w:r>
          </w:p>
          <w:p w14:paraId="677C603B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(Samples used in GA assay)</w:t>
            </w:r>
          </w:p>
        </w:tc>
        <w:tc>
          <w:tcPr>
            <w:tcW w:w="1607" w:type="dxa"/>
          </w:tcPr>
          <w:p w14:paraId="29849CD0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Asymptomatic</w:t>
            </w:r>
          </w:p>
          <w:p w14:paraId="5F80A82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(n=12)</w:t>
            </w:r>
          </w:p>
          <w:p w14:paraId="65C0FDF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(Samples used in GA assay)</w:t>
            </w:r>
          </w:p>
        </w:tc>
      </w:tr>
      <w:tr w:rsidR="006C6268" w:rsidRPr="00081947" w14:paraId="724061AA" w14:textId="77777777" w:rsidTr="00081947">
        <w:trPr>
          <w:trHeight w:val="1143"/>
        </w:trPr>
        <w:tc>
          <w:tcPr>
            <w:tcW w:w="1789" w:type="dxa"/>
          </w:tcPr>
          <w:p w14:paraId="3483A1AC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Average age at time of collection (Years)</w:t>
            </w:r>
          </w:p>
        </w:tc>
        <w:tc>
          <w:tcPr>
            <w:tcW w:w="1410" w:type="dxa"/>
          </w:tcPr>
          <w:p w14:paraId="38DE1A67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42</w:t>
            </w:r>
          </w:p>
          <w:p w14:paraId="3BA7AFDE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(20 to 60)</w:t>
            </w:r>
          </w:p>
        </w:tc>
        <w:tc>
          <w:tcPr>
            <w:tcW w:w="1090" w:type="dxa"/>
          </w:tcPr>
          <w:p w14:paraId="2B12B84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57.7</w:t>
            </w:r>
          </w:p>
          <w:p w14:paraId="08356E51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(32.01 to 72.9)</w:t>
            </w:r>
          </w:p>
        </w:tc>
        <w:tc>
          <w:tcPr>
            <w:tcW w:w="1549" w:type="dxa"/>
          </w:tcPr>
          <w:p w14:paraId="04D5D513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60</w:t>
            </w:r>
          </w:p>
          <w:p w14:paraId="1A5BDD7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(43 to 73.1)</w:t>
            </w:r>
          </w:p>
        </w:tc>
        <w:tc>
          <w:tcPr>
            <w:tcW w:w="1315" w:type="dxa"/>
          </w:tcPr>
          <w:p w14:paraId="514D0F54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48</w:t>
            </w:r>
          </w:p>
          <w:p w14:paraId="1451DA37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(29 to 63.3)</w:t>
            </w:r>
          </w:p>
        </w:tc>
        <w:tc>
          <w:tcPr>
            <w:tcW w:w="1192" w:type="dxa"/>
          </w:tcPr>
          <w:p w14:paraId="232D3B83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59</w:t>
            </w:r>
          </w:p>
          <w:p w14:paraId="1950C7AA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(43.1 to 70.9)</w:t>
            </w:r>
          </w:p>
        </w:tc>
        <w:tc>
          <w:tcPr>
            <w:tcW w:w="1607" w:type="dxa"/>
          </w:tcPr>
          <w:p w14:paraId="4B088BA4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45</w:t>
            </w:r>
          </w:p>
          <w:p w14:paraId="21E1E5FA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(29 to 63.3)</w:t>
            </w:r>
          </w:p>
        </w:tc>
      </w:tr>
      <w:tr w:rsidR="006C6268" w:rsidRPr="00081947" w14:paraId="18E55C32" w14:textId="77777777" w:rsidTr="00081947">
        <w:trPr>
          <w:trHeight w:val="280"/>
        </w:trPr>
        <w:tc>
          <w:tcPr>
            <w:tcW w:w="1789" w:type="dxa"/>
          </w:tcPr>
          <w:p w14:paraId="2AEF994A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Gender (F/M)</w:t>
            </w:r>
          </w:p>
        </w:tc>
        <w:tc>
          <w:tcPr>
            <w:tcW w:w="1410" w:type="dxa"/>
          </w:tcPr>
          <w:p w14:paraId="44D88054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(8/11)</w:t>
            </w:r>
          </w:p>
        </w:tc>
        <w:tc>
          <w:tcPr>
            <w:tcW w:w="1090" w:type="dxa"/>
          </w:tcPr>
          <w:p w14:paraId="40BFE531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(5/14)</w:t>
            </w:r>
          </w:p>
        </w:tc>
        <w:tc>
          <w:tcPr>
            <w:tcW w:w="1549" w:type="dxa"/>
          </w:tcPr>
          <w:p w14:paraId="1CC85801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(13/28)</w:t>
            </w:r>
          </w:p>
        </w:tc>
        <w:tc>
          <w:tcPr>
            <w:tcW w:w="1315" w:type="dxa"/>
          </w:tcPr>
          <w:p w14:paraId="4CE4D19D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(7/3)</w:t>
            </w:r>
          </w:p>
        </w:tc>
        <w:tc>
          <w:tcPr>
            <w:tcW w:w="1192" w:type="dxa"/>
          </w:tcPr>
          <w:p w14:paraId="014A572B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(7/18)</w:t>
            </w:r>
          </w:p>
        </w:tc>
        <w:tc>
          <w:tcPr>
            <w:tcW w:w="1607" w:type="dxa"/>
          </w:tcPr>
          <w:p w14:paraId="1BFECC03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(10/2)</w:t>
            </w:r>
          </w:p>
        </w:tc>
      </w:tr>
      <w:tr w:rsidR="006C6268" w:rsidRPr="00081947" w14:paraId="4D203F72" w14:textId="77777777" w:rsidTr="00081947">
        <w:trPr>
          <w:trHeight w:val="1988"/>
        </w:trPr>
        <w:tc>
          <w:tcPr>
            <w:tcW w:w="1789" w:type="dxa"/>
          </w:tcPr>
          <w:p w14:paraId="320EA59F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 xml:space="preserve">Average Disease Duration </w:t>
            </w:r>
          </w:p>
          <w:p w14:paraId="76F49079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(Years from symptom onset to sample collection)</w:t>
            </w:r>
          </w:p>
        </w:tc>
        <w:tc>
          <w:tcPr>
            <w:tcW w:w="1410" w:type="dxa"/>
          </w:tcPr>
          <w:p w14:paraId="1F5773F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090" w:type="dxa"/>
          </w:tcPr>
          <w:p w14:paraId="7909CD6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2.02</w:t>
            </w:r>
          </w:p>
          <w:p w14:paraId="081B0653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(0.2 to 4.4)</w:t>
            </w:r>
          </w:p>
        </w:tc>
        <w:tc>
          <w:tcPr>
            <w:tcW w:w="1549" w:type="dxa"/>
          </w:tcPr>
          <w:p w14:paraId="0FCE6051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2.0</w:t>
            </w:r>
          </w:p>
          <w:p w14:paraId="7B51C5C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(0.49 to 7.9)</w:t>
            </w:r>
          </w:p>
        </w:tc>
        <w:tc>
          <w:tcPr>
            <w:tcW w:w="1315" w:type="dxa"/>
          </w:tcPr>
          <w:p w14:paraId="0B1E93DC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192" w:type="dxa"/>
          </w:tcPr>
          <w:p w14:paraId="2F1B0390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2.3</w:t>
            </w:r>
          </w:p>
          <w:p w14:paraId="3A647E55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(0.49 to 7.9)</w:t>
            </w:r>
          </w:p>
        </w:tc>
        <w:tc>
          <w:tcPr>
            <w:tcW w:w="1607" w:type="dxa"/>
          </w:tcPr>
          <w:p w14:paraId="3C4F669C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6C6268" w:rsidRPr="00081947" w14:paraId="5653DE0D" w14:textId="77777777" w:rsidTr="00081947">
        <w:trPr>
          <w:trHeight w:val="1134"/>
        </w:trPr>
        <w:tc>
          <w:tcPr>
            <w:tcW w:w="1789" w:type="dxa"/>
          </w:tcPr>
          <w:p w14:paraId="692ECAE8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Average ALSFRS-R at time of first screening</w:t>
            </w:r>
          </w:p>
        </w:tc>
        <w:tc>
          <w:tcPr>
            <w:tcW w:w="1410" w:type="dxa"/>
          </w:tcPr>
          <w:p w14:paraId="432B25F6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090" w:type="dxa"/>
          </w:tcPr>
          <w:p w14:paraId="695C159F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38.6</w:t>
            </w:r>
          </w:p>
          <w:p w14:paraId="0CB66B01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(48 to 32)</w:t>
            </w:r>
          </w:p>
        </w:tc>
        <w:tc>
          <w:tcPr>
            <w:tcW w:w="1549" w:type="dxa"/>
          </w:tcPr>
          <w:p w14:paraId="4D33AA9A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34.8</w:t>
            </w:r>
          </w:p>
          <w:p w14:paraId="5224BA59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(48 to 9)</w:t>
            </w:r>
          </w:p>
        </w:tc>
        <w:tc>
          <w:tcPr>
            <w:tcW w:w="1315" w:type="dxa"/>
          </w:tcPr>
          <w:p w14:paraId="660DD174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47</w:t>
            </w:r>
          </w:p>
          <w:p w14:paraId="3B294946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(44 to 48)</w:t>
            </w:r>
          </w:p>
        </w:tc>
        <w:tc>
          <w:tcPr>
            <w:tcW w:w="1192" w:type="dxa"/>
          </w:tcPr>
          <w:p w14:paraId="39ECDF1E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34</w:t>
            </w:r>
          </w:p>
          <w:p w14:paraId="4F384FD3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(47 to 9)</w:t>
            </w:r>
          </w:p>
        </w:tc>
        <w:tc>
          <w:tcPr>
            <w:tcW w:w="1607" w:type="dxa"/>
          </w:tcPr>
          <w:p w14:paraId="3E5B27E5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47</w:t>
            </w:r>
          </w:p>
          <w:p w14:paraId="4A1658A7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(44 to 48)</w:t>
            </w:r>
          </w:p>
        </w:tc>
      </w:tr>
      <w:tr w:rsidR="006C6268" w:rsidRPr="00081947" w14:paraId="1B07BA0A" w14:textId="77777777" w:rsidTr="00081947">
        <w:trPr>
          <w:trHeight w:val="1143"/>
        </w:trPr>
        <w:tc>
          <w:tcPr>
            <w:tcW w:w="1789" w:type="dxa"/>
          </w:tcPr>
          <w:p w14:paraId="6A7A7B53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Onset location</w:t>
            </w:r>
          </w:p>
          <w:p w14:paraId="77DA20DA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Bulbar</w:t>
            </w:r>
          </w:p>
          <w:p w14:paraId="062B3526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Limb</w:t>
            </w:r>
          </w:p>
          <w:p w14:paraId="42A2A049" w14:textId="77777777" w:rsidR="006C6268" w:rsidRPr="00081947" w:rsidRDefault="006C626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 xml:space="preserve">No data </w:t>
            </w:r>
          </w:p>
        </w:tc>
        <w:tc>
          <w:tcPr>
            <w:tcW w:w="1410" w:type="dxa"/>
          </w:tcPr>
          <w:p w14:paraId="73EBF42C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090" w:type="dxa"/>
          </w:tcPr>
          <w:p w14:paraId="3E032C27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</w:p>
          <w:p w14:paraId="1AC1AADD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1</w:t>
            </w:r>
          </w:p>
          <w:p w14:paraId="12C499D5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14</w:t>
            </w:r>
          </w:p>
          <w:p w14:paraId="1B4E470A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9" w:type="dxa"/>
          </w:tcPr>
          <w:p w14:paraId="25080920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</w:p>
          <w:p w14:paraId="4052D6D5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11</w:t>
            </w:r>
          </w:p>
          <w:p w14:paraId="45088AC9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12</w:t>
            </w:r>
          </w:p>
          <w:p w14:paraId="73C11FF3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15" w:type="dxa"/>
          </w:tcPr>
          <w:p w14:paraId="52F3B2CC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192" w:type="dxa"/>
          </w:tcPr>
          <w:p w14:paraId="6A1F3052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</w:p>
          <w:p w14:paraId="498DAF6D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4</w:t>
            </w:r>
          </w:p>
          <w:p w14:paraId="5B8FC92E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7</w:t>
            </w:r>
          </w:p>
          <w:p w14:paraId="3625C8B9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07" w:type="dxa"/>
          </w:tcPr>
          <w:p w14:paraId="629220F8" w14:textId="77777777" w:rsidR="006C6268" w:rsidRPr="00081947" w:rsidRDefault="006C626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Not applicable</w:t>
            </w:r>
          </w:p>
        </w:tc>
      </w:tr>
    </w:tbl>
    <w:p w14:paraId="241E92EC" w14:textId="0EF72035" w:rsidR="0077304F" w:rsidRDefault="0077304F"/>
    <w:p w14:paraId="399B481A" w14:textId="1529E5CA" w:rsidR="006C6268" w:rsidRDefault="006C6268"/>
    <w:p w14:paraId="03612FC8" w14:textId="4272C461" w:rsidR="006C6268" w:rsidRDefault="006C6268"/>
    <w:p w14:paraId="47E483F8" w14:textId="24A7ACEB" w:rsidR="006C6268" w:rsidRDefault="006C6268"/>
    <w:p w14:paraId="4FA17575" w14:textId="0023EB4A" w:rsidR="006C6268" w:rsidRDefault="006C6268"/>
    <w:p w14:paraId="7D062AEE" w14:textId="70A9DD60" w:rsidR="006C6268" w:rsidRDefault="006C6268"/>
    <w:p w14:paraId="3F9EB046" w14:textId="45DD45C5" w:rsidR="006C6268" w:rsidRDefault="006C6268"/>
    <w:p w14:paraId="54CA7653" w14:textId="762A2D3C" w:rsidR="006C6268" w:rsidRDefault="006C6268"/>
    <w:p w14:paraId="4B1643E4" w14:textId="30376DA7" w:rsidR="006C6268" w:rsidRDefault="006C6268"/>
    <w:p w14:paraId="597661C1" w14:textId="2D910AE5" w:rsidR="006C6268" w:rsidRDefault="006C6268"/>
    <w:p w14:paraId="4B519BBD" w14:textId="77777777" w:rsidR="006C6268" w:rsidRPr="00081947" w:rsidRDefault="006C6268" w:rsidP="006C6268">
      <w:pPr>
        <w:rPr>
          <w:rFonts w:ascii="Times New Roman" w:hAnsi="Times New Roman" w:cs="Times New Roman"/>
          <w:b/>
          <w:bCs/>
        </w:rPr>
      </w:pPr>
      <w:r w:rsidRPr="00081947">
        <w:rPr>
          <w:rFonts w:ascii="Times New Roman" w:hAnsi="Times New Roman" w:cs="Times New Roman"/>
          <w:b/>
          <w:bCs/>
        </w:rPr>
        <w:t>Table S2: Longitudinal Samples details used in Figure 4A</w:t>
      </w:r>
    </w:p>
    <w:tbl>
      <w:tblPr>
        <w:tblStyle w:val="TableGrid"/>
        <w:tblW w:w="3482" w:type="dxa"/>
        <w:tblInd w:w="1027" w:type="dxa"/>
        <w:tblLook w:val="04A0" w:firstRow="1" w:lastRow="0" w:firstColumn="1" w:lastColumn="0" w:noHBand="0" w:noVBand="1"/>
      </w:tblPr>
      <w:tblGrid>
        <w:gridCol w:w="1959"/>
        <w:gridCol w:w="687"/>
        <w:gridCol w:w="836"/>
      </w:tblGrid>
      <w:tr w:rsidR="00652AC8" w:rsidRPr="00081947" w14:paraId="40C79759" w14:textId="77777777" w:rsidTr="00652AC8">
        <w:trPr>
          <w:trHeight w:val="1065"/>
        </w:trPr>
        <w:tc>
          <w:tcPr>
            <w:tcW w:w="1959" w:type="dxa"/>
          </w:tcPr>
          <w:p w14:paraId="1B1C3035" w14:textId="77777777" w:rsidR="00652AC8" w:rsidRPr="00081947" w:rsidRDefault="00652AC8" w:rsidP="0091339E">
            <w:pPr>
              <w:rPr>
                <w:rFonts w:ascii="Times New Roman" w:hAnsi="Times New Roman" w:cs="Times New Roman"/>
              </w:rPr>
            </w:pPr>
            <w:bookmarkStart w:id="0" w:name="_Hlk80188501"/>
          </w:p>
        </w:tc>
        <w:tc>
          <w:tcPr>
            <w:tcW w:w="687" w:type="dxa"/>
          </w:tcPr>
          <w:p w14:paraId="4E5872E6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836" w:type="dxa"/>
          </w:tcPr>
          <w:p w14:paraId="6063928D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947">
              <w:rPr>
                <w:rFonts w:ascii="Times New Roman" w:hAnsi="Times New Roman" w:cs="Times New Roman"/>
                <w:color w:val="000000" w:themeColor="text1"/>
              </w:rPr>
              <w:t>Age at onset</w:t>
            </w:r>
          </w:p>
        </w:tc>
      </w:tr>
      <w:tr w:rsidR="00652AC8" w:rsidRPr="00081947" w14:paraId="0C20D778" w14:textId="77777777" w:rsidTr="00652AC8">
        <w:trPr>
          <w:trHeight w:val="268"/>
        </w:trPr>
        <w:tc>
          <w:tcPr>
            <w:tcW w:w="1959" w:type="dxa"/>
          </w:tcPr>
          <w:p w14:paraId="4405F930" w14:textId="6CF97AC3" w:rsidR="00652AC8" w:rsidRPr="00081947" w:rsidRDefault="00652AC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Pre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1947">
              <w:rPr>
                <w:rFonts w:ascii="Times New Roman" w:hAnsi="Times New Roman" w:cs="Times New Roman"/>
              </w:rPr>
              <w:t>symptomatic</w:t>
            </w:r>
          </w:p>
        </w:tc>
        <w:tc>
          <w:tcPr>
            <w:tcW w:w="687" w:type="dxa"/>
          </w:tcPr>
          <w:p w14:paraId="10BEA2CC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</w:tcPr>
          <w:p w14:paraId="2B31E332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52AC8" w:rsidRPr="00081947" w14:paraId="7BE5364E" w14:textId="77777777" w:rsidTr="00652AC8">
        <w:trPr>
          <w:trHeight w:val="537"/>
        </w:trPr>
        <w:tc>
          <w:tcPr>
            <w:tcW w:w="1959" w:type="dxa"/>
          </w:tcPr>
          <w:p w14:paraId="62F6E125" w14:textId="77777777" w:rsidR="00652AC8" w:rsidRPr="00081947" w:rsidRDefault="00652AC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 xml:space="preserve">     LP00020</w:t>
            </w:r>
          </w:p>
          <w:p w14:paraId="34283E61" w14:textId="77777777" w:rsidR="00652AC8" w:rsidRPr="00081947" w:rsidRDefault="00652AC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 xml:space="preserve">     LP00157</w:t>
            </w:r>
          </w:p>
        </w:tc>
        <w:tc>
          <w:tcPr>
            <w:tcW w:w="687" w:type="dxa"/>
          </w:tcPr>
          <w:p w14:paraId="426F7372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M</w:t>
            </w:r>
          </w:p>
          <w:p w14:paraId="48ACC517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36" w:type="dxa"/>
          </w:tcPr>
          <w:p w14:paraId="00889B06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947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  <w:p w14:paraId="13AFD3FA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947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</w:tr>
      <w:tr w:rsidR="00652AC8" w:rsidRPr="00081947" w14:paraId="6FFC9C6F" w14:textId="77777777" w:rsidTr="00652AC8">
        <w:trPr>
          <w:trHeight w:val="268"/>
        </w:trPr>
        <w:tc>
          <w:tcPr>
            <w:tcW w:w="1959" w:type="dxa"/>
          </w:tcPr>
          <w:p w14:paraId="23614EEA" w14:textId="77777777" w:rsidR="00652AC8" w:rsidRPr="00081947" w:rsidRDefault="00652AC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Symptomatic</w:t>
            </w:r>
          </w:p>
        </w:tc>
        <w:tc>
          <w:tcPr>
            <w:tcW w:w="687" w:type="dxa"/>
          </w:tcPr>
          <w:p w14:paraId="50AB254F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</w:tcPr>
          <w:p w14:paraId="69EA514B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52AC8" w:rsidRPr="00081947" w14:paraId="4080B224" w14:textId="77777777" w:rsidTr="00652AC8">
        <w:trPr>
          <w:trHeight w:val="537"/>
        </w:trPr>
        <w:tc>
          <w:tcPr>
            <w:tcW w:w="1959" w:type="dxa"/>
          </w:tcPr>
          <w:p w14:paraId="490A3C78" w14:textId="77777777" w:rsidR="00652AC8" w:rsidRPr="00081947" w:rsidRDefault="00652AC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 xml:space="preserve">     LP00099</w:t>
            </w:r>
          </w:p>
          <w:p w14:paraId="28BEA209" w14:textId="77777777" w:rsidR="00652AC8" w:rsidRPr="00081947" w:rsidRDefault="00652AC8" w:rsidP="0091339E">
            <w:pPr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 xml:space="preserve">     LP00192*</w:t>
            </w:r>
          </w:p>
        </w:tc>
        <w:tc>
          <w:tcPr>
            <w:tcW w:w="687" w:type="dxa"/>
          </w:tcPr>
          <w:p w14:paraId="40090418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M</w:t>
            </w:r>
          </w:p>
          <w:p w14:paraId="34EEDD31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</w:rPr>
            </w:pPr>
            <w:r w:rsidRPr="0008194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36" w:type="dxa"/>
          </w:tcPr>
          <w:p w14:paraId="22914B0D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947">
              <w:rPr>
                <w:rFonts w:ascii="Times New Roman" w:hAnsi="Times New Roman" w:cs="Times New Roman"/>
                <w:color w:val="000000" w:themeColor="text1"/>
              </w:rPr>
              <w:t>62</w:t>
            </w:r>
          </w:p>
          <w:p w14:paraId="3AF8E952" w14:textId="77777777" w:rsidR="00652AC8" w:rsidRPr="00081947" w:rsidRDefault="00652AC8" w:rsidP="00913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947"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</w:tbl>
    <w:bookmarkEnd w:id="0"/>
    <w:p w14:paraId="1EE7BA9D" w14:textId="219A0588" w:rsidR="006C6268" w:rsidRPr="00081947" w:rsidRDefault="00652AC8" w:rsidP="006C62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C6268" w:rsidRPr="00081947">
        <w:rPr>
          <w:rFonts w:ascii="Times New Roman" w:hAnsi="Times New Roman" w:cs="Times New Roman"/>
          <w:sz w:val="24"/>
          <w:szCs w:val="24"/>
        </w:rPr>
        <w:t>*Still alive, disease duration to date</w:t>
      </w:r>
    </w:p>
    <w:p w14:paraId="793C5158" w14:textId="77777777" w:rsidR="006C6268" w:rsidRDefault="006C6268"/>
    <w:sectPr w:rsidR="006C6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4F"/>
    <w:rsid w:val="0006219F"/>
    <w:rsid w:val="00081947"/>
    <w:rsid w:val="005C2363"/>
    <w:rsid w:val="00641642"/>
    <w:rsid w:val="00652AC8"/>
    <w:rsid w:val="006C6268"/>
    <w:rsid w:val="0077304F"/>
    <w:rsid w:val="00825EE5"/>
    <w:rsid w:val="00940CB1"/>
    <w:rsid w:val="009761B6"/>
    <w:rsid w:val="009F237C"/>
    <w:rsid w:val="00D1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D19BA"/>
  <w15:chartTrackingRefBased/>
  <w15:docId w15:val="{810527CE-E177-433E-A82D-F734C354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6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Gopinath Krishnan</dc:creator>
  <cp:keywords/>
  <dc:description/>
  <cp:lastModifiedBy>Gao, Fen-Biao</cp:lastModifiedBy>
  <cp:revision>8</cp:revision>
  <dcterms:created xsi:type="dcterms:W3CDTF">2022-04-11T22:38:00Z</dcterms:created>
  <dcterms:modified xsi:type="dcterms:W3CDTF">2022-04-27T22:12:00Z</dcterms:modified>
</cp:coreProperties>
</file>