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FBC2C" w14:textId="788B8F64" w:rsidR="00BD3B3A" w:rsidRPr="00513B5A" w:rsidRDefault="00460393" w:rsidP="00BD3B3A">
      <w:pPr>
        <w:autoSpaceDE w:val="0"/>
        <w:autoSpaceDN w:val="0"/>
        <w:adjustRightInd w:val="0"/>
        <w:jc w:val="center"/>
        <w:rPr>
          <w:rFonts w:ascii="Times New Roman" w:hAnsi="Times New Roman" w:cs="Times New Roman"/>
          <w:b/>
          <w:bCs/>
          <w:kern w:val="36"/>
          <w:sz w:val="24"/>
          <w:szCs w:val="24"/>
          <w:lang w:val="en-GB"/>
        </w:rPr>
      </w:pPr>
      <w:r w:rsidRPr="00513B5A">
        <w:rPr>
          <w:rFonts w:ascii="Times New Roman" w:hAnsi="Times New Roman" w:cs="Times New Roman"/>
          <w:b/>
          <w:bCs/>
          <w:kern w:val="36"/>
          <w:sz w:val="24"/>
          <w:szCs w:val="24"/>
          <w:lang w:val="en-GB"/>
        </w:rPr>
        <w:t>Tropical forests as drivers of lake carbon burial</w:t>
      </w:r>
    </w:p>
    <w:p w14:paraId="6F48C65D" w14:textId="54923256" w:rsidR="00BD3B3A" w:rsidRPr="00513B5A" w:rsidRDefault="00BD3B3A" w:rsidP="00BD3B3A">
      <w:pPr>
        <w:spacing w:line="480" w:lineRule="auto"/>
        <w:jc w:val="both"/>
        <w:rPr>
          <w:rFonts w:ascii="Times New Roman" w:hAnsi="Times New Roman" w:cs="Times New Roman"/>
          <w:b/>
          <w:sz w:val="24"/>
          <w:szCs w:val="24"/>
          <w:lang w:val="en-GB"/>
        </w:rPr>
      </w:pPr>
      <w:r w:rsidRPr="00513B5A">
        <w:rPr>
          <w:rFonts w:ascii="Times New Roman" w:hAnsi="Times New Roman" w:cs="Times New Roman"/>
          <w:b/>
          <w:sz w:val="24"/>
          <w:szCs w:val="24"/>
          <w:lang w:val="en-GB"/>
        </w:rPr>
        <w:t>Supplementary Material</w:t>
      </w:r>
    </w:p>
    <w:p w14:paraId="55EEC09D" w14:textId="77777777" w:rsidR="00BD3B3A" w:rsidRPr="00513B5A" w:rsidRDefault="00BD3B3A" w:rsidP="00BD3B3A">
      <w:pPr>
        <w:spacing w:line="480" w:lineRule="auto"/>
        <w:jc w:val="both"/>
        <w:rPr>
          <w:rFonts w:ascii="Times New Roman" w:hAnsi="Times New Roman" w:cs="Times New Roman"/>
          <w:b/>
          <w:sz w:val="24"/>
          <w:szCs w:val="24"/>
          <w:lang w:val="en-GB"/>
        </w:rPr>
      </w:pPr>
      <w:r w:rsidRPr="00513B5A">
        <w:rPr>
          <w:rFonts w:ascii="Times New Roman" w:hAnsi="Times New Roman" w:cs="Times New Roman"/>
          <w:b/>
          <w:sz w:val="24"/>
          <w:szCs w:val="24"/>
          <w:lang w:val="en-GB"/>
        </w:rPr>
        <w:t>Supp. Table List</w:t>
      </w:r>
    </w:p>
    <w:p w14:paraId="4360375A" w14:textId="421266DC" w:rsidR="00BD3B3A" w:rsidRPr="00513B5A" w:rsidRDefault="00430B17" w:rsidP="006173DA">
      <w:pPr>
        <w:pStyle w:val="Legenda"/>
        <w:spacing w:line="360" w:lineRule="auto"/>
        <w:jc w:val="both"/>
        <w:rPr>
          <w:rFonts w:ascii="Times New Roman" w:hAnsi="Times New Roman" w:cs="Times New Roman"/>
          <w:i w:val="0"/>
          <w:iCs w:val="0"/>
          <w:color w:val="auto"/>
          <w:sz w:val="24"/>
          <w:szCs w:val="24"/>
          <w:lang w:val="en-GB"/>
        </w:rPr>
      </w:pPr>
      <w:r w:rsidRPr="00513B5A">
        <w:rPr>
          <w:rFonts w:ascii="Times New Roman" w:hAnsi="Times New Roman" w:cs="Times New Roman"/>
          <w:b/>
          <w:bCs/>
          <w:i w:val="0"/>
          <w:iCs w:val="0"/>
          <w:color w:val="auto"/>
          <w:sz w:val="24"/>
          <w:szCs w:val="24"/>
          <w:lang w:val="en-GB"/>
        </w:rPr>
        <w:t>Supp</w:t>
      </w:r>
      <w:r w:rsidR="00DC7E22" w:rsidRPr="00513B5A">
        <w:rPr>
          <w:rFonts w:ascii="Times New Roman" w:hAnsi="Times New Roman" w:cs="Times New Roman"/>
          <w:b/>
          <w:bCs/>
          <w:i w:val="0"/>
          <w:iCs w:val="0"/>
          <w:color w:val="auto"/>
          <w:sz w:val="24"/>
          <w:szCs w:val="24"/>
          <w:lang w:val="en-GB"/>
        </w:rPr>
        <w:t>.</w:t>
      </w:r>
      <w:r w:rsidRPr="00513B5A">
        <w:rPr>
          <w:rFonts w:ascii="Times New Roman" w:hAnsi="Times New Roman" w:cs="Times New Roman"/>
          <w:b/>
          <w:bCs/>
          <w:i w:val="0"/>
          <w:iCs w:val="0"/>
          <w:color w:val="auto"/>
          <w:sz w:val="24"/>
          <w:szCs w:val="24"/>
          <w:lang w:val="en-GB"/>
        </w:rPr>
        <w:t xml:space="preserve"> Table</w:t>
      </w:r>
      <w:r w:rsidR="006173DA" w:rsidRPr="00513B5A">
        <w:rPr>
          <w:rFonts w:ascii="Times New Roman" w:hAnsi="Times New Roman" w:cs="Times New Roman"/>
          <w:b/>
          <w:bCs/>
          <w:i w:val="0"/>
          <w:iCs w:val="0"/>
          <w:color w:val="auto"/>
          <w:sz w:val="24"/>
          <w:szCs w:val="24"/>
          <w:lang w:val="en-GB"/>
        </w:rPr>
        <w:t xml:space="preserve"> </w:t>
      </w:r>
      <w:r w:rsidR="006173DA" w:rsidRPr="00513B5A">
        <w:rPr>
          <w:rFonts w:ascii="Times New Roman" w:hAnsi="Times New Roman" w:cs="Times New Roman"/>
          <w:b/>
          <w:bCs/>
          <w:i w:val="0"/>
          <w:iCs w:val="0"/>
          <w:color w:val="auto"/>
          <w:sz w:val="24"/>
          <w:szCs w:val="24"/>
          <w:lang w:val="en-GB"/>
        </w:rPr>
        <w:fldChar w:fldCharType="begin"/>
      </w:r>
      <w:r w:rsidR="006173DA" w:rsidRPr="00513B5A">
        <w:rPr>
          <w:rFonts w:ascii="Times New Roman" w:hAnsi="Times New Roman" w:cs="Times New Roman"/>
          <w:b/>
          <w:bCs/>
          <w:i w:val="0"/>
          <w:iCs w:val="0"/>
          <w:color w:val="auto"/>
          <w:sz w:val="24"/>
          <w:szCs w:val="24"/>
          <w:lang w:val="en-GB"/>
        </w:rPr>
        <w:instrText xml:space="preserve"> SEQ Tabela_Suplementar \* ARABIC </w:instrText>
      </w:r>
      <w:r w:rsidR="006173DA" w:rsidRPr="00513B5A">
        <w:rPr>
          <w:rFonts w:ascii="Times New Roman" w:hAnsi="Times New Roman" w:cs="Times New Roman"/>
          <w:b/>
          <w:bCs/>
          <w:i w:val="0"/>
          <w:iCs w:val="0"/>
          <w:color w:val="auto"/>
          <w:sz w:val="24"/>
          <w:szCs w:val="24"/>
          <w:lang w:val="en-GB"/>
        </w:rPr>
        <w:fldChar w:fldCharType="separate"/>
      </w:r>
      <w:r w:rsidR="00A20274">
        <w:rPr>
          <w:rFonts w:ascii="Times New Roman" w:hAnsi="Times New Roman" w:cs="Times New Roman"/>
          <w:b/>
          <w:bCs/>
          <w:i w:val="0"/>
          <w:iCs w:val="0"/>
          <w:noProof/>
          <w:color w:val="auto"/>
          <w:sz w:val="24"/>
          <w:szCs w:val="24"/>
          <w:lang w:val="en-GB"/>
        </w:rPr>
        <w:t>1</w:t>
      </w:r>
      <w:r w:rsidR="006173DA" w:rsidRPr="00513B5A">
        <w:rPr>
          <w:rFonts w:ascii="Times New Roman" w:hAnsi="Times New Roman" w:cs="Times New Roman"/>
          <w:b/>
          <w:bCs/>
          <w:i w:val="0"/>
          <w:iCs w:val="0"/>
          <w:color w:val="auto"/>
          <w:sz w:val="24"/>
          <w:szCs w:val="24"/>
          <w:lang w:val="en-GB"/>
        </w:rPr>
        <w:fldChar w:fldCharType="end"/>
      </w:r>
      <w:r w:rsidR="006173DA" w:rsidRPr="00513B5A">
        <w:rPr>
          <w:rFonts w:ascii="Times New Roman" w:hAnsi="Times New Roman" w:cs="Times New Roman"/>
          <w:b/>
          <w:bCs/>
          <w:i w:val="0"/>
          <w:iCs w:val="0"/>
          <w:color w:val="auto"/>
          <w:sz w:val="24"/>
          <w:szCs w:val="24"/>
          <w:lang w:val="en-GB"/>
        </w:rPr>
        <w:t xml:space="preserve"> -</w:t>
      </w:r>
      <w:r w:rsidR="006173DA" w:rsidRPr="00513B5A">
        <w:rPr>
          <w:rFonts w:ascii="Times New Roman" w:hAnsi="Times New Roman" w:cs="Times New Roman"/>
          <w:i w:val="0"/>
          <w:iCs w:val="0"/>
          <w:color w:val="auto"/>
          <w:sz w:val="24"/>
          <w:szCs w:val="24"/>
          <w:lang w:val="en-GB"/>
        </w:rPr>
        <w:t xml:space="preserve"> </w:t>
      </w:r>
      <w:r w:rsidR="00BD3B3A" w:rsidRPr="00513B5A">
        <w:rPr>
          <w:rFonts w:ascii="Times New Roman" w:hAnsi="Times New Roman" w:cs="Times New Roman"/>
          <w:i w:val="0"/>
          <w:iCs w:val="0"/>
          <w:color w:val="auto"/>
          <w:sz w:val="24"/>
          <w:szCs w:val="24"/>
          <w:lang w:val="en-GB"/>
        </w:rPr>
        <w:t>Area, OC burial rates per area, coefficient of variation of the dataset and global carbon burial rates for each biome in the present study. *The global value was obtained using the mean weighted by the sum of lake area in each biome. **OC burial dataset for this biome is not available, so we used the mean values of conserved biomes (excluding the humid tropical forest to be conservative).</w:t>
      </w:r>
    </w:p>
    <w:tbl>
      <w:tblPr>
        <w:tblStyle w:val="Tabelacomgrade"/>
        <w:tblW w:w="9265" w:type="dxa"/>
        <w:jc w:val="center"/>
        <w:tblLayout w:type="fixed"/>
        <w:tblLook w:val="04A0" w:firstRow="1" w:lastRow="0" w:firstColumn="1" w:lastColumn="0" w:noHBand="0" w:noVBand="1"/>
      </w:tblPr>
      <w:tblGrid>
        <w:gridCol w:w="729"/>
        <w:gridCol w:w="1965"/>
        <w:gridCol w:w="567"/>
        <w:gridCol w:w="1134"/>
        <w:gridCol w:w="1984"/>
        <w:gridCol w:w="1418"/>
        <w:gridCol w:w="1468"/>
      </w:tblGrid>
      <w:tr w:rsidR="001A305E" w:rsidRPr="009C0E64" w14:paraId="3F8BCBF8" w14:textId="77777777" w:rsidTr="00EB12C1">
        <w:trPr>
          <w:trHeight w:val="1133"/>
          <w:jc w:val="center"/>
        </w:trPr>
        <w:tc>
          <w:tcPr>
            <w:tcW w:w="2694" w:type="dxa"/>
            <w:gridSpan w:val="2"/>
            <w:tcBorders>
              <w:top w:val="nil"/>
              <w:left w:val="nil"/>
              <w:bottom w:val="single" w:sz="4" w:space="0" w:color="auto"/>
              <w:right w:val="nil"/>
            </w:tcBorders>
          </w:tcPr>
          <w:p w14:paraId="5D385C3F" w14:textId="77777777" w:rsidR="00BD3B3A" w:rsidRPr="00513B5A" w:rsidRDefault="00BD3B3A" w:rsidP="00FC4E46">
            <w:pPr>
              <w:rPr>
                <w:rFonts w:ascii="Times New Roman" w:hAnsi="Times New Roman" w:cs="Times New Roman"/>
                <w:sz w:val="24"/>
                <w:szCs w:val="24"/>
                <w:lang w:val="en-GB"/>
              </w:rPr>
            </w:pPr>
            <w:bookmarkStart w:id="0" w:name="OLE_LINK1"/>
            <w:bookmarkStart w:id="1" w:name="OLE_LINK2"/>
            <w:bookmarkStart w:id="2" w:name="OLE_LINK3"/>
          </w:p>
        </w:tc>
        <w:tc>
          <w:tcPr>
            <w:tcW w:w="1701" w:type="dxa"/>
            <w:gridSpan w:val="2"/>
            <w:tcBorders>
              <w:top w:val="nil"/>
              <w:left w:val="nil"/>
              <w:bottom w:val="single" w:sz="4" w:space="0" w:color="auto"/>
              <w:right w:val="nil"/>
            </w:tcBorders>
          </w:tcPr>
          <w:p w14:paraId="5637D3F2" w14:textId="68113EBB" w:rsidR="00BD3B3A" w:rsidRPr="00513B5A" w:rsidRDefault="00BD3B3A" w:rsidP="00FC4E46">
            <w:pPr>
              <w:jc w:val="center"/>
              <w:rPr>
                <w:rFonts w:ascii="Times New Roman" w:hAnsi="Times New Roman" w:cs="Times New Roman"/>
                <w:b/>
                <w:sz w:val="24"/>
                <w:szCs w:val="24"/>
                <w:lang w:val="en-GB" w:eastAsia="pt-BR"/>
              </w:rPr>
            </w:pPr>
            <w:r w:rsidRPr="00513B5A">
              <w:rPr>
                <w:rFonts w:ascii="Times New Roman" w:hAnsi="Times New Roman" w:cs="Times New Roman"/>
                <w:b/>
                <w:sz w:val="24"/>
                <w:szCs w:val="24"/>
                <w:lang w:val="en-GB" w:eastAsia="pt-BR"/>
              </w:rPr>
              <w:t>Lake area</w:t>
            </w:r>
            <w:r w:rsidRPr="00513B5A">
              <w:rPr>
                <w:rFonts w:ascii="Times New Roman" w:hAnsi="Times New Roman" w:cs="Times New Roman"/>
                <w:b/>
                <w:sz w:val="24"/>
                <w:szCs w:val="24"/>
                <w:lang w:val="en-GB" w:eastAsia="pt-BR"/>
              </w:rPr>
              <w:fldChar w:fldCharType="begin" w:fldLock="1"/>
            </w:r>
            <w:r w:rsidR="001D0B34">
              <w:rPr>
                <w:rFonts w:ascii="Times New Roman" w:hAnsi="Times New Roman" w:cs="Times New Roman"/>
                <w:b/>
                <w:sz w:val="24"/>
                <w:szCs w:val="24"/>
                <w:lang w:val="en-GB" w:eastAsia="pt-BR"/>
              </w:rPr>
              <w:instrText>ADDIN CSL_CITATION {"citationItems":[{"id":"ITEM-1","itemData":{"DOI":"10.1038/ncomms13603","ISBN":"2041-1723 (Electronic) 2041-1723 (Linking)","ISSN":"2041-1723","PMID":"27976671","abstract":"Lakes play a key role in our ecosystems and thus it is vital to understand their distribution and volume. Here, the authors present a new global lake database (HydroLAKES) and develop a new geo-statistical model to show global lake area, shoreline length, water volume and hydraulic residence times.","author":[{"dropping-particle":"","family":"Messager","given":"Mathis Loïc","non-dropping-particle":"","parse-names":false,"suffix":""},{"dropping-particle":"","family":"Lehner","given":"Bernhard","non-dropping-particle":"","parse-names":false,"suffix":""},{"dropping-particle":"","family":"Grill","given":"Günther","non-dropping-particle":"","parse-names":false,"suffix":""},{"dropping-particle":"","family":"Nedeva","given":"Irena","non-dropping-particle":"","parse-names":false,"suffix":""},{"dropping-particle":"","family":"Schmitt","given":"Oliver","non-dropping-particle":"","parse-names":false,"suffix":""}],"container-title":"Nature Communications","id":"ITEM-1","issued":{"date-parts":[["2016","12","15"]]},"page":"13603","title":"Estimating the volume and age of water stored in global lakes using a geo-statistical approach","type":"article-journal","volume":"7"},"uris":["http://www.mendeley.com/documents/?uuid=2f4d4afd-0252-4973-beab-600a0271d863"]}],"mendeley":{"formattedCitation":"&lt;sup&gt;1&lt;/sup&gt;","plainTextFormattedCitation":"1","previouslyFormattedCitation":"(Messager et al. 2016)"},"properties":{"noteIndex":0},"schema":"https://github.com/citation-style-language/schema/raw/master/csl-citation.json"}</w:instrText>
            </w:r>
            <w:r w:rsidRPr="00513B5A">
              <w:rPr>
                <w:rFonts w:ascii="Times New Roman" w:hAnsi="Times New Roman" w:cs="Times New Roman"/>
                <w:b/>
                <w:sz w:val="24"/>
                <w:szCs w:val="24"/>
                <w:lang w:val="en-GB" w:eastAsia="pt-BR"/>
              </w:rPr>
              <w:fldChar w:fldCharType="separate"/>
            </w:r>
            <w:r w:rsidR="001D0B34" w:rsidRPr="001D0B34">
              <w:rPr>
                <w:rFonts w:ascii="Times New Roman" w:hAnsi="Times New Roman" w:cs="Times New Roman"/>
                <w:noProof/>
                <w:sz w:val="24"/>
                <w:szCs w:val="24"/>
                <w:vertAlign w:val="superscript"/>
                <w:lang w:val="en-GB" w:eastAsia="pt-BR"/>
              </w:rPr>
              <w:t>1</w:t>
            </w:r>
            <w:r w:rsidRPr="00513B5A">
              <w:rPr>
                <w:rFonts w:ascii="Times New Roman" w:hAnsi="Times New Roman" w:cs="Times New Roman"/>
                <w:b/>
                <w:sz w:val="24"/>
                <w:szCs w:val="24"/>
                <w:lang w:val="en-GB" w:eastAsia="pt-BR"/>
              </w:rPr>
              <w:fldChar w:fldCharType="end"/>
            </w:r>
          </w:p>
          <w:p w14:paraId="36CADCCE" w14:textId="77777777" w:rsidR="00BD3B3A" w:rsidRPr="00513B5A" w:rsidRDefault="00BD3B3A" w:rsidP="00FC4E46">
            <w:pPr>
              <w:jc w:val="center"/>
              <w:rPr>
                <w:rFonts w:ascii="Times New Roman" w:hAnsi="Times New Roman" w:cs="Times New Roman"/>
                <w:b/>
                <w:sz w:val="24"/>
                <w:szCs w:val="24"/>
                <w:lang w:val="en-GB" w:eastAsia="pt-BR"/>
              </w:rPr>
            </w:pPr>
            <w:r w:rsidRPr="00513B5A">
              <w:rPr>
                <w:rFonts w:ascii="Times New Roman" w:hAnsi="Times New Roman" w:cs="Times New Roman"/>
                <w:b/>
                <w:sz w:val="24"/>
                <w:szCs w:val="24"/>
                <w:lang w:val="en-GB" w:eastAsia="pt-BR"/>
              </w:rPr>
              <w:t>[km</w:t>
            </w:r>
            <w:r w:rsidRPr="00513B5A">
              <w:rPr>
                <w:rFonts w:ascii="Times New Roman" w:hAnsi="Times New Roman" w:cs="Times New Roman"/>
                <w:b/>
                <w:sz w:val="24"/>
                <w:szCs w:val="24"/>
                <w:vertAlign w:val="superscript"/>
                <w:lang w:val="en-GB" w:eastAsia="pt-BR"/>
              </w:rPr>
              <w:t>2</w:t>
            </w:r>
            <w:r w:rsidRPr="00513B5A">
              <w:rPr>
                <w:rFonts w:ascii="Times New Roman" w:hAnsi="Times New Roman" w:cs="Times New Roman"/>
                <w:b/>
                <w:sz w:val="24"/>
                <w:szCs w:val="24"/>
                <w:lang w:val="en-GB" w:eastAsia="pt-BR"/>
              </w:rPr>
              <w:t xml:space="preserve"> x 10</w:t>
            </w:r>
            <w:r w:rsidRPr="00513B5A">
              <w:rPr>
                <w:rFonts w:ascii="Times New Roman" w:hAnsi="Times New Roman" w:cs="Times New Roman"/>
                <w:b/>
                <w:sz w:val="24"/>
                <w:szCs w:val="24"/>
                <w:vertAlign w:val="superscript"/>
                <w:lang w:val="en-GB" w:eastAsia="pt-BR"/>
              </w:rPr>
              <w:t>4</w:t>
            </w:r>
            <w:r w:rsidRPr="00513B5A">
              <w:rPr>
                <w:rFonts w:ascii="Times New Roman" w:hAnsi="Times New Roman" w:cs="Times New Roman"/>
                <w:b/>
                <w:sz w:val="24"/>
                <w:szCs w:val="24"/>
                <w:lang w:val="en-GB" w:eastAsia="pt-BR"/>
              </w:rPr>
              <w:t>]</w:t>
            </w:r>
          </w:p>
          <w:p w14:paraId="1F85A846" w14:textId="77777777" w:rsidR="00BD3B3A" w:rsidRPr="00513B5A" w:rsidRDefault="00BD3B3A" w:rsidP="00FC4E46">
            <w:pPr>
              <w:jc w:val="center"/>
              <w:rPr>
                <w:rFonts w:ascii="Times New Roman" w:hAnsi="Times New Roman" w:cs="Times New Roman"/>
                <w:b/>
                <w:sz w:val="24"/>
                <w:szCs w:val="24"/>
                <w:lang w:val="en-GB"/>
              </w:rPr>
            </w:pPr>
          </w:p>
        </w:tc>
        <w:tc>
          <w:tcPr>
            <w:tcW w:w="1984" w:type="dxa"/>
            <w:tcBorders>
              <w:top w:val="nil"/>
              <w:left w:val="nil"/>
              <w:bottom w:val="single" w:sz="4" w:space="0" w:color="auto"/>
              <w:right w:val="nil"/>
            </w:tcBorders>
          </w:tcPr>
          <w:p w14:paraId="65954C4F" w14:textId="77777777" w:rsidR="00BD3B3A" w:rsidRPr="00513B5A" w:rsidRDefault="00BD3B3A" w:rsidP="00FC4E46">
            <w:pPr>
              <w:jc w:val="center"/>
              <w:rPr>
                <w:rFonts w:ascii="Times New Roman" w:hAnsi="Times New Roman" w:cs="Times New Roman"/>
                <w:b/>
                <w:sz w:val="24"/>
                <w:szCs w:val="24"/>
                <w:lang w:val="en-GB" w:eastAsia="pt-BR"/>
              </w:rPr>
            </w:pPr>
            <w:r w:rsidRPr="00513B5A">
              <w:rPr>
                <w:rFonts w:ascii="Times New Roman" w:hAnsi="Times New Roman" w:cs="Times New Roman"/>
                <w:b/>
                <w:sz w:val="24"/>
                <w:szCs w:val="24"/>
                <w:lang w:val="en-GB" w:eastAsia="pt-BR"/>
              </w:rPr>
              <w:t xml:space="preserve">OC burial per area </w:t>
            </w:r>
          </w:p>
          <w:p w14:paraId="2B9D6C76" w14:textId="37A4C73F" w:rsidR="00BD3B3A" w:rsidRPr="00513B5A" w:rsidRDefault="00BD3B3A" w:rsidP="00FC4E46">
            <w:pPr>
              <w:jc w:val="center"/>
              <w:rPr>
                <w:rFonts w:ascii="Times New Roman" w:hAnsi="Times New Roman" w:cs="Times New Roman"/>
                <w:b/>
                <w:sz w:val="24"/>
                <w:szCs w:val="24"/>
                <w:lang w:val="en-GB" w:eastAsia="pt-BR"/>
              </w:rPr>
            </w:pPr>
            <w:r w:rsidRPr="00513B5A">
              <w:rPr>
                <w:rFonts w:ascii="Times New Roman" w:hAnsi="Times New Roman" w:cs="Times New Roman"/>
                <w:b/>
                <w:sz w:val="24"/>
                <w:szCs w:val="24"/>
                <w:lang w:val="en-GB" w:eastAsia="pt-BR"/>
              </w:rPr>
              <w:t xml:space="preserve">(mean </w:t>
            </w:r>
            <w:r w:rsidRPr="00513B5A">
              <w:rPr>
                <w:rFonts w:ascii="Times New Roman" w:hAnsi="Times New Roman" w:cs="Times New Roman"/>
                <w:b/>
                <w:i/>
                <w:sz w:val="24"/>
                <w:szCs w:val="24"/>
                <w:shd w:val="clear" w:color="auto" w:fill="FFFFFF"/>
                <w:lang w:val="en-GB"/>
              </w:rPr>
              <w:t>±</w:t>
            </w:r>
            <w:r w:rsidRPr="00513B5A">
              <w:rPr>
                <w:rFonts w:ascii="Times New Roman" w:hAnsi="Times New Roman" w:cs="Times New Roman"/>
                <w:b/>
                <w:sz w:val="24"/>
                <w:szCs w:val="24"/>
                <w:lang w:val="en-GB" w:eastAsia="pt-BR"/>
              </w:rPr>
              <w:t xml:space="preserve"> </w:t>
            </w:r>
            <w:r w:rsidR="001E0AD9" w:rsidRPr="00513B5A">
              <w:rPr>
                <w:rFonts w:ascii="Times New Roman" w:hAnsi="Times New Roman" w:cs="Times New Roman"/>
                <w:b/>
                <w:sz w:val="24"/>
                <w:szCs w:val="24"/>
                <w:lang w:val="en-GB" w:eastAsia="pt-BR"/>
              </w:rPr>
              <w:t>SE</w:t>
            </w:r>
            <w:r w:rsidRPr="00513B5A">
              <w:rPr>
                <w:rFonts w:ascii="Times New Roman" w:hAnsi="Times New Roman" w:cs="Times New Roman"/>
                <w:b/>
                <w:sz w:val="24"/>
                <w:szCs w:val="24"/>
                <w:lang w:val="en-GB" w:eastAsia="pt-BR"/>
              </w:rPr>
              <w:t>)</w:t>
            </w:r>
          </w:p>
          <w:p w14:paraId="5156A4B6"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eastAsia="pt-BR"/>
              </w:rPr>
              <w:t>[g C m</w:t>
            </w:r>
            <w:r w:rsidRPr="00513B5A">
              <w:rPr>
                <w:rFonts w:ascii="Times New Roman" w:hAnsi="Times New Roman" w:cs="Times New Roman"/>
                <w:b/>
                <w:sz w:val="24"/>
                <w:szCs w:val="24"/>
                <w:vertAlign w:val="superscript"/>
                <w:lang w:val="en-GB" w:eastAsia="pt-BR"/>
              </w:rPr>
              <w:t xml:space="preserve">-2 </w:t>
            </w:r>
            <w:r w:rsidRPr="00513B5A">
              <w:rPr>
                <w:rFonts w:ascii="Times New Roman" w:hAnsi="Times New Roman" w:cs="Times New Roman"/>
                <w:b/>
                <w:sz w:val="24"/>
                <w:szCs w:val="24"/>
                <w:lang w:val="en-GB" w:eastAsia="pt-BR"/>
              </w:rPr>
              <w:t>yr</w:t>
            </w:r>
            <w:r w:rsidRPr="00513B5A">
              <w:rPr>
                <w:rFonts w:ascii="Times New Roman" w:hAnsi="Times New Roman" w:cs="Times New Roman"/>
                <w:b/>
                <w:sz w:val="24"/>
                <w:szCs w:val="24"/>
                <w:vertAlign w:val="superscript"/>
                <w:lang w:val="en-GB" w:eastAsia="pt-BR"/>
              </w:rPr>
              <w:t>-1</w:t>
            </w:r>
            <w:r w:rsidRPr="00513B5A">
              <w:rPr>
                <w:rFonts w:ascii="Times New Roman" w:hAnsi="Times New Roman" w:cs="Times New Roman"/>
                <w:b/>
                <w:sz w:val="24"/>
                <w:szCs w:val="24"/>
                <w:lang w:val="en-GB" w:eastAsia="pt-BR"/>
              </w:rPr>
              <w:t>]</w:t>
            </w:r>
          </w:p>
        </w:tc>
        <w:tc>
          <w:tcPr>
            <w:tcW w:w="1418" w:type="dxa"/>
            <w:tcBorders>
              <w:top w:val="nil"/>
              <w:left w:val="nil"/>
              <w:bottom w:val="single" w:sz="4" w:space="0" w:color="auto"/>
              <w:right w:val="nil"/>
            </w:tcBorders>
          </w:tcPr>
          <w:p w14:paraId="03F9BCA7" w14:textId="77777777" w:rsidR="00BD3B3A" w:rsidRPr="00513B5A" w:rsidRDefault="00BD3B3A" w:rsidP="00FC4E46">
            <w:pPr>
              <w:jc w:val="center"/>
              <w:rPr>
                <w:rFonts w:ascii="Times New Roman" w:hAnsi="Times New Roman" w:cs="Times New Roman"/>
                <w:b/>
                <w:sz w:val="24"/>
                <w:szCs w:val="24"/>
                <w:lang w:val="en-GB" w:eastAsia="pt-BR"/>
              </w:rPr>
            </w:pPr>
            <w:r w:rsidRPr="00513B5A">
              <w:rPr>
                <w:rFonts w:ascii="Times New Roman" w:hAnsi="Times New Roman" w:cs="Times New Roman"/>
                <w:b/>
                <w:noProof/>
                <w:sz w:val="24"/>
                <w:szCs w:val="24"/>
                <w:lang w:val="en-GB" w:eastAsia="pt-BR"/>
              </w:rPr>
              <w:t>Coefficient</w:t>
            </w:r>
            <w:r w:rsidRPr="00513B5A">
              <w:rPr>
                <w:rFonts w:ascii="Times New Roman" w:hAnsi="Times New Roman" w:cs="Times New Roman"/>
                <w:b/>
                <w:sz w:val="24"/>
                <w:szCs w:val="24"/>
                <w:lang w:val="en-GB" w:eastAsia="pt-BR"/>
              </w:rPr>
              <w:t xml:space="preserve"> of variation OC burial</w:t>
            </w:r>
          </w:p>
          <w:p w14:paraId="1EC700AD"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eastAsia="pt-BR"/>
              </w:rPr>
              <w:t>[%]</w:t>
            </w:r>
          </w:p>
        </w:tc>
        <w:tc>
          <w:tcPr>
            <w:tcW w:w="1468" w:type="dxa"/>
            <w:tcBorders>
              <w:top w:val="nil"/>
              <w:left w:val="nil"/>
              <w:bottom w:val="single" w:sz="4" w:space="0" w:color="auto"/>
              <w:right w:val="nil"/>
            </w:tcBorders>
          </w:tcPr>
          <w:p w14:paraId="5371B48E" w14:textId="77777777" w:rsidR="00BD3B3A" w:rsidRPr="00513B5A" w:rsidRDefault="00BD3B3A" w:rsidP="00FC4E46">
            <w:pPr>
              <w:jc w:val="center"/>
              <w:rPr>
                <w:rFonts w:ascii="Times New Roman" w:hAnsi="Times New Roman" w:cs="Times New Roman"/>
                <w:b/>
                <w:sz w:val="24"/>
                <w:szCs w:val="24"/>
                <w:lang w:val="en-GB" w:eastAsia="pt-BR"/>
              </w:rPr>
            </w:pPr>
            <w:r w:rsidRPr="00513B5A">
              <w:rPr>
                <w:rFonts w:ascii="Times New Roman" w:hAnsi="Times New Roman" w:cs="Times New Roman"/>
                <w:b/>
                <w:sz w:val="24"/>
                <w:szCs w:val="24"/>
                <w:lang w:val="en-GB" w:eastAsia="pt-BR"/>
              </w:rPr>
              <w:t xml:space="preserve">OC burial </w:t>
            </w:r>
          </w:p>
          <w:p w14:paraId="4C287EE8" w14:textId="477C961A" w:rsidR="00BD3B3A" w:rsidRPr="00513B5A" w:rsidRDefault="00BD3B3A" w:rsidP="00FC4E46">
            <w:pPr>
              <w:jc w:val="center"/>
              <w:rPr>
                <w:rFonts w:ascii="Times New Roman" w:hAnsi="Times New Roman" w:cs="Times New Roman"/>
                <w:b/>
                <w:sz w:val="24"/>
                <w:szCs w:val="24"/>
                <w:lang w:val="en-GB" w:eastAsia="pt-BR"/>
              </w:rPr>
            </w:pPr>
            <w:r w:rsidRPr="00513B5A">
              <w:rPr>
                <w:rFonts w:ascii="Times New Roman" w:hAnsi="Times New Roman" w:cs="Times New Roman"/>
                <w:b/>
                <w:sz w:val="24"/>
                <w:szCs w:val="24"/>
                <w:lang w:val="en-GB" w:eastAsia="pt-BR"/>
              </w:rPr>
              <w:t xml:space="preserve">(mean </w:t>
            </w:r>
            <w:r w:rsidRPr="00513B5A">
              <w:rPr>
                <w:rFonts w:ascii="Times New Roman" w:hAnsi="Times New Roman" w:cs="Times New Roman"/>
                <w:b/>
                <w:i/>
                <w:sz w:val="24"/>
                <w:szCs w:val="24"/>
                <w:shd w:val="clear" w:color="auto" w:fill="FFFFFF"/>
                <w:lang w:val="en-GB"/>
              </w:rPr>
              <w:t>±</w:t>
            </w:r>
            <w:r w:rsidRPr="00513B5A">
              <w:rPr>
                <w:rFonts w:ascii="Times New Roman" w:hAnsi="Times New Roman" w:cs="Times New Roman"/>
                <w:b/>
                <w:sz w:val="24"/>
                <w:szCs w:val="24"/>
                <w:lang w:val="en-GB" w:eastAsia="pt-BR"/>
              </w:rPr>
              <w:t xml:space="preserve"> </w:t>
            </w:r>
            <w:r w:rsidR="001E0AD9" w:rsidRPr="00513B5A">
              <w:rPr>
                <w:rFonts w:ascii="Times New Roman" w:hAnsi="Times New Roman" w:cs="Times New Roman"/>
                <w:b/>
                <w:sz w:val="24"/>
                <w:szCs w:val="24"/>
                <w:lang w:val="en-GB" w:eastAsia="pt-BR"/>
              </w:rPr>
              <w:t>SE</w:t>
            </w:r>
            <w:r w:rsidRPr="00513B5A">
              <w:rPr>
                <w:rFonts w:ascii="Times New Roman" w:hAnsi="Times New Roman" w:cs="Times New Roman"/>
                <w:b/>
                <w:sz w:val="24"/>
                <w:szCs w:val="24"/>
                <w:lang w:val="en-GB" w:eastAsia="pt-BR"/>
              </w:rPr>
              <w:t>)</w:t>
            </w:r>
          </w:p>
          <w:p w14:paraId="48996385"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eastAsia="pt-BR"/>
              </w:rPr>
              <w:t>[</w:t>
            </w:r>
            <w:proofErr w:type="spellStart"/>
            <w:r w:rsidRPr="00513B5A">
              <w:rPr>
                <w:rFonts w:ascii="Times New Roman" w:hAnsi="Times New Roman" w:cs="Times New Roman"/>
                <w:b/>
                <w:sz w:val="24"/>
                <w:szCs w:val="24"/>
                <w:lang w:val="en-GB" w:eastAsia="pt-BR"/>
              </w:rPr>
              <w:t>Tg</w:t>
            </w:r>
            <w:proofErr w:type="spellEnd"/>
            <w:r w:rsidRPr="00513B5A">
              <w:rPr>
                <w:rFonts w:ascii="Times New Roman" w:hAnsi="Times New Roman" w:cs="Times New Roman"/>
                <w:b/>
                <w:sz w:val="24"/>
                <w:szCs w:val="24"/>
                <w:lang w:val="en-GB" w:eastAsia="pt-BR"/>
              </w:rPr>
              <w:t xml:space="preserve"> yr</w:t>
            </w:r>
            <w:r w:rsidRPr="00513B5A">
              <w:rPr>
                <w:rFonts w:ascii="Times New Roman" w:hAnsi="Times New Roman" w:cs="Times New Roman"/>
                <w:b/>
                <w:sz w:val="24"/>
                <w:szCs w:val="24"/>
                <w:vertAlign w:val="superscript"/>
                <w:lang w:val="en-GB" w:eastAsia="pt-BR"/>
              </w:rPr>
              <w:t>-1</w:t>
            </w:r>
            <w:r w:rsidRPr="00513B5A">
              <w:rPr>
                <w:rFonts w:ascii="Times New Roman" w:hAnsi="Times New Roman" w:cs="Times New Roman"/>
                <w:b/>
                <w:sz w:val="24"/>
                <w:szCs w:val="24"/>
                <w:lang w:val="en-GB" w:eastAsia="pt-BR"/>
              </w:rPr>
              <w:t>]</w:t>
            </w:r>
          </w:p>
        </w:tc>
      </w:tr>
      <w:tr w:rsidR="001A305E" w:rsidRPr="00513B5A" w14:paraId="532905BD" w14:textId="77777777" w:rsidTr="00EB12C1">
        <w:trPr>
          <w:trHeight w:val="390"/>
          <w:jc w:val="center"/>
        </w:trPr>
        <w:tc>
          <w:tcPr>
            <w:tcW w:w="729" w:type="dxa"/>
            <w:vMerge w:val="restart"/>
            <w:tcBorders>
              <w:top w:val="single" w:sz="4" w:space="0" w:color="auto"/>
              <w:left w:val="nil"/>
              <w:bottom w:val="single" w:sz="4" w:space="0" w:color="auto"/>
              <w:right w:val="nil"/>
            </w:tcBorders>
            <w:textDirection w:val="btLr"/>
            <w:vAlign w:val="center"/>
          </w:tcPr>
          <w:p w14:paraId="711CBD16" w14:textId="7F35D5F3" w:rsidR="00BD3B3A" w:rsidRPr="00513B5A" w:rsidRDefault="00D101CD" w:rsidP="00FC4E46">
            <w:pPr>
              <w:ind w:left="113" w:right="113"/>
              <w:jc w:val="center"/>
              <w:rPr>
                <w:rFonts w:ascii="Times New Roman" w:hAnsi="Times New Roman" w:cs="Times New Roman"/>
                <w:b/>
                <w:sz w:val="24"/>
                <w:szCs w:val="24"/>
                <w:lang w:val="en-GB"/>
              </w:rPr>
            </w:pPr>
            <w:r>
              <w:rPr>
                <w:rFonts w:ascii="Times New Roman" w:hAnsi="Times New Roman" w:cs="Times New Roman"/>
                <w:b/>
                <w:sz w:val="24"/>
                <w:szCs w:val="24"/>
                <w:lang w:val="en-GB"/>
              </w:rPr>
              <w:t>Natural</w:t>
            </w:r>
          </w:p>
        </w:tc>
        <w:tc>
          <w:tcPr>
            <w:tcW w:w="2532" w:type="dxa"/>
            <w:gridSpan w:val="2"/>
            <w:tcBorders>
              <w:top w:val="single" w:sz="4" w:space="0" w:color="auto"/>
              <w:left w:val="nil"/>
              <w:bottom w:val="nil"/>
              <w:right w:val="nil"/>
            </w:tcBorders>
          </w:tcPr>
          <w:p w14:paraId="768EE695"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Humid Tropical Forest</w:t>
            </w:r>
          </w:p>
        </w:tc>
        <w:tc>
          <w:tcPr>
            <w:tcW w:w="1134" w:type="dxa"/>
            <w:tcBorders>
              <w:top w:val="single" w:sz="4" w:space="0" w:color="auto"/>
              <w:left w:val="nil"/>
              <w:bottom w:val="nil"/>
              <w:right w:val="nil"/>
            </w:tcBorders>
          </w:tcPr>
          <w:p w14:paraId="6330CA0D"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6.49</w:t>
            </w:r>
          </w:p>
        </w:tc>
        <w:tc>
          <w:tcPr>
            <w:tcW w:w="1984" w:type="dxa"/>
            <w:tcBorders>
              <w:top w:val="single" w:sz="4" w:space="0" w:color="auto"/>
              <w:left w:val="nil"/>
              <w:bottom w:val="nil"/>
              <w:right w:val="nil"/>
            </w:tcBorders>
          </w:tcPr>
          <w:p w14:paraId="61C45287" w14:textId="11973199"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w:t>
            </w:r>
            <w:r w:rsidR="007D07A8" w:rsidRPr="00513B5A">
              <w:rPr>
                <w:rFonts w:ascii="Times New Roman" w:hAnsi="Times New Roman" w:cs="Times New Roman"/>
                <w:sz w:val="24"/>
                <w:szCs w:val="24"/>
                <w:lang w:val="en-GB"/>
              </w:rPr>
              <w:t>14</w:t>
            </w:r>
            <w:r w:rsidRPr="00513B5A">
              <w:rPr>
                <w:rFonts w:ascii="Times New Roman" w:hAnsi="Times New Roman" w:cs="Times New Roman"/>
                <w:sz w:val="24"/>
                <w:szCs w:val="24"/>
                <w:lang w:val="en-GB"/>
              </w:rPr>
              <w:t xml:space="preserve"> </w:t>
            </w:r>
            <w:r w:rsidRPr="00513B5A">
              <w:rPr>
                <w:rFonts w:ascii="Times New Roman" w:hAnsi="Times New Roman" w:cs="Times New Roman"/>
                <w:i/>
                <w:sz w:val="24"/>
                <w:szCs w:val="24"/>
                <w:shd w:val="clear" w:color="auto" w:fill="FFFFFF"/>
                <w:lang w:val="en-GB"/>
              </w:rPr>
              <w:t xml:space="preserve">± </w:t>
            </w:r>
            <w:r w:rsidR="00AB6239" w:rsidRPr="00513B5A">
              <w:rPr>
                <w:rFonts w:ascii="Times New Roman" w:hAnsi="Times New Roman" w:cs="Times New Roman"/>
                <w:i/>
                <w:sz w:val="24"/>
                <w:szCs w:val="24"/>
                <w:shd w:val="clear" w:color="auto" w:fill="FFFFFF"/>
                <w:lang w:val="en-GB"/>
              </w:rPr>
              <w:t>38</w:t>
            </w:r>
            <w:r w:rsidRPr="00513B5A">
              <w:rPr>
                <w:rFonts w:ascii="Times New Roman" w:hAnsi="Times New Roman" w:cs="Times New Roman"/>
                <w:i/>
                <w:sz w:val="24"/>
                <w:szCs w:val="24"/>
                <w:shd w:val="clear" w:color="auto" w:fill="FFFFFF"/>
                <w:lang w:val="en-GB"/>
              </w:rPr>
              <w:t>.</w:t>
            </w:r>
            <w:r w:rsidR="00C258A8" w:rsidRPr="00513B5A">
              <w:rPr>
                <w:rFonts w:ascii="Times New Roman" w:hAnsi="Times New Roman" w:cs="Times New Roman"/>
                <w:i/>
                <w:sz w:val="24"/>
                <w:szCs w:val="24"/>
                <w:shd w:val="clear" w:color="auto" w:fill="FFFFFF"/>
                <w:lang w:val="en-GB"/>
              </w:rPr>
              <w:t>20</w:t>
            </w:r>
          </w:p>
        </w:tc>
        <w:tc>
          <w:tcPr>
            <w:tcW w:w="1418" w:type="dxa"/>
            <w:tcBorders>
              <w:top w:val="single" w:sz="4" w:space="0" w:color="auto"/>
              <w:left w:val="nil"/>
              <w:bottom w:val="nil"/>
              <w:right w:val="nil"/>
            </w:tcBorders>
          </w:tcPr>
          <w:p w14:paraId="439EDDE8" w14:textId="40DC4698" w:rsidR="00BD3B3A" w:rsidRPr="00513B5A" w:rsidRDefault="00AB6239"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159</w:t>
            </w:r>
            <w:r w:rsidR="00BD3B3A" w:rsidRPr="00513B5A">
              <w:rPr>
                <w:rFonts w:ascii="Times New Roman" w:hAnsi="Times New Roman" w:cs="Times New Roman"/>
                <w:sz w:val="24"/>
                <w:szCs w:val="24"/>
                <w:lang w:val="en-GB"/>
              </w:rPr>
              <w:t>.</w:t>
            </w:r>
            <w:r w:rsidRPr="00513B5A">
              <w:rPr>
                <w:rFonts w:ascii="Times New Roman" w:hAnsi="Times New Roman" w:cs="Times New Roman"/>
                <w:sz w:val="24"/>
                <w:szCs w:val="24"/>
                <w:lang w:val="en-GB"/>
              </w:rPr>
              <w:t>7</w:t>
            </w:r>
          </w:p>
        </w:tc>
        <w:tc>
          <w:tcPr>
            <w:tcW w:w="1468" w:type="dxa"/>
            <w:tcBorders>
              <w:top w:val="single" w:sz="4" w:space="0" w:color="auto"/>
              <w:left w:val="nil"/>
              <w:bottom w:val="nil"/>
              <w:right w:val="nil"/>
            </w:tcBorders>
          </w:tcPr>
          <w:p w14:paraId="40B3F774" w14:textId="42AC9678" w:rsidR="00BD3B3A" w:rsidRPr="00513B5A" w:rsidRDefault="00AB6239"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7.</w:t>
            </w:r>
            <w:r w:rsidR="007D07A8" w:rsidRPr="00513B5A">
              <w:rPr>
                <w:rFonts w:ascii="Times New Roman" w:hAnsi="Times New Roman" w:cs="Times New Roman"/>
                <w:sz w:val="24"/>
                <w:szCs w:val="24"/>
                <w:lang w:val="en-GB"/>
              </w:rPr>
              <w:t>4</w:t>
            </w:r>
            <w:r w:rsidR="00BD3B3A" w:rsidRPr="00513B5A">
              <w:rPr>
                <w:rFonts w:ascii="Times New Roman" w:hAnsi="Times New Roman" w:cs="Times New Roman"/>
                <w:sz w:val="24"/>
                <w:szCs w:val="24"/>
                <w:lang w:val="en-GB"/>
              </w:rPr>
              <w:t xml:space="preserve"> </w:t>
            </w:r>
            <w:r w:rsidR="00BD3B3A" w:rsidRPr="00513B5A">
              <w:rPr>
                <w:rFonts w:ascii="Times New Roman" w:hAnsi="Times New Roman" w:cs="Times New Roman"/>
                <w:i/>
                <w:sz w:val="24"/>
                <w:szCs w:val="24"/>
                <w:shd w:val="clear" w:color="auto" w:fill="FFFFFF"/>
                <w:lang w:val="en-GB"/>
              </w:rPr>
              <w:t xml:space="preserve">± </w:t>
            </w:r>
            <w:r w:rsidRPr="00513B5A">
              <w:rPr>
                <w:rFonts w:ascii="Times New Roman" w:hAnsi="Times New Roman" w:cs="Times New Roman"/>
                <w:i/>
                <w:sz w:val="24"/>
                <w:szCs w:val="24"/>
                <w:shd w:val="clear" w:color="auto" w:fill="FFFFFF"/>
                <w:lang w:val="en-GB"/>
              </w:rPr>
              <w:t>2</w:t>
            </w:r>
            <w:r w:rsidR="00BD3B3A" w:rsidRPr="00513B5A">
              <w:rPr>
                <w:rFonts w:ascii="Times New Roman" w:hAnsi="Times New Roman" w:cs="Times New Roman"/>
                <w:i/>
                <w:sz w:val="24"/>
                <w:szCs w:val="24"/>
                <w:shd w:val="clear" w:color="auto" w:fill="FFFFFF"/>
                <w:lang w:val="en-GB"/>
              </w:rPr>
              <w:t>.</w:t>
            </w:r>
            <w:r w:rsidR="007D07A8" w:rsidRPr="00513B5A">
              <w:rPr>
                <w:rFonts w:ascii="Times New Roman" w:hAnsi="Times New Roman" w:cs="Times New Roman"/>
                <w:i/>
                <w:sz w:val="24"/>
                <w:szCs w:val="24"/>
                <w:shd w:val="clear" w:color="auto" w:fill="FFFFFF"/>
                <w:lang w:val="en-GB"/>
              </w:rPr>
              <w:t>49</w:t>
            </w:r>
          </w:p>
        </w:tc>
      </w:tr>
      <w:tr w:rsidR="001A305E" w:rsidRPr="00513B5A" w14:paraId="4416D6B8" w14:textId="77777777" w:rsidTr="00EB12C1">
        <w:trPr>
          <w:trHeight w:val="380"/>
          <w:jc w:val="center"/>
        </w:trPr>
        <w:tc>
          <w:tcPr>
            <w:tcW w:w="729" w:type="dxa"/>
            <w:vMerge/>
            <w:tcBorders>
              <w:top w:val="nil"/>
              <w:left w:val="nil"/>
              <w:bottom w:val="single" w:sz="4" w:space="0" w:color="auto"/>
              <w:right w:val="nil"/>
            </w:tcBorders>
          </w:tcPr>
          <w:p w14:paraId="67CE1360" w14:textId="77777777" w:rsidR="00BD3B3A" w:rsidRPr="00513B5A" w:rsidRDefault="00BD3B3A" w:rsidP="00FC4E46">
            <w:pPr>
              <w:rPr>
                <w:rFonts w:ascii="Times New Roman" w:hAnsi="Times New Roman" w:cs="Times New Roman"/>
                <w:sz w:val="24"/>
                <w:szCs w:val="24"/>
                <w:lang w:val="en-GB"/>
              </w:rPr>
            </w:pPr>
          </w:p>
        </w:tc>
        <w:tc>
          <w:tcPr>
            <w:tcW w:w="2532" w:type="dxa"/>
            <w:gridSpan w:val="2"/>
            <w:tcBorders>
              <w:top w:val="nil"/>
              <w:left w:val="nil"/>
              <w:bottom w:val="nil"/>
              <w:right w:val="nil"/>
            </w:tcBorders>
          </w:tcPr>
          <w:p w14:paraId="67CA4368"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Other tropical/subtropical</w:t>
            </w:r>
          </w:p>
        </w:tc>
        <w:tc>
          <w:tcPr>
            <w:tcW w:w="1134" w:type="dxa"/>
            <w:tcBorders>
              <w:top w:val="nil"/>
              <w:left w:val="nil"/>
              <w:bottom w:val="nil"/>
              <w:right w:val="nil"/>
            </w:tcBorders>
          </w:tcPr>
          <w:p w14:paraId="5588DE72"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30.45</w:t>
            </w:r>
          </w:p>
        </w:tc>
        <w:tc>
          <w:tcPr>
            <w:tcW w:w="1984" w:type="dxa"/>
            <w:tcBorders>
              <w:top w:val="nil"/>
              <w:left w:val="nil"/>
              <w:bottom w:val="nil"/>
              <w:right w:val="nil"/>
            </w:tcBorders>
          </w:tcPr>
          <w:p w14:paraId="7ECAAA4E" w14:textId="72075155"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25.48**</w:t>
            </w:r>
          </w:p>
        </w:tc>
        <w:tc>
          <w:tcPr>
            <w:tcW w:w="1418" w:type="dxa"/>
            <w:tcBorders>
              <w:top w:val="nil"/>
              <w:left w:val="nil"/>
              <w:bottom w:val="nil"/>
              <w:right w:val="nil"/>
            </w:tcBorders>
          </w:tcPr>
          <w:p w14:paraId="3FF46BF2" w14:textId="22CB4434" w:rsidR="00BD3B3A" w:rsidRPr="00513B5A" w:rsidRDefault="00BD3B3A" w:rsidP="00CA49A0">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w:t>
            </w:r>
          </w:p>
        </w:tc>
        <w:tc>
          <w:tcPr>
            <w:tcW w:w="1468" w:type="dxa"/>
            <w:tcBorders>
              <w:top w:val="nil"/>
              <w:left w:val="nil"/>
              <w:bottom w:val="nil"/>
              <w:right w:val="nil"/>
            </w:tcBorders>
          </w:tcPr>
          <w:p w14:paraId="1EDDF543" w14:textId="28E8AD6F" w:rsidR="00BD3B3A" w:rsidRPr="00513B5A" w:rsidRDefault="00BD3B3A" w:rsidP="00CA49A0">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7.76**</w:t>
            </w:r>
          </w:p>
        </w:tc>
      </w:tr>
      <w:tr w:rsidR="001A305E" w:rsidRPr="00513B5A" w14:paraId="620ADDF6" w14:textId="77777777" w:rsidTr="00EB12C1">
        <w:trPr>
          <w:trHeight w:val="319"/>
          <w:jc w:val="center"/>
        </w:trPr>
        <w:tc>
          <w:tcPr>
            <w:tcW w:w="729" w:type="dxa"/>
            <w:vMerge/>
            <w:tcBorders>
              <w:top w:val="nil"/>
              <w:left w:val="nil"/>
              <w:bottom w:val="single" w:sz="4" w:space="0" w:color="auto"/>
              <w:right w:val="nil"/>
            </w:tcBorders>
          </w:tcPr>
          <w:p w14:paraId="3B382058" w14:textId="77777777" w:rsidR="00BD3B3A" w:rsidRPr="00513B5A" w:rsidRDefault="00BD3B3A" w:rsidP="00FC4E46">
            <w:pPr>
              <w:rPr>
                <w:rFonts w:ascii="Times New Roman" w:hAnsi="Times New Roman" w:cs="Times New Roman"/>
                <w:sz w:val="24"/>
                <w:szCs w:val="24"/>
                <w:lang w:val="en-GB"/>
              </w:rPr>
            </w:pPr>
          </w:p>
        </w:tc>
        <w:tc>
          <w:tcPr>
            <w:tcW w:w="2532" w:type="dxa"/>
            <w:gridSpan w:val="2"/>
            <w:tcBorders>
              <w:top w:val="nil"/>
              <w:left w:val="nil"/>
              <w:bottom w:val="nil"/>
              <w:right w:val="nil"/>
            </w:tcBorders>
          </w:tcPr>
          <w:p w14:paraId="733D9F17"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Temperate Forest</w:t>
            </w:r>
          </w:p>
        </w:tc>
        <w:tc>
          <w:tcPr>
            <w:tcW w:w="1134" w:type="dxa"/>
            <w:tcBorders>
              <w:top w:val="nil"/>
              <w:left w:val="nil"/>
              <w:bottom w:val="nil"/>
              <w:right w:val="nil"/>
            </w:tcBorders>
          </w:tcPr>
          <w:p w14:paraId="1E0D2E5E"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31.99</w:t>
            </w:r>
          </w:p>
        </w:tc>
        <w:tc>
          <w:tcPr>
            <w:tcW w:w="1984" w:type="dxa"/>
            <w:tcBorders>
              <w:top w:val="nil"/>
              <w:left w:val="nil"/>
              <w:bottom w:val="nil"/>
              <w:right w:val="nil"/>
            </w:tcBorders>
          </w:tcPr>
          <w:p w14:paraId="7AB88D1C" w14:textId="714C6C4F"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36.68 </w:t>
            </w:r>
            <w:r w:rsidRPr="00513B5A">
              <w:rPr>
                <w:rFonts w:ascii="Times New Roman" w:hAnsi="Times New Roman" w:cs="Times New Roman"/>
                <w:i/>
                <w:sz w:val="24"/>
                <w:szCs w:val="24"/>
                <w:shd w:val="clear" w:color="auto" w:fill="FFFFFF"/>
                <w:lang w:val="en-GB"/>
              </w:rPr>
              <w:t>± 3.15</w:t>
            </w:r>
          </w:p>
        </w:tc>
        <w:tc>
          <w:tcPr>
            <w:tcW w:w="1418" w:type="dxa"/>
            <w:tcBorders>
              <w:top w:val="nil"/>
              <w:left w:val="nil"/>
              <w:bottom w:val="nil"/>
              <w:right w:val="nil"/>
            </w:tcBorders>
          </w:tcPr>
          <w:p w14:paraId="150A5785"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109.21</w:t>
            </w:r>
          </w:p>
        </w:tc>
        <w:tc>
          <w:tcPr>
            <w:tcW w:w="1468" w:type="dxa"/>
            <w:tcBorders>
              <w:top w:val="nil"/>
              <w:left w:val="nil"/>
              <w:bottom w:val="nil"/>
              <w:right w:val="nil"/>
            </w:tcBorders>
          </w:tcPr>
          <w:p w14:paraId="48CC55F8" w14:textId="680A5FD1"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11.74 </w:t>
            </w:r>
            <w:r w:rsidRPr="00513B5A">
              <w:rPr>
                <w:rFonts w:ascii="Times New Roman" w:hAnsi="Times New Roman" w:cs="Times New Roman"/>
                <w:i/>
                <w:sz w:val="24"/>
                <w:szCs w:val="24"/>
                <w:shd w:val="clear" w:color="auto" w:fill="FFFFFF"/>
                <w:lang w:val="en-GB"/>
              </w:rPr>
              <w:t>± 1.01</w:t>
            </w:r>
          </w:p>
        </w:tc>
      </w:tr>
      <w:tr w:rsidR="001A305E" w:rsidRPr="00513B5A" w14:paraId="17D5B7F2" w14:textId="77777777" w:rsidTr="00EB12C1">
        <w:trPr>
          <w:trHeight w:val="300"/>
          <w:jc w:val="center"/>
        </w:trPr>
        <w:tc>
          <w:tcPr>
            <w:tcW w:w="729" w:type="dxa"/>
            <w:vMerge/>
            <w:tcBorders>
              <w:top w:val="nil"/>
              <w:left w:val="nil"/>
              <w:bottom w:val="single" w:sz="4" w:space="0" w:color="auto"/>
              <w:right w:val="nil"/>
            </w:tcBorders>
          </w:tcPr>
          <w:p w14:paraId="55F22286" w14:textId="77777777" w:rsidR="00BD3B3A" w:rsidRPr="00513B5A" w:rsidRDefault="00BD3B3A" w:rsidP="00FC4E46">
            <w:pPr>
              <w:rPr>
                <w:rFonts w:ascii="Times New Roman" w:hAnsi="Times New Roman" w:cs="Times New Roman"/>
                <w:sz w:val="24"/>
                <w:szCs w:val="24"/>
                <w:lang w:val="en-GB"/>
              </w:rPr>
            </w:pPr>
          </w:p>
        </w:tc>
        <w:tc>
          <w:tcPr>
            <w:tcW w:w="2532" w:type="dxa"/>
            <w:gridSpan w:val="2"/>
            <w:tcBorders>
              <w:top w:val="nil"/>
              <w:left w:val="nil"/>
              <w:bottom w:val="nil"/>
              <w:right w:val="nil"/>
            </w:tcBorders>
          </w:tcPr>
          <w:p w14:paraId="452347B2"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Boreal Forest</w:t>
            </w:r>
          </w:p>
        </w:tc>
        <w:tc>
          <w:tcPr>
            <w:tcW w:w="1134" w:type="dxa"/>
            <w:tcBorders>
              <w:top w:val="nil"/>
              <w:left w:val="nil"/>
              <w:bottom w:val="nil"/>
              <w:right w:val="nil"/>
            </w:tcBorders>
          </w:tcPr>
          <w:p w14:paraId="75824968"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71.89</w:t>
            </w:r>
          </w:p>
        </w:tc>
        <w:tc>
          <w:tcPr>
            <w:tcW w:w="1984" w:type="dxa"/>
            <w:tcBorders>
              <w:top w:val="nil"/>
              <w:left w:val="nil"/>
              <w:bottom w:val="nil"/>
              <w:right w:val="nil"/>
            </w:tcBorders>
          </w:tcPr>
          <w:p w14:paraId="22472181" w14:textId="16CA4446"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15.44 </w:t>
            </w:r>
            <w:r w:rsidRPr="00513B5A">
              <w:rPr>
                <w:rFonts w:ascii="Times New Roman" w:hAnsi="Times New Roman" w:cs="Times New Roman"/>
                <w:i/>
                <w:sz w:val="24"/>
                <w:szCs w:val="24"/>
                <w:shd w:val="clear" w:color="auto" w:fill="FFFFFF"/>
                <w:lang w:val="en-GB"/>
              </w:rPr>
              <w:t>± 3.90</w:t>
            </w:r>
          </w:p>
        </w:tc>
        <w:tc>
          <w:tcPr>
            <w:tcW w:w="1418" w:type="dxa"/>
            <w:tcBorders>
              <w:top w:val="nil"/>
              <w:left w:val="nil"/>
              <w:bottom w:val="nil"/>
              <w:right w:val="nil"/>
            </w:tcBorders>
          </w:tcPr>
          <w:p w14:paraId="1DDD1C1F"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126.28</w:t>
            </w:r>
          </w:p>
        </w:tc>
        <w:tc>
          <w:tcPr>
            <w:tcW w:w="1468" w:type="dxa"/>
            <w:tcBorders>
              <w:top w:val="nil"/>
              <w:left w:val="nil"/>
              <w:bottom w:val="nil"/>
              <w:right w:val="nil"/>
            </w:tcBorders>
          </w:tcPr>
          <w:p w14:paraId="468C84F6" w14:textId="43499694"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11.10 </w:t>
            </w:r>
            <w:r w:rsidRPr="00513B5A">
              <w:rPr>
                <w:rFonts w:ascii="Times New Roman" w:hAnsi="Times New Roman" w:cs="Times New Roman"/>
                <w:i/>
                <w:sz w:val="24"/>
                <w:szCs w:val="24"/>
                <w:shd w:val="clear" w:color="auto" w:fill="FFFFFF"/>
                <w:lang w:val="en-GB"/>
              </w:rPr>
              <w:t>± 2.80</w:t>
            </w:r>
          </w:p>
        </w:tc>
      </w:tr>
      <w:tr w:rsidR="001A305E" w:rsidRPr="00513B5A" w14:paraId="34D91FEC" w14:textId="77777777" w:rsidTr="00EB12C1">
        <w:trPr>
          <w:trHeight w:val="300"/>
          <w:jc w:val="center"/>
        </w:trPr>
        <w:tc>
          <w:tcPr>
            <w:tcW w:w="729" w:type="dxa"/>
            <w:vMerge/>
            <w:tcBorders>
              <w:top w:val="nil"/>
              <w:left w:val="nil"/>
              <w:bottom w:val="single" w:sz="4" w:space="0" w:color="auto"/>
              <w:right w:val="nil"/>
            </w:tcBorders>
          </w:tcPr>
          <w:p w14:paraId="7CFE8BF0" w14:textId="77777777" w:rsidR="00BD3B3A" w:rsidRPr="00513B5A" w:rsidRDefault="00BD3B3A" w:rsidP="00FC4E46">
            <w:pPr>
              <w:rPr>
                <w:rFonts w:ascii="Times New Roman" w:hAnsi="Times New Roman" w:cs="Times New Roman"/>
                <w:sz w:val="24"/>
                <w:szCs w:val="24"/>
                <w:lang w:val="en-GB"/>
              </w:rPr>
            </w:pPr>
          </w:p>
        </w:tc>
        <w:tc>
          <w:tcPr>
            <w:tcW w:w="2532" w:type="dxa"/>
            <w:gridSpan w:val="2"/>
            <w:tcBorders>
              <w:top w:val="nil"/>
              <w:left w:val="nil"/>
              <w:bottom w:val="nil"/>
              <w:right w:val="nil"/>
            </w:tcBorders>
          </w:tcPr>
          <w:p w14:paraId="4C4B6BE6" w14:textId="17C6933F"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Others Mid</w:t>
            </w:r>
            <w:r w:rsidR="00882EED">
              <w:rPr>
                <w:rFonts w:ascii="Times New Roman" w:hAnsi="Times New Roman" w:cs="Times New Roman"/>
                <w:i/>
                <w:sz w:val="24"/>
                <w:szCs w:val="24"/>
                <w:lang w:val="en-GB"/>
              </w:rPr>
              <w:t>-</w:t>
            </w:r>
            <w:r w:rsidRPr="00513B5A">
              <w:rPr>
                <w:rFonts w:ascii="Times New Roman" w:hAnsi="Times New Roman" w:cs="Times New Roman"/>
                <w:i/>
                <w:sz w:val="24"/>
                <w:szCs w:val="24"/>
                <w:lang w:val="en-GB"/>
              </w:rPr>
              <w:t>latitudes</w:t>
            </w:r>
          </w:p>
        </w:tc>
        <w:tc>
          <w:tcPr>
            <w:tcW w:w="1134" w:type="dxa"/>
            <w:tcBorders>
              <w:top w:val="nil"/>
              <w:left w:val="nil"/>
              <w:bottom w:val="nil"/>
              <w:right w:val="nil"/>
            </w:tcBorders>
          </w:tcPr>
          <w:p w14:paraId="04773E2F"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57.34</w:t>
            </w:r>
          </w:p>
        </w:tc>
        <w:tc>
          <w:tcPr>
            <w:tcW w:w="1984" w:type="dxa"/>
            <w:tcBorders>
              <w:top w:val="nil"/>
              <w:left w:val="nil"/>
              <w:bottom w:val="nil"/>
              <w:right w:val="nil"/>
            </w:tcBorders>
          </w:tcPr>
          <w:p w14:paraId="6D994C91" w14:textId="589FCB60"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38.90 </w:t>
            </w:r>
            <w:r w:rsidRPr="00513B5A">
              <w:rPr>
                <w:rFonts w:ascii="Times New Roman" w:hAnsi="Times New Roman" w:cs="Times New Roman"/>
                <w:i/>
                <w:sz w:val="24"/>
                <w:szCs w:val="24"/>
                <w:shd w:val="clear" w:color="auto" w:fill="FFFFFF"/>
                <w:lang w:val="en-GB"/>
              </w:rPr>
              <w:t xml:space="preserve">± </w:t>
            </w:r>
            <w:r w:rsidRPr="00513B5A">
              <w:rPr>
                <w:rFonts w:ascii="Times New Roman" w:hAnsi="Times New Roman" w:cs="Times New Roman"/>
                <w:i/>
                <w:sz w:val="24"/>
                <w:szCs w:val="24"/>
                <w:lang w:val="en-GB"/>
              </w:rPr>
              <w:t>8.44</w:t>
            </w:r>
          </w:p>
        </w:tc>
        <w:tc>
          <w:tcPr>
            <w:tcW w:w="1418" w:type="dxa"/>
            <w:tcBorders>
              <w:top w:val="nil"/>
              <w:left w:val="nil"/>
              <w:bottom w:val="nil"/>
              <w:right w:val="nil"/>
            </w:tcBorders>
          </w:tcPr>
          <w:p w14:paraId="2D1B390F"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86.84</w:t>
            </w:r>
          </w:p>
        </w:tc>
        <w:tc>
          <w:tcPr>
            <w:tcW w:w="1468" w:type="dxa"/>
            <w:tcBorders>
              <w:top w:val="nil"/>
              <w:left w:val="nil"/>
              <w:bottom w:val="nil"/>
              <w:right w:val="nil"/>
            </w:tcBorders>
          </w:tcPr>
          <w:p w14:paraId="0868BAF6" w14:textId="3F073EFA"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22.31 </w:t>
            </w:r>
            <w:r w:rsidRPr="00513B5A">
              <w:rPr>
                <w:rFonts w:ascii="Times New Roman" w:hAnsi="Times New Roman" w:cs="Times New Roman"/>
                <w:i/>
                <w:sz w:val="24"/>
                <w:szCs w:val="24"/>
                <w:shd w:val="clear" w:color="auto" w:fill="FFFFFF"/>
                <w:lang w:val="en-GB"/>
              </w:rPr>
              <w:t xml:space="preserve">± </w:t>
            </w:r>
            <w:r w:rsidRPr="00513B5A">
              <w:rPr>
                <w:rFonts w:ascii="Times New Roman" w:hAnsi="Times New Roman" w:cs="Times New Roman"/>
                <w:i/>
                <w:sz w:val="24"/>
                <w:szCs w:val="24"/>
                <w:lang w:val="en-GB"/>
              </w:rPr>
              <w:t>4.84</w:t>
            </w:r>
          </w:p>
        </w:tc>
      </w:tr>
      <w:tr w:rsidR="001A305E" w:rsidRPr="00513B5A" w14:paraId="461D5920" w14:textId="77777777" w:rsidTr="00EB12C1">
        <w:trPr>
          <w:trHeight w:val="525"/>
          <w:jc w:val="center"/>
        </w:trPr>
        <w:tc>
          <w:tcPr>
            <w:tcW w:w="729" w:type="dxa"/>
            <w:vMerge/>
            <w:tcBorders>
              <w:top w:val="nil"/>
              <w:left w:val="nil"/>
              <w:bottom w:val="single" w:sz="4" w:space="0" w:color="auto"/>
              <w:right w:val="nil"/>
            </w:tcBorders>
          </w:tcPr>
          <w:p w14:paraId="08AA6F30" w14:textId="77777777" w:rsidR="00BD3B3A" w:rsidRPr="00513B5A" w:rsidRDefault="00BD3B3A" w:rsidP="00FC4E46">
            <w:pPr>
              <w:rPr>
                <w:rFonts w:ascii="Times New Roman" w:hAnsi="Times New Roman" w:cs="Times New Roman"/>
                <w:sz w:val="24"/>
                <w:szCs w:val="24"/>
                <w:lang w:val="en-GB"/>
              </w:rPr>
            </w:pPr>
          </w:p>
        </w:tc>
        <w:tc>
          <w:tcPr>
            <w:tcW w:w="2532" w:type="dxa"/>
            <w:gridSpan w:val="2"/>
            <w:tcBorders>
              <w:top w:val="nil"/>
              <w:left w:val="nil"/>
              <w:bottom w:val="single" w:sz="4" w:space="0" w:color="auto"/>
              <w:right w:val="nil"/>
            </w:tcBorders>
          </w:tcPr>
          <w:p w14:paraId="0D783EBC"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Subpolar and Polar</w:t>
            </w:r>
          </w:p>
        </w:tc>
        <w:tc>
          <w:tcPr>
            <w:tcW w:w="1134" w:type="dxa"/>
            <w:tcBorders>
              <w:top w:val="nil"/>
              <w:left w:val="nil"/>
              <w:bottom w:val="single" w:sz="4" w:space="0" w:color="auto"/>
              <w:right w:val="nil"/>
            </w:tcBorders>
          </w:tcPr>
          <w:p w14:paraId="590B71E9"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37.16</w:t>
            </w:r>
          </w:p>
        </w:tc>
        <w:tc>
          <w:tcPr>
            <w:tcW w:w="1984" w:type="dxa"/>
            <w:tcBorders>
              <w:top w:val="nil"/>
              <w:left w:val="nil"/>
              <w:bottom w:val="single" w:sz="4" w:space="0" w:color="auto"/>
              <w:right w:val="nil"/>
            </w:tcBorders>
          </w:tcPr>
          <w:p w14:paraId="271DD9A7" w14:textId="034481E8"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10.92 </w:t>
            </w:r>
            <w:r w:rsidRPr="00513B5A">
              <w:rPr>
                <w:rFonts w:ascii="Times New Roman" w:hAnsi="Times New Roman" w:cs="Times New Roman"/>
                <w:i/>
                <w:sz w:val="24"/>
                <w:szCs w:val="24"/>
                <w:shd w:val="clear" w:color="auto" w:fill="FFFFFF"/>
                <w:lang w:val="en-GB"/>
              </w:rPr>
              <w:t>± 2.71</w:t>
            </w:r>
          </w:p>
        </w:tc>
        <w:tc>
          <w:tcPr>
            <w:tcW w:w="1418" w:type="dxa"/>
            <w:tcBorders>
              <w:top w:val="nil"/>
              <w:left w:val="nil"/>
              <w:bottom w:val="single" w:sz="4" w:space="0" w:color="auto"/>
              <w:right w:val="nil"/>
            </w:tcBorders>
          </w:tcPr>
          <w:p w14:paraId="3F33A59F"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74.38</w:t>
            </w:r>
          </w:p>
        </w:tc>
        <w:tc>
          <w:tcPr>
            <w:tcW w:w="1468" w:type="dxa"/>
            <w:tcBorders>
              <w:top w:val="nil"/>
              <w:left w:val="nil"/>
              <w:bottom w:val="single" w:sz="4" w:space="0" w:color="auto"/>
              <w:right w:val="nil"/>
            </w:tcBorders>
          </w:tcPr>
          <w:p w14:paraId="3B65A951" w14:textId="0C2A5E6A"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4.06 </w:t>
            </w:r>
            <w:r w:rsidRPr="00513B5A">
              <w:rPr>
                <w:rFonts w:ascii="Times New Roman" w:hAnsi="Times New Roman" w:cs="Times New Roman"/>
                <w:i/>
                <w:sz w:val="24"/>
                <w:szCs w:val="24"/>
                <w:shd w:val="clear" w:color="auto" w:fill="FFFFFF"/>
                <w:lang w:val="en-GB"/>
              </w:rPr>
              <w:t>± 1.01</w:t>
            </w:r>
          </w:p>
        </w:tc>
      </w:tr>
      <w:tr w:rsidR="001A305E" w:rsidRPr="00513B5A" w14:paraId="6333B0D6" w14:textId="77777777" w:rsidTr="00EB12C1">
        <w:trPr>
          <w:trHeight w:val="376"/>
          <w:jc w:val="center"/>
        </w:trPr>
        <w:tc>
          <w:tcPr>
            <w:tcW w:w="729" w:type="dxa"/>
            <w:vMerge w:val="restart"/>
            <w:tcBorders>
              <w:top w:val="single" w:sz="4" w:space="0" w:color="auto"/>
              <w:left w:val="nil"/>
              <w:bottom w:val="single" w:sz="4" w:space="0" w:color="auto"/>
              <w:right w:val="nil"/>
            </w:tcBorders>
            <w:textDirection w:val="btLr"/>
            <w:vAlign w:val="center"/>
          </w:tcPr>
          <w:p w14:paraId="6EF0EC26" w14:textId="28EE78D5" w:rsidR="00BD3B3A" w:rsidRPr="00513B5A" w:rsidRDefault="00BD3B3A" w:rsidP="00FC4E46">
            <w:pPr>
              <w:ind w:left="113" w:right="113"/>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rPr>
              <w:t>Human</w:t>
            </w:r>
            <w:r w:rsidR="00D101CD">
              <w:rPr>
                <w:rFonts w:ascii="Times New Roman" w:hAnsi="Times New Roman" w:cs="Times New Roman"/>
                <w:b/>
                <w:sz w:val="24"/>
                <w:szCs w:val="24"/>
                <w:lang w:val="en-GB"/>
              </w:rPr>
              <w:t>-</w:t>
            </w:r>
            <w:r w:rsidRPr="00513B5A">
              <w:rPr>
                <w:rFonts w:ascii="Times New Roman" w:hAnsi="Times New Roman" w:cs="Times New Roman"/>
                <w:b/>
                <w:sz w:val="24"/>
                <w:szCs w:val="24"/>
                <w:lang w:val="en-GB"/>
              </w:rPr>
              <w:t>altered</w:t>
            </w:r>
          </w:p>
        </w:tc>
        <w:tc>
          <w:tcPr>
            <w:tcW w:w="2532" w:type="dxa"/>
            <w:gridSpan w:val="2"/>
            <w:tcBorders>
              <w:top w:val="single" w:sz="4" w:space="0" w:color="auto"/>
              <w:left w:val="nil"/>
              <w:bottom w:val="nil"/>
              <w:right w:val="nil"/>
            </w:tcBorders>
            <w:vAlign w:val="center"/>
          </w:tcPr>
          <w:p w14:paraId="2BA0719B" w14:textId="77777777" w:rsidR="00BD3B3A" w:rsidRPr="00513B5A" w:rsidRDefault="00BD3B3A" w:rsidP="00FC4E46">
            <w:pPr>
              <w:rPr>
                <w:rFonts w:ascii="Times New Roman" w:hAnsi="Times New Roman" w:cs="Times New Roman"/>
                <w:i/>
                <w:sz w:val="24"/>
                <w:szCs w:val="24"/>
                <w:lang w:val="en-GB"/>
              </w:rPr>
            </w:pPr>
          </w:p>
          <w:p w14:paraId="45330E44"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 xml:space="preserve">Cold (&lt;7.5 </w:t>
            </w:r>
            <w:r w:rsidRPr="00513B5A">
              <w:rPr>
                <w:rFonts w:ascii="Times New Roman" w:hAnsi="Times New Roman" w:cs="Times New Roman"/>
                <w:i/>
                <w:sz w:val="24"/>
                <w:szCs w:val="24"/>
                <w:shd w:val="clear" w:color="auto" w:fill="FFFFFF"/>
                <w:lang w:val="en-GB"/>
              </w:rPr>
              <w:t>°</w:t>
            </w:r>
            <w:r w:rsidRPr="00513B5A">
              <w:rPr>
                <w:rFonts w:ascii="Times New Roman" w:hAnsi="Times New Roman" w:cs="Times New Roman"/>
                <w:i/>
                <w:sz w:val="24"/>
                <w:szCs w:val="24"/>
                <w:lang w:val="en-GB"/>
              </w:rPr>
              <w:t>C)</w:t>
            </w:r>
          </w:p>
        </w:tc>
        <w:tc>
          <w:tcPr>
            <w:tcW w:w="1134" w:type="dxa"/>
            <w:tcBorders>
              <w:top w:val="single" w:sz="4" w:space="0" w:color="auto"/>
              <w:left w:val="nil"/>
              <w:bottom w:val="nil"/>
              <w:right w:val="nil"/>
            </w:tcBorders>
            <w:vAlign w:val="center"/>
          </w:tcPr>
          <w:p w14:paraId="52B72111"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9.71</w:t>
            </w:r>
          </w:p>
        </w:tc>
        <w:tc>
          <w:tcPr>
            <w:tcW w:w="1984" w:type="dxa"/>
            <w:tcBorders>
              <w:top w:val="single" w:sz="4" w:space="0" w:color="auto"/>
              <w:left w:val="nil"/>
              <w:bottom w:val="nil"/>
              <w:right w:val="nil"/>
            </w:tcBorders>
            <w:vAlign w:val="center"/>
          </w:tcPr>
          <w:p w14:paraId="567C6543" w14:textId="7FB8544E"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48.60 </w:t>
            </w:r>
            <w:r w:rsidRPr="00513B5A">
              <w:rPr>
                <w:rFonts w:ascii="Times New Roman" w:hAnsi="Times New Roman" w:cs="Times New Roman"/>
                <w:i/>
                <w:sz w:val="24"/>
                <w:szCs w:val="24"/>
                <w:shd w:val="clear" w:color="auto" w:fill="FFFFFF"/>
                <w:lang w:val="en-GB"/>
              </w:rPr>
              <w:t>± 3.25</w:t>
            </w:r>
          </w:p>
        </w:tc>
        <w:tc>
          <w:tcPr>
            <w:tcW w:w="1418" w:type="dxa"/>
            <w:tcBorders>
              <w:top w:val="single" w:sz="4" w:space="0" w:color="auto"/>
              <w:left w:val="nil"/>
              <w:bottom w:val="nil"/>
              <w:right w:val="nil"/>
            </w:tcBorders>
            <w:vAlign w:val="center"/>
          </w:tcPr>
          <w:p w14:paraId="7D459E3E"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65.76</w:t>
            </w:r>
          </w:p>
        </w:tc>
        <w:tc>
          <w:tcPr>
            <w:tcW w:w="1468" w:type="dxa"/>
            <w:tcBorders>
              <w:top w:val="single" w:sz="4" w:space="0" w:color="auto"/>
              <w:left w:val="nil"/>
              <w:bottom w:val="nil"/>
              <w:right w:val="nil"/>
            </w:tcBorders>
            <w:vAlign w:val="center"/>
          </w:tcPr>
          <w:p w14:paraId="72D4A7BB" w14:textId="2A0EBC34"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4.72 </w:t>
            </w:r>
            <w:r w:rsidRPr="00513B5A">
              <w:rPr>
                <w:rFonts w:ascii="Times New Roman" w:hAnsi="Times New Roman" w:cs="Times New Roman"/>
                <w:i/>
                <w:sz w:val="24"/>
                <w:szCs w:val="24"/>
                <w:shd w:val="clear" w:color="auto" w:fill="FFFFFF"/>
                <w:lang w:val="en-GB"/>
              </w:rPr>
              <w:t>± 0.32</w:t>
            </w:r>
          </w:p>
        </w:tc>
      </w:tr>
      <w:tr w:rsidR="001A305E" w:rsidRPr="00513B5A" w14:paraId="2A9E8B2D" w14:textId="77777777" w:rsidTr="00EB12C1">
        <w:trPr>
          <w:trHeight w:val="982"/>
          <w:jc w:val="center"/>
        </w:trPr>
        <w:tc>
          <w:tcPr>
            <w:tcW w:w="729" w:type="dxa"/>
            <w:vMerge/>
            <w:tcBorders>
              <w:top w:val="single" w:sz="4" w:space="0" w:color="auto"/>
              <w:left w:val="nil"/>
              <w:bottom w:val="single" w:sz="4" w:space="0" w:color="auto"/>
              <w:right w:val="nil"/>
            </w:tcBorders>
          </w:tcPr>
          <w:p w14:paraId="5113DDFA" w14:textId="77777777" w:rsidR="00BD3B3A" w:rsidRPr="00513B5A" w:rsidRDefault="00BD3B3A" w:rsidP="00FC4E46">
            <w:pPr>
              <w:rPr>
                <w:rFonts w:ascii="Times New Roman" w:hAnsi="Times New Roman" w:cs="Times New Roman"/>
                <w:sz w:val="24"/>
                <w:szCs w:val="24"/>
                <w:lang w:val="en-GB" w:eastAsia="pt-BR"/>
              </w:rPr>
            </w:pPr>
          </w:p>
        </w:tc>
        <w:tc>
          <w:tcPr>
            <w:tcW w:w="2532" w:type="dxa"/>
            <w:gridSpan w:val="2"/>
            <w:tcBorders>
              <w:top w:val="nil"/>
              <w:left w:val="nil"/>
              <w:bottom w:val="nil"/>
              <w:right w:val="nil"/>
            </w:tcBorders>
            <w:vAlign w:val="center"/>
          </w:tcPr>
          <w:p w14:paraId="0237B0AB"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eastAsia="pt-BR"/>
              </w:rPr>
              <w:t xml:space="preserve">Moderate </w:t>
            </w:r>
            <w:r w:rsidRPr="00513B5A">
              <w:rPr>
                <w:rFonts w:ascii="Times New Roman" w:hAnsi="Times New Roman" w:cs="Times New Roman"/>
                <w:i/>
                <w:sz w:val="24"/>
                <w:szCs w:val="24"/>
                <w:lang w:val="en-GB"/>
              </w:rPr>
              <w:t xml:space="preserve">(7.5 - 15 </w:t>
            </w:r>
            <w:r w:rsidRPr="00513B5A">
              <w:rPr>
                <w:rFonts w:ascii="Times New Roman" w:hAnsi="Times New Roman" w:cs="Times New Roman"/>
                <w:i/>
                <w:sz w:val="24"/>
                <w:szCs w:val="24"/>
                <w:shd w:val="clear" w:color="auto" w:fill="FFFFFF"/>
                <w:lang w:val="en-GB"/>
              </w:rPr>
              <w:t>°</w:t>
            </w:r>
            <w:r w:rsidRPr="00513B5A">
              <w:rPr>
                <w:rFonts w:ascii="Times New Roman" w:hAnsi="Times New Roman" w:cs="Times New Roman"/>
                <w:i/>
                <w:sz w:val="24"/>
                <w:szCs w:val="24"/>
                <w:lang w:val="en-GB"/>
              </w:rPr>
              <w:t>C)</w:t>
            </w:r>
          </w:p>
        </w:tc>
        <w:tc>
          <w:tcPr>
            <w:tcW w:w="1134" w:type="dxa"/>
            <w:tcBorders>
              <w:top w:val="nil"/>
              <w:left w:val="nil"/>
              <w:bottom w:val="nil"/>
              <w:right w:val="nil"/>
            </w:tcBorders>
            <w:vAlign w:val="center"/>
          </w:tcPr>
          <w:p w14:paraId="2D81325D"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14.79</w:t>
            </w:r>
          </w:p>
        </w:tc>
        <w:tc>
          <w:tcPr>
            <w:tcW w:w="1984" w:type="dxa"/>
            <w:tcBorders>
              <w:top w:val="nil"/>
              <w:left w:val="nil"/>
              <w:bottom w:val="nil"/>
              <w:right w:val="nil"/>
            </w:tcBorders>
            <w:vAlign w:val="center"/>
          </w:tcPr>
          <w:p w14:paraId="5075F400" w14:textId="5D874180"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44.89 </w:t>
            </w:r>
            <w:r w:rsidRPr="00513B5A">
              <w:rPr>
                <w:rFonts w:ascii="Times New Roman" w:hAnsi="Times New Roman" w:cs="Times New Roman"/>
                <w:i/>
                <w:sz w:val="24"/>
                <w:szCs w:val="24"/>
                <w:shd w:val="clear" w:color="auto" w:fill="FFFFFF"/>
                <w:lang w:val="en-GB"/>
              </w:rPr>
              <w:t>± 6.08</w:t>
            </w:r>
          </w:p>
        </w:tc>
        <w:tc>
          <w:tcPr>
            <w:tcW w:w="1418" w:type="dxa"/>
            <w:tcBorders>
              <w:top w:val="nil"/>
              <w:left w:val="nil"/>
              <w:bottom w:val="nil"/>
              <w:right w:val="nil"/>
            </w:tcBorders>
            <w:vAlign w:val="center"/>
          </w:tcPr>
          <w:p w14:paraId="581E8927"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72.93</w:t>
            </w:r>
          </w:p>
        </w:tc>
        <w:tc>
          <w:tcPr>
            <w:tcW w:w="1468" w:type="dxa"/>
            <w:tcBorders>
              <w:top w:val="nil"/>
              <w:left w:val="nil"/>
              <w:bottom w:val="nil"/>
              <w:right w:val="nil"/>
            </w:tcBorders>
            <w:vAlign w:val="center"/>
          </w:tcPr>
          <w:p w14:paraId="26807F40" w14:textId="1256D6F5"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6.64 </w:t>
            </w:r>
            <w:r w:rsidRPr="00513B5A">
              <w:rPr>
                <w:rFonts w:ascii="Times New Roman" w:hAnsi="Times New Roman" w:cs="Times New Roman"/>
                <w:i/>
                <w:sz w:val="24"/>
                <w:szCs w:val="24"/>
                <w:shd w:val="clear" w:color="auto" w:fill="FFFFFF"/>
                <w:lang w:val="en-GB"/>
              </w:rPr>
              <w:t>± 0.90</w:t>
            </w:r>
          </w:p>
        </w:tc>
      </w:tr>
      <w:tr w:rsidR="001A305E" w:rsidRPr="00513B5A" w14:paraId="1EDC0A72" w14:textId="77777777" w:rsidTr="00EB12C1">
        <w:trPr>
          <w:trHeight w:val="430"/>
          <w:jc w:val="center"/>
        </w:trPr>
        <w:tc>
          <w:tcPr>
            <w:tcW w:w="729" w:type="dxa"/>
            <w:vMerge/>
            <w:tcBorders>
              <w:top w:val="single" w:sz="4" w:space="0" w:color="auto"/>
              <w:left w:val="nil"/>
              <w:bottom w:val="single" w:sz="4" w:space="0" w:color="auto"/>
              <w:right w:val="nil"/>
            </w:tcBorders>
          </w:tcPr>
          <w:p w14:paraId="1F4DF76B" w14:textId="77777777" w:rsidR="00BD3B3A" w:rsidRPr="00513B5A" w:rsidRDefault="00BD3B3A" w:rsidP="00FC4E46">
            <w:pPr>
              <w:rPr>
                <w:rFonts w:ascii="Times New Roman" w:hAnsi="Times New Roman" w:cs="Times New Roman"/>
                <w:sz w:val="24"/>
                <w:szCs w:val="24"/>
                <w:lang w:val="en-GB" w:eastAsia="pt-BR"/>
              </w:rPr>
            </w:pPr>
          </w:p>
        </w:tc>
        <w:tc>
          <w:tcPr>
            <w:tcW w:w="2532" w:type="dxa"/>
            <w:gridSpan w:val="2"/>
            <w:tcBorders>
              <w:top w:val="nil"/>
              <w:left w:val="nil"/>
              <w:bottom w:val="single" w:sz="4" w:space="0" w:color="auto"/>
              <w:right w:val="nil"/>
            </w:tcBorders>
            <w:vAlign w:val="center"/>
          </w:tcPr>
          <w:p w14:paraId="0D1994F2"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eastAsia="pt-BR"/>
              </w:rPr>
              <w:t xml:space="preserve">Warm </w:t>
            </w:r>
            <w:r w:rsidRPr="00513B5A">
              <w:rPr>
                <w:rFonts w:ascii="Times New Roman" w:hAnsi="Times New Roman" w:cs="Times New Roman"/>
                <w:i/>
                <w:sz w:val="24"/>
                <w:szCs w:val="24"/>
                <w:lang w:val="en-GB"/>
              </w:rPr>
              <w:t>(&gt;15</w:t>
            </w:r>
            <w:r w:rsidRPr="00513B5A">
              <w:rPr>
                <w:rFonts w:ascii="Times New Roman" w:hAnsi="Times New Roman" w:cs="Times New Roman"/>
                <w:i/>
                <w:sz w:val="24"/>
                <w:szCs w:val="24"/>
                <w:shd w:val="clear" w:color="auto" w:fill="FFFFFF"/>
                <w:lang w:val="en-GB"/>
              </w:rPr>
              <w:t>°</w:t>
            </w:r>
            <w:r w:rsidRPr="00513B5A">
              <w:rPr>
                <w:rFonts w:ascii="Times New Roman" w:hAnsi="Times New Roman" w:cs="Times New Roman"/>
                <w:i/>
                <w:sz w:val="24"/>
                <w:szCs w:val="24"/>
                <w:lang w:val="en-GB"/>
              </w:rPr>
              <w:t>C)</w:t>
            </w:r>
          </w:p>
        </w:tc>
        <w:tc>
          <w:tcPr>
            <w:tcW w:w="1134" w:type="dxa"/>
            <w:tcBorders>
              <w:top w:val="nil"/>
              <w:left w:val="nil"/>
              <w:bottom w:val="single" w:sz="4" w:space="0" w:color="auto"/>
              <w:right w:val="nil"/>
            </w:tcBorders>
            <w:vAlign w:val="center"/>
          </w:tcPr>
          <w:p w14:paraId="2973CFEC"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7.17</w:t>
            </w:r>
          </w:p>
        </w:tc>
        <w:tc>
          <w:tcPr>
            <w:tcW w:w="1984" w:type="dxa"/>
            <w:tcBorders>
              <w:top w:val="nil"/>
              <w:left w:val="nil"/>
              <w:bottom w:val="single" w:sz="4" w:space="0" w:color="auto"/>
              <w:right w:val="nil"/>
            </w:tcBorders>
            <w:vAlign w:val="center"/>
          </w:tcPr>
          <w:p w14:paraId="5AFC5990" w14:textId="77777777"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49.62 </w:t>
            </w:r>
            <w:r w:rsidRPr="00513B5A">
              <w:rPr>
                <w:rFonts w:ascii="Times New Roman" w:hAnsi="Times New Roman" w:cs="Times New Roman"/>
                <w:i/>
                <w:sz w:val="24"/>
                <w:szCs w:val="24"/>
                <w:shd w:val="clear" w:color="auto" w:fill="FFFFFF"/>
                <w:lang w:val="en-GB"/>
              </w:rPr>
              <w:t>±10.10</w:t>
            </w:r>
          </w:p>
        </w:tc>
        <w:tc>
          <w:tcPr>
            <w:tcW w:w="1418" w:type="dxa"/>
            <w:tcBorders>
              <w:top w:val="nil"/>
              <w:left w:val="nil"/>
              <w:bottom w:val="single" w:sz="4" w:space="0" w:color="auto"/>
              <w:right w:val="nil"/>
            </w:tcBorders>
            <w:vAlign w:val="center"/>
          </w:tcPr>
          <w:p w14:paraId="1E04D86F"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99.49</w:t>
            </w:r>
          </w:p>
        </w:tc>
        <w:tc>
          <w:tcPr>
            <w:tcW w:w="1468" w:type="dxa"/>
            <w:tcBorders>
              <w:top w:val="nil"/>
              <w:left w:val="nil"/>
              <w:bottom w:val="single" w:sz="4" w:space="0" w:color="auto"/>
              <w:right w:val="nil"/>
            </w:tcBorders>
            <w:vAlign w:val="center"/>
          </w:tcPr>
          <w:p w14:paraId="3AEFDC1D" w14:textId="28813418"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3.56 </w:t>
            </w:r>
            <w:r w:rsidRPr="00513B5A">
              <w:rPr>
                <w:rFonts w:ascii="Times New Roman" w:hAnsi="Times New Roman" w:cs="Times New Roman"/>
                <w:i/>
                <w:sz w:val="24"/>
                <w:szCs w:val="24"/>
                <w:shd w:val="clear" w:color="auto" w:fill="FFFFFF"/>
                <w:lang w:val="en-GB"/>
              </w:rPr>
              <w:t>± 0.72</w:t>
            </w:r>
          </w:p>
        </w:tc>
      </w:tr>
      <w:tr w:rsidR="00BD3B3A" w:rsidRPr="00513B5A" w14:paraId="6F9CA6CF" w14:textId="77777777" w:rsidTr="00EB12C1">
        <w:trPr>
          <w:trHeight w:val="420"/>
          <w:jc w:val="center"/>
        </w:trPr>
        <w:tc>
          <w:tcPr>
            <w:tcW w:w="3261" w:type="dxa"/>
            <w:gridSpan w:val="3"/>
            <w:tcBorders>
              <w:top w:val="nil"/>
              <w:left w:val="nil"/>
              <w:bottom w:val="single" w:sz="4" w:space="0" w:color="auto"/>
              <w:right w:val="nil"/>
            </w:tcBorders>
            <w:vAlign w:val="center"/>
          </w:tcPr>
          <w:p w14:paraId="7A897CF2" w14:textId="77777777" w:rsidR="00BD3B3A" w:rsidRPr="00513B5A" w:rsidRDefault="00BD3B3A" w:rsidP="00CA49A0">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eastAsia="pt-BR"/>
              </w:rPr>
              <w:t>Global</w:t>
            </w:r>
          </w:p>
        </w:tc>
        <w:tc>
          <w:tcPr>
            <w:tcW w:w="1134" w:type="dxa"/>
            <w:tcBorders>
              <w:top w:val="nil"/>
              <w:left w:val="nil"/>
              <w:bottom w:val="single" w:sz="4" w:space="0" w:color="auto"/>
              <w:right w:val="nil"/>
            </w:tcBorders>
            <w:vAlign w:val="center"/>
          </w:tcPr>
          <w:p w14:paraId="078B3F56" w14:textId="0AB7B989" w:rsidR="00BD3B3A" w:rsidRPr="00513B5A" w:rsidRDefault="00BD3B3A" w:rsidP="00CA49A0">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267</w:t>
            </w:r>
          </w:p>
        </w:tc>
        <w:tc>
          <w:tcPr>
            <w:tcW w:w="1984" w:type="dxa"/>
            <w:tcBorders>
              <w:top w:val="nil"/>
              <w:left w:val="nil"/>
              <w:bottom w:val="single" w:sz="4" w:space="0" w:color="auto"/>
              <w:right w:val="nil"/>
            </w:tcBorders>
            <w:vAlign w:val="center"/>
          </w:tcPr>
          <w:p w14:paraId="04097D9E" w14:textId="7215589A" w:rsidR="00BD3B3A" w:rsidRPr="00513B5A" w:rsidRDefault="00BD3B3A" w:rsidP="008F22EC">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29.</w:t>
            </w:r>
            <w:r w:rsidR="007D07A8" w:rsidRPr="00513B5A">
              <w:rPr>
                <w:rFonts w:ascii="Times New Roman" w:hAnsi="Times New Roman" w:cs="Times New Roman"/>
                <w:sz w:val="24"/>
                <w:szCs w:val="24"/>
                <w:lang w:val="en-GB"/>
              </w:rPr>
              <w:t>70</w:t>
            </w:r>
            <w:r w:rsidRPr="00513B5A">
              <w:rPr>
                <w:rFonts w:ascii="Times New Roman" w:hAnsi="Times New Roman" w:cs="Times New Roman"/>
                <w:sz w:val="24"/>
                <w:szCs w:val="24"/>
                <w:lang w:val="en-GB"/>
              </w:rPr>
              <w:t xml:space="preserve"> </w:t>
            </w:r>
            <w:r w:rsidRPr="00513B5A">
              <w:rPr>
                <w:rFonts w:ascii="Times New Roman" w:hAnsi="Times New Roman" w:cs="Times New Roman"/>
                <w:i/>
                <w:sz w:val="24"/>
                <w:szCs w:val="24"/>
                <w:shd w:val="clear" w:color="auto" w:fill="FFFFFF"/>
                <w:lang w:val="en-GB"/>
              </w:rPr>
              <w:t>±5.3</w:t>
            </w:r>
            <w:r w:rsidRPr="00513B5A">
              <w:rPr>
                <w:rFonts w:ascii="Times New Roman" w:hAnsi="Times New Roman" w:cs="Times New Roman"/>
                <w:sz w:val="24"/>
                <w:szCs w:val="24"/>
                <w:lang w:val="en-GB"/>
              </w:rPr>
              <w:t>*</w:t>
            </w:r>
          </w:p>
        </w:tc>
        <w:tc>
          <w:tcPr>
            <w:tcW w:w="1418" w:type="dxa"/>
            <w:tcBorders>
              <w:top w:val="nil"/>
              <w:left w:val="nil"/>
              <w:bottom w:val="single" w:sz="4" w:space="0" w:color="auto"/>
              <w:right w:val="nil"/>
            </w:tcBorders>
            <w:vAlign w:val="center"/>
          </w:tcPr>
          <w:p w14:paraId="7B24D2CA" w14:textId="77777777" w:rsidR="00BD3B3A" w:rsidRPr="00513B5A" w:rsidRDefault="00BD3B3A" w:rsidP="00CA49A0">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w:t>
            </w:r>
          </w:p>
        </w:tc>
        <w:tc>
          <w:tcPr>
            <w:tcW w:w="1468" w:type="dxa"/>
            <w:tcBorders>
              <w:top w:val="nil"/>
              <w:left w:val="nil"/>
              <w:bottom w:val="single" w:sz="4" w:space="0" w:color="auto"/>
              <w:right w:val="nil"/>
            </w:tcBorders>
            <w:vAlign w:val="center"/>
          </w:tcPr>
          <w:p w14:paraId="4EB778A8" w14:textId="4AF78C8E" w:rsidR="00BD3B3A" w:rsidRPr="00513B5A" w:rsidRDefault="00BD3B3A" w:rsidP="00CA49A0">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79.</w:t>
            </w:r>
            <w:r w:rsidR="0085774F" w:rsidRPr="00513B5A">
              <w:rPr>
                <w:rFonts w:ascii="Times New Roman" w:hAnsi="Times New Roman" w:cs="Times New Roman"/>
                <w:sz w:val="24"/>
                <w:szCs w:val="24"/>
                <w:lang w:val="en-GB"/>
              </w:rPr>
              <w:t>9</w:t>
            </w:r>
            <w:r w:rsidR="005417D6" w:rsidRPr="00513B5A">
              <w:rPr>
                <w:rFonts w:ascii="Times New Roman" w:hAnsi="Times New Roman" w:cs="Times New Roman"/>
                <w:sz w:val="24"/>
                <w:szCs w:val="24"/>
                <w:lang w:val="en-GB"/>
              </w:rPr>
              <w:t>7</w:t>
            </w:r>
            <w:r w:rsidRPr="00513B5A">
              <w:rPr>
                <w:rFonts w:ascii="Times New Roman" w:hAnsi="Times New Roman" w:cs="Times New Roman"/>
                <w:sz w:val="24"/>
                <w:szCs w:val="24"/>
                <w:lang w:val="en-GB"/>
              </w:rPr>
              <w:t xml:space="preserve"> </w:t>
            </w:r>
            <w:r w:rsidRPr="00513B5A">
              <w:rPr>
                <w:rFonts w:ascii="Times New Roman" w:hAnsi="Times New Roman" w:cs="Times New Roman"/>
                <w:i/>
                <w:sz w:val="24"/>
                <w:szCs w:val="24"/>
                <w:shd w:val="clear" w:color="auto" w:fill="FFFFFF"/>
                <w:lang w:val="en-GB"/>
              </w:rPr>
              <w:t>±1</w:t>
            </w:r>
            <w:r w:rsidR="0085774F" w:rsidRPr="00513B5A">
              <w:rPr>
                <w:rFonts w:ascii="Times New Roman" w:hAnsi="Times New Roman" w:cs="Times New Roman"/>
                <w:i/>
                <w:sz w:val="24"/>
                <w:szCs w:val="24"/>
                <w:shd w:val="clear" w:color="auto" w:fill="FFFFFF"/>
                <w:lang w:val="en-GB"/>
              </w:rPr>
              <w:t>2</w:t>
            </w:r>
            <w:r w:rsidRPr="00513B5A">
              <w:rPr>
                <w:rFonts w:ascii="Times New Roman" w:hAnsi="Times New Roman" w:cs="Times New Roman"/>
                <w:i/>
                <w:sz w:val="24"/>
                <w:szCs w:val="24"/>
                <w:shd w:val="clear" w:color="auto" w:fill="FFFFFF"/>
                <w:lang w:val="en-GB"/>
              </w:rPr>
              <w:t>.</w:t>
            </w:r>
            <w:r w:rsidR="0085774F" w:rsidRPr="00513B5A">
              <w:rPr>
                <w:rFonts w:ascii="Times New Roman" w:hAnsi="Times New Roman" w:cs="Times New Roman"/>
                <w:i/>
                <w:sz w:val="24"/>
                <w:szCs w:val="24"/>
                <w:shd w:val="clear" w:color="auto" w:fill="FFFFFF"/>
                <w:lang w:val="en-GB"/>
              </w:rPr>
              <w:t>7</w:t>
            </w:r>
            <w:r w:rsidR="005417D6" w:rsidRPr="00513B5A">
              <w:rPr>
                <w:rFonts w:ascii="Times New Roman" w:hAnsi="Times New Roman" w:cs="Times New Roman"/>
                <w:i/>
                <w:sz w:val="24"/>
                <w:szCs w:val="24"/>
                <w:shd w:val="clear" w:color="auto" w:fill="FFFFFF"/>
                <w:lang w:val="en-GB"/>
              </w:rPr>
              <w:t>7</w:t>
            </w:r>
          </w:p>
        </w:tc>
      </w:tr>
      <w:bookmarkEnd w:id="0"/>
      <w:bookmarkEnd w:id="1"/>
      <w:bookmarkEnd w:id="2"/>
    </w:tbl>
    <w:p w14:paraId="67B854F9" w14:textId="77777777" w:rsidR="00BD3B3A" w:rsidRPr="00513B5A" w:rsidRDefault="00BD3B3A" w:rsidP="00BD3B3A">
      <w:pPr>
        <w:spacing w:line="480" w:lineRule="auto"/>
        <w:jc w:val="both"/>
        <w:rPr>
          <w:rFonts w:ascii="Times New Roman" w:hAnsi="Times New Roman" w:cs="Times New Roman"/>
          <w:sz w:val="24"/>
          <w:szCs w:val="24"/>
          <w:lang w:val="en-GB"/>
        </w:rPr>
      </w:pPr>
    </w:p>
    <w:p w14:paraId="25A0C560" w14:textId="77777777" w:rsidR="00BD3B3A" w:rsidRPr="00513B5A" w:rsidRDefault="00BD3B3A" w:rsidP="00BD3B3A">
      <w:pPr>
        <w:spacing w:line="480" w:lineRule="auto"/>
        <w:jc w:val="both"/>
        <w:rPr>
          <w:rFonts w:ascii="Times New Roman" w:hAnsi="Times New Roman" w:cs="Times New Roman"/>
          <w:sz w:val="24"/>
          <w:szCs w:val="24"/>
          <w:lang w:val="en-GB"/>
        </w:rPr>
        <w:sectPr w:rsidR="00BD3B3A" w:rsidRPr="00513B5A" w:rsidSect="00FC4E46">
          <w:footerReference w:type="default" r:id="rId8"/>
          <w:pgSz w:w="11906" w:h="16838"/>
          <w:pgMar w:top="1417" w:right="1701" w:bottom="1417" w:left="1701" w:header="708" w:footer="708" w:gutter="0"/>
          <w:lnNumType w:countBy="1" w:restart="continuous"/>
          <w:cols w:space="708"/>
          <w:docGrid w:linePitch="360"/>
        </w:sectPr>
      </w:pPr>
    </w:p>
    <w:p w14:paraId="1894FD3E" w14:textId="77777777" w:rsidR="00BD3B3A" w:rsidRPr="00513B5A" w:rsidRDefault="00BD3B3A" w:rsidP="00BD3B3A">
      <w:pPr>
        <w:spacing w:line="480" w:lineRule="auto"/>
        <w:jc w:val="both"/>
        <w:rPr>
          <w:rFonts w:ascii="Times New Roman" w:hAnsi="Times New Roman" w:cs="Times New Roman"/>
          <w:sz w:val="24"/>
          <w:szCs w:val="24"/>
          <w:lang w:val="en-GB"/>
        </w:rPr>
      </w:pPr>
      <w:r w:rsidRPr="00513B5A">
        <w:rPr>
          <w:rFonts w:ascii="Times New Roman" w:hAnsi="Times New Roman" w:cs="Times New Roman"/>
          <w:b/>
          <w:sz w:val="24"/>
          <w:szCs w:val="24"/>
          <w:lang w:val="en-GB"/>
        </w:rPr>
        <w:lastRenderedPageBreak/>
        <w:t>Supp. Table 2.</w:t>
      </w:r>
      <w:r w:rsidRPr="00513B5A">
        <w:rPr>
          <w:rFonts w:ascii="Times New Roman" w:hAnsi="Times New Roman" w:cs="Times New Roman"/>
          <w:sz w:val="24"/>
          <w:szCs w:val="24"/>
          <w:lang w:val="en-GB"/>
        </w:rPr>
        <w:t xml:space="preserve"> C stocks per area of forest in each biome. For tropical biomes, we subtracted the flooded areas to obtain only the contribution of non-flooded forests. </w:t>
      </w:r>
    </w:p>
    <w:tbl>
      <w:tblPr>
        <w:tblStyle w:val="Tabelacomgrade"/>
        <w:tblW w:w="8755" w:type="dxa"/>
        <w:tblLayout w:type="fixed"/>
        <w:tblLook w:val="04A0" w:firstRow="1" w:lastRow="0" w:firstColumn="1" w:lastColumn="0" w:noHBand="0" w:noVBand="1"/>
      </w:tblPr>
      <w:tblGrid>
        <w:gridCol w:w="1560"/>
        <w:gridCol w:w="1559"/>
        <w:gridCol w:w="1417"/>
        <w:gridCol w:w="993"/>
        <w:gridCol w:w="992"/>
        <w:gridCol w:w="992"/>
        <w:gridCol w:w="1242"/>
      </w:tblGrid>
      <w:tr w:rsidR="001A305E" w:rsidRPr="00513B5A" w14:paraId="47267E53" w14:textId="77777777" w:rsidTr="00BD3B3A">
        <w:tc>
          <w:tcPr>
            <w:tcW w:w="3119" w:type="dxa"/>
            <w:gridSpan w:val="2"/>
            <w:tcBorders>
              <w:top w:val="nil"/>
              <w:left w:val="nil"/>
              <w:bottom w:val="single" w:sz="4" w:space="0" w:color="auto"/>
              <w:right w:val="nil"/>
            </w:tcBorders>
            <w:vAlign w:val="center"/>
          </w:tcPr>
          <w:p w14:paraId="26C3F9F5" w14:textId="77777777" w:rsidR="00BD3B3A" w:rsidRPr="00513B5A" w:rsidRDefault="00BD3B3A" w:rsidP="00FC4E46">
            <w:pPr>
              <w:jc w:val="center"/>
              <w:rPr>
                <w:rFonts w:ascii="Times New Roman" w:hAnsi="Times New Roman" w:cs="Times New Roman"/>
                <w:sz w:val="23"/>
                <w:szCs w:val="23"/>
                <w:lang w:val="en-GB"/>
              </w:rPr>
            </w:pPr>
          </w:p>
        </w:tc>
        <w:tc>
          <w:tcPr>
            <w:tcW w:w="1417" w:type="dxa"/>
            <w:tcBorders>
              <w:top w:val="nil"/>
              <w:left w:val="nil"/>
              <w:bottom w:val="single" w:sz="4" w:space="0" w:color="auto"/>
              <w:right w:val="nil"/>
            </w:tcBorders>
            <w:vAlign w:val="center"/>
          </w:tcPr>
          <w:p w14:paraId="4758FBF4" w14:textId="77777777" w:rsidR="00BD3B3A" w:rsidRPr="00513B5A" w:rsidRDefault="00BD3B3A" w:rsidP="00DB43D4">
            <w:pPr>
              <w:jc w:val="center"/>
              <w:rPr>
                <w:rFonts w:ascii="Times New Roman" w:hAnsi="Times New Roman" w:cs="Times New Roman"/>
                <w:b/>
                <w:sz w:val="23"/>
                <w:szCs w:val="23"/>
                <w:lang w:val="en-GB"/>
              </w:rPr>
            </w:pPr>
            <w:r w:rsidRPr="00513B5A">
              <w:rPr>
                <w:rFonts w:ascii="Times New Roman" w:hAnsi="Times New Roman" w:cs="Times New Roman"/>
                <w:b/>
                <w:sz w:val="23"/>
                <w:szCs w:val="23"/>
                <w:lang w:val="en-GB"/>
              </w:rPr>
              <w:t>Temperate forest</w:t>
            </w:r>
          </w:p>
        </w:tc>
        <w:tc>
          <w:tcPr>
            <w:tcW w:w="993" w:type="dxa"/>
            <w:tcBorders>
              <w:top w:val="nil"/>
              <w:left w:val="nil"/>
              <w:bottom w:val="single" w:sz="4" w:space="0" w:color="auto"/>
              <w:right w:val="nil"/>
            </w:tcBorders>
            <w:vAlign w:val="center"/>
          </w:tcPr>
          <w:p w14:paraId="3BC69236" w14:textId="77777777" w:rsidR="00BD3B3A" w:rsidRPr="00513B5A" w:rsidRDefault="00BD3B3A" w:rsidP="00DB43D4">
            <w:pPr>
              <w:jc w:val="center"/>
              <w:rPr>
                <w:rFonts w:ascii="Times New Roman" w:hAnsi="Times New Roman" w:cs="Times New Roman"/>
                <w:b/>
                <w:sz w:val="23"/>
                <w:szCs w:val="23"/>
                <w:lang w:val="en-GB"/>
              </w:rPr>
            </w:pPr>
            <w:r w:rsidRPr="00513B5A">
              <w:rPr>
                <w:rFonts w:ascii="Times New Roman" w:hAnsi="Times New Roman" w:cs="Times New Roman"/>
                <w:b/>
                <w:sz w:val="23"/>
                <w:szCs w:val="23"/>
                <w:lang w:val="en-GB"/>
              </w:rPr>
              <w:t>Boreal forest</w:t>
            </w:r>
          </w:p>
        </w:tc>
        <w:tc>
          <w:tcPr>
            <w:tcW w:w="992" w:type="dxa"/>
            <w:tcBorders>
              <w:top w:val="nil"/>
              <w:left w:val="nil"/>
              <w:bottom w:val="single" w:sz="4" w:space="0" w:color="auto"/>
              <w:right w:val="nil"/>
            </w:tcBorders>
            <w:vAlign w:val="center"/>
          </w:tcPr>
          <w:p w14:paraId="4BE401E6" w14:textId="51DCF228" w:rsidR="00BD3B3A" w:rsidRPr="00513B5A" w:rsidRDefault="00BD3B3A" w:rsidP="00DB43D4">
            <w:pPr>
              <w:jc w:val="center"/>
              <w:rPr>
                <w:rFonts w:ascii="Times New Roman" w:hAnsi="Times New Roman" w:cs="Times New Roman"/>
                <w:b/>
                <w:sz w:val="23"/>
                <w:szCs w:val="23"/>
                <w:lang w:val="en-GB"/>
              </w:rPr>
            </w:pPr>
            <w:r w:rsidRPr="00513B5A">
              <w:rPr>
                <w:rFonts w:ascii="Times New Roman" w:hAnsi="Times New Roman" w:cs="Times New Roman"/>
                <w:b/>
                <w:sz w:val="23"/>
                <w:szCs w:val="23"/>
                <w:lang w:val="en-GB"/>
              </w:rPr>
              <w:t>Humid tropical Forest</w:t>
            </w:r>
          </w:p>
        </w:tc>
        <w:tc>
          <w:tcPr>
            <w:tcW w:w="992" w:type="dxa"/>
            <w:tcBorders>
              <w:top w:val="nil"/>
              <w:left w:val="nil"/>
              <w:bottom w:val="single" w:sz="4" w:space="0" w:color="auto"/>
              <w:right w:val="nil"/>
            </w:tcBorders>
            <w:vAlign w:val="center"/>
          </w:tcPr>
          <w:p w14:paraId="0529BE0F" w14:textId="77777777" w:rsidR="00BD3B3A" w:rsidRPr="00513B5A" w:rsidRDefault="00BD3B3A" w:rsidP="00DB43D4">
            <w:pPr>
              <w:jc w:val="center"/>
              <w:rPr>
                <w:rFonts w:ascii="Times New Roman" w:hAnsi="Times New Roman" w:cs="Times New Roman"/>
                <w:b/>
                <w:sz w:val="23"/>
                <w:szCs w:val="23"/>
                <w:lang w:val="en-GB" w:eastAsia="pt-BR"/>
              </w:rPr>
            </w:pPr>
            <w:r w:rsidRPr="00513B5A">
              <w:rPr>
                <w:rFonts w:ascii="Times New Roman" w:hAnsi="Times New Roman" w:cs="Times New Roman"/>
                <w:b/>
                <w:sz w:val="23"/>
                <w:szCs w:val="23"/>
                <w:lang w:val="en-GB" w:eastAsia="pt-BR"/>
              </w:rPr>
              <w:t>Global</w:t>
            </w:r>
          </w:p>
        </w:tc>
        <w:tc>
          <w:tcPr>
            <w:tcW w:w="1242" w:type="dxa"/>
            <w:tcBorders>
              <w:top w:val="nil"/>
              <w:left w:val="nil"/>
              <w:bottom w:val="single" w:sz="4" w:space="0" w:color="auto"/>
              <w:right w:val="nil"/>
            </w:tcBorders>
            <w:vAlign w:val="center"/>
          </w:tcPr>
          <w:p w14:paraId="2D6CEF56" w14:textId="77777777" w:rsidR="00BD3B3A" w:rsidRPr="00513B5A" w:rsidRDefault="00BD3B3A" w:rsidP="00DB43D4">
            <w:pPr>
              <w:jc w:val="center"/>
              <w:rPr>
                <w:rFonts w:ascii="Times New Roman" w:hAnsi="Times New Roman" w:cs="Times New Roman"/>
                <w:b/>
                <w:sz w:val="23"/>
                <w:szCs w:val="23"/>
                <w:lang w:val="en-GB" w:eastAsia="pt-BR"/>
              </w:rPr>
            </w:pPr>
            <w:r w:rsidRPr="00513B5A">
              <w:rPr>
                <w:rFonts w:ascii="Times New Roman" w:hAnsi="Times New Roman" w:cs="Times New Roman"/>
                <w:b/>
                <w:sz w:val="23"/>
                <w:szCs w:val="23"/>
                <w:lang w:val="en-GB" w:eastAsia="pt-BR"/>
              </w:rPr>
              <w:t>Source</w:t>
            </w:r>
          </w:p>
        </w:tc>
      </w:tr>
      <w:tr w:rsidR="001A305E" w:rsidRPr="00513B5A" w14:paraId="55101D2A" w14:textId="77777777" w:rsidTr="00BD3B3A">
        <w:tc>
          <w:tcPr>
            <w:tcW w:w="1560" w:type="dxa"/>
            <w:vMerge w:val="restart"/>
            <w:tcBorders>
              <w:top w:val="single" w:sz="4" w:space="0" w:color="auto"/>
              <w:left w:val="nil"/>
              <w:right w:val="nil"/>
            </w:tcBorders>
            <w:vAlign w:val="center"/>
          </w:tcPr>
          <w:p w14:paraId="2AC905F4" w14:textId="77777777" w:rsidR="00BD3B3A" w:rsidRPr="00513B5A" w:rsidRDefault="00BD3B3A" w:rsidP="00FC4E46">
            <w:pPr>
              <w:jc w:val="center"/>
              <w:rPr>
                <w:rFonts w:ascii="Times New Roman" w:hAnsi="Times New Roman" w:cs="Times New Roman"/>
                <w:b/>
                <w:sz w:val="23"/>
                <w:szCs w:val="23"/>
                <w:lang w:val="en-GB"/>
              </w:rPr>
            </w:pPr>
            <w:r w:rsidRPr="00513B5A">
              <w:rPr>
                <w:rFonts w:ascii="Times New Roman" w:hAnsi="Times New Roman" w:cs="Times New Roman"/>
                <w:b/>
                <w:sz w:val="23"/>
                <w:szCs w:val="23"/>
                <w:lang w:val="en-GB"/>
              </w:rPr>
              <w:t>C stock</w:t>
            </w:r>
          </w:p>
          <w:p w14:paraId="7CF62646" w14:textId="77777777" w:rsidR="00BD3B3A" w:rsidRPr="00513B5A" w:rsidRDefault="00BD3B3A" w:rsidP="00FC4E46">
            <w:pPr>
              <w:jc w:val="center"/>
              <w:rPr>
                <w:rFonts w:ascii="Times New Roman" w:hAnsi="Times New Roman" w:cs="Times New Roman"/>
                <w:b/>
                <w:sz w:val="23"/>
                <w:szCs w:val="23"/>
                <w:lang w:val="en-GB"/>
              </w:rPr>
            </w:pPr>
            <w:r w:rsidRPr="00513B5A">
              <w:rPr>
                <w:rFonts w:ascii="Times New Roman" w:hAnsi="Times New Roman" w:cs="Times New Roman"/>
                <w:b/>
                <w:sz w:val="23"/>
                <w:szCs w:val="23"/>
                <w:lang w:val="en-GB"/>
              </w:rPr>
              <w:t>[</w:t>
            </w:r>
            <w:proofErr w:type="spellStart"/>
            <w:r w:rsidRPr="00513B5A">
              <w:rPr>
                <w:rFonts w:ascii="Times New Roman" w:hAnsi="Times New Roman" w:cs="Times New Roman"/>
                <w:b/>
                <w:sz w:val="23"/>
                <w:szCs w:val="23"/>
                <w:lang w:val="en-GB"/>
              </w:rPr>
              <w:t>Tg</w:t>
            </w:r>
            <w:proofErr w:type="spellEnd"/>
            <w:r w:rsidRPr="00513B5A">
              <w:rPr>
                <w:rFonts w:ascii="Times New Roman" w:hAnsi="Times New Roman" w:cs="Times New Roman"/>
                <w:b/>
                <w:sz w:val="23"/>
                <w:szCs w:val="23"/>
                <w:lang w:val="en-GB"/>
              </w:rPr>
              <w:t xml:space="preserve"> C </w:t>
            </w:r>
            <w:r w:rsidRPr="00513B5A">
              <w:rPr>
                <w:rFonts w:ascii="Times New Roman" w:hAnsi="Times New Roman" w:cs="Times New Roman"/>
                <w:b/>
                <w:sz w:val="23"/>
                <w:szCs w:val="23"/>
                <w:lang w:val="en-GB" w:eastAsia="pt-BR"/>
              </w:rPr>
              <w:t>yr</w:t>
            </w:r>
            <w:r w:rsidRPr="00513B5A">
              <w:rPr>
                <w:rFonts w:ascii="Times New Roman" w:hAnsi="Times New Roman" w:cs="Times New Roman"/>
                <w:b/>
                <w:sz w:val="23"/>
                <w:szCs w:val="23"/>
                <w:vertAlign w:val="superscript"/>
                <w:lang w:val="en-GB" w:eastAsia="pt-BR"/>
              </w:rPr>
              <w:t>-1</w:t>
            </w:r>
            <w:r w:rsidRPr="00513B5A">
              <w:rPr>
                <w:rFonts w:ascii="Times New Roman" w:hAnsi="Times New Roman" w:cs="Times New Roman"/>
                <w:b/>
                <w:sz w:val="23"/>
                <w:szCs w:val="23"/>
                <w:lang w:val="en-GB" w:eastAsia="pt-BR"/>
              </w:rPr>
              <w:t>]</w:t>
            </w:r>
          </w:p>
        </w:tc>
        <w:tc>
          <w:tcPr>
            <w:tcW w:w="1559" w:type="dxa"/>
            <w:tcBorders>
              <w:top w:val="single" w:sz="4" w:space="0" w:color="auto"/>
              <w:left w:val="nil"/>
              <w:bottom w:val="nil"/>
              <w:right w:val="nil"/>
            </w:tcBorders>
            <w:vAlign w:val="center"/>
          </w:tcPr>
          <w:p w14:paraId="0A2733F5"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Biomass</w:t>
            </w:r>
          </w:p>
        </w:tc>
        <w:tc>
          <w:tcPr>
            <w:tcW w:w="1417" w:type="dxa"/>
            <w:tcBorders>
              <w:top w:val="single" w:sz="4" w:space="0" w:color="auto"/>
              <w:left w:val="nil"/>
              <w:bottom w:val="nil"/>
              <w:right w:val="nil"/>
            </w:tcBorders>
            <w:vAlign w:val="center"/>
          </w:tcPr>
          <w:p w14:paraId="1D010078"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345</w:t>
            </w:r>
          </w:p>
        </w:tc>
        <w:tc>
          <w:tcPr>
            <w:tcW w:w="993" w:type="dxa"/>
            <w:tcBorders>
              <w:top w:val="single" w:sz="4" w:space="0" w:color="auto"/>
              <w:left w:val="nil"/>
              <w:bottom w:val="nil"/>
              <w:right w:val="nil"/>
            </w:tcBorders>
            <w:vAlign w:val="center"/>
          </w:tcPr>
          <w:p w14:paraId="4A7BB37D"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117</w:t>
            </w:r>
          </w:p>
        </w:tc>
        <w:tc>
          <w:tcPr>
            <w:tcW w:w="992" w:type="dxa"/>
            <w:tcBorders>
              <w:top w:val="single" w:sz="4" w:space="0" w:color="auto"/>
              <w:left w:val="nil"/>
              <w:bottom w:val="nil"/>
              <w:right w:val="nil"/>
            </w:tcBorders>
            <w:vAlign w:val="center"/>
          </w:tcPr>
          <w:p w14:paraId="06A1AF96"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1167.0</w:t>
            </w:r>
          </w:p>
        </w:tc>
        <w:tc>
          <w:tcPr>
            <w:tcW w:w="992" w:type="dxa"/>
            <w:tcBorders>
              <w:top w:val="single" w:sz="4" w:space="0" w:color="auto"/>
              <w:left w:val="nil"/>
              <w:bottom w:val="nil"/>
              <w:right w:val="nil"/>
            </w:tcBorders>
            <w:vAlign w:val="center"/>
          </w:tcPr>
          <w:p w14:paraId="03D9B38F"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1629.0</w:t>
            </w:r>
          </w:p>
        </w:tc>
        <w:tc>
          <w:tcPr>
            <w:tcW w:w="1242" w:type="dxa"/>
            <w:tcBorders>
              <w:top w:val="single" w:sz="4" w:space="0" w:color="auto"/>
              <w:left w:val="nil"/>
              <w:bottom w:val="nil"/>
              <w:right w:val="nil"/>
            </w:tcBorders>
            <w:vAlign w:val="center"/>
          </w:tcPr>
          <w:p w14:paraId="51CA32EA" w14:textId="0FC23E86"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fldChar w:fldCharType="begin" w:fldLock="1"/>
            </w:r>
            <w:r w:rsidR="001D0B34">
              <w:rPr>
                <w:rFonts w:ascii="Times New Roman" w:hAnsi="Times New Roman" w:cs="Times New Roman"/>
                <w:sz w:val="23"/>
                <w:szCs w:val="23"/>
                <w:lang w:val="en-GB" w:eastAsia="pt-BR"/>
              </w:rPr>
              <w:instrText>ADDIN CSL_CITATION {"citationItems":[{"id":"ITEM-1","itemData":{"DOI":"10.1126/science.1201609","ISBN":"0036-8075","ISSN":"0036-8075","PMID":"21764754","abstract":"The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container-title":"Science (New York, N.Y.)","id":"ITEM-1","issue":"6045","issued":{"date-parts":[["2011","8","19"]]},"page":"988-993","title":"A large and persistent carbon sink in the world's forests.","type":"article-journal","volume":"333"},"uris":["http://www.mendeley.com/documents/?uuid=35c4d272-920c-4bfa-b895-701654387798"]}],"mendeley":{"formattedCitation":"&lt;sup&gt;2&lt;/sup&gt;","plainTextFormattedCitation":"2","previouslyFormattedCitation":"(Pan et al. 2011)"},"properties":{"noteIndex":0},"schema":"https://github.com/citation-style-language/schema/raw/master/csl-citation.json"}</w:instrText>
            </w:r>
            <w:r w:rsidRPr="00513B5A">
              <w:rPr>
                <w:rFonts w:ascii="Times New Roman" w:hAnsi="Times New Roman" w:cs="Times New Roman"/>
                <w:sz w:val="23"/>
                <w:szCs w:val="23"/>
                <w:lang w:val="en-GB" w:eastAsia="pt-BR"/>
              </w:rPr>
              <w:fldChar w:fldCharType="separate"/>
            </w:r>
            <w:r w:rsidR="001D0B34" w:rsidRPr="001D0B34">
              <w:rPr>
                <w:rFonts w:ascii="Times New Roman" w:hAnsi="Times New Roman" w:cs="Times New Roman"/>
                <w:noProof/>
                <w:sz w:val="23"/>
                <w:szCs w:val="23"/>
                <w:vertAlign w:val="superscript"/>
                <w:lang w:val="en-GB" w:eastAsia="pt-BR"/>
              </w:rPr>
              <w:t>2</w:t>
            </w:r>
            <w:r w:rsidRPr="00513B5A">
              <w:rPr>
                <w:rFonts w:ascii="Times New Roman" w:hAnsi="Times New Roman" w:cs="Times New Roman"/>
                <w:sz w:val="23"/>
                <w:szCs w:val="23"/>
                <w:lang w:val="en-GB" w:eastAsia="pt-BR"/>
              </w:rPr>
              <w:fldChar w:fldCharType="end"/>
            </w:r>
          </w:p>
        </w:tc>
      </w:tr>
      <w:tr w:rsidR="001A305E" w:rsidRPr="00513B5A" w14:paraId="15779C75" w14:textId="77777777" w:rsidTr="00BD3B3A">
        <w:tc>
          <w:tcPr>
            <w:tcW w:w="1560" w:type="dxa"/>
            <w:vMerge/>
            <w:tcBorders>
              <w:left w:val="nil"/>
              <w:right w:val="nil"/>
            </w:tcBorders>
            <w:vAlign w:val="center"/>
          </w:tcPr>
          <w:p w14:paraId="663BAC26" w14:textId="77777777" w:rsidR="00BD3B3A" w:rsidRPr="00513B5A" w:rsidRDefault="00BD3B3A" w:rsidP="00FC4E46">
            <w:pPr>
              <w:jc w:val="center"/>
              <w:rPr>
                <w:rFonts w:ascii="Times New Roman" w:hAnsi="Times New Roman" w:cs="Times New Roman"/>
                <w:b/>
                <w:sz w:val="23"/>
                <w:szCs w:val="23"/>
                <w:lang w:val="en-GB"/>
              </w:rPr>
            </w:pPr>
          </w:p>
        </w:tc>
        <w:tc>
          <w:tcPr>
            <w:tcW w:w="1559" w:type="dxa"/>
            <w:tcBorders>
              <w:top w:val="nil"/>
              <w:left w:val="nil"/>
              <w:bottom w:val="nil"/>
              <w:right w:val="nil"/>
            </w:tcBorders>
            <w:vAlign w:val="center"/>
          </w:tcPr>
          <w:p w14:paraId="1A480A1E"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Dead wood</w:t>
            </w:r>
          </w:p>
        </w:tc>
        <w:tc>
          <w:tcPr>
            <w:tcW w:w="1417" w:type="dxa"/>
            <w:tcBorders>
              <w:top w:val="nil"/>
              <w:left w:val="nil"/>
              <w:bottom w:val="nil"/>
              <w:right w:val="nil"/>
            </w:tcBorders>
            <w:vAlign w:val="center"/>
          </w:tcPr>
          <w:p w14:paraId="58B8F258"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42</w:t>
            </w:r>
          </w:p>
        </w:tc>
        <w:tc>
          <w:tcPr>
            <w:tcW w:w="993" w:type="dxa"/>
            <w:tcBorders>
              <w:top w:val="nil"/>
              <w:left w:val="nil"/>
              <w:bottom w:val="nil"/>
              <w:right w:val="nil"/>
            </w:tcBorders>
            <w:vAlign w:val="center"/>
          </w:tcPr>
          <w:p w14:paraId="4A3604D1"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53</w:t>
            </w:r>
          </w:p>
        </w:tc>
        <w:tc>
          <w:tcPr>
            <w:tcW w:w="992" w:type="dxa"/>
            <w:tcBorders>
              <w:top w:val="nil"/>
              <w:left w:val="nil"/>
              <w:bottom w:val="nil"/>
              <w:right w:val="nil"/>
            </w:tcBorders>
            <w:vAlign w:val="center"/>
          </w:tcPr>
          <w:p w14:paraId="1563A084"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109.0</w:t>
            </w:r>
          </w:p>
        </w:tc>
        <w:tc>
          <w:tcPr>
            <w:tcW w:w="992" w:type="dxa"/>
            <w:tcBorders>
              <w:top w:val="nil"/>
              <w:left w:val="nil"/>
              <w:bottom w:val="nil"/>
              <w:right w:val="nil"/>
            </w:tcBorders>
            <w:vAlign w:val="center"/>
          </w:tcPr>
          <w:p w14:paraId="2A11B295"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204.0</w:t>
            </w:r>
          </w:p>
        </w:tc>
        <w:tc>
          <w:tcPr>
            <w:tcW w:w="1242" w:type="dxa"/>
            <w:tcBorders>
              <w:top w:val="nil"/>
              <w:left w:val="nil"/>
              <w:bottom w:val="nil"/>
              <w:right w:val="nil"/>
            </w:tcBorders>
            <w:vAlign w:val="center"/>
          </w:tcPr>
          <w:p w14:paraId="03FCD4AD" w14:textId="49374287"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fldChar w:fldCharType="begin" w:fldLock="1"/>
            </w:r>
            <w:r w:rsidR="001D0B34">
              <w:rPr>
                <w:rFonts w:ascii="Times New Roman" w:hAnsi="Times New Roman" w:cs="Times New Roman"/>
                <w:sz w:val="23"/>
                <w:szCs w:val="23"/>
                <w:lang w:val="en-GB" w:eastAsia="pt-BR"/>
              </w:rPr>
              <w:instrText>ADDIN CSL_CITATION {"citationItems":[{"id":"ITEM-1","itemData":{"DOI":"10.1126/science.1201609","ISBN":"0036-8075","ISSN":"0036-8075","PMID":"21764754","abstract":"The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container-title":"Science (New York, N.Y.)","id":"ITEM-1","issue":"6045","issued":{"date-parts":[["2011","8","19"]]},"page":"988-993","title":"A large and persistent carbon sink in the world's forests.","type":"article-journal","volume":"333"},"uris":["http://www.mendeley.com/documents/?uuid=35c4d272-920c-4bfa-b895-701654387798"]}],"mendeley":{"formattedCitation":"&lt;sup&gt;2&lt;/sup&gt;","plainTextFormattedCitation":"2","previouslyFormattedCitation":"(Pan et al. 2011)"},"properties":{"noteIndex":0},"schema":"https://github.com/citation-style-language/schema/raw/master/csl-citation.json"}</w:instrText>
            </w:r>
            <w:r w:rsidRPr="00513B5A">
              <w:rPr>
                <w:rFonts w:ascii="Times New Roman" w:hAnsi="Times New Roman" w:cs="Times New Roman"/>
                <w:sz w:val="23"/>
                <w:szCs w:val="23"/>
                <w:lang w:val="en-GB" w:eastAsia="pt-BR"/>
              </w:rPr>
              <w:fldChar w:fldCharType="separate"/>
            </w:r>
            <w:r w:rsidR="001D0B34" w:rsidRPr="001D0B34">
              <w:rPr>
                <w:rFonts w:ascii="Times New Roman" w:hAnsi="Times New Roman" w:cs="Times New Roman"/>
                <w:noProof/>
                <w:sz w:val="23"/>
                <w:szCs w:val="23"/>
                <w:vertAlign w:val="superscript"/>
                <w:lang w:val="en-GB" w:eastAsia="pt-BR"/>
              </w:rPr>
              <w:t>2</w:t>
            </w:r>
            <w:r w:rsidRPr="00513B5A">
              <w:rPr>
                <w:rFonts w:ascii="Times New Roman" w:hAnsi="Times New Roman" w:cs="Times New Roman"/>
                <w:sz w:val="23"/>
                <w:szCs w:val="23"/>
                <w:lang w:val="en-GB" w:eastAsia="pt-BR"/>
              </w:rPr>
              <w:fldChar w:fldCharType="end"/>
            </w:r>
          </w:p>
        </w:tc>
      </w:tr>
      <w:tr w:rsidR="001A305E" w:rsidRPr="00513B5A" w14:paraId="0534121B" w14:textId="77777777" w:rsidTr="00BD3B3A">
        <w:tc>
          <w:tcPr>
            <w:tcW w:w="1560" w:type="dxa"/>
            <w:vMerge/>
            <w:tcBorders>
              <w:left w:val="nil"/>
              <w:right w:val="nil"/>
            </w:tcBorders>
            <w:vAlign w:val="center"/>
          </w:tcPr>
          <w:p w14:paraId="28BA0368" w14:textId="77777777" w:rsidR="00BD3B3A" w:rsidRPr="00513B5A" w:rsidRDefault="00BD3B3A" w:rsidP="00FC4E46">
            <w:pPr>
              <w:jc w:val="center"/>
              <w:rPr>
                <w:rFonts w:ascii="Times New Roman" w:hAnsi="Times New Roman" w:cs="Times New Roman"/>
                <w:b/>
                <w:sz w:val="23"/>
                <w:szCs w:val="23"/>
                <w:lang w:val="en-GB"/>
              </w:rPr>
            </w:pPr>
          </w:p>
        </w:tc>
        <w:tc>
          <w:tcPr>
            <w:tcW w:w="1559" w:type="dxa"/>
            <w:tcBorders>
              <w:top w:val="nil"/>
              <w:left w:val="nil"/>
              <w:bottom w:val="nil"/>
              <w:right w:val="nil"/>
            </w:tcBorders>
            <w:vAlign w:val="center"/>
          </w:tcPr>
          <w:p w14:paraId="03216A87"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Litter</w:t>
            </w:r>
          </w:p>
        </w:tc>
        <w:tc>
          <w:tcPr>
            <w:tcW w:w="1417" w:type="dxa"/>
            <w:tcBorders>
              <w:top w:val="nil"/>
              <w:left w:val="nil"/>
              <w:bottom w:val="nil"/>
              <w:right w:val="nil"/>
            </w:tcBorders>
            <w:vAlign w:val="center"/>
          </w:tcPr>
          <w:p w14:paraId="340063EF"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46</w:t>
            </w:r>
          </w:p>
        </w:tc>
        <w:tc>
          <w:tcPr>
            <w:tcW w:w="993" w:type="dxa"/>
            <w:tcBorders>
              <w:top w:val="nil"/>
              <w:left w:val="nil"/>
              <w:bottom w:val="nil"/>
              <w:right w:val="nil"/>
            </w:tcBorders>
            <w:vAlign w:val="center"/>
          </w:tcPr>
          <w:p w14:paraId="0E0685B9"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103</w:t>
            </w:r>
          </w:p>
        </w:tc>
        <w:tc>
          <w:tcPr>
            <w:tcW w:w="992" w:type="dxa"/>
            <w:tcBorders>
              <w:top w:val="nil"/>
              <w:left w:val="nil"/>
              <w:bottom w:val="nil"/>
              <w:right w:val="nil"/>
            </w:tcBorders>
            <w:vAlign w:val="center"/>
          </w:tcPr>
          <w:p w14:paraId="2B44AFAC"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17.0</w:t>
            </w:r>
          </w:p>
        </w:tc>
        <w:tc>
          <w:tcPr>
            <w:tcW w:w="992" w:type="dxa"/>
            <w:tcBorders>
              <w:top w:val="nil"/>
              <w:left w:val="nil"/>
              <w:bottom w:val="nil"/>
              <w:right w:val="nil"/>
            </w:tcBorders>
            <w:vAlign w:val="center"/>
          </w:tcPr>
          <w:p w14:paraId="05142C6F"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166.0</w:t>
            </w:r>
          </w:p>
        </w:tc>
        <w:tc>
          <w:tcPr>
            <w:tcW w:w="1242" w:type="dxa"/>
            <w:tcBorders>
              <w:top w:val="nil"/>
              <w:left w:val="nil"/>
              <w:bottom w:val="nil"/>
              <w:right w:val="nil"/>
            </w:tcBorders>
            <w:vAlign w:val="center"/>
          </w:tcPr>
          <w:p w14:paraId="71F954B8" w14:textId="226A8CE9"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fldChar w:fldCharType="begin" w:fldLock="1"/>
            </w:r>
            <w:r w:rsidR="001D0B34">
              <w:rPr>
                <w:rFonts w:ascii="Times New Roman" w:hAnsi="Times New Roman" w:cs="Times New Roman"/>
                <w:sz w:val="23"/>
                <w:szCs w:val="23"/>
                <w:lang w:val="en-GB" w:eastAsia="pt-BR"/>
              </w:rPr>
              <w:instrText>ADDIN CSL_CITATION {"citationItems":[{"id":"ITEM-1","itemData":{"DOI":"10.1126/science.1201609","ISBN":"0036-8075","ISSN":"0036-8075","PMID":"21764754","abstract":"The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container-title":"Science (New York, N.Y.)","id":"ITEM-1","issue":"6045","issued":{"date-parts":[["2011","8","19"]]},"page":"988-993","title":"A large and persistent carbon sink in the world's forests.","type":"article-journal","volume":"333"},"uris":["http://www.mendeley.com/documents/?uuid=35c4d272-920c-4bfa-b895-701654387798"]}],"mendeley":{"formattedCitation":"&lt;sup&gt;2&lt;/sup&gt;","plainTextFormattedCitation":"2","previouslyFormattedCitation":"(Pan et al. 2011)"},"properties":{"noteIndex":0},"schema":"https://github.com/citation-style-language/schema/raw/master/csl-citation.json"}</w:instrText>
            </w:r>
            <w:r w:rsidRPr="00513B5A">
              <w:rPr>
                <w:rFonts w:ascii="Times New Roman" w:hAnsi="Times New Roman" w:cs="Times New Roman"/>
                <w:sz w:val="23"/>
                <w:szCs w:val="23"/>
                <w:lang w:val="en-GB" w:eastAsia="pt-BR"/>
              </w:rPr>
              <w:fldChar w:fldCharType="separate"/>
            </w:r>
            <w:r w:rsidR="001D0B34" w:rsidRPr="001D0B34">
              <w:rPr>
                <w:rFonts w:ascii="Times New Roman" w:hAnsi="Times New Roman" w:cs="Times New Roman"/>
                <w:noProof/>
                <w:sz w:val="23"/>
                <w:szCs w:val="23"/>
                <w:vertAlign w:val="superscript"/>
                <w:lang w:val="en-GB" w:eastAsia="pt-BR"/>
              </w:rPr>
              <w:t>2</w:t>
            </w:r>
            <w:r w:rsidRPr="00513B5A">
              <w:rPr>
                <w:rFonts w:ascii="Times New Roman" w:hAnsi="Times New Roman" w:cs="Times New Roman"/>
                <w:sz w:val="23"/>
                <w:szCs w:val="23"/>
                <w:lang w:val="en-GB" w:eastAsia="pt-BR"/>
              </w:rPr>
              <w:fldChar w:fldCharType="end"/>
            </w:r>
          </w:p>
        </w:tc>
      </w:tr>
      <w:tr w:rsidR="001A305E" w:rsidRPr="00513B5A" w14:paraId="2187E83E" w14:textId="77777777" w:rsidTr="00BD3B3A">
        <w:tc>
          <w:tcPr>
            <w:tcW w:w="1560" w:type="dxa"/>
            <w:vMerge/>
            <w:tcBorders>
              <w:left w:val="nil"/>
              <w:right w:val="nil"/>
            </w:tcBorders>
            <w:vAlign w:val="center"/>
          </w:tcPr>
          <w:p w14:paraId="39A741A4" w14:textId="77777777" w:rsidR="00BD3B3A" w:rsidRPr="00513B5A" w:rsidRDefault="00BD3B3A" w:rsidP="00FC4E46">
            <w:pPr>
              <w:jc w:val="center"/>
              <w:rPr>
                <w:rFonts w:ascii="Times New Roman" w:hAnsi="Times New Roman" w:cs="Times New Roman"/>
                <w:b/>
                <w:sz w:val="23"/>
                <w:szCs w:val="23"/>
                <w:lang w:val="en-GB"/>
              </w:rPr>
            </w:pPr>
          </w:p>
        </w:tc>
        <w:tc>
          <w:tcPr>
            <w:tcW w:w="1559" w:type="dxa"/>
            <w:tcBorders>
              <w:top w:val="nil"/>
              <w:left w:val="nil"/>
              <w:bottom w:val="nil"/>
              <w:right w:val="nil"/>
            </w:tcBorders>
            <w:vAlign w:val="center"/>
          </w:tcPr>
          <w:p w14:paraId="608E1462"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Soil</w:t>
            </w:r>
          </w:p>
        </w:tc>
        <w:tc>
          <w:tcPr>
            <w:tcW w:w="1417" w:type="dxa"/>
            <w:tcBorders>
              <w:top w:val="nil"/>
              <w:left w:val="nil"/>
              <w:bottom w:val="nil"/>
              <w:right w:val="nil"/>
            </w:tcBorders>
            <w:vAlign w:val="center"/>
          </w:tcPr>
          <w:p w14:paraId="45B0CB58"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160</w:t>
            </w:r>
          </w:p>
        </w:tc>
        <w:tc>
          <w:tcPr>
            <w:tcW w:w="993" w:type="dxa"/>
            <w:tcBorders>
              <w:top w:val="nil"/>
              <w:left w:val="nil"/>
              <w:bottom w:val="nil"/>
              <w:right w:val="nil"/>
            </w:tcBorders>
            <w:vAlign w:val="center"/>
          </w:tcPr>
          <w:p w14:paraId="2A75BD58"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125</w:t>
            </w:r>
          </w:p>
        </w:tc>
        <w:tc>
          <w:tcPr>
            <w:tcW w:w="992" w:type="dxa"/>
            <w:tcBorders>
              <w:top w:val="nil"/>
              <w:left w:val="nil"/>
              <w:bottom w:val="nil"/>
              <w:right w:val="nil"/>
            </w:tcBorders>
            <w:vAlign w:val="center"/>
          </w:tcPr>
          <w:p w14:paraId="01EDB2A9"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99.9</w:t>
            </w:r>
          </w:p>
        </w:tc>
        <w:tc>
          <w:tcPr>
            <w:tcW w:w="992" w:type="dxa"/>
            <w:tcBorders>
              <w:top w:val="nil"/>
              <w:left w:val="nil"/>
              <w:bottom w:val="nil"/>
              <w:right w:val="nil"/>
            </w:tcBorders>
            <w:vAlign w:val="center"/>
          </w:tcPr>
          <w:p w14:paraId="16EBC122"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384.9</w:t>
            </w:r>
          </w:p>
        </w:tc>
        <w:tc>
          <w:tcPr>
            <w:tcW w:w="1242" w:type="dxa"/>
            <w:tcBorders>
              <w:top w:val="nil"/>
              <w:left w:val="nil"/>
              <w:bottom w:val="nil"/>
              <w:right w:val="nil"/>
            </w:tcBorders>
            <w:vAlign w:val="center"/>
          </w:tcPr>
          <w:p w14:paraId="6D5CF09F" w14:textId="6513077B"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fldChar w:fldCharType="begin" w:fldLock="1"/>
            </w:r>
            <w:r w:rsidR="001D0B34">
              <w:rPr>
                <w:rFonts w:ascii="Times New Roman" w:hAnsi="Times New Roman" w:cs="Times New Roman"/>
                <w:sz w:val="23"/>
                <w:szCs w:val="23"/>
                <w:lang w:val="en-GB" w:eastAsia="pt-BR"/>
              </w:rPr>
              <w:instrText>ADDIN CSL_CITATION {"citationItems":[{"id":"ITEM-1","itemData":{"DOI":"10.1038/416594b","ISBN":"0028-0836","ISSN":"00280836","PMID":"11948337","abstract":"Measurements of the rate at which carbon dioxide is released from rivers running through tropical forests provide a surprise. They will help in developing an improved picture of the carbon cycle.","author":[{"dropping-particle":"","family":"Grace","given":"John","non-dropping-particle":"","parse-names":false,"suffix":""},{"dropping-particle":"","family":"Malhi","given":"Yadvinder","non-dropping-particle":"","parse-names":false,"suffix":""}],"container-title":"Nature","id":"ITEM-1","issue":"6881","issued":{"date-parts":[["2002"]]},"page":"594","title":"Global change: carbon dioxide goes with the flow.","type":"article","volume":"416"},"uris":["http://www.mendeley.com/documents/?uuid=ed41aa13-1c09-4228-9b27-70583830087c"]},{"id":"ITEM-2","itemData":{"DOI":"10.1126/science.1201609","ISBN":"0036-8075","ISSN":"0036-8075","PMID":"21764754","abstract":"The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container-title":"Science (New York, N.Y.)","id":"ITEM-2","issue":"6045","issued":{"date-parts":[["2011","8","19"]]},"page":"988-993","title":"A large and persistent carbon sink in the world's forests.","type":"article-journal","volume":"333"},"uris":["http://www.mendeley.com/documents/?uuid=35c4d272-920c-4bfa-b895-701654387798"]}],"mendeley":{"formattedCitation":"&lt;sup&gt;2,3&lt;/sup&gt;","manualFormatting":"7","plainTextFormattedCitation":"2,3","previouslyFormattedCitation":"(Grace and Malhi 2002; Pan et al. 2011)"},"properties":{"noteIndex":0},"schema":"https://github.com/citation-style-language/schema/raw/master/csl-citation.json"}</w:instrText>
            </w:r>
            <w:r w:rsidRPr="00513B5A">
              <w:rPr>
                <w:rFonts w:ascii="Times New Roman" w:hAnsi="Times New Roman" w:cs="Times New Roman"/>
                <w:sz w:val="23"/>
                <w:szCs w:val="23"/>
                <w:lang w:val="en-GB" w:eastAsia="pt-BR"/>
              </w:rPr>
              <w:fldChar w:fldCharType="separate"/>
            </w:r>
            <w:r w:rsidRPr="00513B5A">
              <w:rPr>
                <w:rFonts w:ascii="Times New Roman" w:hAnsi="Times New Roman" w:cs="Times New Roman"/>
                <w:noProof/>
                <w:sz w:val="23"/>
                <w:szCs w:val="23"/>
                <w:vertAlign w:val="superscript"/>
                <w:lang w:val="en-GB" w:eastAsia="pt-BR"/>
              </w:rPr>
              <w:t>7</w:t>
            </w:r>
            <w:r w:rsidRPr="00513B5A">
              <w:rPr>
                <w:rFonts w:ascii="Times New Roman" w:hAnsi="Times New Roman" w:cs="Times New Roman"/>
                <w:sz w:val="23"/>
                <w:szCs w:val="23"/>
                <w:lang w:val="en-GB" w:eastAsia="pt-BR"/>
              </w:rPr>
              <w:fldChar w:fldCharType="end"/>
            </w:r>
            <w:r w:rsidRPr="00513B5A">
              <w:rPr>
                <w:rFonts w:ascii="Times New Roman" w:hAnsi="Times New Roman" w:cs="Times New Roman"/>
                <w:sz w:val="23"/>
                <w:szCs w:val="23"/>
                <w:vertAlign w:val="superscript"/>
                <w:lang w:val="en-GB" w:eastAsia="pt-BR"/>
              </w:rPr>
              <w:t>,</w:t>
            </w:r>
            <w:r w:rsidRPr="00513B5A">
              <w:rPr>
                <w:rFonts w:ascii="Times New Roman" w:hAnsi="Times New Roman" w:cs="Times New Roman"/>
                <w:sz w:val="23"/>
                <w:szCs w:val="23"/>
                <w:lang w:val="en-GB" w:eastAsia="pt-BR"/>
              </w:rPr>
              <w:fldChar w:fldCharType="begin" w:fldLock="1"/>
            </w:r>
            <w:r w:rsidR="001D0B34">
              <w:rPr>
                <w:rFonts w:ascii="Times New Roman" w:hAnsi="Times New Roman" w:cs="Times New Roman"/>
                <w:sz w:val="23"/>
                <w:szCs w:val="23"/>
                <w:lang w:val="en-GB" w:eastAsia="pt-BR"/>
              </w:rPr>
              <w:instrText>ADDIN CSL_CITATION {"citationItems":[{"id":"ITEM-1","itemData":{"abstract":"Tropical forests play a major role in determining the current atmospheric concentration of CO2, as both sources of CO2 following deforestation and sinks of CO2 probably resulting from CO2 stimulation of forest photosynthesis. Recently, researchers have tried to quantify this role. The results suggest that both the carbon sources and sinks in tropical forests are significantly greater than previously thought.","author":[{"dropping-particle":"","family":"Malhi","given":"Yadvinder","non-dropping-particle":"","parse-names":false,"suffix":""},{"dropping-particle":"","family":"Grace","given":"John","non-dropping-particle":"","parse-names":false,"suffix":""}],"container-title":"Trends in Research in Ecology and the Environment","id":"ITEM-1","issue":"8","issued":{"date-parts":[["2000"]]},"page":"332-337","title":"Tropical forests and atmospheric carbon dioxide","type":"article-journal","volume":"15"},"uris":["http://www.mendeley.com/documents/?uuid=00ed9db9-c6ac-48ea-85a8-8d764d833a60"]}],"mendeley":{"formattedCitation":"&lt;sup&gt;4&lt;/sup&gt;","plainTextFormattedCitation":"4","previouslyFormattedCitation":"(Malhi and Grace 2000)"},"properties":{"noteIndex":0},"schema":"https://github.com/citation-style-language/schema/raw/master/csl-citation.json"}</w:instrText>
            </w:r>
            <w:r w:rsidRPr="00513B5A">
              <w:rPr>
                <w:rFonts w:ascii="Times New Roman" w:hAnsi="Times New Roman" w:cs="Times New Roman"/>
                <w:sz w:val="23"/>
                <w:szCs w:val="23"/>
                <w:lang w:val="en-GB" w:eastAsia="pt-BR"/>
              </w:rPr>
              <w:fldChar w:fldCharType="separate"/>
            </w:r>
            <w:r w:rsidR="001D0B34" w:rsidRPr="001D0B34">
              <w:rPr>
                <w:rFonts w:ascii="Times New Roman" w:hAnsi="Times New Roman" w:cs="Times New Roman"/>
                <w:noProof/>
                <w:sz w:val="23"/>
                <w:szCs w:val="23"/>
                <w:vertAlign w:val="superscript"/>
                <w:lang w:val="en-GB" w:eastAsia="pt-BR"/>
              </w:rPr>
              <w:t>4</w:t>
            </w:r>
            <w:r w:rsidRPr="00513B5A">
              <w:rPr>
                <w:rFonts w:ascii="Times New Roman" w:hAnsi="Times New Roman" w:cs="Times New Roman"/>
                <w:sz w:val="23"/>
                <w:szCs w:val="23"/>
                <w:lang w:val="en-GB" w:eastAsia="pt-BR"/>
              </w:rPr>
              <w:fldChar w:fldCharType="end"/>
            </w:r>
            <w:r w:rsidRPr="00513B5A">
              <w:rPr>
                <w:rFonts w:ascii="Times New Roman" w:hAnsi="Times New Roman" w:cs="Times New Roman"/>
                <w:sz w:val="23"/>
                <w:szCs w:val="23"/>
                <w:lang w:val="en-GB" w:eastAsia="pt-BR"/>
              </w:rPr>
              <w:t>*</w:t>
            </w:r>
          </w:p>
        </w:tc>
      </w:tr>
      <w:tr w:rsidR="001A305E" w:rsidRPr="00513B5A" w14:paraId="2D390DDC" w14:textId="77777777" w:rsidTr="00BD3B3A">
        <w:tc>
          <w:tcPr>
            <w:tcW w:w="1560" w:type="dxa"/>
            <w:vMerge/>
            <w:tcBorders>
              <w:left w:val="nil"/>
              <w:right w:val="nil"/>
            </w:tcBorders>
            <w:vAlign w:val="center"/>
          </w:tcPr>
          <w:p w14:paraId="75E55C53" w14:textId="77777777" w:rsidR="00BD3B3A" w:rsidRPr="00513B5A" w:rsidRDefault="00BD3B3A" w:rsidP="00FC4E46">
            <w:pPr>
              <w:jc w:val="center"/>
              <w:rPr>
                <w:rFonts w:ascii="Times New Roman" w:hAnsi="Times New Roman" w:cs="Times New Roman"/>
                <w:b/>
                <w:sz w:val="23"/>
                <w:szCs w:val="23"/>
                <w:lang w:val="en-GB"/>
              </w:rPr>
            </w:pPr>
          </w:p>
        </w:tc>
        <w:tc>
          <w:tcPr>
            <w:tcW w:w="1559" w:type="dxa"/>
            <w:tcBorders>
              <w:top w:val="nil"/>
              <w:left w:val="nil"/>
              <w:bottom w:val="nil"/>
              <w:right w:val="nil"/>
            </w:tcBorders>
            <w:vAlign w:val="center"/>
          </w:tcPr>
          <w:p w14:paraId="7B13D921"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Wood Product</w:t>
            </w:r>
          </w:p>
        </w:tc>
        <w:tc>
          <w:tcPr>
            <w:tcW w:w="1417" w:type="dxa"/>
            <w:tcBorders>
              <w:top w:val="nil"/>
              <w:left w:val="nil"/>
              <w:bottom w:val="nil"/>
              <w:right w:val="nil"/>
            </w:tcBorders>
            <w:vAlign w:val="center"/>
          </w:tcPr>
          <w:p w14:paraId="437DC64B"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80</w:t>
            </w:r>
          </w:p>
        </w:tc>
        <w:tc>
          <w:tcPr>
            <w:tcW w:w="993" w:type="dxa"/>
            <w:tcBorders>
              <w:top w:val="nil"/>
              <w:left w:val="nil"/>
              <w:bottom w:val="nil"/>
              <w:right w:val="nil"/>
            </w:tcBorders>
            <w:vAlign w:val="center"/>
          </w:tcPr>
          <w:p w14:paraId="4B2CF619"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94</w:t>
            </w:r>
          </w:p>
        </w:tc>
        <w:tc>
          <w:tcPr>
            <w:tcW w:w="992" w:type="dxa"/>
            <w:tcBorders>
              <w:top w:val="nil"/>
              <w:left w:val="nil"/>
              <w:bottom w:val="nil"/>
              <w:right w:val="nil"/>
            </w:tcBorders>
            <w:vAlign w:val="center"/>
          </w:tcPr>
          <w:p w14:paraId="16EA0888" w14:textId="77777777" w:rsidR="00BD3B3A" w:rsidRPr="00513B5A" w:rsidRDefault="00BD3B3A" w:rsidP="00FC4E46">
            <w:pPr>
              <w:jc w:val="right"/>
              <w:rPr>
                <w:rFonts w:ascii="Times New Roman" w:hAnsi="Times New Roman" w:cs="Times New Roman"/>
                <w:b/>
                <w:sz w:val="23"/>
                <w:szCs w:val="23"/>
                <w:lang w:val="en-GB" w:eastAsia="pt-BR"/>
              </w:rPr>
            </w:pPr>
            <w:r w:rsidRPr="00513B5A">
              <w:rPr>
                <w:rFonts w:ascii="Times New Roman" w:hAnsi="Times New Roman" w:cs="Times New Roman"/>
                <w:sz w:val="23"/>
                <w:szCs w:val="23"/>
                <w:lang w:val="en-GB" w:eastAsia="pt-BR"/>
              </w:rPr>
              <w:t>35.0</w:t>
            </w:r>
          </w:p>
        </w:tc>
        <w:tc>
          <w:tcPr>
            <w:tcW w:w="992" w:type="dxa"/>
            <w:tcBorders>
              <w:top w:val="nil"/>
              <w:left w:val="nil"/>
              <w:bottom w:val="nil"/>
              <w:right w:val="nil"/>
            </w:tcBorders>
            <w:vAlign w:val="center"/>
          </w:tcPr>
          <w:p w14:paraId="2B560F04"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209.0</w:t>
            </w:r>
          </w:p>
        </w:tc>
        <w:tc>
          <w:tcPr>
            <w:tcW w:w="1242" w:type="dxa"/>
            <w:tcBorders>
              <w:top w:val="nil"/>
              <w:left w:val="nil"/>
              <w:bottom w:val="nil"/>
              <w:right w:val="nil"/>
            </w:tcBorders>
            <w:vAlign w:val="center"/>
          </w:tcPr>
          <w:p w14:paraId="1F8ADC7B" w14:textId="5F7C9906"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fldChar w:fldCharType="begin" w:fldLock="1"/>
            </w:r>
            <w:r w:rsidR="001D0B34">
              <w:rPr>
                <w:rFonts w:ascii="Times New Roman" w:hAnsi="Times New Roman" w:cs="Times New Roman"/>
                <w:sz w:val="23"/>
                <w:szCs w:val="23"/>
                <w:lang w:val="en-GB" w:eastAsia="pt-BR"/>
              </w:rPr>
              <w:instrText>ADDIN CSL_CITATION {"citationItems":[{"id":"ITEM-1","itemData":{"DOI":"10.1126/science.1201609","ISBN":"0036-8075","ISSN":"0036-8075","PMID":"21764754","abstract":"The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container-title":"Science (New York, N.Y.)","id":"ITEM-1","issue":"6045","issued":{"date-parts":[["2011","8","19"]]},"page":"988-993","title":"A large and persistent carbon sink in the world's forests.","type":"article-journal","volume":"333"},"uris":["http://www.mendeley.com/documents/?uuid=35c4d272-920c-4bfa-b895-701654387798"]}],"mendeley":{"formattedCitation":"&lt;sup&gt;2&lt;/sup&gt;","plainTextFormattedCitation":"2","previouslyFormattedCitation":"(Pan et al. 2011)"},"properties":{"noteIndex":0},"schema":"https://github.com/citation-style-language/schema/raw/master/csl-citation.json"}</w:instrText>
            </w:r>
            <w:r w:rsidRPr="00513B5A">
              <w:rPr>
                <w:rFonts w:ascii="Times New Roman" w:hAnsi="Times New Roman" w:cs="Times New Roman"/>
                <w:sz w:val="23"/>
                <w:szCs w:val="23"/>
                <w:lang w:val="en-GB" w:eastAsia="pt-BR"/>
              </w:rPr>
              <w:fldChar w:fldCharType="separate"/>
            </w:r>
            <w:r w:rsidR="001D0B34" w:rsidRPr="001D0B34">
              <w:rPr>
                <w:rFonts w:ascii="Times New Roman" w:hAnsi="Times New Roman" w:cs="Times New Roman"/>
                <w:noProof/>
                <w:sz w:val="23"/>
                <w:szCs w:val="23"/>
                <w:vertAlign w:val="superscript"/>
                <w:lang w:val="en-GB" w:eastAsia="pt-BR"/>
              </w:rPr>
              <w:t>2</w:t>
            </w:r>
            <w:r w:rsidRPr="00513B5A">
              <w:rPr>
                <w:rFonts w:ascii="Times New Roman" w:hAnsi="Times New Roman" w:cs="Times New Roman"/>
                <w:sz w:val="23"/>
                <w:szCs w:val="23"/>
                <w:lang w:val="en-GB" w:eastAsia="pt-BR"/>
              </w:rPr>
              <w:fldChar w:fldCharType="end"/>
            </w:r>
          </w:p>
        </w:tc>
      </w:tr>
      <w:tr w:rsidR="001A305E" w:rsidRPr="00513B5A" w14:paraId="3FC3F843" w14:textId="77777777" w:rsidTr="00BD3B3A">
        <w:tc>
          <w:tcPr>
            <w:tcW w:w="1560" w:type="dxa"/>
            <w:vMerge/>
            <w:tcBorders>
              <w:left w:val="nil"/>
              <w:bottom w:val="single" w:sz="4" w:space="0" w:color="auto"/>
              <w:right w:val="nil"/>
            </w:tcBorders>
            <w:vAlign w:val="center"/>
          </w:tcPr>
          <w:p w14:paraId="00D58D16" w14:textId="77777777" w:rsidR="00BD3B3A" w:rsidRPr="00513B5A" w:rsidRDefault="00BD3B3A" w:rsidP="00FC4E46">
            <w:pPr>
              <w:jc w:val="center"/>
              <w:rPr>
                <w:rFonts w:ascii="Times New Roman" w:hAnsi="Times New Roman" w:cs="Times New Roman"/>
                <w:b/>
                <w:sz w:val="23"/>
                <w:szCs w:val="23"/>
                <w:lang w:val="en-GB"/>
              </w:rPr>
            </w:pPr>
          </w:p>
        </w:tc>
        <w:tc>
          <w:tcPr>
            <w:tcW w:w="1559" w:type="dxa"/>
            <w:tcBorders>
              <w:top w:val="nil"/>
              <w:left w:val="nil"/>
              <w:bottom w:val="single" w:sz="4" w:space="0" w:color="auto"/>
              <w:right w:val="nil"/>
            </w:tcBorders>
            <w:vAlign w:val="center"/>
          </w:tcPr>
          <w:p w14:paraId="1B924881"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SUM</w:t>
            </w:r>
          </w:p>
        </w:tc>
        <w:tc>
          <w:tcPr>
            <w:tcW w:w="1417" w:type="dxa"/>
            <w:tcBorders>
              <w:top w:val="nil"/>
              <w:left w:val="nil"/>
              <w:bottom w:val="single" w:sz="4" w:space="0" w:color="auto"/>
              <w:right w:val="nil"/>
            </w:tcBorders>
            <w:vAlign w:val="center"/>
          </w:tcPr>
          <w:p w14:paraId="55F44997"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673</w:t>
            </w:r>
          </w:p>
        </w:tc>
        <w:tc>
          <w:tcPr>
            <w:tcW w:w="993" w:type="dxa"/>
            <w:tcBorders>
              <w:top w:val="nil"/>
              <w:left w:val="nil"/>
              <w:bottom w:val="single" w:sz="4" w:space="0" w:color="auto"/>
              <w:right w:val="nil"/>
            </w:tcBorders>
            <w:vAlign w:val="center"/>
          </w:tcPr>
          <w:p w14:paraId="17B80B33"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492</w:t>
            </w:r>
          </w:p>
        </w:tc>
        <w:tc>
          <w:tcPr>
            <w:tcW w:w="992" w:type="dxa"/>
            <w:tcBorders>
              <w:top w:val="nil"/>
              <w:left w:val="nil"/>
              <w:bottom w:val="single" w:sz="4" w:space="0" w:color="auto"/>
              <w:right w:val="nil"/>
            </w:tcBorders>
            <w:vAlign w:val="center"/>
          </w:tcPr>
          <w:p w14:paraId="0A925D87"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1427.9</w:t>
            </w:r>
          </w:p>
        </w:tc>
        <w:tc>
          <w:tcPr>
            <w:tcW w:w="992" w:type="dxa"/>
            <w:tcBorders>
              <w:top w:val="nil"/>
              <w:left w:val="nil"/>
              <w:bottom w:val="single" w:sz="4" w:space="0" w:color="auto"/>
              <w:right w:val="nil"/>
            </w:tcBorders>
            <w:vAlign w:val="center"/>
          </w:tcPr>
          <w:p w14:paraId="2C1AA7C9"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2592.9</w:t>
            </w:r>
          </w:p>
        </w:tc>
        <w:tc>
          <w:tcPr>
            <w:tcW w:w="1242" w:type="dxa"/>
            <w:tcBorders>
              <w:top w:val="nil"/>
              <w:left w:val="nil"/>
              <w:bottom w:val="single" w:sz="4" w:space="0" w:color="auto"/>
              <w:right w:val="nil"/>
            </w:tcBorders>
            <w:vAlign w:val="center"/>
          </w:tcPr>
          <w:p w14:paraId="15A39626" w14:textId="77777777"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This study</w:t>
            </w:r>
          </w:p>
        </w:tc>
      </w:tr>
      <w:tr w:rsidR="001A305E" w:rsidRPr="00513B5A" w14:paraId="20D78B51" w14:textId="77777777" w:rsidTr="00BD3B3A">
        <w:tc>
          <w:tcPr>
            <w:tcW w:w="1560" w:type="dxa"/>
            <w:vMerge w:val="restart"/>
            <w:tcBorders>
              <w:left w:val="nil"/>
              <w:right w:val="nil"/>
            </w:tcBorders>
            <w:vAlign w:val="center"/>
          </w:tcPr>
          <w:p w14:paraId="5C17EE9E" w14:textId="77777777" w:rsidR="00BD3B3A" w:rsidRPr="00513B5A" w:rsidRDefault="00BD3B3A" w:rsidP="00FC4E46">
            <w:pPr>
              <w:ind w:left="113" w:right="113"/>
              <w:jc w:val="center"/>
              <w:rPr>
                <w:rFonts w:ascii="Times New Roman" w:hAnsi="Times New Roman" w:cs="Times New Roman"/>
                <w:b/>
                <w:sz w:val="23"/>
                <w:szCs w:val="23"/>
                <w:lang w:val="en-GB" w:eastAsia="pt-BR"/>
              </w:rPr>
            </w:pPr>
            <w:r w:rsidRPr="00513B5A">
              <w:rPr>
                <w:rFonts w:ascii="Times New Roman" w:hAnsi="Times New Roman" w:cs="Times New Roman"/>
                <w:b/>
                <w:sz w:val="23"/>
                <w:szCs w:val="23"/>
                <w:lang w:val="en-GB" w:eastAsia="pt-BR"/>
              </w:rPr>
              <w:t>Area</w:t>
            </w:r>
          </w:p>
          <w:p w14:paraId="1D29F9CB" w14:textId="77777777" w:rsidR="00BD3B3A" w:rsidRPr="00513B5A" w:rsidRDefault="00BD3B3A" w:rsidP="00FC4E46">
            <w:pPr>
              <w:jc w:val="center"/>
              <w:rPr>
                <w:rFonts w:ascii="Times New Roman" w:hAnsi="Times New Roman" w:cs="Times New Roman"/>
                <w:b/>
                <w:sz w:val="23"/>
                <w:szCs w:val="23"/>
                <w:lang w:val="en-GB"/>
              </w:rPr>
            </w:pPr>
            <w:r w:rsidRPr="00513B5A">
              <w:rPr>
                <w:rFonts w:ascii="Times New Roman" w:hAnsi="Times New Roman" w:cs="Times New Roman"/>
                <w:b/>
                <w:sz w:val="23"/>
                <w:szCs w:val="23"/>
                <w:lang w:val="en-GB" w:eastAsia="pt-BR"/>
              </w:rPr>
              <w:t>[km</w:t>
            </w:r>
            <w:r w:rsidRPr="00513B5A">
              <w:rPr>
                <w:rFonts w:ascii="Times New Roman" w:hAnsi="Times New Roman" w:cs="Times New Roman"/>
                <w:b/>
                <w:sz w:val="23"/>
                <w:szCs w:val="23"/>
                <w:vertAlign w:val="superscript"/>
                <w:lang w:val="en-GB" w:eastAsia="pt-BR"/>
              </w:rPr>
              <w:t>2</w:t>
            </w:r>
            <w:r w:rsidRPr="00513B5A">
              <w:rPr>
                <w:rFonts w:ascii="Times New Roman" w:hAnsi="Times New Roman" w:cs="Times New Roman"/>
                <w:b/>
                <w:sz w:val="23"/>
                <w:szCs w:val="23"/>
                <w:lang w:val="en-GB" w:eastAsia="pt-BR"/>
              </w:rPr>
              <w:t>x10</w:t>
            </w:r>
            <w:r w:rsidRPr="00513B5A">
              <w:rPr>
                <w:rFonts w:ascii="Times New Roman" w:hAnsi="Times New Roman" w:cs="Times New Roman"/>
                <w:b/>
                <w:sz w:val="23"/>
                <w:szCs w:val="23"/>
                <w:vertAlign w:val="superscript"/>
                <w:lang w:val="en-GB" w:eastAsia="pt-BR"/>
              </w:rPr>
              <w:t>5</w:t>
            </w:r>
            <w:r w:rsidRPr="00513B5A">
              <w:rPr>
                <w:rFonts w:ascii="Times New Roman" w:hAnsi="Times New Roman" w:cs="Times New Roman"/>
                <w:b/>
                <w:sz w:val="23"/>
                <w:szCs w:val="23"/>
                <w:lang w:val="en-GB" w:eastAsia="pt-BR"/>
              </w:rPr>
              <w:t>]</w:t>
            </w:r>
          </w:p>
        </w:tc>
        <w:tc>
          <w:tcPr>
            <w:tcW w:w="1559" w:type="dxa"/>
            <w:tcBorders>
              <w:top w:val="single" w:sz="4" w:space="0" w:color="auto"/>
              <w:left w:val="nil"/>
              <w:bottom w:val="nil"/>
              <w:right w:val="nil"/>
            </w:tcBorders>
            <w:vAlign w:val="center"/>
          </w:tcPr>
          <w:p w14:paraId="6E60A4C7"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 xml:space="preserve">Forest </w:t>
            </w:r>
          </w:p>
        </w:tc>
        <w:tc>
          <w:tcPr>
            <w:tcW w:w="1417" w:type="dxa"/>
            <w:tcBorders>
              <w:top w:val="single" w:sz="4" w:space="0" w:color="auto"/>
              <w:left w:val="nil"/>
              <w:bottom w:val="nil"/>
              <w:right w:val="nil"/>
            </w:tcBorders>
            <w:vAlign w:val="center"/>
          </w:tcPr>
          <w:p w14:paraId="0C9E63CD"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76.70</w:t>
            </w:r>
          </w:p>
        </w:tc>
        <w:tc>
          <w:tcPr>
            <w:tcW w:w="993" w:type="dxa"/>
            <w:tcBorders>
              <w:top w:val="single" w:sz="4" w:space="0" w:color="auto"/>
              <w:left w:val="nil"/>
              <w:bottom w:val="nil"/>
              <w:right w:val="nil"/>
            </w:tcBorders>
            <w:vAlign w:val="center"/>
          </w:tcPr>
          <w:p w14:paraId="33676C8A"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113.50</w:t>
            </w:r>
          </w:p>
        </w:tc>
        <w:tc>
          <w:tcPr>
            <w:tcW w:w="992" w:type="dxa"/>
            <w:tcBorders>
              <w:top w:val="single" w:sz="4" w:space="0" w:color="auto"/>
              <w:left w:val="nil"/>
              <w:bottom w:val="nil"/>
              <w:right w:val="nil"/>
            </w:tcBorders>
            <w:vAlign w:val="center"/>
          </w:tcPr>
          <w:p w14:paraId="21BBC566"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194.90</w:t>
            </w:r>
          </w:p>
        </w:tc>
        <w:tc>
          <w:tcPr>
            <w:tcW w:w="992" w:type="dxa"/>
            <w:tcBorders>
              <w:top w:val="single" w:sz="4" w:space="0" w:color="auto"/>
              <w:left w:val="nil"/>
              <w:bottom w:val="nil"/>
              <w:right w:val="nil"/>
            </w:tcBorders>
            <w:vAlign w:val="center"/>
          </w:tcPr>
          <w:p w14:paraId="3B9096AC"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385.10</w:t>
            </w:r>
          </w:p>
        </w:tc>
        <w:tc>
          <w:tcPr>
            <w:tcW w:w="1242" w:type="dxa"/>
            <w:tcBorders>
              <w:top w:val="single" w:sz="4" w:space="0" w:color="auto"/>
              <w:left w:val="nil"/>
              <w:bottom w:val="nil"/>
              <w:right w:val="nil"/>
            </w:tcBorders>
            <w:vAlign w:val="center"/>
          </w:tcPr>
          <w:p w14:paraId="34F11C4D" w14:textId="107D42FD"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fldChar w:fldCharType="begin" w:fldLock="1"/>
            </w:r>
            <w:r w:rsidR="001D0B34">
              <w:rPr>
                <w:rFonts w:ascii="Times New Roman" w:hAnsi="Times New Roman" w:cs="Times New Roman"/>
                <w:sz w:val="23"/>
                <w:szCs w:val="23"/>
                <w:lang w:val="en-GB" w:eastAsia="pt-BR"/>
              </w:rPr>
              <w:instrText>ADDIN CSL_CITATION {"citationItems":[{"id":"ITEM-1","itemData":{"DOI":"10.1126/science.1201609","ISBN":"0036-8075","ISSN":"0036-8075","PMID":"21764754","abstract":"The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container-title":"Science (New York, N.Y.)","id":"ITEM-1","issue":"6045","issued":{"date-parts":[["2011","8","19"]]},"page":"988-993","title":"A large and persistent carbon sink in the world's forests.","type":"article-journal","volume":"333"},"uris":["http://www.mendeley.com/documents/?uuid=35c4d272-920c-4bfa-b895-701654387798"]}],"mendeley":{"formattedCitation":"&lt;sup&gt;2&lt;/sup&gt;","plainTextFormattedCitation":"2","previouslyFormattedCitation":"(Pan et al. 2011)"},"properties":{"noteIndex":0},"schema":"https://github.com/citation-style-language/schema/raw/master/csl-citation.json"}</w:instrText>
            </w:r>
            <w:r w:rsidRPr="00513B5A">
              <w:rPr>
                <w:rFonts w:ascii="Times New Roman" w:hAnsi="Times New Roman" w:cs="Times New Roman"/>
                <w:sz w:val="23"/>
                <w:szCs w:val="23"/>
                <w:lang w:val="en-GB" w:eastAsia="pt-BR"/>
              </w:rPr>
              <w:fldChar w:fldCharType="separate"/>
            </w:r>
            <w:r w:rsidR="001D0B34" w:rsidRPr="001D0B34">
              <w:rPr>
                <w:rFonts w:ascii="Times New Roman" w:hAnsi="Times New Roman" w:cs="Times New Roman"/>
                <w:noProof/>
                <w:sz w:val="23"/>
                <w:szCs w:val="23"/>
                <w:vertAlign w:val="superscript"/>
                <w:lang w:val="en-GB" w:eastAsia="pt-BR"/>
              </w:rPr>
              <w:t>2</w:t>
            </w:r>
            <w:r w:rsidRPr="00513B5A">
              <w:rPr>
                <w:rFonts w:ascii="Times New Roman" w:hAnsi="Times New Roman" w:cs="Times New Roman"/>
                <w:sz w:val="23"/>
                <w:szCs w:val="23"/>
                <w:lang w:val="en-GB" w:eastAsia="pt-BR"/>
              </w:rPr>
              <w:fldChar w:fldCharType="end"/>
            </w:r>
          </w:p>
        </w:tc>
      </w:tr>
      <w:tr w:rsidR="001A305E" w:rsidRPr="00513B5A" w14:paraId="4D0AAE26" w14:textId="77777777" w:rsidTr="00BD3B3A">
        <w:tc>
          <w:tcPr>
            <w:tcW w:w="1560" w:type="dxa"/>
            <w:vMerge/>
            <w:tcBorders>
              <w:left w:val="nil"/>
              <w:right w:val="nil"/>
            </w:tcBorders>
            <w:vAlign w:val="center"/>
          </w:tcPr>
          <w:p w14:paraId="080877FF" w14:textId="77777777" w:rsidR="00BD3B3A" w:rsidRPr="00513B5A" w:rsidRDefault="00BD3B3A" w:rsidP="00FC4E46">
            <w:pPr>
              <w:jc w:val="center"/>
              <w:rPr>
                <w:rFonts w:ascii="Times New Roman" w:hAnsi="Times New Roman" w:cs="Times New Roman"/>
                <w:b/>
                <w:sz w:val="23"/>
                <w:szCs w:val="23"/>
                <w:lang w:val="en-GB"/>
              </w:rPr>
            </w:pPr>
          </w:p>
        </w:tc>
        <w:tc>
          <w:tcPr>
            <w:tcW w:w="1559" w:type="dxa"/>
            <w:tcBorders>
              <w:top w:val="nil"/>
              <w:left w:val="nil"/>
              <w:bottom w:val="nil"/>
              <w:right w:val="nil"/>
            </w:tcBorders>
            <w:vAlign w:val="center"/>
          </w:tcPr>
          <w:p w14:paraId="47F035BF"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 xml:space="preserve">Wetland </w:t>
            </w:r>
          </w:p>
        </w:tc>
        <w:tc>
          <w:tcPr>
            <w:tcW w:w="1417" w:type="dxa"/>
            <w:tcBorders>
              <w:top w:val="nil"/>
              <w:left w:val="nil"/>
              <w:bottom w:val="nil"/>
              <w:right w:val="nil"/>
            </w:tcBorders>
            <w:vAlign w:val="center"/>
          </w:tcPr>
          <w:p w14:paraId="654ABE7F"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6.83</w:t>
            </w:r>
          </w:p>
        </w:tc>
        <w:tc>
          <w:tcPr>
            <w:tcW w:w="993" w:type="dxa"/>
            <w:tcBorders>
              <w:top w:val="nil"/>
              <w:left w:val="nil"/>
              <w:bottom w:val="nil"/>
              <w:right w:val="nil"/>
            </w:tcBorders>
            <w:vAlign w:val="center"/>
          </w:tcPr>
          <w:p w14:paraId="7F7AED5E"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26.50</w:t>
            </w:r>
          </w:p>
        </w:tc>
        <w:tc>
          <w:tcPr>
            <w:tcW w:w="992" w:type="dxa"/>
            <w:tcBorders>
              <w:top w:val="nil"/>
              <w:left w:val="nil"/>
              <w:bottom w:val="nil"/>
              <w:right w:val="nil"/>
            </w:tcBorders>
            <w:vAlign w:val="center"/>
          </w:tcPr>
          <w:p w14:paraId="29F12A2F"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20.17</w:t>
            </w:r>
          </w:p>
        </w:tc>
        <w:tc>
          <w:tcPr>
            <w:tcW w:w="992" w:type="dxa"/>
            <w:tcBorders>
              <w:top w:val="nil"/>
              <w:left w:val="nil"/>
              <w:bottom w:val="nil"/>
              <w:right w:val="nil"/>
            </w:tcBorders>
            <w:vAlign w:val="center"/>
          </w:tcPr>
          <w:p w14:paraId="23EC0A71"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53.50</w:t>
            </w:r>
          </w:p>
        </w:tc>
        <w:tc>
          <w:tcPr>
            <w:tcW w:w="1242" w:type="dxa"/>
            <w:tcBorders>
              <w:top w:val="nil"/>
              <w:left w:val="nil"/>
              <w:bottom w:val="nil"/>
              <w:right w:val="nil"/>
            </w:tcBorders>
            <w:vAlign w:val="center"/>
          </w:tcPr>
          <w:p w14:paraId="315961D3" w14:textId="3EE3CB43"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fldChar w:fldCharType="begin" w:fldLock="1"/>
            </w:r>
            <w:r w:rsidR="001D0B34">
              <w:rPr>
                <w:rFonts w:ascii="Times New Roman" w:hAnsi="Times New Roman" w:cs="Times New Roman"/>
                <w:sz w:val="23"/>
                <w:szCs w:val="23"/>
                <w:lang w:val="en-GB" w:eastAsia="pt-BR"/>
              </w:rPr>
              <w:instrText>ADDIN CSL_CITATION {"citationItems":[{"id":"ITEM-1","itemData":{"ISBN":"0011-3891","ISSN":"00113891","abstract":"Wetlands are among the most important natural resources on earth. They are the sources of cultural, economic and biological diversity. With their wealth of stored carbon, wetlands provide a potential sink for atmospheric carbon, but if not managed properly could become sources of greenhouse gases (GHGs) such as carbon dioxide and methane. Two important long-term uncertainties have initiated much debate in the scientific community. These are global wetland area and the amount of carbon stored in it. Compilation of relevant databases could be useful in setting up a long-term strategy for wetland conservation. It has been difficult to estimate the net carbon sequestration potential of a wetland, because the rate of decomposition of organic matter and the abundance of methanogenic micro-organisms and fluxes from the sediment are extremely complex, and there are often gaps in relevant scientific knowledge. The present discussion on density distribution of soil organic C in global wetlands could well be instrumental in formulating efficient strategies related to carbon sequestration and reduction of GHG emissions in wetland ecosystems. Effective assessment of wetlands will only take place when the available information becomes accessible and usable for all stakeholders.","author":[{"dropping-particle":"","family":"Mitra","given":"Sudip","non-dropping-particle":"","parse-names":false,"suffix":""},{"dropping-particle":"","family":"Wassmann","given":"Reiner","non-dropping-particle":"","parse-names":false,"suffix":""},{"dropping-particle":"","family":"Vlek","given":"Paul L.G.","non-dropping-particle":"","parse-names":false,"suffix":""}],"container-title":"Current Science","id":"ITEM-1","issue":"1","issued":{"date-parts":[["2005"]]},"page":"25-35","title":"An appraisal of global wetland area and its organic carbon stock","type":"article-journal","volume":"88"},"uris":["http://www.mendeley.com/documents/?uuid=e9851209-0d03-4589-b13c-93d9dc9e770e"]}],"mendeley":{"formattedCitation":"&lt;sup&gt;5&lt;/sup&gt;","plainTextFormattedCitation":"5","previouslyFormattedCitation":"(Mitra et al. 2005)"},"properties":{"noteIndex":0},"schema":"https://github.com/citation-style-language/schema/raw/master/csl-citation.json"}</w:instrText>
            </w:r>
            <w:r w:rsidRPr="00513B5A">
              <w:rPr>
                <w:rFonts w:ascii="Times New Roman" w:hAnsi="Times New Roman" w:cs="Times New Roman"/>
                <w:sz w:val="23"/>
                <w:szCs w:val="23"/>
                <w:lang w:val="en-GB" w:eastAsia="pt-BR"/>
              </w:rPr>
              <w:fldChar w:fldCharType="separate"/>
            </w:r>
            <w:r w:rsidR="001D0B34" w:rsidRPr="001D0B34">
              <w:rPr>
                <w:rFonts w:ascii="Times New Roman" w:hAnsi="Times New Roman" w:cs="Times New Roman"/>
                <w:noProof/>
                <w:sz w:val="23"/>
                <w:szCs w:val="23"/>
                <w:vertAlign w:val="superscript"/>
                <w:lang w:val="en-GB" w:eastAsia="pt-BR"/>
              </w:rPr>
              <w:t>5</w:t>
            </w:r>
            <w:r w:rsidRPr="00513B5A">
              <w:rPr>
                <w:rFonts w:ascii="Times New Roman" w:hAnsi="Times New Roman" w:cs="Times New Roman"/>
                <w:sz w:val="23"/>
                <w:szCs w:val="23"/>
                <w:lang w:val="en-GB" w:eastAsia="pt-BR"/>
              </w:rPr>
              <w:fldChar w:fldCharType="end"/>
            </w:r>
          </w:p>
        </w:tc>
      </w:tr>
      <w:tr w:rsidR="001A305E" w:rsidRPr="00513B5A" w14:paraId="757390C1" w14:textId="77777777" w:rsidTr="00BD3B3A">
        <w:trPr>
          <w:trHeight w:val="410"/>
        </w:trPr>
        <w:tc>
          <w:tcPr>
            <w:tcW w:w="1560" w:type="dxa"/>
            <w:vMerge/>
            <w:tcBorders>
              <w:left w:val="nil"/>
              <w:bottom w:val="single" w:sz="4" w:space="0" w:color="auto"/>
              <w:right w:val="nil"/>
            </w:tcBorders>
            <w:vAlign w:val="center"/>
          </w:tcPr>
          <w:p w14:paraId="2DC7C11F" w14:textId="77777777" w:rsidR="00BD3B3A" w:rsidRPr="00513B5A" w:rsidRDefault="00BD3B3A" w:rsidP="00FC4E46">
            <w:pPr>
              <w:jc w:val="center"/>
              <w:rPr>
                <w:rFonts w:ascii="Times New Roman" w:hAnsi="Times New Roman" w:cs="Times New Roman"/>
                <w:b/>
                <w:sz w:val="23"/>
                <w:szCs w:val="23"/>
                <w:lang w:val="en-GB"/>
              </w:rPr>
            </w:pPr>
          </w:p>
        </w:tc>
        <w:tc>
          <w:tcPr>
            <w:tcW w:w="1559" w:type="dxa"/>
            <w:tcBorders>
              <w:top w:val="nil"/>
              <w:left w:val="nil"/>
              <w:bottom w:val="single" w:sz="4" w:space="0" w:color="auto"/>
              <w:right w:val="nil"/>
            </w:tcBorders>
            <w:vAlign w:val="center"/>
          </w:tcPr>
          <w:p w14:paraId="63488984"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 xml:space="preserve">Forest-wetland </w:t>
            </w:r>
          </w:p>
        </w:tc>
        <w:tc>
          <w:tcPr>
            <w:tcW w:w="1417" w:type="dxa"/>
            <w:tcBorders>
              <w:top w:val="nil"/>
              <w:left w:val="nil"/>
              <w:bottom w:val="single" w:sz="4" w:space="0" w:color="auto"/>
              <w:right w:val="nil"/>
            </w:tcBorders>
            <w:vAlign w:val="center"/>
          </w:tcPr>
          <w:p w14:paraId="70D08330"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69.87</w:t>
            </w:r>
          </w:p>
        </w:tc>
        <w:tc>
          <w:tcPr>
            <w:tcW w:w="993" w:type="dxa"/>
            <w:tcBorders>
              <w:top w:val="nil"/>
              <w:left w:val="nil"/>
              <w:bottom w:val="single" w:sz="4" w:space="0" w:color="auto"/>
              <w:right w:val="nil"/>
            </w:tcBorders>
            <w:vAlign w:val="center"/>
          </w:tcPr>
          <w:p w14:paraId="0A45BA68"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87.00</w:t>
            </w:r>
          </w:p>
        </w:tc>
        <w:tc>
          <w:tcPr>
            <w:tcW w:w="992" w:type="dxa"/>
            <w:tcBorders>
              <w:top w:val="nil"/>
              <w:left w:val="nil"/>
              <w:bottom w:val="single" w:sz="4" w:space="0" w:color="auto"/>
              <w:right w:val="nil"/>
            </w:tcBorders>
            <w:vAlign w:val="center"/>
          </w:tcPr>
          <w:p w14:paraId="300CE5E6"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174.73</w:t>
            </w:r>
          </w:p>
        </w:tc>
        <w:tc>
          <w:tcPr>
            <w:tcW w:w="992" w:type="dxa"/>
            <w:tcBorders>
              <w:top w:val="nil"/>
              <w:left w:val="nil"/>
              <w:bottom w:val="single" w:sz="4" w:space="0" w:color="auto"/>
              <w:right w:val="nil"/>
            </w:tcBorders>
            <w:vAlign w:val="center"/>
          </w:tcPr>
          <w:p w14:paraId="79DC7248"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331.60</w:t>
            </w:r>
          </w:p>
        </w:tc>
        <w:tc>
          <w:tcPr>
            <w:tcW w:w="1242" w:type="dxa"/>
            <w:tcBorders>
              <w:top w:val="nil"/>
              <w:left w:val="nil"/>
              <w:bottom w:val="single" w:sz="4" w:space="0" w:color="auto"/>
              <w:right w:val="nil"/>
            </w:tcBorders>
            <w:vAlign w:val="center"/>
          </w:tcPr>
          <w:p w14:paraId="19192A2C" w14:textId="77777777"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 xml:space="preserve">This study </w:t>
            </w:r>
          </w:p>
        </w:tc>
      </w:tr>
      <w:tr w:rsidR="001A305E" w:rsidRPr="00513B5A" w14:paraId="42A8704E" w14:textId="77777777" w:rsidTr="00BD3B3A">
        <w:trPr>
          <w:trHeight w:val="725"/>
        </w:trPr>
        <w:tc>
          <w:tcPr>
            <w:tcW w:w="1560" w:type="dxa"/>
            <w:tcBorders>
              <w:left w:val="nil"/>
              <w:right w:val="nil"/>
            </w:tcBorders>
            <w:vAlign w:val="center"/>
          </w:tcPr>
          <w:p w14:paraId="6D8533D9" w14:textId="77777777" w:rsidR="00BD3B3A" w:rsidRPr="00513B5A" w:rsidRDefault="00BD3B3A" w:rsidP="00FC4E46">
            <w:pPr>
              <w:ind w:left="113" w:right="113"/>
              <w:jc w:val="center"/>
              <w:rPr>
                <w:rFonts w:ascii="Times New Roman" w:hAnsi="Times New Roman" w:cs="Times New Roman"/>
                <w:b/>
                <w:sz w:val="23"/>
                <w:szCs w:val="23"/>
                <w:lang w:val="en-GB" w:eastAsia="pt-BR"/>
              </w:rPr>
            </w:pPr>
            <w:r w:rsidRPr="00513B5A">
              <w:rPr>
                <w:rFonts w:ascii="Times New Roman" w:hAnsi="Times New Roman" w:cs="Times New Roman"/>
                <w:b/>
                <w:sz w:val="23"/>
                <w:szCs w:val="23"/>
                <w:lang w:val="en-GB" w:eastAsia="pt-BR"/>
              </w:rPr>
              <w:t>C Sink</w:t>
            </w:r>
          </w:p>
          <w:p w14:paraId="2A22EFDD" w14:textId="77777777" w:rsidR="00BD3B3A" w:rsidRPr="00513B5A" w:rsidRDefault="00BD3B3A" w:rsidP="00FC4E46">
            <w:pPr>
              <w:jc w:val="center"/>
              <w:rPr>
                <w:rFonts w:ascii="Times New Roman" w:hAnsi="Times New Roman" w:cs="Times New Roman"/>
                <w:b/>
                <w:sz w:val="23"/>
                <w:szCs w:val="23"/>
                <w:lang w:val="en-GB"/>
              </w:rPr>
            </w:pPr>
            <w:r w:rsidRPr="00513B5A">
              <w:rPr>
                <w:rFonts w:ascii="Times New Roman" w:hAnsi="Times New Roman" w:cs="Times New Roman"/>
                <w:b/>
                <w:sz w:val="23"/>
                <w:szCs w:val="23"/>
                <w:lang w:val="en-GB" w:eastAsia="pt-BR"/>
              </w:rPr>
              <w:t>[g C m</w:t>
            </w:r>
            <w:r w:rsidRPr="00513B5A">
              <w:rPr>
                <w:rFonts w:ascii="Times New Roman" w:hAnsi="Times New Roman" w:cs="Times New Roman"/>
                <w:b/>
                <w:sz w:val="23"/>
                <w:szCs w:val="23"/>
                <w:vertAlign w:val="superscript"/>
                <w:lang w:val="en-GB" w:eastAsia="pt-BR"/>
              </w:rPr>
              <w:t>2</w:t>
            </w:r>
            <w:r w:rsidRPr="00513B5A">
              <w:rPr>
                <w:rFonts w:ascii="Times New Roman" w:hAnsi="Times New Roman" w:cs="Times New Roman"/>
                <w:b/>
                <w:sz w:val="23"/>
                <w:szCs w:val="23"/>
                <w:lang w:val="en-GB" w:eastAsia="pt-BR"/>
              </w:rPr>
              <w:t xml:space="preserve"> yr</w:t>
            </w:r>
            <w:r w:rsidRPr="00513B5A">
              <w:rPr>
                <w:rFonts w:ascii="Times New Roman" w:hAnsi="Times New Roman" w:cs="Times New Roman"/>
                <w:b/>
                <w:sz w:val="23"/>
                <w:szCs w:val="23"/>
                <w:vertAlign w:val="superscript"/>
                <w:lang w:val="en-GB" w:eastAsia="pt-BR"/>
              </w:rPr>
              <w:t>-1</w:t>
            </w:r>
            <w:r w:rsidRPr="00513B5A">
              <w:rPr>
                <w:rFonts w:ascii="Times New Roman" w:hAnsi="Times New Roman" w:cs="Times New Roman"/>
                <w:b/>
                <w:sz w:val="23"/>
                <w:szCs w:val="23"/>
                <w:lang w:val="en-GB" w:eastAsia="pt-BR"/>
              </w:rPr>
              <w:t>]</w:t>
            </w:r>
          </w:p>
        </w:tc>
        <w:tc>
          <w:tcPr>
            <w:tcW w:w="1559" w:type="dxa"/>
            <w:tcBorders>
              <w:top w:val="single" w:sz="4" w:space="0" w:color="auto"/>
              <w:left w:val="nil"/>
              <w:bottom w:val="single" w:sz="4" w:space="0" w:color="auto"/>
              <w:right w:val="nil"/>
            </w:tcBorders>
            <w:vAlign w:val="center"/>
          </w:tcPr>
          <w:p w14:paraId="1958B7A5" w14:textId="77777777" w:rsidR="00BD3B3A" w:rsidRPr="00513B5A" w:rsidRDefault="00BD3B3A" w:rsidP="00FC4E46">
            <w:pPr>
              <w:jc w:val="center"/>
              <w:rPr>
                <w:rFonts w:ascii="Times New Roman" w:hAnsi="Times New Roman" w:cs="Times New Roman"/>
                <w:i/>
                <w:sz w:val="23"/>
                <w:szCs w:val="23"/>
                <w:lang w:val="en-GB" w:eastAsia="pt-BR"/>
              </w:rPr>
            </w:pPr>
            <w:r w:rsidRPr="00513B5A">
              <w:rPr>
                <w:rFonts w:ascii="Times New Roman" w:hAnsi="Times New Roman" w:cs="Times New Roman"/>
                <w:i/>
                <w:sz w:val="23"/>
                <w:szCs w:val="23"/>
                <w:lang w:val="en-GB" w:eastAsia="pt-BR"/>
              </w:rPr>
              <w:t xml:space="preserve">Forests-only </w:t>
            </w:r>
          </w:p>
        </w:tc>
        <w:tc>
          <w:tcPr>
            <w:tcW w:w="1417" w:type="dxa"/>
            <w:tcBorders>
              <w:top w:val="single" w:sz="4" w:space="0" w:color="auto"/>
              <w:left w:val="nil"/>
              <w:bottom w:val="single" w:sz="4" w:space="0" w:color="auto"/>
              <w:right w:val="nil"/>
            </w:tcBorders>
            <w:vAlign w:val="center"/>
          </w:tcPr>
          <w:p w14:paraId="7B89FDEB"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96.33</w:t>
            </w:r>
          </w:p>
        </w:tc>
        <w:tc>
          <w:tcPr>
            <w:tcW w:w="993" w:type="dxa"/>
            <w:tcBorders>
              <w:top w:val="single" w:sz="4" w:space="0" w:color="auto"/>
              <w:left w:val="nil"/>
              <w:bottom w:val="single" w:sz="4" w:space="0" w:color="auto"/>
              <w:right w:val="nil"/>
            </w:tcBorders>
            <w:vAlign w:val="center"/>
          </w:tcPr>
          <w:p w14:paraId="77DF1D6C"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56.55</w:t>
            </w:r>
          </w:p>
        </w:tc>
        <w:tc>
          <w:tcPr>
            <w:tcW w:w="992" w:type="dxa"/>
            <w:tcBorders>
              <w:top w:val="single" w:sz="4" w:space="0" w:color="auto"/>
              <w:left w:val="nil"/>
              <w:bottom w:val="single" w:sz="4" w:space="0" w:color="auto"/>
              <w:right w:val="nil"/>
            </w:tcBorders>
            <w:vAlign w:val="center"/>
          </w:tcPr>
          <w:p w14:paraId="4578BE95"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rPr>
              <w:t>81.72</w:t>
            </w:r>
          </w:p>
        </w:tc>
        <w:tc>
          <w:tcPr>
            <w:tcW w:w="992" w:type="dxa"/>
            <w:tcBorders>
              <w:top w:val="single" w:sz="4" w:space="0" w:color="auto"/>
              <w:left w:val="nil"/>
              <w:bottom w:val="single" w:sz="4" w:space="0" w:color="auto"/>
              <w:right w:val="nil"/>
            </w:tcBorders>
            <w:vAlign w:val="center"/>
          </w:tcPr>
          <w:p w14:paraId="443427D4" w14:textId="77777777" w:rsidR="00BD3B3A" w:rsidRPr="00513B5A" w:rsidRDefault="00BD3B3A" w:rsidP="00FC4E46">
            <w:pPr>
              <w:jc w:val="right"/>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78.19</w:t>
            </w:r>
          </w:p>
        </w:tc>
        <w:tc>
          <w:tcPr>
            <w:tcW w:w="1242" w:type="dxa"/>
            <w:tcBorders>
              <w:top w:val="single" w:sz="4" w:space="0" w:color="auto"/>
              <w:left w:val="nil"/>
              <w:bottom w:val="single" w:sz="4" w:space="0" w:color="auto"/>
              <w:right w:val="nil"/>
            </w:tcBorders>
            <w:vAlign w:val="center"/>
          </w:tcPr>
          <w:p w14:paraId="1FE8D7B8" w14:textId="77777777" w:rsidR="00BD3B3A" w:rsidRPr="00513B5A" w:rsidRDefault="00BD3B3A" w:rsidP="00FC4E46">
            <w:pPr>
              <w:jc w:val="center"/>
              <w:rPr>
                <w:rFonts w:ascii="Times New Roman" w:hAnsi="Times New Roman" w:cs="Times New Roman"/>
                <w:sz w:val="23"/>
                <w:szCs w:val="23"/>
                <w:lang w:val="en-GB" w:eastAsia="pt-BR"/>
              </w:rPr>
            </w:pPr>
            <w:r w:rsidRPr="00513B5A">
              <w:rPr>
                <w:rFonts w:ascii="Times New Roman" w:hAnsi="Times New Roman" w:cs="Times New Roman"/>
                <w:sz w:val="23"/>
                <w:szCs w:val="23"/>
                <w:lang w:val="en-GB" w:eastAsia="pt-BR"/>
              </w:rPr>
              <w:t>This study</w:t>
            </w:r>
          </w:p>
        </w:tc>
      </w:tr>
    </w:tbl>
    <w:p w14:paraId="59133A63" w14:textId="77777777" w:rsidR="00BD3B3A" w:rsidRPr="00513B5A" w:rsidRDefault="00BD3B3A" w:rsidP="00BD3B3A">
      <w:pPr>
        <w:spacing w:line="480" w:lineRule="auto"/>
        <w:jc w:val="both"/>
        <w:rPr>
          <w:rFonts w:ascii="Times New Roman" w:hAnsi="Times New Roman" w:cs="Times New Roman"/>
          <w:sz w:val="24"/>
          <w:szCs w:val="24"/>
          <w:lang w:val="en-GB"/>
        </w:rPr>
      </w:pPr>
      <w:r w:rsidRPr="00513B5A">
        <w:rPr>
          <w:rFonts w:ascii="Times New Roman" w:hAnsi="Times New Roman" w:cs="Times New Roman"/>
          <w:sz w:val="24"/>
          <w:szCs w:val="24"/>
          <w:lang w:val="en-GB"/>
        </w:rPr>
        <w:t xml:space="preserve">* The reference 8 refers only to soil C stock in humid tropical forests. </w:t>
      </w:r>
    </w:p>
    <w:p w14:paraId="217D47EC" w14:textId="77777777" w:rsidR="00FC4E46" w:rsidRPr="00513B5A" w:rsidRDefault="00FC4E46" w:rsidP="00BD3B3A">
      <w:pPr>
        <w:spacing w:line="480" w:lineRule="auto"/>
        <w:jc w:val="both"/>
        <w:rPr>
          <w:rFonts w:ascii="Times New Roman" w:hAnsi="Times New Roman" w:cs="Times New Roman"/>
          <w:b/>
          <w:sz w:val="24"/>
          <w:szCs w:val="24"/>
          <w:lang w:val="en-GB"/>
        </w:rPr>
      </w:pPr>
    </w:p>
    <w:p w14:paraId="21DBADC6" w14:textId="77777777" w:rsidR="00B53396" w:rsidRPr="00513B5A" w:rsidRDefault="00B53396" w:rsidP="00BD3B3A">
      <w:pPr>
        <w:spacing w:line="480" w:lineRule="auto"/>
        <w:jc w:val="both"/>
        <w:rPr>
          <w:rFonts w:ascii="Times New Roman" w:hAnsi="Times New Roman" w:cs="Times New Roman"/>
          <w:b/>
          <w:sz w:val="24"/>
          <w:szCs w:val="24"/>
          <w:lang w:val="en-GB"/>
        </w:rPr>
      </w:pPr>
    </w:p>
    <w:p w14:paraId="204059B8" w14:textId="77777777" w:rsidR="00B53396" w:rsidRPr="00513B5A" w:rsidRDefault="00B53396" w:rsidP="00BD3B3A">
      <w:pPr>
        <w:spacing w:line="480" w:lineRule="auto"/>
        <w:jc w:val="both"/>
        <w:rPr>
          <w:rFonts w:ascii="Times New Roman" w:hAnsi="Times New Roman" w:cs="Times New Roman"/>
          <w:b/>
          <w:sz w:val="24"/>
          <w:szCs w:val="24"/>
          <w:lang w:val="en-GB"/>
        </w:rPr>
      </w:pPr>
    </w:p>
    <w:p w14:paraId="6FD42048" w14:textId="77777777" w:rsidR="00B53396" w:rsidRPr="00513B5A" w:rsidRDefault="00B53396" w:rsidP="00BD3B3A">
      <w:pPr>
        <w:spacing w:line="480" w:lineRule="auto"/>
        <w:jc w:val="both"/>
        <w:rPr>
          <w:rFonts w:ascii="Times New Roman" w:hAnsi="Times New Roman" w:cs="Times New Roman"/>
          <w:b/>
          <w:sz w:val="24"/>
          <w:szCs w:val="24"/>
          <w:lang w:val="en-GB"/>
        </w:rPr>
      </w:pPr>
    </w:p>
    <w:p w14:paraId="6A0CD402" w14:textId="77777777" w:rsidR="00B53396" w:rsidRPr="00513B5A" w:rsidRDefault="00B53396" w:rsidP="00BD3B3A">
      <w:pPr>
        <w:spacing w:line="480" w:lineRule="auto"/>
        <w:jc w:val="both"/>
        <w:rPr>
          <w:rFonts w:ascii="Times New Roman" w:hAnsi="Times New Roman" w:cs="Times New Roman"/>
          <w:b/>
          <w:sz w:val="24"/>
          <w:szCs w:val="24"/>
          <w:lang w:val="en-GB"/>
        </w:rPr>
      </w:pPr>
    </w:p>
    <w:p w14:paraId="644EE708" w14:textId="77777777" w:rsidR="00B53396" w:rsidRPr="00513B5A" w:rsidRDefault="00B53396" w:rsidP="00BD3B3A">
      <w:pPr>
        <w:spacing w:line="480" w:lineRule="auto"/>
        <w:jc w:val="both"/>
        <w:rPr>
          <w:rFonts w:ascii="Times New Roman" w:hAnsi="Times New Roman" w:cs="Times New Roman"/>
          <w:b/>
          <w:sz w:val="24"/>
          <w:szCs w:val="24"/>
          <w:lang w:val="en-GB"/>
        </w:rPr>
      </w:pPr>
    </w:p>
    <w:p w14:paraId="5B160B86" w14:textId="3450D65F" w:rsidR="00B53396" w:rsidRDefault="00B53396" w:rsidP="00BD3B3A">
      <w:pPr>
        <w:spacing w:line="480" w:lineRule="auto"/>
        <w:jc w:val="both"/>
        <w:rPr>
          <w:rFonts w:ascii="Times New Roman" w:hAnsi="Times New Roman" w:cs="Times New Roman"/>
          <w:b/>
          <w:sz w:val="24"/>
          <w:szCs w:val="24"/>
          <w:lang w:val="en-GB"/>
        </w:rPr>
      </w:pPr>
    </w:p>
    <w:p w14:paraId="1C3CC571" w14:textId="62C7694B" w:rsidR="00B5343A" w:rsidRDefault="00B5343A" w:rsidP="00BD3B3A">
      <w:pPr>
        <w:spacing w:line="480" w:lineRule="auto"/>
        <w:jc w:val="both"/>
        <w:rPr>
          <w:rFonts w:ascii="Times New Roman" w:hAnsi="Times New Roman" w:cs="Times New Roman"/>
          <w:b/>
          <w:sz w:val="24"/>
          <w:szCs w:val="24"/>
          <w:lang w:val="en-GB"/>
        </w:rPr>
      </w:pPr>
    </w:p>
    <w:p w14:paraId="171F5903" w14:textId="77777777" w:rsidR="00B5343A" w:rsidRPr="00513B5A" w:rsidRDefault="00B5343A" w:rsidP="00BD3B3A">
      <w:pPr>
        <w:spacing w:line="480" w:lineRule="auto"/>
        <w:jc w:val="both"/>
        <w:rPr>
          <w:rFonts w:ascii="Times New Roman" w:hAnsi="Times New Roman" w:cs="Times New Roman"/>
          <w:b/>
          <w:sz w:val="24"/>
          <w:szCs w:val="24"/>
          <w:lang w:val="en-GB"/>
        </w:rPr>
      </w:pPr>
    </w:p>
    <w:p w14:paraId="41F06EEB" w14:textId="77777777" w:rsidR="00B53396" w:rsidRPr="00513B5A" w:rsidRDefault="00B53396" w:rsidP="00BD3B3A">
      <w:pPr>
        <w:spacing w:line="480" w:lineRule="auto"/>
        <w:jc w:val="both"/>
        <w:rPr>
          <w:rFonts w:ascii="Times New Roman" w:hAnsi="Times New Roman" w:cs="Times New Roman"/>
          <w:b/>
          <w:sz w:val="24"/>
          <w:szCs w:val="24"/>
          <w:lang w:val="en-GB"/>
        </w:rPr>
      </w:pPr>
    </w:p>
    <w:p w14:paraId="3BF13135" w14:textId="0ED2A429" w:rsidR="00BD3B3A" w:rsidRPr="00513B5A" w:rsidRDefault="00BD3B3A" w:rsidP="00BD3B3A">
      <w:pPr>
        <w:spacing w:line="480" w:lineRule="auto"/>
        <w:jc w:val="both"/>
        <w:rPr>
          <w:rFonts w:ascii="Times New Roman" w:hAnsi="Times New Roman" w:cs="Times New Roman"/>
          <w:sz w:val="24"/>
          <w:szCs w:val="24"/>
          <w:lang w:val="en-GB"/>
        </w:rPr>
      </w:pPr>
      <w:r w:rsidRPr="00513B5A">
        <w:rPr>
          <w:rFonts w:ascii="Times New Roman" w:hAnsi="Times New Roman" w:cs="Times New Roman"/>
          <w:b/>
          <w:sz w:val="24"/>
          <w:szCs w:val="24"/>
          <w:lang w:val="en-GB"/>
        </w:rPr>
        <w:lastRenderedPageBreak/>
        <w:t>Supp. Table 3</w:t>
      </w:r>
      <w:r w:rsidRPr="00513B5A">
        <w:rPr>
          <w:rFonts w:ascii="Times New Roman" w:hAnsi="Times New Roman" w:cs="Times New Roman"/>
          <w:sz w:val="24"/>
          <w:szCs w:val="24"/>
          <w:lang w:val="en-GB"/>
        </w:rPr>
        <w:t xml:space="preserve">. Values of main rivers water levels and acquisition date of satellite data for each Amazon floodplain lakes. We employed this data for the use and cover buffers (12km²).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112"/>
        <w:gridCol w:w="1228"/>
        <w:gridCol w:w="3037"/>
      </w:tblGrid>
      <w:tr w:rsidR="001A305E" w:rsidRPr="009C0E64" w14:paraId="58853932" w14:textId="77777777" w:rsidTr="00FC4E46">
        <w:trPr>
          <w:trHeight w:val="1029"/>
        </w:trPr>
        <w:tc>
          <w:tcPr>
            <w:tcW w:w="2135" w:type="dxa"/>
            <w:tcBorders>
              <w:top w:val="single" w:sz="4" w:space="0" w:color="auto"/>
              <w:bottom w:val="single" w:sz="4" w:space="0" w:color="auto"/>
            </w:tcBorders>
            <w:vAlign w:val="center"/>
          </w:tcPr>
          <w:p w14:paraId="2EF98403"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rPr>
              <w:t>Lake</w:t>
            </w:r>
          </w:p>
        </w:tc>
        <w:tc>
          <w:tcPr>
            <w:tcW w:w="2118" w:type="dxa"/>
            <w:tcBorders>
              <w:top w:val="single" w:sz="4" w:space="0" w:color="auto"/>
              <w:bottom w:val="single" w:sz="4" w:space="0" w:color="auto"/>
            </w:tcBorders>
            <w:vAlign w:val="center"/>
          </w:tcPr>
          <w:p w14:paraId="354A450D"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rPr>
              <w:t>Months/years of selected images</w:t>
            </w:r>
          </w:p>
        </w:tc>
        <w:tc>
          <w:tcPr>
            <w:tcW w:w="1233" w:type="dxa"/>
            <w:tcBorders>
              <w:top w:val="single" w:sz="4" w:space="0" w:color="auto"/>
              <w:bottom w:val="single" w:sz="4" w:space="0" w:color="auto"/>
            </w:tcBorders>
            <w:vAlign w:val="center"/>
          </w:tcPr>
          <w:p w14:paraId="7D47D504"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rPr>
              <w:t>Water Level</w:t>
            </w:r>
          </w:p>
          <w:p w14:paraId="47C3FDBA"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rPr>
              <w:t>[m]</w:t>
            </w:r>
          </w:p>
        </w:tc>
        <w:tc>
          <w:tcPr>
            <w:tcW w:w="3062" w:type="dxa"/>
            <w:tcBorders>
              <w:top w:val="single" w:sz="4" w:space="0" w:color="auto"/>
              <w:bottom w:val="single" w:sz="4" w:space="0" w:color="auto"/>
            </w:tcBorders>
            <w:vAlign w:val="center"/>
          </w:tcPr>
          <w:p w14:paraId="44E9AB67"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rPr>
              <w:t>Ratio</w:t>
            </w:r>
          </w:p>
          <w:p w14:paraId="5361584C" w14:textId="77777777" w:rsidR="00BD3B3A" w:rsidRPr="00513B5A" w:rsidRDefault="00BD3B3A" w:rsidP="00FC4E46">
            <w:pPr>
              <w:jc w:val="center"/>
              <w:rPr>
                <w:rFonts w:ascii="Times New Roman" w:hAnsi="Times New Roman" w:cs="Times New Roman"/>
                <w:b/>
                <w:sz w:val="24"/>
                <w:szCs w:val="24"/>
                <w:lang w:val="en-GB"/>
              </w:rPr>
            </w:pPr>
            <w:r w:rsidRPr="00513B5A">
              <w:rPr>
                <w:rFonts w:ascii="Times New Roman" w:hAnsi="Times New Roman" w:cs="Times New Roman"/>
                <w:b/>
                <w:sz w:val="24"/>
                <w:szCs w:val="24"/>
                <w:lang w:val="en-GB"/>
              </w:rPr>
              <w:t>Average of 23 years: Monthly water level value [m]</w:t>
            </w:r>
          </w:p>
        </w:tc>
      </w:tr>
      <w:tr w:rsidR="001A305E" w:rsidRPr="00513B5A" w14:paraId="4F11F5CA" w14:textId="77777777" w:rsidTr="00FC4E46">
        <w:trPr>
          <w:trHeight w:val="311"/>
        </w:trPr>
        <w:tc>
          <w:tcPr>
            <w:tcW w:w="2135" w:type="dxa"/>
            <w:tcBorders>
              <w:top w:val="single" w:sz="4" w:space="0" w:color="auto"/>
            </w:tcBorders>
            <w:vAlign w:val="center"/>
          </w:tcPr>
          <w:p w14:paraId="09F007FD"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Acarabixi</w:t>
            </w:r>
            <w:proofErr w:type="spellEnd"/>
          </w:p>
        </w:tc>
        <w:tc>
          <w:tcPr>
            <w:tcW w:w="2118" w:type="dxa"/>
            <w:tcBorders>
              <w:top w:val="single" w:sz="4" w:space="0" w:color="auto"/>
            </w:tcBorders>
            <w:vAlign w:val="center"/>
          </w:tcPr>
          <w:p w14:paraId="586F19B3"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04/2005</w:t>
            </w:r>
          </w:p>
        </w:tc>
        <w:tc>
          <w:tcPr>
            <w:tcW w:w="1233" w:type="dxa"/>
            <w:tcBorders>
              <w:top w:val="single" w:sz="4" w:space="0" w:color="auto"/>
            </w:tcBorders>
            <w:vAlign w:val="center"/>
          </w:tcPr>
          <w:p w14:paraId="3939C8FC"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17.39</w:t>
            </w:r>
          </w:p>
        </w:tc>
        <w:tc>
          <w:tcPr>
            <w:tcW w:w="3062" w:type="dxa"/>
            <w:tcBorders>
              <w:top w:val="single" w:sz="4" w:space="0" w:color="auto"/>
            </w:tcBorders>
            <w:vAlign w:val="center"/>
          </w:tcPr>
          <w:p w14:paraId="78E04708"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1.02</w:t>
            </w:r>
          </w:p>
        </w:tc>
      </w:tr>
      <w:tr w:rsidR="001A305E" w:rsidRPr="00513B5A" w14:paraId="12DE9619" w14:textId="77777777" w:rsidTr="00FC4E46">
        <w:trPr>
          <w:trHeight w:val="288"/>
        </w:trPr>
        <w:tc>
          <w:tcPr>
            <w:tcW w:w="2135" w:type="dxa"/>
            <w:vAlign w:val="center"/>
          </w:tcPr>
          <w:p w14:paraId="7F0F3832"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Cristalino</w:t>
            </w:r>
            <w:proofErr w:type="spellEnd"/>
          </w:p>
        </w:tc>
        <w:tc>
          <w:tcPr>
            <w:tcW w:w="2118" w:type="dxa"/>
            <w:vAlign w:val="center"/>
          </w:tcPr>
          <w:p w14:paraId="05EBD300"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04/2005</w:t>
            </w:r>
          </w:p>
        </w:tc>
        <w:tc>
          <w:tcPr>
            <w:tcW w:w="1233" w:type="dxa"/>
            <w:vAlign w:val="center"/>
          </w:tcPr>
          <w:p w14:paraId="430A4BCA"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17.39</w:t>
            </w:r>
          </w:p>
        </w:tc>
        <w:tc>
          <w:tcPr>
            <w:tcW w:w="3062" w:type="dxa"/>
            <w:vAlign w:val="center"/>
          </w:tcPr>
          <w:p w14:paraId="7D0A6556"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1.02</w:t>
            </w:r>
          </w:p>
        </w:tc>
      </w:tr>
      <w:tr w:rsidR="001A305E" w:rsidRPr="00513B5A" w14:paraId="638078E5" w14:textId="77777777" w:rsidTr="00FC4E46">
        <w:trPr>
          <w:trHeight w:val="311"/>
        </w:trPr>
        <w:tc>
          <w:tcPr>
            <w:tcW w:w="2135" w:type="dxa"/>
            <w:vAlign w:val="center"/>
          </w:tcPr>
          <w:p w14:paraId="0030E852"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Calado</w:t>
            </w:r>
            <w:proofErr w:type="spellEnd"/>
          </w:p>
        </w:tc>
        <w:tc>
          <w:tcPr>
            <w:tcW w:w="2118" w:type="dxa"/>
            <w:vAlign w:val="center"/>
          </w:tcPr>
          <w:p w14:paraId="6F4D3DD8"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02/2003</w:t>
            </w:r>
          </w:p>
        </w:tc>
        <w:tc>
          <w:tcPr>
            <w:tcW w:w="1233" w:type="dxa"/>
            <w:vAlign w:val="center"/>
          </w:tcPr>
          <w:p w14:paraId="014A802F"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11.45</w:t>
            </w:r>
          </w:p>
        </w:tc>
        <w:tc>
          <w:tcPr>
            <w:tcW w:w="3062" w:type="dxa"/>
            <w:vAlign w:val="center"/>
          </w:tcPr>
          <w:p w14:paraId="22243E8D"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0.98</w:t>
            </w:r>
          </w:p>
        </w:tc>
      </w:tr>
      <w:tr w:rsidR="001A305E" w:rsidRPr="00513B5A" w14:paraId="0A8ADF22" w14:textId="77777777" w:rsidTr="00FC4E46">
        <w:trPr>
          <w:trHeight w:val="288"/>
        </w:trPr>
        <w:tc>
          <w:tcPr>
            <w:tcW w:w="2135" w:type="dxa"/>
            <w:vAlign w:val="center"/>
          </w:tcPr>
          <w:p w14:paraId="52AACE15"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Jacaretinga</w:t>
            </w:r>
            <w:proofErr w:type="spellEnd"/>
          </w:p>
        </w:tc>
        <w:tc>
          <w:tcPr>
            <w:tcW w:w="2118" w:type="dxa"/>
            <w:vAlign w:val="center"/>
          </w:tcPr>
          <w:p w14:paraId="7DB0D889"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02/2003</w:t>
            </w:r>
          </w:p>
        </w:tc>
        <w:tc>
          <w:tcPr>
            <w:tcW w:w="1233" w:type="dxa"/>
            <w:vAlign w:val="center"/>
          </w:tcPr>
          <w:p w14:paraId="047008F8"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11.45</w:t>
            </w:r>
          </w:p>
        </w:tc>
        <w:tc>
          <w:tcPr>
            <w:tcW w:w="3062" w:type="dxa"/>
            <w:vAlign w:val="center"/>
          </w:tcPr>
          <w:p w14:paraId="5914B5AF"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0.98</w:t>
            </w:r>
          </w:p>
        </w:tc>
      </w:tr>
      <w:tr w:rsidR="001A305E" w:rsidRPr="00513B5A" w14:paraId="4F0BD2C2" w14:textId="77777777" w:rsidTr="00FC4E46">
        <w:trPr>
          <w:trHeight w:val="311"/>
        </w:trPr>
        <w:tc>
          <w:tcPr>
            <w:tcW w:w="2135" w:type="dxa"/>
            <w:vAlign w:val="center"/>
          </w:tcPr>
          <w:p w14:paraId="0C9EC5B1"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PA09 (Verde)</w:t>
            </w:r>
          </w:p>
        </w:tc>
        <w:tc>
          <w:tcPr>
            <w:tcW w:w="2118" w:type="dxa"/>
            <w:vAlign w:val="center"/>
          </w:tcPr>
          <w:p w14:paraId="4212BC77"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01/2005</w:t>
            </w:r>
          </w:p>
        </w:tc>
        <w:tc>
          <w:tcPr>
            <w:tcW w:w="1233" w:type="dxa"/>
            <w:vAlign w:val="center"/>
          </w:tcPr>
          <w:p w14:paraId="63D4FEAA"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5.07</w:t>
            </w:r>
          </w:p>
        </w:tc>
        <w:tc>
          <w:tcPr>
            <w:tcW w:w="3062" w:type="dxa"/>
            <w:vAlign w:val="center"/>
          </w:tcPr>
          <w:p w14:paraId="7D3AAD00"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1.03</w:t>
            </w:r>
          </w:p>
        </w:tc>
      </w:tr>
      <w:tr w:rsidR="001A305E" w:rsidRPr="00513B5A" w14:paraId="487497B6" w14:textId="77777777" w:rsidTr="00FC4E46">
        <w:trPr>
          <w:trHeight w:val="288"/>
        </w:trPr>
        <w:tc>
          <w:tcPr>
            <w:tcW w:w="2135" w:type="dxa"/>
            <w:vAlign w:val="center"/>
          </w:tcPr>
          <w:p w14:paraId="13A13CC3"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Paca</w:t>
            </w:r>
            <w:proofErr w:type="spellEnd"/>
          </w:p>
        </w:tc>
        <w:tc>
          <w:tcPr>
            <w:tcW w:w="2118" w:type="dxa"/>
            <w:vAlign w:val="center"/>
          </w:tcPr>
          <w:p w14:paraId="2BA4C7FA"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6B989211"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5728849E"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33F428ED" w14:textId="77777777" w:rsidTr="00FC4E46">
        <w:trPr>
          <w:trHeight w:val="334"/>
        </w:trPr>
        <w:tc>
          <w:tcPr>
            <w:tcW w:w="2135" w:type="dxa"/>
            <w:vAlign w:val="center"/>
          </w:tcPr>
          <w:p w14:paraId="3BECF3B0"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Nazaré</w:t>
            </w:r>
            <w:proofErr w:type="spellEnd"/>
          </w:p>
        </w:tc>
        <w:tc>
          <w:tcPr>
            <w:tcW w:w="2118" w:type="dxa"/>
            <w:vAlign w:val="center"/>
          </w:tcPr>
          <w:p w14:paraId="0C4D8739"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154958D9"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39E226B8"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1CD4DC31" w14:textId="77777777" w:rsidTr="00FC4E46">
        <w:trPr>
          <w:trHeight w:val="311"/>
        </w:trPr>
        <w:tc>
          <w:tcPr>
            <w:tcW w:w="2135" w:type="dxa"/>
            <w:vAlign w:val="center"/>
          </w:tcPr>
          <w:p w14:paraId="38D2DBE6"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Conceição</w:t>
            </w:r>
            <w:proofErr w:type="spellEnd"/>
          </w:p>
        </w:tc>
        <w:tc>
          <w:tcPr>
            <w:tcW w:w="2118" w:type="dxa"/>
            <w:vAlign w:val="center"/>
          </w:tcPr>
          <w:p w14:paraId="0C4ACB31"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2C61D8F7"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40CD3E1E"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25E21329" w14:textId="77777777" w:rsidTr="00FC4E46">
        <w:trPr>
          <w:trHeight w:val="311"/>
        </w:trPr>
        <w:tc>
          <w:tcPr>
            <w:tcW w:w="2135" w:type="dxa"/>
            <w:vAlign w:val="center"/>
          </w:tcPr>
          <w:p w14:paraId="2D100EBB"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Santa Catarina</w:t>
            </w:r>
          </w:p>
        </w:tc>
        <w:tc>
          <w:tcPr>
            <w:tcW w:w="2118" w:type="dxa"/>
            <w:vAlign w:val="center"/>
          </w:tcPr>
          <w:p w14:paraId="5C11E7FC"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35FD9666"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5C7F9774"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42530EEE" w14:textId="77777777" w:rsidTr="00FC4E46">
        <w:trPr>
          <w:trHeight w:val="334"/>
        </w:trPr>
        <w:tc>
          <w:tcPr>
            <w:tcW w:w="2135" w:type="dxa"/>
            <w:vAlign w:val="center"/>
          </w:tcPr>
          <w:p w14:paraId="6D05D373"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Demarcação</w:t>
            </w:r>
            <w:proofErr w:type="spellEnd"/>
          </w:p>
        </w:tc>
        <w:tc>
          <w:tcPr>
            <w:tcW w:w="2118" w:type="dxa"/>
            <w:vAlign w:val="center"/>
          </w:tcPr>
          <w:p w14:paraId="138DCE87"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4238CC50"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1802E68B"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5B1B9751" w14:textId="77777777" w:rsidTr="00FC4E46">
        <w:trPr>
          <w:trHeight w:val="311"/>
        </w:trPr>
        <w:tc>
          <w:tcPr>
            <w:tcW w:w="2135" w:type="dxa"/>
            <w:vAlign w:val="center"/>
          </w:tcPr>
          <w:p w14:paraId="07708F4A"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 xml:space="preserve">Santa </w:t>
            </w:r>
            <w:proofErr w:type="spellStart"/>
            <w:r w:rsidRPr="00513B5A">
              <w:rPr>
                <w:rFonts w:ascii="Times New Roman" w:hAnsi="Times New Roman" w:cs="Times New Roman"/>
                <w:i/>
                <w:sz w:val="24"/>
                <w:szCs w:val="24"/>
                <w:lang w:val="en-GB"/>
              </w:rPr>
              <w:t>Ninha</w:t>
            </w:r>
            <w:proofErr w:type="spellEnd"/>
          </w:p>
        </w:tc>
        <w:tc>
          <w:tcPr>
            <w:tcW w:w="2118" w:type="dxa"/>
            <w:vAlign w:val="center"/>
          </w:tcPr>
          <w:p w14:paraId="0435C0A9"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08/2004</w:t>
            </w:r>
          </w:p>
        </w:tc>
        <w:tc>
          <w:tcPr>
            <w:tcW w:w="1233" w:type="dxa"/>
            <w:vAlign w:val="center"/>
          </w:tcPr>
          <w:p w14:paraId="1D2CBE68"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5.16</w:t>
            </w:r>
          </w:p>
        </w:tc>
        <w:tc>
          <w:tcPr>
            <w:tcW w:w="3062" w:type="dxa"/>
            <w:vAlign w:val="center"/>
          </w:tcPr>
          <w:p w14:paraId="5891594C"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1.07</w:t>
            </w:r>
          </w:p>
        </w:tc>
      </w:tr>
      <w:tr w:rsidR="001A305E" w:rsidRPr="00513B5A" w14:paraId="148FFA64" w14:textId="77777777" w:rsidTr="00FC4E46">
        <w:trPr>
          <w:trHeight w:val="311"/>
        </w:trPr>
        <w:tc>
          <w:tcPr>
            <w:tcW w:w="2135" w:type="dxa"/>
            <w:vAlign w:val="center"/>
          </w:tcPr>
          <w:p w14:paraId="4C88EF0B"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Reis</w:t>
            </w:r>
          </w:p>
        </w:tc>
        <w:tc>
          <w:tcPr>
            <w:tcW w:w="2118" w:type="dxa"/>
            <w:vAlign w:val="center"/>
          </w:tcPr>
          <w:p w14:paraId="3C47530F"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12/2007</w:t>
            </w:r>
          </w:p>
        </w:tc>
        <w:tc>
          <w:tcPr>
            <w:tcW w:w="1233" w:type="dxa"/>
            <w:vAlign w:val="center"/>
          </w:tcPr>
          <w:p w14:paraId="174A4D07"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18.63</w:t>
            </w:r>
          </w:p>
        </w:tc>
        <w:tc>
          <w:tcPr>
            <w:tcW w:w="3062" w:type="dxa"/>
            <w:vAlign w:val="center"/>
          </w:tcPr>
          <w:p w14:paraId="1879D292"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0.99</w:t>
            </w:r>
          </w:p>
        </w:tc>
      </w:tr>
      <w:tr w:rsidR="001A305E" w:rsidRPr="00513B5A" w14:paraId="728D884B" w14:textId="77777777" w:rsidTr="00FC4E46">
        <w:trPr>
          <w:trHeight w:val="311"/>
        </w:trPr>
        <w:tc>
          <w:tcPr>
            <w:tcW w:w="2135" w:type="dxa"/>
            <w:vAlign w:val="center"/>
          </w:tcPr>
          <w:p w14:paraId="72858F83"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Pupunha</w:t>
            </w:r>
            <w:proofErr w:type="spellEnd"/>
          </w:p>
        </w:tc>
        <w:tc>
          <w:tcPr>
            <w:tcW w:w="2118" w:type="dxa"/>
            <w:vAlign w:val="center"/>
          </w:tcPr>
          <w:p w14:paraId="08DF95D8"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12/2007</w:t>
            </w:r>
          </w:p>
        </w:tc>
        <w:tc>
          <w:tcPr>
            <w:tcW w:w="1233" w:type="dxa"/>
            <w:vAlign w:val="center"/>
          </w:tcPr>
          <w:p w14:paraId="04843FB0"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18.63</w:t>
            </w:r>
          </w:p>
        </w:tc>
        <w:tc>
          <w:tcPr>
            <w:tcW w:w="3062" w:type="dxa"/>
            <w:vAlign w:val="center"/>
          </w:tcPr>
          <w:p w14:paraId="608BE999"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0.99</w:t>
            </w:r>
          </w:p>
        </w:tc>
      </w:tr>
      <w:tr w:rsidR="001A305E" w:rsidRPr="00513B5A" w14:paraId="1E883E56" w14:textId="77777777" w:rsidTr="00FC4E46">
        <w:trPr>
          <w:trHeight w:val="311"/>
        </w:trPr>
        <w:tc>
          <w:tcPr>
            <w:tcW w:w="2135" w:type="dxa"/>
            <w:vAlign w:val="center"/>
          </w:tcPr>
          <w:p w14:paraId="3AB28CCC"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Puruzinho</w:t>
            </w:r>
            <w:proofErr w:type="spellEnd"/>
          </w:p>
        </w:tc>
        <w:tc>
          <w:tcPr>
            <w:tcW w:w="2118" w:type="dxa"/>
            <w:vAlign w:val="center"/>
          </w:tcPr>
          <w:p w14:paraId="6ED04925"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12/2007</w:t>
            </w:r>
          </w:p>
        </w:tc>
        <w:tc>
          <w:tcPr>
            <w:tcW w:w="1233" w:type="dxa"/>
            <w:vAlign w:val="center"/>
          </w:tcPr>
          <w:p w14:paraId="479304E1"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18.63</w:t>
            </w:r>
          </w:p>
        </w:tc>
        <w:tc>
          <w:tcPr>
            <w:tcW w:w="3062" w:type="dxa"/>
            <w:vAlign w:val="center"/>
          </w:tcPr>
          <w:p w14:paraId="6E2F1011"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0.99</w:t>
            </w:r>
          </w:p>
        </w:tc>
      </w:tr>
      <w:tr w:rsidR="001A305E" w:rsidRPr="00513B5A" w14:paraId="31FE6BD8" w14:textId="77777777" w:rsidTr="00FC4E46">
        <w:trPr>
          <w:trHeight w:val="311"/>
        </w:trPr>
        <w:tc>
          <w:tcPr>
            <w:tcW w:w="2135" w:type="dxa"/>
            <w:vAlign w:val="center"/>
          </w:tcPr>
          <w:p w14:paraId="6BCC1AEB"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Ajudante</w:t>
            </w:r>
            <w:proofErr w:type="spellEnd"/>
          </w:p>
        </w:tc>
        <w:tc>
          <w:tcPr>
            <w:tcW w:w="2118" w:type="dxa"/>
            <w:vAlign w:val="center"/>
          </w:tcPr>
          <w:p w14:paraId="1031939F"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58F9041E"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641FC611"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7941C8F4" w14:textId="77777777" w:rsidTr="00FC4E46">
        <w:trPr>
          <w:trHeight w:val="311"/>
        </w:trPr>
        <w:tc>
          <w:tcPr>
            <w:tcW w:w="2135" w:type="dxa"/>
            <w:vAlign w:val="center"/>
          </w:tcPr>
          <w:p w14:paraId="087C0601"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Araca</w:t>
            </w:r>
          </w:p>
        </w:tc>
        <w:tc>
          <w:tcPr>
            <w:tcW w:w="2118" w:type="dxa"/>
            <w:vAlign w:val="center"/>
          </w:tcPr>
          <w:p w14:paraId="18FF013F"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09DFA029"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6310094D"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296ED686" w14:textId="77777777" w:rsidTr="00FC4E46">
        <w:trPr>
          <w:trHeight w:val="311"/>
        </w:trPr>
        <w:tc>
          <w:tcPr>
            <w:tcW w:w="2135" w:type="dxa"/>
            <w:vAlign w:val="center"/>
          </w:tcPr>
          <w:p w14:paraId="6BC72DC0"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Batata</w:t>
            </w:r>
          </w:p>
        </w:tc>
        <w:tc>
          <w:tcPr>
            <w:tcW w:w="2118" w:type="dxa"/>
            <w:vAlign w:val="center"/>
          </w:tcPr>
          <w:p w14:paraId="53331B5B"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6AAD4E98"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15AD0393"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6BC7B281" w14:textId="77777777" w:rsidTr="00FC4E46">
        <w:trPr>
          <w:trHeight w:val="311"/>
        </w:trPr>
        <w:tc>
          <w:tcPr>
            <w:tcW w:w="2135" w:type="dxa"/>
            <w:vAlign w:val="center"/>
          </w:tcPr>
          <w:p w14:paraId="1C28AE65"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Brasileira</w:t>
            </w:r>
            <w:proofErr w:type="spellEnd"/>
          </w:p>
        </w:tc>
        <w:tc>
          <w:tcPr>
            <w:tcW w:w="2118" w:type="dxa"/>
            <w:vAlign w:val="center"/>
          </w:tcPr>
          <w:p w14:paraId="5FB718C1"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0E3D8992"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69D35744"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02A3D1B6" w14:textId="77777777" w:rsidTr="00FC4E46">
        <w:trPr>
          <w:trHeight w:val="311"/>
        </w:trPr>
        <w:tc>
          <w:tcPr>
            <w:tcW w:w="2135" w:type="dxa"/>
            <w:vAlign w:val="center"/>
          </w:tcPr>
          <w:p w14:paraId="6717E0CB"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Carana</w:t>
            </w:r>
            <w:proofErr w:type="spellEnd"/>
          </w:p>
        </w:tc>
        <w:tc>
          <w:tcPr>
            <w:tcW w:w="2118" w:type="dxa"/>
            <w:vAlign w:val="center"/>
          </w:tcPr>
          <w:p w14:paraId="1A17B52C"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01/2005</w:t>
            </w:r>
          </w:p>
        </w:tc>
        <w:tc>
          <w:tcPr>
            <w:tcW w:w="1233" w:type="dxa"/>
            <w:vAlign w:val="center"/>
          </w:tcPr>
          <w:p w14:paraId="1A8E2244"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5.07</w:t>
            </w:r>
          </w:p>
        </w:tc>
        <w:tc>
          <w:tcPr>
            <w:tcW w:w="3062" w:type="dxa"/>
            <w:vAlign w:val="center"/>
          </w:tcPr>
          <w:p w14:paraId="59C556E7"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1.03</w:t>
            </w:r>
          </w:p>
        </w:tc>
      </w:tr>
      <w:tr w:rsidR="001A305E" w:rsidRPr="00513B5A" w14:paraId="0FB22A38" w14:textId="77777777" w:rsidTr="00FC4E46">
        <w:trPr>
          <w:trHeight w:val="311"/>
        </w:trPr>
        <w:tc>
          <w:tcPr>
            <w:tcW w:w="2135" w:type="dxa"/>
            <w:vAlign w:val="center"/>
          </w:tcPr>
          <w:p w14:paraId="61B0D4E8"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Flexal</w:t>
            </w:r>
            <w:proofErr w:type="spellEnd"/>
          </w:p>
        </w:tc>
        <w:tc>
          <w:tcPr>
            <w:tcW w:w="2118" w:type="dxa"/>
            <w:vAlign w:val="center"/>
          </w:tcPr>
          <w:p w14:paraId="57E4C56A"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7E764B05"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1B290504"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5A834EFF" w14:textId="77777777" w:rsidTr="00FC4E46">
        <w:trPr>
          <w:trHeight w:val="311"/>
        </w:trPr>
        <w:tc>
          <w:tcPr>
            <w:tcW w:w="2135" w:type="dxa"/>
            <w:vAlign w:val="center"/>
          </w:tcPr>
          <w:p w14:paraId="410A6FEC"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LC1</w:t>
            </w:r>
          </w:p>
        </w:tc>
        <w:tc>
          <w:tcPr>
            <w:tcW w:w="2118" w:type="dxa"/>
            <w:vAlign w:val="center"/>
          </w:tcPr>
          <w:p w14:paraId="487498CF"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08/2004</w:t>
            </w:r>
          </w:p>
        </w:tc>
        <w:tc>
          <w:tcPr>
            <w:tcW w:w="1233" w:type="dxa"/>
            <w:vAlign w:val="center"/>
          </w:tcPr>
          <w:p w14:paraId="3C172281"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5.16</w:t>
            </w:r>
          </w:p>
        </w:tc>
        <w:tc>
          <w:tcPr>
            <w:tcW w:w="3062" w:type="dxa"/>
            <w:vAlign w:val="center"/>
          </w:tcPr>
          <w:p w14:paraId="5E937884"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1.07</w:t>
            </w:r>
          </w:p>
        </w:tc>
      </w:tr>
      <w:tr w:rsidR="001A305E" w:rsidRPr="00513B5A" w14:paraId="634F809C" w14:textId="77777777" w:rsidTr="00FC4E46">
        <w:trPr>
          <w:trHeight w:val="311"/>
        </w:trPr>
        <w:tc>
          <w:tcPr>
            <w:tcW w:w="2135" w:type="dxa"/>
            <w:vAlign w:val="center"/>
          </w:tcPr>
          <w:p w14:paraId="7A7A6DD1"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Mussurá</w:t>
            </w:r>
            <w:proofErr w:type="spellEnd"/>
          </w:p>
        </w:tc>
        <w:tc>
          <w:tcPr>
            <w:tcW w:w="2118" w:type="dxa"/>
            <w:vAlign w:val="center"/>
          </w:tcPr>
          <w:p w14:paraId="45D3DB51"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vAlign w:val="center"/>
          </w:tcPr>
          <w:p w14:paraId="6B919DF2"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vAlign w:val="center"/>
          </w:tcPr>
          <w:p w14:paraId="4C653FDB"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r w:rsidR="001A305E" w:rsidRPr="00513B5A" w14:paraId="4EB0048A" w14:textId="77777777" w:rsidTr="00FC4E46">
        <w:trPr>
          <w:trHeight w:val="311"/>
        </w:trPr>
        <w:tc>
          <w:tcPr>
            <w:tcW w:w="2135" w:type="dxa"/>
            <w:vAlign w:val="center"/>
          </w:tcPr>
          <w:p w14:paraId="7C05C885"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NR15</w:t>
            </w:r>
          </w:p>
        </w:tc>
        <w:tc>
          <w:tcPr>
            <w:tcW w:w="2118" w:type="dxa"/>
            <w:vAlign w:val="center"/>
          </w:tcPr>
          <w:p w14:paraId="04EA8D15"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04/2005</w:t>
            </w:r>
          </w:p>
        </w:tc>
        <w:tc>
          <w:tcPr>
            <w:tcW w:w="1233" w:type="dxa"/>
            <w:vAlign w:val="center"/>
          </w:tcPr>
          <w:p w14:paraId="35330E5C"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17.39</w:t>
            </w:r>
          </w:p>
        </w:tc>
        <w:tc>
          <w:tcPr>
            <w:tcW w:w="3062" w:type="dxa"/>
            <w:vAlign w:val="center"/>
          </w:tcPr>
          <w:p w14:paraId="02BAADF3"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1.02</w:t>
            </w:r>
          </w:p>
        </w:tc>
      </w:tr>
      <w:tr w:rsidR="001A305E" w:rsidRPr="00513B5A" w14:paraId="25AB66B7" w14:textId="77777777" w:rsidTr="00FC4E46">
        <w:trPr>
          <w:trHeight w:val="311"/>
        </w:trPr>
        <w:tc>
          <w:tcPr>
            <w:tcW w:w="2135" w:type="dxa"/>
            <w:vAlign w:val="center"/>
          </w:tcPr>
          <w:p w14:paraId="51AB03FE"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Pacoval</w:t>
            </w:r>
            <w:proofErr w:type="spellEnd"/>
          </w:p>
        </w:tc>
        <w:tc>
          <w:tcPr>
            <w:tcW w:w="2118" w:type="dxa"/>
            <w:vAlign w:val="center"/>
          </w:tcPr>
          <w:p w14:paraId="28C4FA4C"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08/2004</w:t>
            </w:r>
          </w:p>
        </w:tc>
        <w:tc>
          <w:tcPr>
            <w:tcW w:w="1233" w:type="dxa"/>
            <w:vAlign w:val="center"/>
          </w:tcPr>
          <w:p w14:paraId="27C2F2FA"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5.16</w:t>
            </w:r>
          </w:p>
        </w:tc>
        <w:tc>
          <w:tcPr>
            <w:tcW w:w="3062" w:type="dxa"/>
            <w:vAlign w:val="center"/>
          </w:tcPr>
          <w:p w14:paraId="7CF03197"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1.07</w:t>
            </w:r>
          </w:p>
        </w:tc>
      </w:tr>
      <w:tr w:rsidR="001A305E" w:rsidRPr="00513B5A" w14:paraId="0E91176F" w14:textId="77777777" w:rsidTr="00FC4E46">
        <w:trPr>
          <w:trHeight w:val="311"/>
        </w:trPr>
        <w:tc>
          <w:tcPr>
            <w:tcW w:w="2135" w:type="dxa"/>
            <w:vAlign w:val="center"/>
          </w:tcPr>
          <w:p w14:paraId="3B9053DF" w14:textId="77777777" w:rsidR="00BD3B3A" w:rsidRPr="00513B5A" w:rsidRDefault="00BD3B3A" w:rsidP="00FC4E46">
            <w:pPr>
              <w:rPr>
                <w:rFonts w:ascii="Times New Roman" w:hAnsi="Times New Roman" w:cs="Times New Roman"/>
                <w:i/>
                <w:sz w:val="24"/>
                <w:szCs w:val="24"/>
                <w:lang w:val="en-GB"/>
              </w:rPr>
            </w:pPr>
            <w:r w:rsidRPr="00513B5A">
              <w:rPr>
                <w:rFonts w:ascii="Times New Roman" w:hAnsi="Times New Roman" w:cs="Times New Roman"/>
                <w:i/>
                <w:sz w:val="24"/>
                <w:szCs w:val="24"/>
                <w:lang w:val="en-GB"/>
              </w:rPr>
              <w:t>TA1 (</w:t>
            </w:r>
            <w:proofErr w:type="spellStart"/>
            <w:r w:rsidRPr="00513B5A">
              <w:rPr>
                <w:rFonts w:ascii="Times New Roman" w:hAnsi="Times New Roman" w:cs="Times New Roman"/>
                <w:i/>
                <w:sz w:val="24"/>
                <w:szCs w:val="24"/>
                <w:lang w:val="en-GB"/>
              </w:rPr>
              <w:t>Joá</w:t>
            </w:r>
            <w:proofErr w:type="spellEnd"/>
            <w:r w:rsidRPr="00513B5A">
              <w:rPr>
                <w:rFonts w:ascii="Times New Roman" w:hAnsi="Times New Roman" w:cs="Times New Roman"/>
                <w:i/>
                <w:sz w:val="24"/>
                <w:szCs w:val="24"/>
                <w:lang w:val="en-GB"/>
              </w:rPr>
              <w:t>)</w:t>
            </w:r>
          </w:p>
        </w:tc>
        <w:tc>
          <w:tcPr>
            <w:tcW w:w="2118" w:type="dxa"/>
            <w:vAlign w:val="center"/>
          </w:tcPr>
          <w:p w14:paraId="2AEE603D"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08/2004</w:t>
            </w:r>
          </w:p>
        </w:tc>
        <w:tc>
          <w:tcPr>
            <w:tcW w:w="1233" w:type="dxa"/>
            <w:vAlign w:val="center"/>
          </w:tcPr>
          <w:p w14:paraId="15EECFEA"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5.16</w:t>
            </w:r>
          </w:p>
        </w:tc>
        <w:tc>
          <w:tcPr>
            <w:tcW w:w="3062" w:type="dxa"/>
            <w:vAlign w:val="center"/>
          </w:tcPr>
          <w:p w14:paraId="05AB0FFD"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1.07</w:t>
            </w:r>
          </w:p>
        </w:tc>
      </w:tr>
      <w:tr w:rsidR="00BD3B3A" w:rsidRPr="00513B5A" w14:paraId="2BCDCFC1" w14:textId="77777777" w:rsidTr="00FC4E46">
        <w:trPr>
          <w:trHeight w:val="311"/>
        </w:trPr>
        <w:tc>
          <w:tcPr>
            <w:tcW w:w="2135" w:type="dxa"/>
            <w:tcBorders>
              <w:bottom w:val="single" w:sz="4" w:space="0" w:color="auto"/>
            </w:tcBorders>
            <w:vAlign w:val="center"/>
          </w:tcPr>
          <w:p w14:paraId="6F3CAB7A" w14:textId="77777777" w:rsidR="00BD3B3A" w:rsidRPr="00513B5A" w:rsidRDefault="00BD3B3A" w:rsidP="00FC4E46">
            <w:pPr>
              <w:rPr>
                <w:rFonts w:ascii="Times New Roman" w:hAnsi="Times New Roman" w:cs="Times New Roman"/>
                <w:i/>
                <w:sz w:val="24"/>
                <w:szCs w:val="24"/>
                <w:lang w:val="en-GB"/>
              </w:rPr>
            </w:pPr>
            <w:proofErr w:type="spellStart"/>
            <w:r w:rsidRPr="00513B5A">
              <w:rPr>
                <w:rFonts w:ascii="Times New Roman" w:hAnsi="Times New Roman" w:cs="Times New Roman"/>
                <w:i/>
                <w:sz w:val="24"/>
                <w:szCs w:val="24"/>
                <w:lang w:val="en-GB"/>
              </w:rPr>
              <w:t>Tucunaré</w:t>
            </w:r>
            <w:proofErr w:type="spellEnd"/>
          </w:p>
        </w:tc>
        <w:tc>
          <w:tcPr>
            <w:tcW w:w="2118" w:type="dxa"/>
            <w:tcBorders>
              <w:bottom w:val="single" w:sz="4" w:space="0" w:color="auto"/>
            </w:tcBorders>
            <w:vAlign w:val="center"/>
          </w:tcPr>
          <w:p w14:paraId="058B6355" w14:textId="77777777" w:rsidR="00BD3B3A" w:rsidRPr="00513B5A" w:rsidRDefault="00BD3B3A" w:rsidP="00FC4E46">
            <w:pPr>
              <w:jc w:val="center"/>
              <w:rPr>
                <w:rFonts w:ascii="Times New Roman" w:hAnsi="Times New Roman" w:cs="Times New Roman"/>
                <w:sz w:val="24"/>
                <w:szCs w:val="24"/>
                <w:lang w:val="en-GB"/>
              </w:rPr>
            </w:pPr>
            <w:r w:rsidRPr="00513B5A">
              <w:rPr>
                <w:rFonts w:ascii="Times New Roman" w:hAnsi="Times New Roman" w:cs="Times New Roman"/>
                <w:sz w:val="24"/>
                <w:szCs w:val="24"/>
                <w:lang w:val="en-GB"/>
              </w:rPr>
              <w:t>12/2004</w:t>
            </w:r>
          </w:p>
        </w:tc>
        <w:tc>
          <w:tcPr>
            <w:tcW w:w="1233" w:type="dxa"/>
            <w:tcBorders>
              <w:bottom w:val="single" w:sz="4" w:space="0" w:color="auto"/>
            </w:tcBorders>
            <w:vAlign w:val="center"/>
          </w:tcPr>
          <w:p w14:paraId="4F6E58AB"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17.33</w:t>
            </w:r>
          </w:p>
        </w:tc>
        <w:tc>
          <w:tcPr>
            <w:tcW w:w="3062" w:type="dxa"/>
            <w:tcBorders>
              <w:bottom w:val="single" w:sz="4" w:space="0" w:color="auto"/>
            </w:tcBorders>
            <w:vAlign w:val="center"/>
          </w:tcPr>
          <w:p w14:paraId="574C7914" w14:textId="77777777" w:rsidR="00BD3B3A" w:rsidRPr="00513B5A" w:rsidRDefault="00BD3B3A" w:rsidP="00FC4E46">
            <w:pPr>
              <w:jc w:val="right"/>
              <w:rPr>
                <w:rFonts w:ascii="Times New Roman" w:hAnsi="Times New Roman" w:cs="Times New Roman"/>
                <w:sz w:val="24"/>
                <w:szCs w:val="24"/>
                <w:lang w:val="en-GB"/>
              </w:rPr>
            </w:pPr>
            <w:r w:rsidRPr="00513B5A">
              <w:rPr>
                <w:rFonts w:ascii="Times New Roman" w:hAnsi="Times New Roman" w:cs="Times New Roman"/>
                <w:sz w:val="24"/>
                <w:szCs w:val="24"/>
                <w:lang w:val="en-GB"/>
              </w:rPr>
              <w:t>0.92</w:t>
            </w:r>
          </w:p>
        </w:tc>
      </w:tr>
    </w:tbl>
    <w:p w14:paraId="11A7F0A3" w14:textId="77777777" w:rsidR="00BD3B3A" w:rsidRPr="00513B5A" w:rsidRDefault="00BD3B3A" w:rsidP="00BD3B3A">
      <w:pPr>
        <w:jc w:val="both"/>
        <w:rPr>
          <w:rFonts w:ascii="Times New Roman" w:hAnsi="Times New Roman" w:cs="Times New Roman"/>
          <w:b/>
          <w:sz w:val="24"/>
          <w:szCs w:val="24"/>
          <w:lang w:val="en-GB"/>
        </w:rPr>
      </w:pPr>
    </w:p>
    <w:p w14:paraId="25EEC6F8" w14:textId="77777777" w:rsidR="00FC4E46" w:rsidRPr="00513B5A" w:rsidRDefault="00FC4E46" w:rsidP="00BD3B3A">
      <w:pPr>
        <w:jc w:val="both"/>
        <w:rPr>
          <w:rFonts w:ascii="Times New Roman" w:hAnsi="Times New Roman" w:cs="Times New Roman"/>
          <w:b/>
          <w:sz w:val="24"/>
          <w:szCs w:val="24"/>
          <w:lang w:val="en-GB"/>
        </w:rPr>
      </w:pPr>
    </w:p>
    <w:p w14:paraId="03877BC7" w14:textId="77777777" w:rsidR="00FC4E46" w:rsidRPr="00513B5A" w:rsidRDefault="00FC4E46" w:rsidP="00BD3B3A">
      <w:pPr>
        <w:jc w:val="both"/>
        <w:rPr>
          <w:rFonts w:ascii="Times New Roman" w:hAnsi="Times New Roman" w:cs="Times New Roman"/>
          <w:b/>
          <w:sz w:val="24"/>
          <w:szCs w:val="24"/>
          <w:lang w:val="en-GB"/>
        </w:rPr>
      </w:pPr>
    </w:p>
    <w:p w14:paraId="025FE5B9" w14:textId="77777777" w:rsidR="00FC4E46" w:rsidRPr="00513B5A" w:rsidRDefault="00FC4E46" w:rsidP="00BD3B3A">
      <w:pPr>
        <w:jc w:val="both"/>
        <w:rPr>
          <w:rFonts w:ascii="Times New Roman" w:hAnsi="Times New Roman" w:cs="Times New Roman"/>
          <w:b/>
          <w:sz w:val="24"/>
          <w:szCs w:val="24"/>
          <w:lang w:val="en-GB"/>
        </w:rPr>
        <w:sectPr w:rsidR="00FC4E46" w:rsidRPr="00513B5A" w:rsidSect="007027A1">
          <w:footerReference w:type="default" r:id="rId9"/>
          <w:pgSz w:w="11906" w:h="16838" w:code="9"/>
          <w:pgMar w:top="1350" w:right="1701" w:bottom="1418" w:left="1701" w:header="709" w:footer="709" w:gutter="0"/>
          <w:lnNumType w:countBy="5" w:restart="continuous"/>
          <w:cols w:space="708"/>
          <w:docGrid w:linePitch="360"/>
        </w:sectPr>
      </w:pPr>
    </w:p>
    <w:p w14:paraId="72C768AA" w14:textId="4535C0F9" w:rsidR="00BD3B3A" w:rsidRPr="00513B5A" w:rsidRDefault="00FC4E46" w:rsidP="00BD3B3A">
      <w:pPr>
        <w:jc w:val="both"/>
        <w:rPr>
          <w:rFonts w:ascii="Times New Roman" w:hAnsi="Times New Roman" w:cs="Times New Roman"/>
          <w:b/>
          <w:sz w:val="24"/>
          <w:szCs w:val="24"/>
          <w:lang w:val="en-GB"/>
        </w:rPr>
      </w:pPr>
      <w:r w:rsidRPr="00513B5A">
        <w:rPr>
          <w:rFonts w:ascii="Times New Roman" w:hAnsi="Times New Roman" w:cs="Times New Roman"/>
          <w:b/>
          <w:sz w:val="24"/>
          <w:szCs w:val="24"/>
          <w:lang w:val="en-GB"/>
        </w:rPr>
        <w:lastRenderedPageBreak/>
        <w:t xml:space="preserve">Supp. Table </w:t>
      </w:r>
      <w:r w:rsidR="00947F6A" w:rsidRPr="00513B5A">
        <w:rPr>
          <w:rFonts w:ascii="Times New Roman" w:hAnsi="Times New Roman" w:cs="Times New Roman"/>
          <w:b/>
          <w:sz w:val="24"/>
          <w:szCs w:val="24"/>
          <w:lang w:val="en-GB"/>
        </w:rPr>
        <w:t>4</w:t>
      </w:r>
      <w:r w:rsidRPr="00513B5A">
        <w:rPr>
          <w:rFonts w:ascii="Times New Roman" w:hAnsi="Times New Roman" w:cs="Times New Roman"/>
          <w:sz w:val="24"/>
          <w:szCs w:val="24"/>
          <w:lang w:val="en-GB"/>
        </w:rPr>
        <w:t>. D</w:t>
      </w:r>
      <w:r w:rsidRPr="00513B5A">
        <w:rPr>
          <w:rFonts w:ascii="Times New Roman" w:hAnsi="Times New Roman" w:cs="Times New Roman"/>
          <w:lang w:val="en-GB"/>
        </w:rPr>
        <w:t xml:space="preserve">escriptive statistics </w:t>
      </w:r>
      <w:r w:rsidR="00AB480A" w:rsidRPr="00513B5A">
        <w:rPr>
          <w:rFonts w:ascii="Times New Roman" w:hAnsi="Times New Roman" w:cs="Times New Roman"/>
          <w:lang w:val="en-GB"/>
        </w:rPr>
        <w:t>in</w:t>
      </w:r>
      <w:r w:rsidRPr="00513B5A">
        <w:rPr>
          <w:rFonts w:ascii="Times New Roman" w:hAnsi="Times New Roman" w:cs="Times New Roman"/>
          <w:lang w:val="en-GB"/>
        </w:rPr>
        <w:t xml:space="preserve"> conserved and human-altered biomes.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3"/>
        <w:gridCol w:w="1276"/>
        <w:gridCol w:w="2042"/>
        <w:gridCol w:w="2297"/>
        <w:gridCol w:w="1530"/>
        <w:gridCol w:w="1785"/>
        <w:gridCol w:w="2363"/>
      </w:tblGrid>
      <w:tr w:rsidR="001A305E" w:rsidRPr="00513B5A" w14:paraId="00637F58" w14:textId="77777777" w:rsidTr="0035243B">
        <w:trPr>
          <w:cantSplit/>
          <w:trHeight w:val="1007"/>
        </w:trPr>
        <w:tc>
          <w:tcPr>
            <w:tcW w:w="2553" w:type="dxa"/>
            <w:tcBorders>
              <w:top w:val="single" w:sz="4" w:space="0" w:color="auto"/>
              <w:bottom w:val="single" w:sz="4" w:space="0" w:color="auto"/>
            </w:tcBorders>
            <w:vAlign w:val="center"/>
          </w:tcPr>
          <w:p w14:paraId="03E83C96" w14:textId="77777777" w:rsidR="0035243B" w:rsidRPr="00513B5A" w:rsidRDefault="0035243B" w:rsidP="00FC4E46">
            <w:pPr>
              <w:spacing w:line="276" w:lineRule="auto"/>
              <w:jc w:val="center"/>
              <w:rPr>
                <w:rFonts w:ascii="Times New Roman" w:eastAsia="Times New Roman" w:hAnsi="Times New Roman" w:cs="Times New Roman"/>
                <w:b/>
                <w:bCs/>
                <w:sz w:val="21"/>
                <w:szCs w:val="21"/>
                <w:lang w:val="en-GB" w:eastAsia="pt-BR"/>
              </w:rPr>
            </w:pPr>
            <w:r w:rsidRPr="00513B5A">
              <w:rPr>
                <w:rFonts w:ascii="Times New Roman" w:eastAsia="Times New Roman" w:hAnsi="Times New Roman" w:cs="Times New Roman"/>
                <w:b/>
                <w:bCs/>
                <w:sz w:val="21"/>
                <w:szCs w:val="21"/>
                <w:lang w:val="en-GB" w:eastAsia="pt-BR"/>
              </w:rPr>
              <w:t>Biomes</w:t>
            </w:r>
          </w:p>
        </w:tc>
        <w:tc>
          <w:tcPr>
            <w:tcW w:w="1276" w:type="dxa"/>
            <w:tcBorders>
              <w:top w:val="single" w:sz="4" w:space="0" w:color="auto"/>
              <w:bottom w:val="single" w:sz="4" w:space="0" w:color="auto"/>
            </w:tcBorders>
            <w:noWrap/>
            <w:vAlign w:val="center"/>
            <w:hideMark/>
          </w:tcPr>
          <w:p w14:paraId="7F68E6A2" w14:textId="77777777" w:rsidR="0035243B" w:rsidRPr="00513B5A" w:rsidRDefault="0035243B" w:rsidP="00FC4E46">
            <w:pPr>
              <w:spacing w:line="276" w:lineRule="auto"/>
              <w:jc w:val="center"/>
              <w:rPr>
                <w:rFonts w:ascii="Times New Roman" w:eastAsia="Times New Roman" w:hAnsi="Times New Roman" w:cs="Times New Roman"/>
                <w:b/>
                <w:bCs/>
                <w:sz w:val="21"/>
                <w:szCs w:val="21"/>
                <w:lang w:val="en-GB" w:eastAsia="pt-BR"/>
              </w:rPr>
            </w:pPr>
            <w:r w:rsidRPr="00513B5A">
              <w:rPr>
                <w:rFonts w:ascii="Times New Roman" w:eastAsia="Times New Roman" w:hAnsi="Times New Roman" w:cs="Times New Roman"/>
                <w:b/>
                <w:bCs/>
                <w:sz w:val="21"/>
                <w:szCs w:val="21"/>
                <w:lang w:val="en-GB" w:eastAsia="pt-BR"/>
              </w:rPr>
              <w:t>N</w:t>
            </w:r>
          </w:p>
        </w:tc>
        <w:tc>
          <w:tcPr>
            <w:tcW w:w="2042" w:type="dxa"/>
            <w:tcBorders>
              <w:top w:val="single" w:sz="4" w:space="0" w:color="auto"/>
              <w:bottom w:val="single" w:sz="4" w:space="0" w:color="auto"/>
            </w:tcBorders>
            <w:noWrap/>
            <w:vAlign w:val="center"/>
            <w:hideMark/>
          </w:tcPr>
          <w:p w14:paraId="7664D221" w14:textId="77777777" w:rsidR="0035243B" w:rsidRPr="00513B5A" w:rsidRDefault="0035243B" w:rsidP="00FC4E46">
            <w:pPr>
              <w:spacing w:line="276" w:lineRule="auto"/>
              <w:jc w:val="center"/>
              <w:rPr>
                <w:rFonts w:ascii="Times New Roman" w:eastAsia="Times New Roman" w:hAnsi="Times New Roman" w:cs="Times New Roman"/>
                <w:b/>
                <w:bCs/>
                <w:sz w:val="21"/>
                <w:szCs w:val="21"/>
                <w:lang w:val="en-GB" w:eastAsia="pt-BR"/>
              </w:rPr>
            </w:pPr>
            <w:r w:rsidRPr="00513B5A">
              <w:rPr>
                <w:rFonts w:ascii="Times New Roman" w:eastAsia="Times New Roman" w:hAnsi="Times New Roman" w:cs="Times New Roman"/>
                <w:b/>
                <w:bCs/>
                <w:sz w:val="21"/>
                <w:szCs w:val="21"/>
                <w:lang w:val="en-GB" w:eastAsia="pt-BR"/>
              </w:rPr>
              <w:t>Minimum</w:t>
            </w:r>
          </w:p>
        </w:tc>
        <w:tc>
          <w:tcPr>
            <w:tcW w:w="2297" w:type="dxa"/>
            <w:tcBorders>
              <w:top w:val="single" w:sz="4" w:space="0" w:color="auto"/>
              <w:bottom w:val="single" w:sz="4" w:space="0" w:color="auto"/>
            </w:tcBorders>
            <w:noWrap/>
            <w:vAlign w:val="center"/>
            <w:hideMark/>
          </w:tcPr>
          <w:p w14:paraId="3EE47BA1" w14:textId="77777777" w:rsidR="0035243B" w:rsidRPr="00513B5A" w:rsidRDefault="0035243B" w:rsidP="00FC4E46">
            <w:pPr>
              <w:spacing w:line="276" w:lineRule="auto"/>
              <w:jc w:val="center"/>
              <w:rPr>
                <w:rFonts w:ascii="Times New Roman" w:eastAsia="Times New Roman" w:hAnsi="Times New Roman" w:cs="Times New Roman"/>
                <w:b/>
                <w:bCs/>
                <w:sz w:val="21"/>
                <w:szCs w:val="21"/>
                <w:lang w:val="en-GB" w:eastAsia="pt-BR"/>
              </w:rPr>
            </w:pPr>
            <w:r w:rsidRPr="00513B5A">
              <w:rPr>
                <w:rFonts w:ascii="Times New Roman" w:eastAsia="Times New Roman" w:hAnsi="Times New Roman" w:cs="Times New Roman"/>
                <w:b/>
                <w:bCs/>
                <w:sz w:val="21"/>
                <w:szCs w:val="21"/>
                <w:lang w:val="en-GB" w:eastAsia="pt-BR"/>
              </w:rPr>
              <w:t>Maximum</w:t>
            </w:r>
          </w:p>
        </w:tc>
        <w:tc>
          <w:tcPr>
            <w:tcW w:w="1530" w:type="dxa"/>
            <w:tcBorders>
              <w:top w:val="single" w:sz="4" w:space="0" w:color="auto"/>
              <w:bottom w:val="single" w:sz="4" w:space="0" w:color="auto"/>
            </w:tcBorders>
            <w:noWrap/>
            <w:vAlign w:val="center"/>
            <w:hideMark/>
          </w:tcPr>
          <w:p w14:paraId="5E6799D1" w14:textId="77777777" w:rsidR="0035243B" w:rsidRPr="00513B5A" w:rsidRDefault="0035243B" w:rsidP="00FC4E46">
            <w:pPr>
              <w:spacing w:line="276" w:lineRule="auto"/>
              <w:jc w:val="center"/>
              <w:rPr>
                <w:rFonts w:ascii="Times New Roman" w:eastAsia="Times New Roman" w:hAnsi="Times New Roman" w:cs="Times New Roman"/>
                <w:b/>
                <w:bCs/>
                <w:sz w:val="21"/>
                <w:szCs w:val="21"/>
                <w:lang w:val="en-GB" w:eastAsia="pt-BR"/>
              </w:rPr>
            </w:pPr>
            <w:r w:rsidRPr="00513B5A">
              <w:rPr>
                <w:rFonts w:ascii="Times New Roman" w:eastAsia="Times New Roman" w:hAnsi="Times New Roman" w:cs="Times New Roman"/>
                <w:b/>
                <w:bCs/>
                <w:sz w:val="21"/>
                <w:szCs w:val="21"/>
                <w:lang w:val="en-GB" w:eastAsia="pt-BR"/>
              </w:rPr>
              <w:t>Mean</w:t>
            </w:r>
          </w:p>
        </w:tc>
        <w:tc>
          <w:tcPr>
            <w:tcW w:w="1785" w:type="dxa"/>
            <w:tcBorders>
              <w:top w:val="single" w:sz="4" w:space="0" w:color="auto"/>
              <w:bottom w:val="single" w:sz="4" w:space="0" w:color="auto"/>
            </w:tcBorders>
            <w:noWrap/>
            <w:vAlign w:val="center"/>
            <w:hideMark/>
          </w:tcPr>
          <w:p w14:paraId="4BF7E476" w14:textId="77777777" w:rsidR="0035243B" w:rsidRPr="00513B5A" w:rsidRDefault="0035243B" w:rsidP="00FC4E46">
            <w:pPr>
              <w:spacing w:line="276" w:lineRule="auto"/>
              <w:jc w:val="center"/>
              <w:rPr>
                <w:rFonts w:ascii="Times New Roman" w:eastAsia="Times New Roman" w:hAnsi="Times New Roman" w:cs="Times New Roman"/>
                <w:b/>
                <w:bCs/>
                <w:sz w:val="21"/>
                <w:szCs w:val="21"/>
                <w:lang w:val="en-GB" w:eastAsia="pt-BR"/>
              </w:rPr>
            </w:pPr>
            <w:r w:rsidRPr="00513B5A">
              <w:rPr>
                <w:rFonts w:ascii="Times New Roman" w:eastAsia="Times New Roman" w:hAnsi="Times New Roman" w:cs="Times New Roman"/>
                <w:b/>
                <w:bCs/>
                <w:sz w:val="21"/>
                <w:szCs w:val="21"/>
                <w:lang w:val="en-GB" w:eastAsia="pt-BR"/>
              </w:rPr>
              <w:t>Std. Error of Mean</w:t>
            </w:r>
          </w:p>
        </w:tc>
        <w:tc>
          <w:tcPr>
            <w:tcW w:w="2363" w:type="dxa"/>
            <w:tcBorders>
              <w:top w:val="single" w:sz="4" w:space="0" w:color="auto"/>
              <w:bottom w:val="single" w:sz="4" w:space="0" w:color="auto"/>
            </w:tcBorders>
            <w:noWrap/>
            <w:vAlign w:val="center"/>
            <w:hideMark/>
          </w:tcPr>
          <w:p w14:paraId="44154E23" w14:textId="77777777" w:rsidR="0035243B" w:rsidRPr="00513B5A" w:rsidRDefault="0035243B" w:rsidP="00FC4E46">
            <w:pPr>
              <w:spacing w:line="276" w:lineRule="auto"/>
              <w:jc w:val="center"/>
              <w:rPr>
                <w:rFonts w:ascii="Times New Roman" w:eastAsia="Times New Roman" w:hAnsi="Times New Roman" w:cs="Times New Roman"/>
                <w:b/>
                <w:bCs/>
                <w:sz w:val="21"/>
                <w:szCs w:val="21"/>
                <w:lang w:val="en-GB" w:eastAsia="pt-BR"/>
              </w:rPr>
            </w:pPr>
            <w:r w:rsidRPr="00513B5A">
              <w:rPr>
                <w:rFonts w:ascii="Times New Roman" w:eastAsia="Times New Roman" w:hAnsi="Times New Roman" w:cs="Times New Roman"/>
                <w:b/>
                <w:bCs/>
                <w:sz w:val="21"/>
                <w:szCs w:val="21"/>
                <w:lang w:val="en-GB" w:eastAsia="pt-BR"/>
              </w:rPr>
              <w:t>Coefficient of variation</w:t>
            </w:r>
          </w:p>
        </w:tc>
      </w:tr>
      <w:tr w:rsidR="001A305E" w:rsidRPr="00513B5A" w14:paraId="76594930" w14:textId="77777777" w:rsidTr="0035243B">
        <w:trPr>
          <w:trHeight w:val="509"/>
        </w:trPr>
        <w:tc>
          <w:tcPr>
            <w:tcW w:w="2553" w:type="dxa"/>
            <w:tcBorders>
              <w:top w:val="single" w:sz="4" w:space="0" w:color="auto"/>
            </w:tcBorders>
            <w:vAlign w:val="center"/>
          </w:tcPr>
          <w:p w14:paraId="0418F24B"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Humid Tropical Forest</w:t>
            </w:r>
          </w:p>
        </w:tc>
        <w:tc>
          <w:tcPr>
            <w:tcW w:w="1276" w:type="dxa"/>
            <w:tcBorders>
              <w:top w:val="single" w:sz="4" w:space="0" w:color="auto"/>
            </w:tcBorders>
            <w:noWrap/>
            <w:vAlign w:val="center"/>
            <w:hideMark/>
          </w:tcPr>
          <w:p w14:paraId="4C13D7E0" w14:textId="7A8461AC"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43</w:t>
            </w:r>
          </w:p>
        </w:tc>
        <w:tc>
          <w:tcPr>
            <w:tcW w:w="2042" w:type="dxa"/>
            <w:tcBorders>
              <w:top w:val="single" w:sz="4" w:space="0" w:color="auto"/>
            </w:tcBorders>
            <w:noWrap/>
            <w:vAlign w:val="center"/>
            <w:hideMark/>
          </w:tcPr>
          <w:p w14:paraId="304D902B" w14:textId="3610A124"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6.35</w:t>
            </w:r>
          </w:p>
        </w:tc>
        <w:tc>
          <w:tcPr>
            <w:tcW w:w="2297" w:type="dxa"/>
            <w:tcBorders>
              <w:top w:val="single" w:sz="4" w:space="0" w:color="auto"/>
            </w:tcBorders>
            <w:noWrap/>
            <w:vAlign w:val="center"/>
            <w:hideMark/>
          </w:tcPr>
          <w:p w14:paraId="04C22163" w14:textId="2A8F9570"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937.</w:t>
            </w:r>
            <w:r w:rsidR="00492C36" w:rsidRPr="00513B5A">
              <w:rPr>
                <w:rFonts w:ascii="Times New Roman" w:eastAsia="Times New Roman" w:hAnsi="Times New Roman" w:cs="Times New Roman"/>
                <w:lang w:val="en-GB" w:eastAsia="pt-BR"/>
              </w:rPr>
              <w:t>3</w:t>
            </w:r>
          </w:p>
        </w:tc>
        <w:tc>
          <w:tcPr>
            <w:tcW w:w="1530" w:type="dxa"/>
            <w:tcBorders>
              <w:top w:val="single" w:sz="4" w:space="0" w:color="auto"/>
            </w:tcBorders>
            <w:noWrap/>
            <w:vAlign w:val="center"/>
            <w:hideMark/>
          </w:tcPr>
          <w:p w14:paraId="26878E29" w14:textId="6164C39A"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w:t>
            </w:r>
            <w:r w:rsidR="00492C36" w:rsidRPr="00513B5A">
              <w:rPr>
                <w:rFonts w:ascii="Times New Roman" w:eastAsia="Times New Roman" w:hAnsi="Times New Roman" w:cs="Times New Roman"/>
                <w:lang w:val="en-GB" w:eastAsia="pt-BR"/>
              </w:rPr>
              <w:t>14</w:t>
            </w:r>
            <w:r w:rsidRPr="00513B5A">
              <w:rPr>
                <w:rFonts w:ascii="Times New Roman" w:eastAsia="Times New Roman" w:hAnsi="Times New Roman" w:cs="Times New Roman"/>
                <w:lang w:val="en-GB" w:eastAsia="pt-BR"/>
              </w:rPr>
              <w:t>.00</w:t>
            </w:r>
          </w:p>
        </w:tc>
        <w:tc>
          <w:tcPr>
            <w:tcW w:w="1785" w:type="dxa"/>
            <w:tcBorders>
              <w:top w:val="single" w:sz="4" w:space="0" w:color="auto"/>
            </w:tcBorders>
            <w:noWrap/>
            <w:vAlign w:val="center"/>
            <w:hideMark/>
          </w:tcPr>
          <w:p w14:paraId="06222357" w14:textId="71B0C395"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38.</w:t>
            </w:r>
            <w:r w:rsidR="00492C36" w:rsidRPr="00513B5A">
              <w:rPr>
                <w:rFonts w:ascii="Times New Roman" w:eastAsia="Times New Roman" w:hAnsi="Times New Roman" w:cs="Times New Roman"/>
                <w:lang w:val="en-GB" w:eastAsia="pt-BR"/>
              </w:rPr>
              <w:t>35</w:t>
            </w:r>
          </w:p>
        </w:tc>
        <w:tc>
          <w:tcPr>
            <w:tcW w:w="2363" w:type="dxa"/>
            <w:tcBorders>
              <w:top w:val="single" w:sz="4" w:space="0" w:color="auto"/>
            </w:tcBorders>
            <w:noWrap/>
            <w:vAlign w:val="center"/>
            <w:hideMark/>
          </w:tcPr>
          <w:p w14:paraId="428152FB" w14:textId="7577D596" w:rsidR="0035243B" w:rsidRPr="00513B5A" w:rsidRDefault="000C0E97"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172</w:t>
            </w:r>
            <w:r w:rsidR="0035243B" w:rsidRPr="00513B5A">
              <w:rPr>
                <w:rFonts w:ascii="Times New Roman" w:eastAsia="Times New Roman" w:hAnsi="Times New Roman" w:cs="Times New Roman"/>
                <w:lang w:val="en-GB" w:eastAsia="pt-BR"/>
              </w:rPr>
              <w:t>.</w:t>
            </w:r>
            <w:r w:rsidRPr="00513B5A">
              <w:rPr>
                <w:rFonts w:ascii="Times New Roman" w:eastAsia="Times New Roman" w:hAnsi="Times New Roman" w:cs="Times New Roman"/>
                <w:lang w:val="en-GB" w:eastAsia="pt-BR"/>
              </w:rPr>
              <w:t>3</w:t>
            </w:r>
            <w:r w:rsidR="0035243B" w:rsidRPr="00513B5A">
              <w:rPr>
                <w:rFonts w:ascii="Times New Roman" w:eastAsia="Times New Roman" w:hAnsi="Times New Roman" w:cs="Times New Roman"/>
                <w:lang w:val="en-GB" w:eastAsia="pt-BR"/>
              </w:rPr>
              <w:t>0%</w:t>
            </w:r>
          </w:p>
        </w:tc>
      </w:tr>
      <w:tr w:rsidR="001A305E" w:rsidRPr="00513B5A" w14:paraId="65473C09" w14:textId="77777777" w:rsidTr="0035243B">
        <w:trPr>
          <w:trHeight w:val="509"/>
        </w:trPr>
        <w:tc>
          <w:tcPr>
            <w:tcW w:w="2553" w:type="dxa"/>
            <w:vAlign w:val="center"/>
          </w:tcPr>
          <w:p w14:paraId="5A59A6C1"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Other Mid-Latitudes</w:t>
            </w:r>
          </w:p>
        </w:tc>
        <w:tc>
          <w:tcPr>
            <w:tcW w:w="1276" w:type="dxa"/>
            <w:noWrap/>
            <w:vAlign w:val="center"/>
            <w:hideMark/>
          </w:tcPr>
          <w:p w14:paraId="3C5F1EBE"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16</w:t>
            </w:r>
          </w:p>
        </w:tc>
        <w:tc>
          <w:tcPr>
            <w:tcW w:w="2042" w:type="dxa"/>
            <w:noWrap/>
            <w:vAlign w:val="center"/>
            <w:hideMark/>
          </w:tcPr>
          <w:p w14:paraId="282B36B1"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1.87</w:t>
            </w:r>
          </w:p>
        </w:tc>
        <w:tc>
          <w:tcPr>
            <w:tcW w:w="2297" w:type="dxa"/>
            <w:noWrap/>
            <w:vAlign w:val="center"/>
            <w:hideMark/>
          </w:tcPr>
          <w:p w14:paraId="5166406C"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109</w:t>
            </w:r>
          </w:p>
        </w:tc>
        <w:tc>
          <w:tcPr>
            <w:tcW w:w="1530" w:type="dxa"/>
            <w:noWrap/>
            <w:vAlign w:val="center"/>
            <w:hideMark/>
          </w:tcPr>
          <w:p w14:paraId="5AC25150" w14:textId="4C718DFB"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38.90</w:t>
            </w:r>
          </w:p>
        </w:tc>
        <w:tc>
          <w:tcPr>
            <w:tcW w:w="1785" w:type="dxa"/>
            <w:noWrap/>
            <w:vAlign w:val="center"/>
            <w:hideMark/>
          </w:tcPr>
          <w:p w14:paraId="4EC173C4"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8.444</w:t>
            </w:r>
          </w:p>
        </w:tc>
        <w:tc>
          <w:tcPr>
            <w:tcW w:w="2363" w:type="dxa"/>
            <w:noWrap/>
            <w:vAlign w:val="center"/>
            <w:hideMark/>
          </w:tcPr>
          <w:p w14:paraId="1904B959"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86.84%</w:t>
            </w:r>
          </w:p>
        </w:tc>
      </w:tr>
      <w:tr w:rsidR="001A305E" w:rsidRPr="00513B5A" w14:paraId="14FF94F2" w14:textId="77777777" w:rsidTr="0035243B">
        <w:trPr>
          <w:trHeight w:val="509"/>
        </w:trPr>
        <w:tc>
          <w:tcPr>
            <w:tcW w:w="2553" w:type="dxa"/>
            <w:vAlign w:val="center"/>
          </w:tcPr>
          <w:p w14:paraId="78D701A7"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Temperate Forest</w:t>
            </w:r>
          </w:p>
        </w:tc>
        <w:tc>
          <w:tcPr>
            <w:tcW w:w="1276" w:type="dxa"/>
            <w:noWrap/>
            <w:vAlign w:val="center"/>
            <w:hideMark/>
          </w:tcPr>
          <w:p w14:paraId="6B676272"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161</w:t>
            </w:r>
          </w:p>
        </w:tc>
        <w:tc>
          <w:tcPr>
            <w:tcW w:w="2042" w:type="dxa"/>
            <w:noWrap/>
            <w:vAlign w:val="center"/>
            <w:hideMark/>
          </w:tcPr>
          <w:p w14:paraId="78389623"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2.715</w:t>
            </w:r>
          </w:p>
        </w:tc>
        <w:tc>
          <w:tcPr>
            <w:tcW w:w="2297" w:type="dxa"/>
            <w:noWrap/>
            <w:vAlign w:val="center"/>
            <w:hideMark/>
          </w:tcPr>
          <w:p w14:paraId="4BF8F153"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224.8</w:t>
            </w:r>
          </w:p>
        </w:tc>
        <w:tc>
          <w:tcPr>
            <w:tcW w:w="1530" w:type="dxa"/>
            <w:noWrap/>
            <w:vAlign w:val="center"/>
            <w:hideMark/>
          </w:tcPr>
          <w:p w14:paraId="284EDDA9"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36.68</w:t>
            </w:r>
          </w:p>
        </w:tc>
        <w:tc>
          <w:tcPr>
            <w:tcW w:w="1785" w:type="dxa"/>
            <w:noWrap/>
            <w:vAlign w:val="center"/>
            <w:hideMark/>
          </w:tcPr>
          <w:p w14:paraId="6471B092"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3.157</w:t>
            </w:r>
          </w:p>
        </w:tc>
        <w:tc>
          <w:tcPr>
            <w:tcW w:w="2363" w:type="dxa"/>
            <w:noWrap/>
            <w:vAlign w:val="center"/>
            <w:hideMark/>
          </w:tcPr>
          <w:p w14:paraId="3AF99CC2"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109.21%</w:t>
            </w:r>
          </w:p>
        </w:tc>
      </w:tr>
      <w:tr w:rsidR="001A305E" w:rsidRPr="00513B5A" w14:paraId="3DBF0AC0" w14:textId="77777777" w:rsidTr="0035243B">
        <w:trPr>
          <w:trHeight w:val="509"/>
        </w:trPr>
        <w:tc>
          <w:tcPr>
            <w:tcW w:w="2553" w:type="dxa"/>
            <w:vAlign w:val="center"/>
          </w:tcPr>
          <w:p w14:paraId="2C01D2EB"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Boreal Forest</w:t>
            </w:r>
          </w:p>
        </w:tc>
        <w:tc>
          <w:tcPr>
            <w:tcW w:w="1276" w:type="dxa"/>
            <w:noWrap/>
            <w:vAlign w:val="center"/>
            <w:hideMark/>
          </w:tcPr>
          <w:p w14:paraId="5D055464"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25</w:t>
            </w:r>
          </w:p>
        </w:tc>
        <w:tc>
          <w:tcPr>
            <w:tcW w:w="2042" w:type="dxa"/>
            <w:noWrap/>
            <w:vAlign w:val="center"/>
            <w:hideMark/>
          </w:tcPr>
          <w:p w14:paraId="3083640F"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1.09</w:t>
            </w:r>
          </w:p>
        </w:tc>
        <w:tc>
          <w:tcPr>
            <w:tcW w:w="2297" w:type="dxa"/>
            <w:noWrap/>
            <w:vAlign w:val="center"/>
            <w:hideMark/>
          </w:tcPr>
          <w:p w14:paraId="62A74582"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74</w:t>
            </w:r>
          </w:p>
        </w:tc>
        <w:tc>
          <w:tcPr>
            <w:tcW w:w="1530" w:type="dxa"/>
            <w:noWrap/>
            <w:vAlign w:val="center"/>
            <w:hideMark/>
          </w:tcPr>
          <w:p w14:paraId="4622828A"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15.44</w:t>
            </w:r>
          </w:p>
        </w:tc>
        <w:tc>
          <w:tcPr>
            <w:tcW w:w="1785" w:type="dxa"/>
            <w:noWrap/>
            <w:vAlign w:val="center"/>
            <w:hideMark/>
          </w:tcPr>
          <w:p w14:paraId="78656BAC" w14:textId="412C4D5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3.90</w:t>
            </w:r>
          </w:p>
        </w:tc>
        <w:tc>
          <w:tcPr>
            <w:tcW w:w="2363" w:type="dxa"/>
            <w:noWrap/>
            <w:vAlign w:val="center"/>
            <w:hideMark/>
          </w:tcPr>
          <w:p w14:paraId="36823F31"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126.28%</w:t>
            </w:r>
          </w:p>
        </w:tc>
      </w:tr>
      <w:tr w:rsidR="001A305E" w:rsidRPr="00513B5A" w14:paraId="02D1EE4B" w14:textId="77777777" w:rsidTr="0035243B">
        <w:trPr>
          <w:trHeight w:val="509"/>
        </w:trPr>
        <w:tc>
          <w:tcPr>
            <w:tcW w:w="2553" w:type="dxa"/>
            <w:vAlign w:val="center"/>
          </w:tcPr>
          <w:p w14:paraId="650C3A52"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Subpolar and Polar</w:t>
            </w:r>
          </w:p>
        </w:tc>
        <w:tc>
          <w:tcPr>
            <w:tcW w:w="1276" w:type="dxa"/>
            <w:noWrap/>
            <w:vAlign w:val="center"/>
            <w:hideMark/>
          </w:tcPr>
          <w:p w14:paraId="21263C13"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9</w:t>
            </w:r>
          </w:p>
        </w:tc>
        <w:tc>
          <w:tcPr>
            <w:tcW w:w="2042" w:type="dxa"/>
            <w:noWrap/>
            <w:vAlign w:val="center"/>
            <w:hideMark/>
          </w:tcPr>
          <w:p w14:paraId="52DB680A" w14:textId="164EDF2B"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1.30</w:t>
            </w:r>
          </w:p>
        </w:tc>
        <w:tc>
          <w:tcPr>
            <w:tcW w:w="2297" w:type="dxa"/>
            <w:noWrap/>
            <w:vAlign w:val="center"/>
            <w:hideMark/>
          </w:tcPr>
          <w:p w14:paraId="43E65102"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25</w:t>
            </w:r>
          </w:p>
        </w:tc>
        <w:tc>
          <w:tcPr>
            <w:tcW w:w="1530" w:type="dxa"/>
            <w:noWrap/>
            <w:vAlign w:val="center"/>
            <w:hideMark/>
          </w:tcPr>
          <w:p w14:paraId="75BEA240"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10.92</w:t>
            </w:r>
          </w:p>
        </w:tc>
        <w:tc>
          <w:tcPr>
            <w:tcW w:w="1785" w:type="dxa"/>
            <w:noWrap/>
            <w:vAlign w:val="center"/>
            <w:hideMark/>
          </w:tcPr>
          <w:p w14:paraId="57808971" w14:textId="1F0F70A2"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2.71</w:t>
            </w:r>
          </w:p>
        </w:tc>
        <w:tc>
          <w:tcPr>
            <w:tcW w:w="2363" w:type="dxa"/>
            <w:noWrap/>
            <w:vAlign w:val="center"/>
            <w:hideMark/>
          </w:tcPr>
          <w:p w14:paraId="659AE862"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74.38%</w:t>
            </w:r>
          </w:p>
        </w:tc>
      </w:tr>
      <w:tr w:rsidR="001A305E" w:rsidRPr="00513B5A" w14:paraId="29DCE37A" w14:textId="77777777" w:rsidTr="0035243B">
        <w:trPr>
          <w:trHeight w:val="509"/>
        </w:trPr>
        <w:tc>
          <w:tcPr>
            <w:tcW w:w="2553" w:type="dxa"/>
            <w:vAlign w:val="center"/>
          </w:tcPr>
          <w:p w14:paraId="4AAF5BEF"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Warm Anthropic</w:t>
            </w:r>
          </w:p>
        </w:tc>
        <w:tc>
          <w:tcPr>
            <w:tcW w:w="1276" w:type="dxa"/>
            <w:noWrap/>
            <w:vAlign w:val="center"/>
            <w:hideMark/>
          </w:tcPr>
          <w:p w14:paraId="4466AB81"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90</w:t>
            </w:r>
          </w:p>
        </w:tc>
        <w:tc>
          <w:tcPr>
            <w:tcW w:w="2042" w:type="dxa"/>
            <w:noWrap/>
            <w:vAlign w:val="center"/>
            <w:hideMark/>
          </w:tcPr>
          <w:p w14:paraId="31CE4FE0"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0.49</w:t>
            </w:r>
          </w:p>
        </w:tc>
        <w:tc>
          <w:tcPr>
            <w:tcW w:w="2297" w:type="dxa"/>
            <w:noWrap/>
            <w:vAlign w:val="center"/>
            <w:hideMark/>
          </w:tcPr>
          <w:p w14:paraId="7BBD9059"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127</w:t>
            </w:r>
          </w:p>
        </w:tc>
        <w:tc>
          <w:tcPr>
            <w:tcW w:w="1530" w:type="dxa"/>
            <w:noWrap/>
            <w:vAlign w:val="center"/>
            <w:hideMark/>
          </w:tcPr>
          <w:p w14:paraId="3257A8EF" w14:textId="3B60B1F9"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48.60</w:t>
            </w:r>
          </w:p>
        </w:tc>
        <w:tc>
          <w:tcPr>
            <w:tcW w:w="1785" w:type="dxa"/>
            <w:noWrap/>
            <w:vAlign w:val="center"/>
            <w:hideMark/>
          </w:tcPr>
          <w:p w14:paraId="48A08FD0" w14:textId="2E60A84E"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3.24</w:t>
            </w:r>
          </w:p>
        </w:tc>
        <w:tc>
          <w:tcPr>
            <w:tcW w:w="2363" w:type="dxa"/>
            <w:noWrap/>
            <w:vAlign w:val="center"/>
            <w:hideMark/>
          </w:tcPr>
          <w:p w14:paraId="6454F236"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65.76%</w:t>
            </w:r>
          </w:p>
        </w:tc>
      </w:tr>
      <w:tr w:rsidR="001A305E" w:rsidRPr="00513B5A" w14:paraId="6CB540C1" w14:textId="77777777" w:rsidTr="0035243B">
        <w:trPr>
          <w:trHeight w:val="509"/>
        </w:trPr>
        <w:tc>
          <w:tcPr>
            <w:tcW w:w="2553" w:type="dxa"/>
            <w:vAlign w:val="center"/>
          </w:tcPr>
          <w:p w14:paraId="1A0F7B57"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Moderate Anthropic</w:t>
            </w:r>
          </w:p>
        </w:tc>
        <w:tc>
          <w:tcPr>
            <w:tcW w:w="1276" w:type="dxa"/>
            <w:noWrap/>
            <w:vAlign w:val="center"/>
            <w:hideMark/>
          </w:tcPr>
          <w:p w14:paraId="5EFB7F09"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29</w:t>
            </w:r>
          </w:p>
        </w:tc>
        <w:tc>
          <w:tcPr>
            <w:tcW w:w="2042" w:type="dxa"/>
            <w:noWrap/>
            <w:vAlign w:val="center"/>
            <w:hideMark/>
          </w:tcPr>
          <w:p w14:paraId="71457294"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2.174</w:t>
            </w:r>
          </w:p>
        </w:tc>
        <w:tc>
          <w:tcPr>
            <w:tcW w:w="2297" w:type="dxa"/>
            <w:noWrap/>
            <w:vAlign w:val="center"/>
            <w:hideMark/>
          </w:tcPr>
          <w:p w14:paraId="246163B5"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112.1</w:t>
            </w:r>
          </w:p>
        </w:tc>
        <w:tc>
          <w:tcPr>
            <w:tcW w:w="1530" w:type="dxa"/>
            <w:noWrap/>
            <w:vAlign w:val="center"/>
            <w:hideMark/>
          </w:tcPr>
          <w:p w14:paraId="473AED85"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44.89</w:t>
            </w:r>
          </w:p>
        </w:tc>
        <w:tc>
          <w:tcPr>
            <w:tcW w:w="1785" w:type="dxa"/>
            <w:noWrap/>
            <w:vAlign w:val="center"/>
            <w:hideMark/>
          </w:tcPr>
          <w:p w14:paraId="16DCB6B4" w14:textId="34B921C8"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6.08</w:t>
            </w:r>
          </w:p>
        </w:tc>
        <w:tc>
          <w:tcPr>
            <w:tcW w:w="2363" w:type="dxa"/>
            <w:noWrap/>
            <w:vAlign w:val="center"/>
            <w:hideMark/>
          </w:tcPr>
          <w:p w14:paraId="1E8B9A90"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72.93%</w:t>
            </w:r>
          </w:p>
        </w:tc>
      </w:tr>
      <w:tr w:rsidR="0035243B" w:rsidRPr="00513B5A" w14:paraId="0111AB69" w14:textId="77777777" w:rsidTr="0035243B">
        <w:trPr>
          <w:trHeight w:val="509"/>
        </w:trPr>
        <w:tc>
          <w:tcPr>
            <w:tcW w:w="2553" w:type="dxa"/>
            <w:tcBorders>
              <w:bottom w:val="single" w:sz="4" w:space="0" w:color="auto"/>
            </w:tcBorders>
            <w:vAlign w:val="center"/>
          </w:tcPr>
          <w:p w14:paraId="00822008"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Cold Anthropic</w:t>
            </w:r>
          </w:p>
        </w:tc>
        <w:tc>
          <w:tcPr>
            <w:tcW w:w="1276" w:type="dxa"/>
            <w:tcBorders>
              <w:bottom w:val="single" w:sz="4" w:space="0" w:color="auto"/>
            </w:tcBorders>
            <w:noWrap/>
            <w:vAlign w:val="center"/>
            <w:hideMark/>
          </w:tcPr>
          <w:p w14:paraId="1B138662"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24</w:t>
            </w:r>
          </w:p>
        </w:tc>
        <w:tc>
          <w:tcPr>
            <w:tcW w:w="2042" w:type="dxa"/>
            <w:tcBorders>
              <w:bottom w:val="single" w:sz="4" w:space="0" w:color="auto"/>
            </w:tcBorders>
            <w:noWrap/>
            <w:vAlign w:val="center"/>
            <w:hideMark/>
          </w:tcPr>
          <w:p w14:paraId="57172F46"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5.728</w:t>
            </w:r>
          </w:p>
        </w:tc>
        <w:tc>
          <w:tcPr>
            <w:tcW w:w="2297" w:type="dxa"/>
            <w:tcBorders>
              <w:bottom w:val="single" w:sz="4" w:space="0" w:color="auto"/>
            </w:tcBorders>
            <w:noWrap/>
            <w:vAlign w:val="center"/>
            <w:hideMark/>
          </w:tcPr>
          <w:p w14:paraId="6F20A1E0"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174</w:t>
            </w:r>
          </w:p>
        </w:tc>
        <w:tc>
          <w:tcPr>
            <w:tcW w:w="1530" w:type="dxa"/>
            <w:tcBorders>
              <w:bottom w:val="single" w:sz="4" w:space="0" w:color="auto"/>
            </w:tcBorders>
            <w:noWrap/>
            <w:vAlign w:val="center"/>
            <w:hideMark/>
          </w:tcPr>
          <w:p w14:paraId="51EEF2EE"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49.62</w:t>
            </w:r>
          </w:p>
        </w:tc>
        <w:tc>
          <w:tcPr>
            <w:tcW w:w="1785" w:type="dxa"/>
            <w:tcBorders>
              <w:bottom w:val="single" w:sz="4" w:space="0" w:color="auto"/>
            </w:tcBorders>
            <w:noWrap/>
            <w:vAlign w:val="center"/>
            <w:hideMark/>
          </w:tcPr>
          <w:p w14:paraId="793D6129"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10.08</w:t>
            </w:r>
          </w:p>
        </w:tc>
        <w:tc>
          <w:tcPr>
            <w:tcW w:w="2363" w:type="dxa"/>
            <w:tcBorders>
              <w:bottom w:val="single" w:sz="4" w:space="0" w:color="auto"/>
            </w:tcBorders>
            <w:noWrap/>
            <w:vAlign w:val="center"/>
            <w:hideMark/>
          </w:tcPr>
          <w:p w14:paraId="74D74226" w14:textId="77777777" w:rsidR="0035243B" w:rsidRPr="00513B5A" w:rsidRDefault="0035243B" w:rsidP="00FC4E46">
            <w:pPr>
              <w:spacing w:line="276" w:lineRule="auto"/>
              <w:jc w:val="center"/>
              <w:rPr>
                <w:rFonts w:ascii="Times New Roman" w:eastAsia="Times New Roman" w:hAnsi="Times New Roman" w:cs="Times New Roman"/>
                <w:lang w:val="en-GB" w:eastAsia="pt-BR"/>
              </w:rPr>
            </w:pPr>
            <w:r w:rsidRPr="00513B5A">
              <w:rPr>
                <w:rFonts w:ascii="Times New Roman" w:eastAsia="Times New Roman" w:hAnsi="Times New Roman" w:cs="Times New Roman"/>
                <w:lang w:val="en-GB" w:eastAsia="pt-BR"/>
              </w:rPr>
              <w:t>99.49%</w:t>
            </w:r>
          </w:p>
        </w:tc>
      </w:tr>
    </w:tbl>
    <w:p w14:paraId="67073E96" w14:textId="77777777" w:rsidR="00BD3B3A" w:rsidRPr="00513B5A" w:rsidRDefault="00BD3B3A" w:rsidP="00BD3B3A">
      <w:pPr>
        <w:jc w:val="both"/>
        <w:rPr>
          <w:rFonts w:ascii="Times New Roman" w:hAnsi="Times New Roman" w:cs="Times New Roman"/>
          <w:b/>
          <w:sz w:val="24"/>
          <w:szCs w:val="24"/>
          <w:lang w:val="en-GB"/>
        </w:rPr>
      </w:pPr>
    </w:p>
    <w:p w14:paraId="07970DCF" w14:textId="77777777" w:rsidR="00FC4E46" w:rsidRPr="00513B5A" w:rsidRDefault="00FC4E46" w:rsidP="00BD3B3A">
      <w:pPr>
        <w:jc w:val="both"/>
        <w:rPr>
          <w:rFonts w:ascii="Times New Roman" w:hAnsi="Times New Roman" w:cs="Times New Roman"/>
          <w:b/>
          <w:sz w:val="24"/>
          <w:szCs w:val="24"/>
          <w:lang w:val="en-GB"/>
        </w:rPr>
      </w:pPr>
    </w:p>
    <w:p w14:paraId="6B157C5E" w14:textId="77777777" w:rsidR="00FC4E46" w:rsidRPr="00513B5A" w:rsidRDefault="00FC4E46" w:rsidP="00BD3B3A">
      <w:pPr>
        <w:jc w:val="both"/>
        <w:rPr>
          <w:rFonts w:ascii="Times New Roman" w:hAnsi="Times New Roman" w:cs="Times New Roman"/>
          <w:b/>
          <w:sz w:val="24"/>
          <w:szCs w:val="24"/>
          <w:lang w:val="en-GB"/>
        </w:rPr>
        <w:sectPr w:rsidR="00FC4E46" w:rsidRPr="00513B5A" w:rsidSect="00FC4E46">
          <w:pgSz w:w="16838" w:h="11906" w:orient="landscape" w:code="9"/>
          <w:pgMar w:top="1701" w:right="1350" w:bottom="1701" w:left="1418" w:header="709" w:footer="709" w:gutter="0"/>
          <w:lnNumType w:countBy="5" w:restart="continuous"/>
          <w:cols w:space="708"/>
          <w:docGrid w:linePitch="360"/>
        </w:sectPr>
      </w:pPr>
    </w:p>
    <w:p w14:paraId="69FACE68" w14:textId="26035A94" w:rsidR="00BD3B3A" w:rsidRPr="00513B5A" w:rsidRDefault="00BD3B3A" w:rsidP="00BD3B3A">
      <w:pPr>
        <w:jc w:val="both"/>
        <w:rPr>
          <w:rFonts w:ascii="Times New Roman" w:hAnsi="Times New Roman" w:cs="Times New Roman"/>
          <w:b/>
          <w:sz w:val="24"/>
          <w:szCs w:val="24"/>
          <w:lang w:val="en-GB"/>
        </w:rPr>
      </w:pPr>
      <w:r w:rsidRPr="00513B5A">
        <w:rPr>
          <w:rFonts w:ascii="Times New Roman" w:hAnsi="Times New Roman" w:cs="Times New Roman"/>
          <w:b/>
          <w:sz w:val="24"/>
          <w:szCs w:val="24"/>
          <w:lang w:val="en-GB"/>
        </w:rPr>
        <w:lastRenderedPageBreak/>
        <w:t>Supplementary Figures list</w:t>
      </w:r>
    </w:p>
    <w:p w14:paraId="22E6D873" w14:textId="1149D807" w:rsidR="00BD3B3A" w:rsidRPr="00513B5A" w:rsidRDefault="009266EF" w:rsidP="008F5413">
      <w:pPr>
        <w:jc w:val="center"/>
        <w:rPr>
          <w:rFonts w:ascii="Times New Roman" w:hAnsi="Times New Roman" w:cs="Times New Roman"/>
          <w:noProof/>
          <w:sz w:val="24"/>
          <w:szCs w:val="24"/>
          <w:lang w:val="en-GB"/>
        </w:rPr>
      </w:pPr>
      <w:r w:rsidRPr="00513B5A">
        <w:rPr>
          <w:rFonts w:ascii="Times New Roman" w:hAnsi="Times New Roman" w:cs="Times New Roman"/>
          <w:noProof/>
          <w:sz w:val="24"/>
          <w:szCs w:val="24"/>
          <w:lang w:val="en-AU" w:eastAsia="en-AU"/>
        </w:rPr>
        <w:drawing>
          <wp:inline distT="0" distB="0" distL="0" distR="0" wp14:anchorId="1FB59F6F" wp14:editId="45D35F94">
            <wp:extent cx="4954952" cy="5991225"/>
            <wp:effectExtent l="19050" t="19050" r="1714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5676" cy="5992100"/>
                    </a:xfrm>
                    <a:prstGeom prst="rect">
                      <a:avLst/>
                    </a:prstGeom>
                    <a:noFill/>
                    <a:ln>
                      <a:solidFill>
                        <a:schemeClr val="tx1"/>
                      </a:solidFill>
                    </a:ln>
                  </pic:spPr>
                </pic:pic>
              </a:graphicData>
            </a:graphic>
          </wp:inline>
        </w:drawing>
      </w:r>
    </w:p>
    <w:p w14:paraId="48A525C4" w14:textId="6779172E" w:rsidR="00E624B9" w:rsidRPr="00513B5A" w:rsidRDefault="00BD3B3A" w:rsidP="00BD3B3A">
      <w:pPr>
        <w:tabs>
          <w:tab w:val="left" w:pos="1695"/>
        </w:tabs>
        <w:jc w:val="both"/>
        <w:rPr>
          <w:rFonts w:ascii="Times New Roman" w:hAnsi="Times New Roman" w:cs="Times New Roman"/>
          <w:sz w:val="24"/>
          <w:szCs w:val="24"/>
          <w:shd w:val="clear" w:color="auto" w:fill="FFFFFF"/>
          <w:lang w:val="en-GB"/>
        </w:rPr>
      </w:pPr>
      <w:r w:rsidRPr="00513B5A">
        <w:rPr>
          <w:rFonts w:ascii="Times New Roman" w:hAnsi="Times New Roman" w:cs="Times New Roman"/>
          <w:b/>
          <w:bCs/>
          <w:sz w:val="24"/>
          <w:szCs w:val="24"/>
          <w:lang w:val="en-GB"/>
        </w:rPr>
        <w:t xml:space="preserve">Supp. Figure </w:t>
      </w:r>
      <w:r w:rsidR="004A12A7" w:rsidRPr="00513B5A">
        <w:rPr>
          <w:rFonts w:ascii="Times New Roman" w:hAnsi="Times New Roman" w:cs="Times New Roman"/>
          <w:b/>
          <w:bCs/>
          <w:sz w:val="24"/>
          <w:szCs w:val="24"/>
          <w:lang w:val="en-GB"/>
        </w:rPr>
        <w:t>1</w:t>
      </w:r>
      <w:r w:rsidRPr="00513B5A">
        <w:rPr>
          <w:rFonts w:ascii="Times New Roman" w:hAnsi="Times New Roman" w:cs="Times New Roman"/>
          <w:sz w:val="24"/>
          <w:szCs w:val="24"/>
          <w:lang w:val="en-GB"/>
        </w:rPr>
        <w:t xml:space="preserve"> – </w:t>
      </w:r>
      <w:r w:rsidRPr="00513B5A">
        <w:rPr>
          <w:rFonts w:ascii="Times New Roman" w:hAnsi="Times New Roman" w:cs="Times New Roman"/>
          <w:sz w:val="24"/>
          <w:szCs w:val="24"/>
          <w:shd w:val="clear" w:color="auto" w:fill="FFFFFF"/>
          <w:lang w:val="en-GB"/>
        </w:rPr>
        <w:t>The relationship of lake OC burial rates with annual air mean temperature. Panel A shows lake OC burial and air temperature in conserved biomes; the dotted black line indicates the linear regression fit of Ln OC burial (g C m</w:t>
      </w:r>
      <w:r w:rsidRPr="00513B5A">
        <w:rPr>
          <w:rFonts w:ascii="Times New Roman" w:hAnsi="Times New Roman" w:cs="Times New Roman"/>
          <w:sz w:val="24"/>
          <w:szCs w:val="24"/>
          <w:shd w:val="clear" w:color="auto" w:fill="FFFFFF"/>
          <w:vertAlign w:val="superscript"/>
          <w:lang w:val="en-GB"/>
        </w:rPr>
        <w:t>-</w:t>
      </w:r>
      <w:r w:rsidRPr="00513B5A">
        <w:rPr>
          <w:rFonts w:ascii="Times New Roman" w:hAnsi="Times New Roman" w:cs="Times New Roman"/>
          <w:sz w:val="24"/>
          <w:szCs w:val="24"/>
          <w:shd w:val="clear" w:color="auto" w:fill="FFFFFF"/>
          <w:lang w:val="en-GB"/>
        </w:rPr>
        <w:t>² yr</w:t>
      </w:r>
      <w:r w:rsidRPr="00513B5A">
        <w:rPr>
          <w:rFonts w:ascii="Times New Roman" w:hAnsi="Times New Roman" w:cs="Times New Roman"/>
          <w:sz w:val="24"/>
          <w:szCs w:val="24"/>
          <w:shd w:val="clear" w:color="auto" w:fill="FFFFFF"/>
          <w:vertAlign w:val="superscript"/>
          <w:lang w:val="en-GB"/>
        </w:rPr>
        <w:t>-</w:t>
      </w:r>
      <w:r w:rsidRPr="00513B5A">
        <w:rPr>
          <w:rFonts w:ascii="Times New Roman" w:hAnsi="Times New Roman" w:cs="Times New Roman"/>
          <w:sz w:val="24"/>
          <w:szCs w:val="24"/>
          <w:shd w:val="clear" w:color="auto" w:fill="FFFFFF"/>
          <w:lang w:val="en-GB"/>
        </w:rPr>
        <w:t>¹) = 0.</w:t>
      </w:r>
      <w:r w:rsidR="009266EF" w:rsidRPr="00513B5A">
        <w:rPr>
          <w:rFonts w:ascii="Times New Roman" w:hAnsi="Times New Roman" w:cs="Times New Roman"/>
          <w:sz w:val="24"/>
          <w:szCs w:val="24"/>
          <w:shd w:val="clear" w:color="auto" w:fill="FFFFFF"/>
          <w:lang w:val="en-GB"/>
        </w:rPr>
        <w:t>06</w:t>
      </w:r>
      <w:r w:rsidR="00BA0D6B" w:rsidRPr="00513B5A">
        <w:rPr>
          <w:rFonts w:ascii="Times New Roman" w:hAnsi="Times New Roman" w:cs="Times New Roman"/>
          <w:sz w:val="24"/>
          <w:szCs w:val="24"/>
          <w:shd w:val="clear" w:color="auto" w:fill="FFFFFF"/>
          <w:lang w:val="en-GB"/>
        </w:rPr>
        <w:t>±0.</w:t>
      </w:r>
      <w:r w:rsidR="009266EF" w:rsidRPr="00513B5A">
        <w:rPr>
          <w:rFonts w:ascii="Times New Roman" w:hAnsi="Times New Roman" w:cs="Times New Roman"/>
          <w:sz w:val="24"/>
          <w:szCs w:val="24"/>
          <w:shd w:val="clear" w:color="auto" w:fill="FFFFFF"/>
          <w:lang w:val="en-GB"/>
        </w:rPr>
        <w:t xml:space="preserve">008 </w:t>
      </w:r>
      <w:r w:rsidRPr="00513B5A">
        <w:rPr>
          <w:rFonts w:ascii="Times New Roman" w:hAnsi="Times New Roman" w:cs="Times New Roman"/>
          <w:sz w:val="24"/>
          <w:szCs w:val="24"/>
          <w:shd w:val="clear" w:color="auto" w:fill="FFFFFF"/>
          <w:lang w:val="en-GB"/>
        </w:rPr>
        <w:t xml:space="preserve">× Temperature (°C) + </w:t>
      </w:r>
      <w:r w:rsidR="009266EF" w:rsidRPr="00513B5A">
        <w:rPr>
          <w:rFonts w:ascii="Times New Roman" w:hAnsi="Times New Roman" w:cs="Times New Roman"/>
          <w:sz w:val="24"/>
          <w:szCs w:val="24"/>
          <w:shd w:val="clear" w:color="auto" w:fill="FFFFFF"/>
          <w:lang w:val="en-GB"/>
        </w:rPr>
        <w:t>3</w:t>
      </w:r>
      <w:r w:rsidRPr="00513B5A">
        <w:rPr>
          <w:rFonts w:ascii="Times New Roman" w:hAnsi="Times New Roman" w:cs="Times New Roman"/>
          <w:sz w:val="24"/>
          <w:szCs w:val="24"/>
          <w:shd w:val="clear" w:color="auto" w:fill="FFFFFF"/>
          <w:lang w:val="en-GB"/>
        </w:rPr>
        <w:t>.</w:t>
      </w:r>
      <w:r w:rsidR="009266EF" w:rsidRPr="00513B5A">
        <w:rPr>
          <w:rFonts w:ascii="Times New Roman" w:hAnsi="Times New Roman" w:cs="Times New Roman"/>
          <w:sz w:val="24"/>
          <w:szCs w:val="24"/>
          <w:shd w:val="clear" w:color="auto" w:fill="FFFFFF"/>
          <w:lang w:val="en-GB"/>
        </w:rPr>
        <w:t>02</w:t>
      </w:r>
      <w:r w:rsidR="00BA0D6B" w:rsidRPr="00513B5A">
        <w:rPr>
          <w:rFonts w:ascii="Times New Roman" w:hAnsi="Times New Roman" w:cs="Times New Roman"/>
          <w:sz w:val="24"/>
          <w:szCs w:val="24"/>
          <w:shd w:val="clear" w:color="auto" w:fill="FFFFFF"/>
          <w:lang w:val="en-GB"/>
        </w:rPr>
        <w:t xml:space="preserve">±0.09 </w:t>
      </w:r>
      <w:r w:rsidRPr="00513B5A">
        <w:rPr>
          <w:rFonts w:ascii="Times New Roman" w:hAnsi="Times New Roman" w:cs="Times New Roman"/>
          <w:sz w:val="24"/>
          <w:szCs w:val="24"/>
          <w:shd w:val="clear" w:color="auto" w:fill="FFFFFF"/>
          <w:lang w:val="en-GB"/>
        </w:rPr>
        <w:t> </w:t>
      </w:r>
      <w:bookmarkStart w:id="3" w:name="m_-7089673802036765606_OLE_LINK1"/>
      <w:r w:rsidRPr="00513B5A">
        <w:rPr>
          <w:rFonts w:ascii="Times New Roman" w:hAnsi="Times New Roman" w:cs="Times New Roman"/>
          <w:sz w:val="24"/>
          <w:szCs w:val="24"/>
          <w:shd w:val="clear" w:color="auto" w:fill="FFFFFF"/>
          <w:lang w:val="en-GB"/>
        </w:rPr>
        <w:t>(R² = 0.</w:t>
      </w:r>
      <w:r w:rsidR="009266EF" w:rsidRPr="00513B5A">
        <w:rPr>
          <w:rFonts w:ascii="Times New Roman" w:hAnsi="Times New Roman" w:cs="Times New Roman"/>
          <w:sz w:val="24"/>
          <w:szCs w:val="24"/>
          <w:shd w:val="clear" w:color="auto" w:fill="FFFFFF"/>
          <w:lang w:val="en-GB"/>
        </w:rPr>
        <w:t>18</w:t>
      </w:r>
      <w:r w:rsidRPr="00513B5A">
        <w:rPr>
          <w:rFonts w:ascii="Times New Roman" w:hAnsi="Times New Roman" w:cs="Times New Roman"/>
          <w:sz w:val="24"/>
          <w:szCs w:val="24"/>
          <w:shd w:val="clear" w:color="auto" w:fill="FFFFFF"/>
          <w:lang w:val="en-GB"/>
        </w:rPr>
        <w:t>, p&lt;0.0001) </w:t>
      </w:r>
      <w:bookmarkEnd w:id="3"/>
      <w:r w:rsidRPr="00513B5A">
        <w:rPr>
          <w:rFonts w:ascii="Times New Roman" w:hAnsi="Times New Roman" w:cs="Times New Roman"/>
          <w:sz w:val="24"/>
          <w:szCs w:val="24"/>
          <w:shd w:val="clear" w:color="auto" w:fill="FFFFFF"/>
          <w:lang w:val="en-GB"/>
        </w:rPr>
        <w:t>for temperatures over 0°C (</w:t>
      </w:r>
      <w:r w:rsidRPr="00513B5A">
        <w:rPr>
          <w:rFonts w:ascii="Times New Roman" w:hAnsi="Times New Roman" w:cs="Times New Roman"/>
          <w:i/>
          <w:iCs/>
          <w:sz w:val="24"/>
          <w:szCs w:val="24"/>
          <w:shd w:val="clear" w:color="auto" w:fill="FFFFFF"/>
          <w:lang w:val="en-GB"/>
        </w:rPr>
        <w:t>p&lt;0.05</w:t>
      </w:r>
      <w:r w:rsidRPr="00513B5A">
        <w:rPr>
          <w:rFonts w:ascii="Times New Roman" w:hAnsi="Times New Roman" w:cs="Times New Roman"/>
          <w:sz w:val="24"/>
          <w:szCs w:val="24"/>
          <w:shd w:val="clear" w:color="auto" w:fill="FFFFFF"/>
          <w:lang w:val="en-GB"/>
        </w:rPr>
        <w:t>); the solid red line indicates the linear regression fit of ln OC accumulation (g C m</w:t>
      </w:r>
      <w:r w:rsidRPr="00513B5A">
        <w:rPr>
          <w:rFonts w:ascii="Times New Roman" w:hAnsi="Times New Roman" w:cs="Times New Roman"/>
          <w:sz w:val="24"/>
          <w:szCs w:val="24"/>
          <w:shd w:val="clear" w:color="auto" w:fill="FFFFFF"/>
          <w:vertAlign w:val="superscript"/>
          <w:lang w:val="en-GB"/>
        </w:rPr>
        <w:t>-</w:t>
      </w:r>
      <w:r w:rsidRPr="00513B5A">
        <w:rPr>
          <w:rFonts w:ascii="Times New Roman" w:hAnsi="Times New Roman" w:cs="Times New Roman"/>
          <w:sz w:val="24"/>
          <w:szCs w:val="24"/>
          <w:shd w:val="clear" w:color="auto" w:fill="FFFFFF"/>
          <w:lang w:val="en-GB"/>
        </w:rPr>
        <w:t>² yr</w:t>
      </w:r>
      <w:r w:rsidRPr="00513B5A">
        <w:rPr>
          <w:rFonts w:ascii="Times New Roman" w:hAnsi="Times New Roman" w:cs="Times New Roman"/>
          <w:sz w:val="24"/>
          <w:szCs w:val="24"/>
          <w:shd w:val="clear" w:color="auto" w:fill="FFFFFF"/>
          <w:vertAlign w:val="superscript"/>
          <w:lang w:val="en-GB"/>
        </w:rPr>
        <w:t>-</w:t>
      </w:r>
      <w:r w:rsidRPr="00513B5A">
        <w:rPr>
          <w:rFonts w:ascii="Times New Roman" w:hAnsi="Times New Roman" w:cs="Times New Roman"/>
          <w:sz w:val="24"/>
          <w:szCs w:val="24"/>
          <w:shd w:val="clear" w:color="auto" w:fill="FFFFFF"/>
          <w:lang w:val="en-GB"/>
        </w:rPr>
        <w:t>¹) = 0.</w:t>
      </w:r>
      <w:r w:rsidR="005B3702" w:rsidRPr="00513B5A">
        <w:rPr>
          <w:rFonts w:ascii="Times New Roman" w:hAnsi="Times New Roman" w:cs="Times New Roman"/>
          <w:sz w:val="24"/>
          <w:szCs w:val="24"/>
          <w:shd w:val="clear" w:color="auto" w:fill="FFFFFF"/>
          <w:lang w:val="en-GB"/>
        </w:rPr>
        <w:t>07</w:t>
      </w:r>
      <w:r w:rsidR="00BA0D6B" w:rsidRPr="00513B5A">
        <w:rPr>
          <w:rFonts w:ascii="Times New Roman" w:hAnsi="Times New Roman" w:cs="Times New Roman"/>
          <w:sz w:val="24"/>
          <w:szCs w:val="24"/>
          <w:shd w:val="clear" w:color="auto" w:fill="FFFFFF"/>
          <w:lang w:val="en-GB"/>
        </w:rPr>
        <w:t>±0.007</w:t>
      </w:r>
      <w:r w:rsidRPr="00513B5A">
        <w:rPr>
          <w:rFonts w:ascii="Times New Roman" w:hAnsi="Times New Roman" w:cs="Times New Roman"/>
          <w:sz w:val="24"/>
          <w:szCs w:val="24"/>
          <w:shd w:val="clear" w:color="auto" w:fill="FFFFFF"/>
          <w:lang w:val="en-GB"/>
        </w:rPr>
        <w:t xml:space="preserve"> × Temperature (°C) + 2.</w:t>
      </w:r>
      <w:r w:rsidR="005B3702" w:rsidRPr="00513B5A">
        <w:rPr>
          <w:rFonts w:ascii="Times New Roman" w:hAnsi="Times New Roman" w:cs="Times New Roman"/>
          <w:sz w:val="24"/>
          <w:szCs w:val="24"/>
          <w:shd w:val="clear" w:color="auto" w:fill="FFFFFF"/>
          <w:lang w:val="en-GB"/>
        </w:rPr>
        <w:t>764</w:t>
      </w:r>
      <w:r w:rsidR="00BA0D6B" w:rsidRPr="00513B5A">
        <w:rPr>
          <w:rFonts w:ascii="Times New Roman" w:hAnsi="Times New Roman" w:cs="Times New Roman"/>
          <w:sz w:val="24"/>
          <w:szCs w:val="24"/>
          <w:shd w:val="clear" w:color="auto" w:fill="FFFFFF"/>
          <w:lang w:val="en-GB"/>
        </w:rPr>
        <w:t>±0.</w:t>
      </w:r>
      <w:r w:rsidR="005B3702" w:rsidRPr="00513B5A">
        <w:rPr>
          <w:rFonts w:ascii="Times New Roman" w:hAnsi="Times New Roman" w:cs="Times New Roman"/>
          <w:sz w:val="24"/>
          <w:szCs w:val="24"/>
          <w:shd w:val="clear" w:color="auto" w:fill="FFFFFF"/>
          <w:lang w:val="en-GB"/>
        </w:rPr>
        <w:t xml:space="preserve">09 </w:t>
      </w:r>
      <w:r w:rsidRPr="00513B5A">
        <w:rPr>
          <w:rFonts w:ascii="Times New Roman" w:hAnsi="Times New Roman" w:cs="Times New Roman"/>
          <w:sz w:val="24"/>
          <w:szCs w:val="24"/>
          <w:shd w:val="clear" w:color="auto" w:fill="FFFFFF"/>
          <w:lang w:val="en-GB"/>
        </w:rPr>
        <w:t>(R² = 0.</w:t>
      </w:r>
      <w:r w:rsidR="005B3702" w:rsidRPr="00513B5A">
        <w:rPr>
          <w:rFonts w:ascii="Times New Roman" w:hAnsi="Times New Roman" w:cs="Times New Roman"/>
          <w:sz w:val="24"/>
          <w:szCs w:val="24"/>
          <w:shd w:val="clear" w:color="auto" w:fill="FFFFFF"/>
          <w:lang w:val="en-GB"/>
        </w:rPr>
        <w:t>28</w:t>
      </w:r>
      <w:r w:rsidRPr="00513B5A">
        <w:rPr>
          <w:rFonts w:ascii="Times New Roman" w:hAnsi="Times New Roman" w:cs="Times New Roman"/>
          <w:sz w:val="24"/>
          <w:szCs w:val="24"/>
          <w:shd w:val="clear" w:color="auto" w:fill="FFFFFF"/>
          <w:lang w:val="en-GB"/>
        </w:rPr>
        <w:t>, , p&lt;0.0001) for all data set (</w:t>
      </w:r>
      <w:r w:rsidRPr="00513B5A">
        <w:rPr>
          <w:rFonts w:ascii="Times New Roman" w:hAnsi="Times New Roman" w:cs="Times New Roman"/>
          <w:i/>
          <w:iCs/>
          <w:sz w:val="24"/>
          <w:szCs w:val="24"/>
          <w:shd w:val="clear" w:color="auto" w:fill="FFFFFF"/>
          <w:lang w:val="en-GB"/>
        </w:rPr>
        <w:t>p&lt;0.05</w:t>
      </w:r>
      <w:r w:rsidRPr="00513B5A">
        <w:rPr>
          <w:rFonts w:ascii="Times New Roman" w:hAnsi="Times New Roman" w:cs="Times New Roman"/>
          <w:sz w:val="24"/>
          <w:szCs w:val="24"/>
          <w:shd w:val="clear" w:color="auto" w:fill="FFFFFF"/>
          <w:lang w:val="en-GB"/>
        </w:rPr>
        <w:t>). Panel B shows a non-significant relationship between lake OC burial and air temperature in human-altered biomes (</w:t>
      </w:r>
      <w:r w:rsidRPr="00513B5A">
        <w:rPr>
          <w:rFonts w:ascii="Times New Roman" w:hAnsi="Times New Roman" w:cs="Times New Roman"/>
          <w:i/>
          <w:iCs/>
          <w:sz w:val="24"/>
          <w:szCs w:val="24"/>
          <w:shd w:val="clear" w:color="auto" w:fill="FFFFFF"/>
          <w:lang w:val="en-GB"/>
        </w:rPr>
        <w:t>p&gt;0.05</w:t>
      </w:r>
      <w:r w:rsidRPr="00513B5A">
        <w:rPr>
          <w:rFonts w:ascii="Times New Roman" w:hAnsi="Times New Roman" w:cs="Times New Roman"/>
          <w:sz w:val="24"/>
          <w:szCs w:val="24"/>
          <w:shd w:val="clear" w:color="auto" w:fill="FFFFFF"/>
          <w:lang w:val="en-GB"/>
        </w:rPr>
        <w:t>). Filled black circles represent lakes showing air temperatures above 0°C and non-filled circles below 0°C.</w:t>
      </w:r>
    </w:p>
    <w:p w14:paraId="0918F830" w14:textId="77777777" w:rsidR="005B3702" w:rsidRPr="00513B5A" w:rsidRDefault="005B3702" w:rsidP="00BD3B3A">
      <w:pPr>
        <w:tabs>
          <w:tab w:val="left" w:pos="1695"/>
        </w:tabs>
        <w:jc w:val="both"/>
        <w:rPr>
          <w:rFonts w:ascii="Times New Roman" w:hAnsi="Times New Roman" w:cs="Times New Roman"/>
          <w:sz w:val="24"/>
          <w:szCs w:val="24"/>
          <w:shd w:val="clear" w:color="auto" w:fill="FFFFFF"/>
          <w:lang w:val="en-GB"/>
        </w:rPr>
      </w:pPr>
    </w:p>
    <w:p w14:paraId="10954B65" w14:textId="77777777" w:rsidR="009266EF" w:rsidRPr="00513B5A" w:rsidRDefault="009266EF" w:rsidP="00BD3B3A">
      <w:pPr>
        <w:tabs>
          <w:tab w:val="left" w:pos="1695"/>
        </w:tabs>
        <w:jc w:val="both"/>
        <w:rPr>
          <w:rFonts w:ascii="Times New Roman" w:hAnsi="Times New Roman" w:cs="Times New Roman"/>
          <w:sz w:val="24"/>
          <w:szCs w:val="24"/>
          <w:shd w:val="clear" w:color="auto" w:fill="FFFFFF"/>
          <w:lang w:val="en-GB"/>
        </w:rPr>
      </w:pPr>
    </w:p>
    <w:p w14:paraId="61BE08E4" w14:textId="6A660FDF" w:rsidR="00A058F4" w:rsidRPr="009C0E64" w:rsidRDefault="009C0E64" w:rsidP="009C0E64">
      <w:pPr>
        <w:spacing w:after="240"/>
        <w:jc w:val="center"/>
        <w:rPr>
          <w:rFonts w:ascii="Times New Roman" w:hAnsi="Times New Roman" w:cs="Times New Roman"/>
          <w:sz w:val="24"/>
          <w:szCs w:val="24"/>
          <w:lang w:val="en-GB"/>
        </w:rPr>
      </w:pPr>
      <w:r>
        <w:rPr>
          <w:rFonts w:ascii="Times New Roman" w:hAnsi="Times New Roman" w:cs="Times New Roman"/>
          <w:noProof/>
          <w:sz w:val="24"/>
          <w:szCs w:val="24"/>
          <w:lang w:val="en-GB" w:eastAsia="en-AU"/>
        </w:rPr>
        <w:lastRenderedPageBreak/>
        <w:drawing>
          <wp:inline distT="0" distB="0" distL="0" distR="0" wp14:anchorId="445525D0" wp14:editId="241ED3A9">
            <wp:extent cx="5391150" cy="3686175"/>
            <wp:effectExtent l="19050" t="19050" r="19050" b="285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3686175"/>
                    </a:xfrm>
                    <a:prstGeom prst="rect">
                      <a:avLst/>
                    </a:prstGeom>
                    <a:noFill/>
                    <a:ln>
                      <a:solidFill>
                        <a:schemeClr val="tx1"/>
                      </a:solidFill>
                    </a:ln>
                  </pic:spPr>
                </pic:pic>
              </a:graphicData>
            </a:graphic>
          </wp:inline>
        </w:drawing>
      </w:r>
    </w:p>
    <w:p w14:paraId="5267F429" w14:textId="7FCECF6C" w:rsidR="00A058F4" w:rsidRPr="00513B5A" w:rsidRDefault="00A058F4" w:rsidP="00A058F4">
      <w:pPr>
        <w:spacing w:after="240" w:line="480" w:lineRule="auto"/>
        <w:jc w:val="both"/>
        <w:rPr>
          <w:rFonts w:ascii="Times New Roman" w:hAnsi="Times New Roman" w:cs="Times New Roman"/>
          <w:sz w:val="24"/>
          <w:szCs w:val="24"/>
          <w:lang w:val="en-GB"/>
        </w:rPr>
      </w:pPr>
      <w:r w:rsidRPr="00513B5A">
        <w:rPr>
          <w:rFonts w:ascii="Times New Roman" w:hAnsi="Times New Roman" w:cs="Times New Roman"/>
          <w:b/>
          <w:sz w:val="24"/>
          <w:szCs w:val="24"/>
          <w:lang w:val="en-GB"/>
        </w:rPr>
        <w:t xml:space="preserve">Supp. Figure </w:t>
      </w:r>
      <w:r w:rsidR="00A82D0A" w:rsidRPr="00513B5A">
        <w:rPr>
          <w:rFonts w:ascii="Times New Roman" w:hAnsi="Times New Roman" w:cs="Times New Roman"/>
          <w:b/>
          <w:sz w:val="24"/>
          <w:szCs w:val="24"/>
          <w:lang w:val="en-GB"/>
        </w:rPr>
        <w:t>2</w:t>
      </w:r>
      <w:r w:rsidRPr="00513B5A">
        <w:rPr>
          <w:rFonts w:ascii="Times New Roman" w:hAnsi="Times New Roman" w:cs="Times New Roman"/>
          <w:b/>
          <w:sz w:val="24"/>
          <w:szCs w:val="24"/>
          <w:lang w:val="en-GB"/>
        </w:rPr>
        <w:t xml:space="preserve"> – </w:t>
      </w:r>
      <w:r w:rsidRPr="00513B5A">
        <w:rPr>
          <w:rFonts w:ascii="Times New Roman" w:hAnsi="Times New Roman" w:cs="Times New Roman"/>
          <w:sz w:val="24"/>
          <w:szCs w:val="24"/>
          <w:lang w:val="en-GB"/>
        </w:rPr>
        <w:t>Database used to create classes on this study. The first map shows the land use and cover map database (GLCNMO) when we extract the anthropogenic areas that were considered in this study. The second map shows the biome database and the lakes location where the OC burial data were previously compiled</w:t>
      </w:r>
      <w:r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{"citationItems":[{"id":"ITEM-1","itemData":{"DOI":"10.1641/0006-3568(2001)051[0933:TEOTWA]2.0.CO;2","ISBN":"0006-3568","ISSN":"0006-3568","PMID":"437","abstract":"A NEW GLOBAL MAP OF TERRESTRIAL ECOREGIONS PROVIDES AN INNOVATIVE TOOL FOR CONSERVING BIODIVERSITY","author":[{"dropping-particle":"","family":"Olson","given":"David M.","non-dropping-particle":"","parse-names":false,"suffix":""},{"dropping-particle":"","family":"Dinerstein","given":"Eric","non-dropping-particle":"","parse-names":false,"suffix":""},{"dropping-particle":"","family":"Wikramanayake","given":"Eric D.","non-dropping-particle":"","parse-names":false,"suffix":""},{"dropping-particle":"","family":"Burgess","given":"Neil D.","non-dropping-particle":"","parse-names":false,"suffix":""},{"dropping-particle":"","family":"Powell","given":"George V. N.","non-dropping-particle":"","parse-names":false,"suffix":""},{"dropping-particle":"","family":"Underwood","given":"Emma C.","non-dropping-particle":"","parse-names":false,"suffix":""},{"dropping-particle":"","family":"D'Amico","given":"Jennifer A.","non-dropping-particle":"","parse-names":false,"suffix":""},{"dropping-particle":"","family":"Itoua","given":"Illanga","non-dropping-particle":"","parse-names":false,"suffix":""},{"dropping-particle":"","family":"Strand","given":"Holly E.","non-dropping-particle":"","parse-names":false,"suffix":""},{"dropping-particle":"","family":"Morrison","given":"John C.","non-dropping-particle":"","parse-names":false,"suffix":""},{"dropping-particle":"","family":"Loucks","given":"Colby J.","non-dropping-particle":"","parse-names":false,"suffix":""},{"dropping-particle":"","family":"Allnutt","given":"Thomas F.","non-dropping-particle":"","parse-names":false,"suffix":""},{"dropping-particle":"","family":"Ricketts","given":"Taylor H.","non-dropping-particle":"","parse-names":false,"suffix":""},{"dropping-particle":"","family":"Kura","given":"Yumiko","non-dropping-particle":"","parse-names":false,"suffix":""},{"dropping-particle":"","family":"Lamoreux","given":"John F.","non-dropping-particle":"","parse-names":false,"suffix":""},{"dropping-particle":"","family":"Wettengel","given":"Wesley W.","non-dropping-particle":"","parse-names":false,"suffix":""},{"dropping-particle":"","family":"Hedao","given":"Prashant","non-dropping-particle":"","parse-names":false,"suffix":""},{"dropping-particle":"","family":"Kassem","given":"Kenneth R.","non-dropping-particle":"","parse-names":false,"suffix":""}],"container-title":"BioScience","id":"ITEM-1","issue":"11","issued":{"date-parts":[["2001"]]},"page":"933","title":"Terrestrial Ecoregions of the World: A New Map of Life on Earth","type":"article-journal","volume":"51"},"uris":["http://www.mendeley.com/documents/?uuid=5d23b00d-aa10-4783-9b82-44b592c26652"]}],"mendeley":{"formattedCitation":"&lt;sup&gt;6&lt;/sup&gt;","plainTextFormattedCitation":"6","previouslyFormattedCitation":"(Olson et al. 2001)"},"properties":{"noteIndex":0},"schema":"https://github.com/citation-style-language/schema/raw/master/csl-citation.json"}</w:instrText>
      </w:r>
      <w:r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6</w:t>
      </w:r>
      <w:r w:rsidRPr="00513B5A">
        <w:rPr>
          <w:rFonts w:ascii="Times New Roman" w:hAnsi="Times New Roman" w:cs="Times New Roman"/>
          <w:sz w:val="24"/>
          <w:szCs w:val="24"/>
          <w:lang w:val="en-GB"/>
        </w:rPr>
        <w:fldChar w:fldCharType="end"/>
      </w:r>
      <w:r w:rsidRPr="00513B5A">
        <w:rPr>
          <w:rFonts w:ascii="Times New Roman" w:hAnsi="Times New Roman" w:cs="Times New Roman"/>
          <w:sz w:val="24"/>
          <w:szCs w:val="24"/>
          <w:lang w:val="en-GB"/>
        </w:rPr>
        <w:t>.</w:t>
      </w:r>
    </w:p>
    <w:p w14:paraId="72FEE504" w14:textId="5F0AF29A" w:rsidR="00A058F4" w:rsidRPr="00513B5A" w:rsidRDefault="00A058F4" w:rsidP="00BD3B3A">
      <w:pPr>
        <w:tabs>
          <w:tab w:val="left" w:pos="1695"/>
        </w:tabs>
        <w:jc w:val="both"/>
        <w:rPr>
          <w:rFonts w:ascii="Times New Roman" w:hAnsi="Times New Roman" w:cs="Times New Roman"/>
          <w:sz w:val="24"/>
          <w:szCs w:val="24"/>
          <w:shd w:val="clear" w:color="auto" w:fill="FFFFFF"/>
          <w:lang w:val="en-GB"/>
        </w:rPr>
        <w:sectPr w:rsidR="00A058F4" w:rsidRPr="00513B5A" w:rsidSect="007027A1">
          <w:pgSz w:w="11906" w:h="16838" w:code="9"/>
          <w:pgMar w:top="1350" w:right="1701" w:bottom="1418" w:left="1701" w:header="709" w:footer="709" w:gutter="0"/>
          <w:lnNumType w:countBy="5" w:restart="continuous"/>
          <w:cols w:space="708"/>
          <w:docGrid w:linePitch="360"/>
        </w:sectPr>
      </w:pPr>
    </w:p>
    <w:p w14:paraId="60B0A5A3" w14:textId="77777777" w:rsidR="00F76784" w:rsidRPr="00513B5A" w:rsidRDefault="00F76784" w:rsidP="00F76784">
      <w:pPr>
        <w:spacing w:line="276" w:lineRule="auto"/>
        <w:jc w:val="center"/>
        <w:rPr>
          <w:rFonts w:ascii="Times New Roman" w:hAnsi="Times New Roman" w:cs="Times New Roman"/>
          <w:sz w:val="24"/>
          <w:szCs w:val="24"/>
          <w:lang w:val="en-US"/>
        </w:rPr>
      </w:pPr>
      <w:r w:rsidRPr="00513B5A">
        <w:rPr>
          <w:rFonts w:ascii="Times New Roman" w:hAnsi="Times New Roman" w:cs="Times New Roman"/>
          <w:noProof/>
          <w:sz w:val="24"/>
          <w:szCs w:val="24"/>
          <w:lang w:val="en-AU" w:eastAsia="en-AU"/>
        </w:rPr>
        <w:lastRenderedPageBreak/>
        <w:drawing>
          <wp:inline distT="0" distB="0" distL="0" distR="0" wp14:anchorId="7194AC83" wp14:editId="6FAB0B35">
            <wp:extent cx="6648450" cy="4700337"/>
            <wp:effectExtent l="19050" t="19050" r="19050" b="2413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53205" cy="4703699"/>
                    </a:xfrm>
                    <a:prstGeom prst="rect">
                      <a:avLst/>
                    </a:prstGeom>
                    <a:noFill/>
                    <a:ln>
                      <a:solidFill>
                        <a:schemeClr val="tx1"/>
                      </a:solidFill>
                    </a:ln>
                  </pic:spPr>
                </pic:pic>
              </a:graphicData>
            </a:graphic>
          </wp:inline>
        </w:drawing>
      </w:r>
    </w:p>
    <w:p w14:paraId="73CF44F0" w14:textId="30289A01" w:rsidR="00F76784" w:rsidRPr="00513B5A" w:rsidRDefault="00F76784" w:rsidP="00F76784">
      <w:pPr>
        <w:spacing w:line="276" w:lineRule="auto"/>
        <w:rPr>
          <w:rFonts w:ascii="Times New Roman" w:hAnsi="Times New Roman" w:cs="Times New Roman"/>
          <w:sz w:val="24"/>
          <w:szCs w:val="24"/>
          <w:lang w:val="en-US"/>
        </w:rPr>
      </w:pPr>
      <w:r w:rsidRPr="00513B5A">
        <w:rPr>
          <w:rFonts w:ascii="Times New Roman" w:hAnsi="Times New Roman" w:cs="Times New Roman"/>
          <w:b/>
          <w:bCs/>
          <w:sz w:val="24"/>
          <w:szCs w:val="24"/>
          <w:lang w:val="en-US"/>
        </w:rPr>
        <w:t>Supp. Figure 3</w:t>
      </w:r>
      <w:r w:rsidRPr="00513B5A">
        <w:rPr>
          <w:rFonts w:ascii="Times New Roman" w:hAnsi="Times New Roman" w:cs="Times New Roman"/>
          <w:sz w:val="24"/>
          <w:szCs w:val="24"/>
          <w:lang w:val="en-US"/>
        </w:rPr>
        <w:t xml:space="preserve"> – Location map of the </w:t>
      </w:r>
      <w:r w:rsidR="00872266">
        <w:rPr>
          <w:rFonts w:ascii="Times New Roman" w:hAnsi="Times New Roman" w:cs="Times New Roman"/>
          <w:sz w:val="24"/>
          <w:szCs w:val="24"/>
          <w:lang w:val="en-US"/>
        </w:rPr>
        <w:t xml:space="preserve">Amazonian </w:t>
      </w:r>
      <w:r w:rsidRPr="00513B5A">
        <w:rPr>
          <w:rFonts w:ascii="Times New Roman" w:hAnsi="Times New Roman" w:cs="Times New Roman"/>
          <w:sz w:val="24"/>
          <w:szCs w:val="24"/>
          <w:lang w:val="en-US"/>
        </w:rPr>
        <w:t>lake</w:t>
      </w:r>
      <w:r w:rsidR="00872266">
        <w:rPr>
          <w:rFonts w:ascii="Times New Roman" w:hAnsi="Times New Roman" w:cs="Times New Roman"/>
          <w:sz w:val="24"/>
          <w:szCs w:val="24"/>
          <w:lang w:val="en-US"/>
        </w:rPr>
        <w:t>s</w:t>
      </w:r>
      <w:r w:rsidR="00D93126">
        <w:rPr>
          <w:rFonts w:ascii="Times New Roman" w:hAnsi="Times New Roman" w:cs="Times New Roman"/>
          <w:sz w:val="24"/>
          <w:szCs w:val="24"/>
          <w:lang w:val="en-US"/>
        </w:rPr>
        <w:t>.</w:t>
      </w:r>
    </w:p>
    <w:p w14:paraId="2EBB1F88" w14:textId="5EC7B201" w:rsidR="00F76784" w:rsidRPr="00513B5A" w:rsidRDefault="00F76784" w:rsidP="00E624B9">
      <w:pPr>
        <w:tabs>
          <w:tab w:val="left" w:pos="1695"/>
        </w:tabs>
        <w:jc w:val="center"/>
        <w:rPr>
          <w:rFonts w:ascii="Times New Roman" w:hAnsi="Times New Roman" w:cs="Times New Roman"/>
          <w:sz w:val="24"/>
          <w:szCs w:val="24"/>
          <w:lang w:val="en-US"/>
        </w:rPr>
      </w:pPr>
    </w:p>
    <w:p w14:paraId="3FA1894D" w14:textId="2B7B223E" w:rsidR="00F76784" w:rsidRPr="00513B5A" w:rsidRDefault="00612C0F" w:rsidP="00F76784">
      <w:pPr>
        <w:spacing w:after="0" w:line="276" w:lineRule="auto"/>
        <w:rPr>
          <w:rFonts w:ascii="Times New Roman" w:hAnsi="Times New Roman" w:cs="Times New Roman"/>
          <w:lang w:val="en-GB"/>
        </w:rPr>
      </w:pPr>
      <w:r w:rsidRPr="00513B5A">
        <w:rPr>
          <w:rFonts w:ascii="Times New Roman" w:hAnsi="Times New Roman" w:cs="Times New Roman"/>
          <w:noProof/>
          <w:lang w:val="en-AU" w:eastAsia="en-AU"/>
        </w:rPr>
        <w:lastRenderedPageBreak/>
        <w:drawing>
          <wp:inline distT="0" distB="0" distL="0" distR="0" wp14:anchorId="163821DE" wp14:editId="2A9B45E3">
            <wp:extent cx="8989620" cy="3930072"/>
            <wp:effectExtent l="19050" t="19050" r="21590" b="133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98" t="3542" r="2561" b="3163"/>
                    <a:stretch/>
                  </pic:blipFill>
                  <pic:spPr bwMode="auto">
                    <a:xfrm>
                      <a:off x="0" y="0"/>
                      <a:ext cx="9004908" cy="393675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31D26F1" w14:textId="46A2DBE7" w:rsidR="00F76784" w:rsidRPr="00513B5A" w:rsidRDefault="00F76784" w:rsidP="00F76784">
      <w:pPr>
        <w:spacing w:line="276" w:lineRule="auto"/>
        <w:jc w:val="both"/>
        <w:rPr>
          <w:rFonts w:ascii="Times New Roman" w:hAnsi="Times New Roman" w:cs="Times New Roman"/>
          <w:sz w:val="24"/>
          <w:szCs w:val="24"/>
          <w:lang w:val="en-US"/>
        </w:rPr>
      </w:pPr>
      <w:r w:rsidRPr="00513B5A">
        <w:rPr>
          <w:rFonts w:ascii="Times New Roman" w:hAnsi="Times New Roman" w:cs="Times New Roman"/>
          <w:b/>
          <w:bCs/>
          <w:sz w:val="24"/>
          <w:szCs w:val="24"/>
          <w:lang w:val="en-GB"/>
        </w:rPr>
        <w:t>Supp. Figure 4</w:t>
      </w:r>
      <w:r w:rsidRPr="00513B5A">
        <w:rPr>
          <w:rFonts w:ascii="Times New Roman" w:hAnsi="Times New Roman" w:cs="Times New Roman"/>
          <w:b/>
          <w:bCs/>
          <w:sz w:val="24"/>
          <w:szCs w:val="24"/>
          <w:lang w:val="en-US"/>
        </w:rPr>
        <w:t xml:space="preserve"> - </w:t>
      </w:r>
      <w:r w:rsidRPr="00513B5A">
        <w:rPr>
          <w:rFonts w:ascii="Times New Roman" w:hAnsi="Times New Roman" w:cs="Times New Roman"/>
          <w:sz w:val="24"/>
          <w:szCs w:val="24"/>
          <w:lang w:val="en-US"/>
        </w:rPr>
        <w:t xml:space="preserve">Profiles of Ln </w:t>
      </w:r>
      <w:r w:rsidRPr="00513B5A">
        <w:rPr>
          <w:rFonts w:ascii="Times New Roman" w:hAnsi="Times New Roman" w:cs="Times New Roman"/>
          <w:sz w:val="24"/>
          <w:szCs w:val="24"/>
          <w:vertAlign w:val="superscript"/>
          <w:lang w:val="en-US"/>
        </w:rPr>
        <w:t>210</w:t>
      </w:r>
      <w:r w:rsidR="00DD6759" w:rsidRPr="00513B5A">
        <w:rPr>
          <w:rFonts w:ascii="Times New Roman" w:hAnsi="Times New Roman" w:cs="Times New Roman"/>
          <w:sz w:val="24"/>
          <w:szCs w:val="24"/>
          <w:lang w:val="en-US"/>
        </w:rPr>
        <w:t xml:space="preserve">Pb measurements and SAR </w:t>
      </w:r>
      <w:r w:rsidR="00B67FB7" w:rsidRPr="00513B5A">
        <w:rPr>
          <w:rFonts w:ascii="Times New Roman" w:hAnsi="Times New Roman" w:cs="Times New Roman"/>
          <w:sz w:val="24"/>
          <w:szCs w:val="24"/>
          <w:lang w:val="en-US"/>
        </w:rPr>
        <w:t>from the</w:t>
      </w:r>
      <w:r w:rsidR="00DD6759" w:rsidRPr="00513B5A">
        <w:rPr>
          <w:rFonts w:ascii="Times New Roman" w:hAnsi="Times New Roman" w:cs="Times New Roman"/>
          <w:sz w:val="24"/>
          <w:szCs w:val="24"/>
          <w:lang w:val="en-US"/>
        </w:rPr>
        <w:t xml:space="preserve"> CRS model</w:t>
      </w:r>
      <w:r w:rsidRPr="00513B5A">
        <w:rPr>
          <w:rFonts w:ascii="Times New Roman" w:hAnsi="Times New Roman" w:cs="Times New Roman"/>
          <w:sz w:val="24"/>
          <w:szCs w:val="24"/>
          <w:lang w:val="en-US"/>
        </w:rPr>
        <w:t>.</w:t>
      </w:r>
    </w:p>
    <w:p w14:paraId="2E04A87B" w14:textId="017D2655" w:rsidR="00F76784" w:rsidRPr="00513B5A" w:rsidRDefault="00F76784" w:rsidP="00E624B9">
      <w:pPr>
        <w:tabs>
          <w:tab w:val="left" w:pos="1695"/>
        </w:tabs>
        <w:jc w:val="center"/>
        <w:rPr>
          <w:rFonts w:ascii="Times New Roman" w:hAnsi="Times New Roman" w:cs="Times New Roman"/>
          <w:sz w:val="24"/>
          <w:szCs w:val="24"/>
          <w:lang w:val="en-US"/>
        </w:rPr>
      </w:pPr>
    </w:p>
    <w:p w14:paraId="39343F1B" w14:textId="6D87DFB1" w:rsidR="00E907F3" w:rsidRPr="00513B5A" w:rsidRDefault="00E907F3" w:rsidP="00E624B9">
      <w:pPr>
        <w:tabs>
          <w:tab w:val="left" w:pos="1695"/>
        </w:tabs>
        <w:jc w:val="center"/>
        <w:rPr>
          <w:rFonts w:ascii="Times New Roman" w:hAnsi="Times New Roman" w:cs="Times New Roman"/>
          <w:sz w:val="24"/>
          <w:szCs w:val="24"/>
          <w:lang w:val="en-US"/>
        </w:rPr>
      </w:pPr>
    </w:p>
    <w:p w14:paraId="337F542B" w14:textId="77777777" w:rsidR="00E907F3" w:rsidRPr="00513B5A" w:rsidRDefault="00E907F3" w:rsidP="00E624B9">
      <w:pPr>
        <w:tabs>
          <w:tab w:val="left" w:pos="1695"/>
        </w:tabs>
        <w:jc w:val="center"/>
        <w:rPr>
          <w:rFonts w:ascii="Times New Roman" w:hAnsi="Times New Roman" w:cs="Times New Roman"/>
          <w:sz w:val="24"/>
          <w:szCs w:val="24"/>
          <w:lang w:val="en-US"/>
        </w:rPr>
        <w:sectPr w:rsidR="00E907F3" w:rsidRPr="00513B5A" w:rsidSect="00E624B9">
          <w:pgSz w:w="16838" w:h="11906" w:orient="landscape" w:code="9"/>
          <w:pgMar w:top="1701" w:right="1350" w:bottom="1701" w:left="1418" w:header="709" w:footer="709" w:gutter="0"/>
          <w:lnNumType w:countBy="5" w:restart="continuous"/>
          <w:cols w:space="708"/>
          <w:docGrid w:linePitch="360"/>
        </w:sectPr>
      </w:pPr>
    </w:p>
    <w:p w14:paraId="3421B601" w14:textId="5705CC0E" w:rsidR="00E907F3" w:rsidRPr="00513B5A" w:rsidRDefault="00E907F3" w:rsidP="00E907F3">
      <w:pPr>
        <w:tabs>
          <w:tab w:val="left" w:pos="1695"/>
        </w:tabs>
        <w:jc w:val="center"/>
        <w:rPr>
          <w:rFonts w:ascii="Times New Roman" w:hAnsi="Times New Roman" w:cs="Times New Roman"/>
          <w:sz w:val="24"/>
          <w:szCs w:val="24"/>
          <w:lang w:val="en-US"/>
        </w:rPr>
      </w:pPr>
      <w:r w:rsidRPr="00513B5A">
        <w:rPr>
          <w:rFonts w:ascii="Times New Roman" w:hAnsi="Times New Roman" w:cs="Times New Roman"/>
          <w:noProof/>
          <w:sz w:val="24"/>
          <w:szCs w:val="24"/>
          <w:lang w:val="en-AU" w:eastAsia="en-AU"/>
        </w:rPr>
        <w:lastRenderedPageBreak/>
        <w:drawing>
          <wp:inline distT="0" distB="0" distL="0" distR="0" wp14:anchorId="69E3CE59" wp14:editId="3938EC91">
            <wp:extent cx="3007783" cy="3867150"/>
            <wp:effectExtent l="19050" t="19050" r="21590" b="1905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5205" cy="3876693"/>
                    </a:xfrm>
                    <a:prstGeom prst="rect">
                      <a:avLst/>
                    </a:prstGeom>
                    <a:noFill/>
                    <a:ln>
                      <a:solidFill>
                        <a:schemeClr val="tx1"/>
                      </a:solidFill>
                    </a:ln>
                  </pic:spPr>
                </pic:pic>
              </a:graphicData>
            </a:graphic>
          </wp:inline>
        </w:drawing>
      </w:r>
    </w:p>
    <w:p w14:paraId="2607F6D4" w14:textId="6F1D4C4B" w:rsidR="00E907F3" w:rsidRPr="00513B5A" w:rsidRDefault="00E907F3" w:rsidP="00E624B9">
      <w:pPr>
        <w:tabs>
          <w:tab w:val="left" w:pos="1695"/>
        </w:tabs>
        <w:jc w:val="center"/>
        <w:rPr>
          <w:rFonts w:ascii="Times New Roman" w:hAnsi="Times New Roman" w:cs="Times New Roman"/>
          <w:sz w:val="24"/>
          <w:szCs w:val="24"/>
          <w:lang w:val="en-GB"/>
        </w:rPr>
      </w:pPr>
      <w:r w:rsidRPr="00513B5A">
        <w:rPr>
          <w:rFonts w:ascii="Times New Roman" w:hAnsi="Times New Roman" w:cs="Times New Roman"/>
          <w:b/>
          <w:bCs/>
          <w:sz w:val="24"/>
          <w:szCs w:val="24"/>
          <w:lang w:val="en-GB"/>
        </w:rPr>
        <w:t xml:space="preserve">Supp. Figure </w:t>
      </w:r>
      <w:r w:rsidR="00C337E4" w:rsidRPr="00513B5A">
        <w:rPr>
          <w:rFonts w:ascii="Times New Roman" w:hAnsi="Times New Roman" w:cs="Times New Roman"/>
          <w:b/>
          <w:bCs/>
          <w:sz w:val="24"/>
          <w:szCs w:val="24"/>
          <w:lang w:val="en-GB"/>
        </w:rPr>
        <w:t>5</w:t>
      </w:r>
      <w:r w:rsidRPr="00513B5A">
        <w:rPr>
          <w:rFonts w:ascii="Times New Roman" w:hAnsi="Times New Roman" w:cs="Times New Roman"/>
          <w:b/>
          <w:bCs/>
          <w:sz w:val="24"/>
          <w:szCs w:val="24"/>
          <w:lang w:val="en-US"/>
        </w:rPr>
        <w:t xml:space="preserve"> - </w:t>
      </w:r>
      <w:r w:rsidRPr="00513B5A">
        <w:rPr>
          <w:rFonts w:ascii="Times New Roman" w:hAnsi="Times New Roman" w:cs="Times New Roman"/>
          <w:sz w:val="24"/>
          <w:szCs w:val="24"/>
          <w:lang w:val="en-GB"/>
        </w:rPr>
        <w:t>Flowchart of the general methodology for global lakes.</w:t>
      </w:r>
    </w:p>
    <w:p w14:paraId="5204C42B" w14:textId="75DF9616" w:rsidR="00C337E4" w:rsidRPr="00513B5A" w:rsidRDefault="00C337E4" w:rsidP="00E624B9">
      <w:pPr>
        <w:tabs>
          <w:tab w:val="left" w:pos="1695"/>
        </w:tabs>
        <w:jc w:val="center"/>
        <w:rPr>
          <w:rFonts w:ascii="Times New Roman" w:hAnsi="Times New Roman" w:cs="Times New Roman"/>
          <w:sz w:val="24"/>
          <w:szCs w:val="24"/>
          <w:lang w:val="en-GB"/>
        </w:rPr>
      </w:pPr>
    </w:p>
    <w:p w14:paraId="6BD97689" w14:textId="77777777" w:rsidR="00C337E4" w:rsidRPr="00513B5A" w:rsidRDefault="00C337E4" w:rsidP="00C337E4">
      <w:pPr>
        <w:spacing w:after="0" w:line="276" w:lineRule="auto"/>
        <w:jc w:val="center"/>
        <w:rPr>
          <w:rFonts w:ascii="Times New Roman" w:hAnsi="Times New Roman" w:cs="Times New Roman"/>
          <w:b/>
          <w:bCs/>
          <w:noProof/>
          <w:sz w:val="24"/>
          <w:szCs w:val="24"/>
          <w:lang w:val="en-GB"/>
        </w:rPr>
      </w:pPr>
      <w:r w:rsidRPr="00513B5A">
        <w:rPr>
          <w:rFonts w:ascii="Times New Roman" w:hAnsi="Times New Roman" w:cs="Times New Roman"/>
          <w:b/>
          <w:bCs/>
          <w:noProof/>
          <w:sz w:val="24"/>
          <w:szCs w:val="24"/>
          <w:lang w:val="en-AU" w:eastAsia="en-AU"/>
        </w:rPr>
        <w:drawing>
          <wp:inline distT="0" distB="0" distL="0" distR="0" wp14:anchorId="30913DE2" wp14:editId="4EFFD254">
            <wp:extent cx="3105150" cy="3974591"/>
            <wp:effectExtent l="19050" t="19050" r="19050" b="2603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8790" cy="3979250"/>
                    </a:xfrm>
                    <a:prstGeom prst="rect">
                      <a:avLst/>
                    </a:prstGeom>
                    <a:noFill/>
                    <a:ln>
                      <a:solidFill>
                        <a:schemeClr val="tx1"/>
                      </a:solidFill>
                    </a:ln>
                  </pic:spPr>
                </pic:pic>
              </a:graphicData>
            </a:graphic>
          </wp:inline>
        </w:drawing>
      </w:r>
    </w:p>
    <w:p w14:paraId="57E21A4E" w14:textId="22D1B892" w:rsidR="00C337E4" w:rsidRPr="00513B5A" w:rsidRDefault="00C337E4" w:rsidP="00C337E4">
      <w:pPr>
        <w:spacing w:after="0" w:line="276" w:lineRule="auto"/>
        <w:jc w:val="both"/>
        <w:rPr>
          <w:rFonts w:ascii="Times New Roman" w:hAnsi="Times New Roman" w:cs="Times New Roman"/>
          <w:sz w:val="24"/>
          <w:szCs w:val="24"/>
          <w:lang w:val="en-US"/>
        </w:rPr>
      </w:pPr>
      <w:r w:rsidRPr="00513B5A">
        <w:rPr>
          <w:rFonts w:ascii="Times New Roman" w:hAnsi="Times New Roman" w:cs="Times New Roman"/>
          <w:b/>
          <w:bCs/>
          <w:sz w:val="24"/>
          <w:szCs w:val="24"/>
          <w:lang w:val="en-GB"/>
        </w:rPr>
        <w:t xml:space="preserve">Supp. Figure 6 - </w:t>
      </w:r>
      <w:r w:rsidRPr="00513B5A">
        <w:rPr>
          <w:rFonts w:ascii="Times New Roman" w:hAnsi="Times New Roman" w:cs="Times New Roman"/>
          <w:sz w:val="24"/>
          <w:szCs w:val="24"/>
          <w:lang w:val="en-GB"/>
        </w:rPr>
        <w:t>Flowchart of the general methodology for amazon lakes.</w:t>
      </w:r>
    </w:p>
    <w:p w14:paraId="4249609C" w14:textId="0B0CFB78" w:rsidR="00E907F3" w:rsidRPr="00513B5A" w:rsidRDefault="00E907F3" w:rsidP="00E624B9">
      <w:pPr>
        <w:tabs>
          <w:tab w:val="left" w:pos="1695"/>
        </w:tabs>
        <w:jc w:val="center"/>
        <w:rPr>
          <w:rFonts w:ascii="Times New Roman" w:hAnsi="Times New Roman" w:cs="Times New Roman"/>
          <w:sz w:val="24"/>
          <w:szCs w:val="24"/>
          <w:lang w:val="en-US"/>
        </w:rPr>
        <w:sectPr w:rsidR="00E907F3" w:rsidRPr="00513B5A" w:rsidSect="00E907F3">
          <w:pgSz w:w="11906" w:h="16838" w:code="9"/>
          <w:pgMar w:top="1350" w:right="1701" w:bottom="1418" w:left="1701" w:header="709" w:footer="709" w:gutter="0"/>
          <w:lnNumType w:countBy="5" w:restart="continuous"/>
          <w:cols w:space="708"/>
          <w:docGrid w:linePitch="360"/>
        </w:sectPr>
      </w:pPr>
    </w:p>
    <w:p w14:paraId="0D0A83A8" w14:textId="3A56CB1E" w:rsidR="00BD3B3A" w:rsidRPr="00513B5A" w:rsidRDefault="00033DD9" w:rsidP="00E624B9">
      <w:pPr>
        <w:tabs>
          <w:tab w:val="left" w:pos="1695"/>
        </w:tabs>
        <w:jc w:val="center"/>
        <w:rPr>
          <w:rFonts w:ascii="Times New Roman" w:hAnsi="Times New Roman" w:cs="Times New Roman"/>
          <w:sz w:val="24"/>
          <w:szCs w:val="24"/>
          <w:lang w:val="en-GB"/>
        </w:rPr>
      </w:pPr>
      <w:r w:rsidRPr="00513B5A">
        <w:rPr>
          <w:rFonts w:ascii="Times New Roman" w:hAnsi="Times New Roman" w:cs="Times New Roman"/>
          <w:noProof/>
          <w:sz w:val="24"/>
          <w:szCs w:val="24"/>
          <w:lang w:val="en-AU" w:eastAsia="en-AU"/>
        </w:rPr>
        <w:lastRenderedPageBreak/>
        <w:drawing>
          <wp:inline distT="0" distB="0" distL="0" distR="0" wp14:anchorId="3E78A709" wp14:editId="503D92BC">
            <wp:extent cx="8858250" cy="4197506"/>
            <wp:effectExtent l="19050" t="19050" r="19050" b="1270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3161" cy="4199833"/>
                    </a:xfrm>
                    <a:prstGeom prst="rect">
                      <a:avLst/>
                    </a:prstGeom>
                    <a:noFill/>
                    <a:ln w="12700">
                      <a:solidFill>
                        <a:schemeClr val="tx1"/>
                      </a:solidFill>
                    </a:ln>
                  </pic:spPr>
                </pic:pic>
              </a:graphicData>
            </a:graphic>
          </wp:inline>
        </w:drawing>
      </w:r>
    </w:p>
    <w:p w14:paraId="6F0E55B6" w14:textId="0B4DD3DB" w:rsidR="00E624B9" w:rsidRPr="00513B5A" w:rsidRDefault="00E624B9" w:rsidP="00A35819">
      <w:pPr>
        <w:spacing w:after="240" w:line="240" w:lineRule="auto"/>
        <w:jc w:val="both"/>
        <w:rPr>
          <w:rFonts w:ascii="Times New Roman" w:hAnsi="Times New Roman" w:cs="Times New Roman"/>
          <w:sz w:val="24"/>
          <w:szCs w:val="24"/>
          <w:lang w:val="en-GB"/>
        </w:rPr>
      </w:pPr>
      <w:r w:rsidRPr="00513B5A">
        <w:rPr>
          <w:rFonts w:ascii="Times New Roman" w:hAnsi="Times New Roman" w:cs="Times New Roman"/>
          <w:b/>
          <w:bCs/>
          <w:sz w:val="24"/>
          <w:szCs w:val="24"/>
          <w:lang w:val="en-GB"/>
        </w:rPr>
        <w:t xml:space="preserve">Supp. Figure </w:t>
      </w:r>
      <w:r w:rsidR="00C337E4" w:rsidRPr="00513B5A">
        <w:rPr>
          <w:rFonts w:ascii="Times New Roman" w:hAnsi="Times New Roman" w:cs="Times New Roman"/>
          <w:b/>
          <w:bCs/>
          <w:sz w:val="24"/>
          <w:szCs w:val="24"/>
          <w:lang w:val="en-GB"/>
        </w:rPr>
        <w:t>7</w:t>
      </w:r>
      <w:r w:rsidRPr="00513B5A">
        <w:rPr>
          <w:rFonts w:ascii="Times New Roman" w:hAnsi="Times New Roman" w:cs="Times New Roman"/>
          <w:sz w:val="24"/>
          <w:szCs w:val="24"/>
          <w:lang w:val="en-GB"/>
        </w:rPr>
        <w:t xml:space="preserve"> – The relationship of lake </w:t>
      </w:r>
      <w:r w:rsidR="00E308E5" w:rsidRPr="00513B5A">
        <w:rPr>
          <w:rFonts w:ascii="Times New Roman" w:hAnsi="Times New Roman" w:cs="Times New Roman"/>
          <w:sz w:val="24"/>
          <w:szCs w:val="24"/>
          <w:lang w:val="en-GB"/>
        </w:rPr>
        <w:t xml:space="preserve">Amazon floodplain </w:t>
      </w:r>
      <w:r w:rsidRPr="00513B5A">
        <w:rPr>
          <w:rFonts w:ascii="Times New Roman" w:hAnsi="Times New Roman" w:cs="Times New Roman"/>
          <w:sz w:val="24"/>
          <w:szCs w:val="24"/>
          <w:lang w:val="en-GB"/>
        </w:rPr>
        <w:t xml:space="preserve">OC burial rates with </w:t>
      </w:r>
      <w:r w:rsidR="00E308E5" w:rsidRPr="00513B5A">
        <w:rPr>
          <w:rFonts w:ascii="Times New Roman" w:hAnsi="Times New Roman" w:cs="Times New Roman"/>
          <w:sz w:val="24"/>
          <w:szCs w:val="24"/>
          <w:lang w:val="en-GB"/>
        </w:rPr>
        <w:t>non-flooded forest</w:t>
      </w:r>
      <w:r w:rsidR="00FB4F53" w:rsidRPr="00513B5A">
        <w:rPr>
          <w:rFonts w:ascii="Times New Roman" w:hAnsi="Times New Roman" w:cs="Times New Roman"/>
          <w:sz w:val="24"/>
          <w:szCs w:val="24"/>
          <w:lang w:val="en-GB"/>
        </w:rPr>
        <w:t xml:space="preserve"> area</w:t>
      </w:r>
      <w:r w:rsidRPr="00513B5A">
        <w:rPr>
          <w:rFonts w:ascii="Times New Roman" w:hAnsi="Times New Roman" w:cs="Times New Roman"/>
          <w:sz w:val="24"/>
          <w:szCs w:val="24"/>
          <w:lang w:val="en-GB"/>
        </w:rPr>
        <w:t xml:space="preserve">. </w:t>
      </w:r>
      <w:r w:rsidR="00E308E5" w:rsidRPr="00513B5A">
        <w:rPr>
          <w:rFonts w:ascii="Times New Roman" w:hAnsi="Times New Roman" w:cs="Times New Roman"/>
          <w:sz w:val="24"/>
          <w:szCs w:val="24"/>
          <w:lang w:val="en-GB"/>
        </w:rPr>
        <w:t>The p</w:t>
      </w:r>
      <w:r w:rsidRPr="00513B5A">
        <w:rPr>
          <w:rFonts w:ascii="Times New Roman" w:hAnsi="Times New Roman" w:cs="Times New Roman"/>
          <w:sz w:val="24"/>
          <w:szCs w:val="24"/>
          <w:lang w:val="en-GB"/>
        </w:rPr>
        <w:t>anel</w:t>
      </w:r>
      <w:r w:rsidR="00E308E5" w:rsidRPr="00513B5A">
        <w:rPr>
          <w:rFonts w:ascii="Times New Roman" w:hAnsi="Times New Roman" w:cs="Times New Roman"/>
          <w:sz w:val="24"/>
          <w:szCs w:val="24"/>
          <w:lang w:val="en-GB"/>
        </w:rPr>
        <w:t>s</w:t>
      </w:r>
      <w:r w:rsidRPr="00513B5A">
        <w:rPr>
          <w:rFonts w:ascii="Times New Roman" w:hAnsi="Times New Roman" w:cs="Times New Roman"/>
          <w:sz w:val="24"/>
          <w:szCs w:val="24"/>
          <w:lang w:val="en-GB"/>
        </w:rPr>
        <w:t xml:space="preserve"> </w:t>
      </w:r>
      <w:r w:rsidR="00E308E5" w:rsidRPr="00513B5A">
        <w:rPr>
          <w:rFonts w:ascii="Times New Roman" w:hAnsi="Times New Roman" w:cs="Times New Roman"/>
          <w:sz w:val="24"/>
          <w:szCs w:val="24"/>
          <w:lang w:val="en-GB"/>
        </w:rPr>
        <w:t xml:space="preserve">A, B, C, D, E </w:t>
      </w:r>
      <w:r w:rsidR="00A25381" w:rsidRPr="00513B5A">
        <w:rPr>
          <w:rFonts w:ascii="Times New Roman" w:hAnsi="Times New Roman" w:cs="Times New Roman"/>
          <w:sz w:val="24"/>
          <w:szCs w:val="24"/>
          <w:lang w:val="en-GB"/>
        </w:rPr>
        <w:t xml:space="preserve">and </w:t>
      </w:r>
      <w:r w:rsidR="00E308E5" w:rsidRPr="00513B5A">
        <w:rPr>
          <w:rFonts w:ascii="Times New Roman" w:hAnsi="Times New Roman" w:cs="Times New Roman"/>
          <w:sz w:val="24"/>
          <w:szCs w:val="24"/>
          <w:lang w:val="en-GB"/>
        </w:rPr>
        <w:t xml:space="preserve">F represent size buffers of 3, 4, 6, 8, 12 </w:t>
      </w:r>
      <w:r w:rsidR="00A25381" w:rsidRPr="00513B5A">
        <w:rPr>
          <w:rFonts w:ascii="Times New Roman" w:hAnsi="Times New Roman" w:cs="Times New Roman"/>
          <w:sz w:val="24"/>
          <w:szCs w:val="24"/>
          <w:lang w:val="en-GB"/>
        </w:rPr>
        <w:t xml:space="preserve">and </w:t>
      </w:r>
      <w:r w:rsidR="00E308E5" w:rsidRPr="00513B5A">
        <w:rPr>
          <w:rFonts w:ascii="Times New Roman" w:hAnsi="Times New Roman" w:cs="Times New Roman"/>
          <w:sz w:val="24"/>
          <w:szCs w:val="24"/>
          <w:lang w:val="en-GB"/>
        </w:rPr>
        <w:t>18 km². The size of 3 (A) and 18 km² (F) were not significant</w:t>
      </w:r>
      <w:r w:rsidR="00A25381" w:rsidRPr="00513B5A">
        <w:rPr>
          <w:rFonts w:ascii="Times New Roman" w:hAnsi="Times New Roman" w:cs="Times New Roman"/>
          <w:sz w:val="24"/>
          <w:szCs w:val="24"/>
          <w:lang w:val="en-GB"/>
        </w:rPr>
        <w:t xml:space="preserve"> (</w:t>
      </w:r>
      <w:r w:rsidR="00A25381" w:rsidRPr="00513B5A">
        <w:rPr>
          <w:rFonts w:ascii="Times New Roman" w:hAnsi="Times New Roman" w:cs="Times New Roman"/>
          <w:i/>
          <w:iCs/>
          <w:sz w:val="24"/>
          <w:szCs w:val="24"/>
          <w:lang w:val="en-GB"/>
        </w:rPr>
        <w:t>p</w:t>
      </w:r>
      <w:r w:rsidR="00A25381" w:rsidRPr="00513B5A">
        <w:rPr>
          <w:rFonts w:ascii="Times New Roman" w:hAnsi="Times New Roman" w:cs="Times New Roman"/>
          <w:sz w:val="24"/>
          <w:szCs w:val="24"/>
          <w:lang w:val="en-GB"/>
        </w:rPr>
        <w:t>&gt;0.05)</w:t>
      </w:r>
      <w:r w:rsidR="00E308E5" w:rsidRPr="00513B5A">
        <w:rPr>
          <w:rFonts w:ascii="Times New Roman" w:hAnsi="Times New Roman" w:cs="Times New Roman"/>
          <w:sz w:val="24"/>
          <w:szCs w:val="24"/>
          <w:lang w:val="en-GB"/>
        </w:rPr>
        <w:t xml:space="preserve">. The solid black line in panels B, C, D e </w:t>
      </w:r>
      <w:proofErr w:type="spellStart"/>
      <w:r w:rsidR="00E308E5" w:rsidRPr="00513B5A">
        <w:rPr>
          <w:rFonts w:ascii="Times New Roman" w:hAnsi="Times New Roman" w:cs="Times New Roman"/>
          <w:sz w:val="24"/>
          <w:szCs w:val="24"/>
          <w:lang w:val="en-GB"/>
        </w:rPr>
        <w:t>E</w:t>
      </w:r>
      <w:proofErr w:type="spellEnd"/>
      <w:r w:rsidR="00E308E5" w:rsidRPr="00513B5A">
        <w:rPr>
          <w:rFonts w:ascii="Times New Roman" w:hAnsi="Times New Roman" w:cs="Times New Roman"/>
          <w:sz w:val="24"/>
          <w:szCs w:val="24"/>
          <w:lang w:val="en-GB"/>
        </w:rPr>
        <w:t xml:space="preserve"> represents the exponential growth model; were: B (4 Km²) is Amazon lake OC burial (g C m</w:t>
      </w:r>
      <w:r w:rsidR="00E308E5" w:rsidRPr="00513B5A">
        <w:rPr>
          <w:rFonts w:ascii="Times New Roman" w:hAnsi="Times New Roman" w:cs="Times New Roman"/>
          <w:sz w:val="24"/>
          <w:szCs w:val="24"/>
          <w:vertAlign w:val="superscript"/>
          <w:lang w:val="en-GB"/>
        </w:rPr>
        <w:t>-</w:t>
      </w:r>
      <w:r w:rsidR="00E308E5" w:rsidRPr="00513B5A">
        <w:rPr>
          <w:rFonts w:ascii="Times New Roman" w:hAnsi="Times New Roman" w:cs="Times New Roman"/>
          <w:sz w:val="24"/>
          <w:szCs w:val="24"/>
          <w:lang w:val="en-GB"/>
        </w:rPr>
        <w:t>² yr</w:t>
      </w:r>
      <w:r w:rsidR="00E308E5" w:rsidRPr="00513B5A">
        <w:rPr>
          <w:rFonts w:ascii="Times New Roman" w:hAnsi="Times New Roman" w:cs="Times New Roman"/>
          <w:sz w:val="24"/>
          <w:szCs w:val="24"/>
          <w:vertAlign w:val="superscript"/>
          <w:lang w:val="en-GB"/>
        </w:rPr>
        <w:t>-</w:t>
      </w:r>
      <w:r w:rsidR="00E308E5" w:rsidRPr="00513B5A">
        <w:rPr>
          <w:rFonts w:ascii="Times New Roman" w:hAnsi="Times New Roman" w:cs="Times New Roman"/>
          <w:sz w:val="24"/>
          <w:szCs w:val="24"/>
          <w:lang w:val="en-GB"/>
        </w:rPr>
        <w:t xml:space="preserve">¹) = </w:t>
      </w:r>
      <w:r w:rsidR="0029758A" w:rsidRPr="00513B5A">
        <w:rPr>
          <w:rFonts w:ascii="Times New Roman" w:hAnsi="Times New Roman" w:cs="Times New Roman"/>
          <w:sz w:val="24"/>
          <w:szCs w:val="24"/>
          <w:lang w:val="en-GB"/>
        </w:rPr>
        <w:t>67</w:t>
      </w:r>
      <w:r w:rsidR="00E308E5" w:rsidRPr="00513B5A">
        <w:rPr>
          <w:rFonts w:ascii="Times New Roman" w:hAnsi="Times New Roman" w:cs="Times New Roman"/>
          <w:sz w:val="24"/>
          <w:szCs w:val="24"/>
          <w:lang w:val="en-GB"/>
        </w:rPr>
        <w:t>.</w:t>
      </w:r>
      <w:r w:rsidR="0029758A" w:rsidRPr="00513B5A">
        <w:rPr>
          <w:rFonts w:ascii="Times New Roman" w:hAnsi="Times New Roman" w:cs="Times New Roman"/>
          <w:sz w:val="24"/>
          <w:szCs w:val="24"/>
          <w:lang w:val="en-GB"/>
        </w:rPr>
        <w:t>75</w:t>
      </w:r>
      <w:r w:rsidR="00E308E5" w:rsidRPr="00513B5A">
        <w:rPr>
          <w:rFonts w:ascii="Times New Roman" w:hAnsi="Times New Roman" w:cs="Times New Roman"/>
          <w:sz w:val="24"/>
          <w:szCs w:val="24"/>
          <w:lang w:val="en-GB"/>
        </w:rPr>
        <w:t>±</w:t>
      </w:r>
      <w:r w:rsidR="0029758A" w:rsidRPr="00513B5A">
        <w:rPr>
          <w:rFonts w:ascii="Times New Roman" w:hAnsi="Times New Roman" w:cs="Times New Roman"/>
          <w:sz w:val="24"/>
          <w:szCs w:val="24"/>
          <w:lang w:val="en-GB"/>
        </w:rPr>
        <w:t>3</w:t>
      </w:r>
      <w:r w:rsidR="00E308E5" w:rsidRPr="00513B5A">
        <w:rPr>
          <w:rFonts w:ascii="Times New Roman" w:hAnsi="Times New Roman" w:cs="Times New Roman"/>
          <w:sz w:val="24"/>
          <w:szCs w:val="24"/>
          <w:lang w:val="en-GB"/>
        </w:rPr>
        <w:t>1.2</w:t>
      </w:r>
      <w:r w:rsidR="0029758A" w:rsidRPr="00513B5A">
        <w:rPr>
          <w:rFonts w:ascii="Times New Roman" w:hAnsi="Times New Roman" w:cs="Times New Roman"/>
          <w:sz w:val="24"/>
          <w:szCs w:val="24"/>
          <w:lang w:val="en-GB"/>
        </w:rPr>
        <w:t>2</w:t>
      </w:r>
      <w:r w:rsidR="00E308E5" w:rsidRPr="00513B5A">
        <w:rPr>
          <w:rFonts w:ascii="Times New Roman" w:hAnsi="Times New Roman" w:cs="Times New Roman"/>
          <w:sz w:val="24"/>
          <w:szCs w:val="24"/>
          <w:lang w:val="en-GB"/>
        </w:rPr>
        <w:t xml:space="preserve"> × e</w:t>
      </w:r>
      <w:r w:rsidR="00E308E5" w:rsidRPr="00513B5A">
        <w:rPr>
          <w:rFonts w:ascii="Times New Roman" w:hAnsi="Times New Roman" w:cs="Times New Roman"/>
          <w:sz w:val="24"/>
          <w:szCs w:val="24"/>
          <w:vertAlign w:val="superscript"/>
          <w:lang w:val="en-GB"/>
        </w:rPr>
        <w:t>0.0</w:t>
      </w:r>
      <w:r w:rsidR="0029758A" w:rsidRPr="00513B5A">
        <w:rPr>
          <w:rFonts w:ascii="Times New Roman" w:hAnsi="Times New Roman" w:cs="Times New Roman"/>
          <w:sz w:val="24"/>
          <w:szCs w:val="24"/>
          <w:vertAlign w:val="superscript"/>
          <w:lang w:val="en-GB"/>
        </w:rPr>
        <w:t>17</w:t>
      </w:r>
      <w:r w:rsidR="00E308E5" w:rsidRPr="00513B5A">
        <w:rPr>
          <w:rFonts w:ascii="Times New Roman" w:hAnsi="Times New Roman" w:cs="Times New Roman"/>
          <w:sz w:val="24"/>
          <w:szCs w:val="24"/>
          <w:vertAlign w:val="superscript"/>
          <w:lang w:val="en-GB"/>
        </w:rPr>
        <w:t>±0.00</w:t>
      </w:r>
      <w:r w:rsidR="0029758A" w:rsidRPr="00513B5A">
        <w:rPr>
          <w:rFonts w:ascii="Times New Roman" w:hAnsi="Times New Roman" w:cs="Times New Roman"/>
          <w:sz w:val="24"/>
          <w:szCs w:val="24"/>
          <w:vertAlign w:val="superscript"/>
          <w:lang w:val="en-GB"/>
        </w:rPr>
        <w:t>8</w:t>
      </w:r>
      <w:r w:rsidR="00E308E5" w:rsidRPr="00513B5A">
        <w:rPr>
          <w:rFonts w:ascii="Times New Roman" w:hAnsi="Times New Roman" w:cs="Times New Roman"/>
          <w:sz w:val="24"/>
          <w:szCs w:val="24"/>
          <w:vertAlign w:val="superscript"/>
          <w:lang w:val="en-GB"/>
        </w:rPr>
        <w:t>×Non-flooded forest area (%)</w:t>
      </w:r>
      <w:r w:rsidR="0029758A" w:rsidRPr="00513B5A">
        <w:rPr>
          <w:rFonts w:ascii="Times New Roman" w:hAnsi="Times New Roman" w:cs="Times New Roman"/>
          <w:sz w:val="24"/>
          <w:szCs w:val="24"/>
          <w:vertAlign w:val="superscript"/>
          <w:lang w:val="en-GB"/>
        </w:rPr>
        <w:t xml:space="preserve"> </w:t>
      </w:r>
      <w:r w:rsidR="0029758A" w:rsidRPr="00513B5A">
        <w:rPr>
          <w:rFonts w:ascii="Times New Roman" w:hAnsi="Times New Roman" w:cs="Times New Roman"/>
          <w:sz w:val="24"/>
          <w:szCs w:val="24"/>
          <w:lang w:val="en-GB"/>
        </w:rPr>
        <w:t>(</w:t>
      </w:r>
      <w:r w:rsidR="0029758A" w:rsidRPr="00513B5A">
        <w:rPr>
          <w:rFonts w:ascii="Times New Roman" w:hAnsi="Times New Roman" w:cs="Times New Roman"/>
          <w:i/>
          <w:iCs/>
          <w:sz w:val="24"/>
          <w:szCs w:val="24"/>
          <w:lang w:val="en-GB"/>
        </w:rPr>
        <w:t>p</w:t>
      </w:r>
      <w:r w:rsidR="0029758A" w:rsidRPr="00513B5A">
        <w:rPr>
          <w:rFonts w:ascii="Times New Roman" w:hAnsi="Times New Roman" w:cs="Times New Roman"/>
          <w:sz w:val="24"/>
          <w:szCs w:val="24"/>
          <w:lang w:val="en-GB"/>
        </w:rPr>
        <w:t xml:space="preserve"> &lt; 0.05)</w:t>
      </w:r>
      <w:r w:rsidR="00E308E5" w:rsidRPr="00513B5A">
        <w:rPr>
          <w:rFonts w:ascii="Times New Roman" w:hAnsi="Times New Roman" w:cs="Times New Roman"/>
          <w:sz w:val="24"/>
          <w:szCs w:val="24"/>
          <w:lang w:val="en-GB"/>
        </w:rPr>
        <w:t>;</w:t>
      </w:r>
      <w:r w:rsidR="00E308E5" w:rsidRPr="00513B5A">
        <w:rPr>
          <w:rFonts w:ascii="Times New Roman" w:hAnsi="Times New Roman" w:cs="Times New Roman"/>
          <w:sz w:val="24"/>
          <w:szCs w:val="24"/>
          <w:vertAlign w:val="superscript"/>
          <w:lang w:val="en-GB"/>
        </w:rPr>
        <w:t xml:space="preserve"> </w:t>
      </w:r>
      <w:r w:rsidR="0029758A" w:rsidRPr="00513B5A">
        <w:rPr>
          <w:rFonts w:ascii="Times New Roman" w:hAnsi="Times New Roman" w:cs="Times New Roman"/>
          <w:sz w:val="24"/>
          <w:szCs w:val="24"/>
          <w:lang w:val="en-GB"/>
        </w:rPr>
        <w:t>C (6 Km²) is Amazon lake OC burial (g C m</w:t>
      </w:r>
      <w:r w:rsidR="0029758A" w:rsidRPr="00513B5A">
        <w:rPr>
          <w:rFonts w:ascii="Times New Roman" w:hAnsi="Times New Roman" w:cs="Times New Roman"/>
          <w:sz w:val="24"/>
          <w:szCs w:val="24"/>
          <w:vertAlign w:val="superscript"/>
          <w:lang w:val="en-GB"/>
        </w:rPr>
        <w:t>-</w:t>
      </w:r>
      <w:r w:rsidR="0029758A" w:rsidRPr="00513B5A">
        <w:rPr>
          <w:rFonts w:ascii="Times New Roman" w:hAnsi="Times New Roman" w:cs="Times New Roman"/>
          <w:sz w:val="24"/>
          <w:szCs w:val="24"/>
          <w:lang w:val="en-GB"/>
        </w:rPr>
        <w:t>² yr</w:t>
      </w:r>
      <w:r w:rsidR="0029758A" w:rsidRPr="00513B5A">
        <w:rPr>
          <w:rFonts w:ascii="Times New Roman" w:hAnsi="Times New Roman" w:cs="Times New Roman"/>
          <w:sz w:val="24"/>
          <w:szCs w:val="24"/>
          <w:vertAlign w:val="superscript"/>
          <w:lang w:val="en-GB"/>
        </w:rPr>
        <w:t>-</w:t>
      </w:r>
      <w:r w:rsidR="0029758A" w:rsidRPr="00513B5A">
        <w:rPr>
          <w:rFonts w:ascii="Times New Roman" w:hAnsi="Times New Roman" w:cs="Times New Roman"/>
          <w:sz w:val="24"/>
          <w:szCs w:val="24"/>
          <w:lang w:val="en-GB"/>
        </w:rPr>
        <w:t>¹) = 67.75±31.22 × e</w:t>
      </w:r>
      <w:r w:rsidR="0029758A" w:rsidRPr="00513B5A">
        <w:rPr>
          <w:rFonts w:ascii="Times New Roman" w:hAnsi="Times New Roman" w:cs="Times New Roman"/>
          <w:sz w:val="24"/>
          <w:szCs w:val="24"/>
          <w:vertAlign w:val="superscript"/>
          <w:lang w:val="en-GB"/>
        </w:rPr>
        <w:t xml:space="preserve">0.017±0.008×Non-flooded forest area (%) </w:t>
      </w:r>
      <w:r w:rsidR="0029758A" w:rsidRPr="00513B5A">
        <w:rPr>
          <w:rFonts w:ascii="Times New Roman" w:hAnsi="Times New Roman" w:cs="Times New Roman"/>
          <w:sz w:val="24"/>
          <w:szCs w:val="24"/>
          <w:lang w:val="en-GB"/>
        </w:rPr>
        <w:t>(</w:t>
      </w:r>
      <w:r w:rsidR="0029758A" w:rsidRPr="00513B5A">
        <w:rPr>
          <w:rFonts w:ascii="Times New Roman" w:hAnsi="Times New Roman" w:cs="Times New Roman"/>
          <w:i/>
          <w:iCs/>
          <w:sz w:val="24"/>
          <w:szCs w:val="24"/>
          <w:lang w:val="en-GB"/>
        </w:rPr>
        <w:t>p</w:t>
      </w:r>
      <w:r w:rsidR="0029758A" w:rsidRPr="00513B5A">
        <w:rPr>
          <w:rFonts w:ascii="Times New Roman" w:hAnsi="Times New Roman" w:cs="Times New Roman"/>
          <w:sz w:val="24"/>
          <w:szCs w:val="24"/>
          <w:lang w:val="en-GB"/>
        </w:rPr>
        <w:t xml:space="preserve"> &lt; 0.01);</w:t>
      </w:r>
      <w:r w:rsidR="0029758A" w:rsidRPr="00513B5A">
        <w:rPr>
          <w:rFonts w:ascii="Times New Roman" w:hAnsi="Times New Roman" w:cs="Times New Roman"/>
          <w:sz w:val="24"/>
          <w:szCs w:val="24"/>
          <w:vertAlign w:val="superscript"/>
          <w:lang w:val="en-GB"/>
        </w:rPr>
        <w:t xml:space="preserve"> </w:t>
      </w:r>
      <w:r w:rsidR="0029758A" w:rsidRPr="00513B5A">
        <w:rPr>
          <w:rFonts w:ascii="Times New Roman" w:hAnsi="Times New Roman" w:cs="Times New Roman"/>
          <w:sz w:val="24"/>
          <w:szCs w:val="24"/>
          <w:lang w:val="en-GB"/>
        </w:rPr>
        <w:t>D (8 Km²) is Amazon lake OC burial (g C m</w:t>
      </w:r>
      <w:r w:rsidR="0029758A" w:rsidRPr="00513B5A">
        <w:rPr>
          <w:rFonts w:ascii="Times New Roman" w:hAnsi="Times New Roman" w:cs="Times New Roman"/>
          <w:sz w:val="24"/>
          <w:szCs w:val="24"/>
          <w:vertAlign w:val="superscript"/>
          <w:lang w:val="en-GB"/>
        </w:rPr>
        <w:t>-</w:t>
      </w:r>
      <w:r w:rsidR="0029758A" w:rsidRPr="00513B5A">
        <w:rPr>
          <w:rFonts w:ascii="Times New Roman" w:hAnsi="Times New Roman" w:cs="Times New Roman"/>
          <w:sz w:val="24"/>
          <w:szCs w:val="24"/>
          <w:lang w:val="en-GB"/>
        </w:rPr>
        <w:t>² yr</w:t>
      </w:r>
      <w:r w:rsidR="0029758A" w:rsidRPr="00513B5A">
        <w:rPr>
          <w:rFonts w:ascii="Times New Roman" w:hAnsi="Times New Roman" w:cs="Times New Roman"/>
          <w:sz w:val="24"/>
          <w:szCs w:val="24"/>
          <w:vertAlign w:val="superscript"/>
          <w:lang w:val="en-GB"/>
        </w:rPr>
        <w:t>-</w:t>
      </w:r>
      <w:r w:rsidR="0029758A" w:rsidRPr="00513B5A">
        <w:rPr>
          <w:rFonts w:ascii="Times New Roman" w:hAnsi="Times New Roman" w:cs="Times New Roman"/>
          <w:sz w:val="24"/>
          <w:szCs w:val="24"/>
          <w:lang w:val="en-GB"/>
        </w:rPr>
        <w:t>¹) = 50.484±22.37 × e</w:t>
      </w:r>
      <w:r w:rsidR="0029758A" w:rsidRPr="00513B5A">
        <w:rPr>
          <w:rFonts w:ascii="Times New Roman" w:hAnsi="Times New Roman" w:cs="Times New Roman"/>
          <w:sz w:val="24"/>
          <w:szCs w:val="24"/>
          <w:vertAlign w:val="superscript"/>
          <w:lang w:val="en-GB"/>
        </w:rPr>
        <w:t xml:space="preserve">0.023±0.007×Non-flooded forest area (%) </w:t>
      </w:r>
      <w:r w:rsidR="0029758A" w:rsidRPr="00513B5A">
        <w:rPr>
          <w:rFonts w:ascii="Times New Roman" w:hAnsi="Times New Roman" w:cs="Times New Roman"/>
          <w:sz w:val="24"/>
          <w:szCs w:val="24"/>
          <w:lang w:val="en-GB"/>
        </w:rPr>
        <w:t>(</w:t>
      </w:r>
      <w:r w:rsidR="0029758A" w:rsidRPr="00513B5A">
        <w:rPr>
          <w:rFonts w:ascii="Times New Roman" w:hAnsi="Times New Roman" w:cs="Times New Roman"/>
          <w:i/>
          <w:iCs/>
          <w:sz w:val="24"/>
          <w:szCs w:val="24"/>
          <w:lang w:val="en-GB"/>
        </w:rPr>
        <w:t>p</w:t>
      </w:r>
      <w:r w:rsidR="0029758A" w:rsidRPr="00513B5A">
        <w:rPr>
          <w:rFonts w:ascii="Times New Roman" w:hAnsi="Times New Roman" w:cs="Times New Roman"/>
          <w:sz w:val="24"/>
          <w:szCs w:val="24"/>
          <w:lang w:val="en-GB"/>
        </w:rPr>
        <w:t xml:space="preserve"> &lt; 0.01);</w:t>
      </w:r>
      <w:r w:rsidR="0029758A" w:rsidRPr="00513B5A">
        <w:rPr>
          <w:rFonts w:ascii="Times New Roman" w:hAnsi="Times New Roman" w:cs="Times New Roman"/>
          <w:sz w:val="24"/>
          <w:szCs w:val="24"/>
          <w:vertAlign w:val="superscript"/>
          <w:lang w:val="en-GB"/>
        </w:rPr>
        <w:t xml:space="preserve"> </w:t>
      </w:r>
      <w:r w:rsidR="00A25381" w:rsidRPr="00513B5A">
        <w:rPr>
          <w:rFonts w:ascii="Times New Roman" w:hAnsi="Times New Roman" w:cs="Times New Roman"/>
          <w:sz w:val="24"/>
          <w:szCs w:val="24"/>
          <w:lang w:val="en-GB"/>
        </w:rPr>
        <w:t xml:space="preserve">E </w:t>
      </w:r>
      <w:r w:rsidR="0029758A" w:rsidRPr="00513B5A">
        <w:rPr>
          <w:rFonts w:ascii="Times New Roman" w:hAnsi="Times New Roman" w:cs="Times New Roman"/>
          <w:sz w:val="24"/>
          <w:szCs w:val="24"/>
          <w:lang w:val="en-GB"/>
        </w:rPr>
        <w:t>(12 Km²) is Amazon lake OC burial (g C m</w:t>
      </w:r>
      <w:r w:rsidR="0029758A" w:rsidRPr="00513B5A">
        <w:rPr>
          <w:rFonts w:ascii="Times New Roman" w:hAnsi="Times New Roman" w:cs="Times New Roman"/>
          <w:sz w:val="24"/>
          <w:szCs w:val="24"/>
          <w:vertAlign w:val="superscript"/>
          <w:lang w:val="en-GB"/>
        </w:rPr>
        <w:t>-</w:t>
      </w:r>
      <w:r w:rsidR="0029758A" w:rsidRPr="00513B5A">
        <w:rPr>
          <w:rFonts w:ascii="Times New Roman" w:hAnsi="Times New Roman" w:cs="Times New Roman"/>
          <w:sz w:val="24"/>
          <w:szCs w:val="24"/>
          <w:lang w:val="en-GB"/>
        </w:rPr>
        <w:t>² yr</w:t>
      </w:r>
      <w:r w:rsidR="0029758A" w:rsidRPr="00513B5A">
        <w:rPr>
          <w:rFonts w:ascii="Times New Roman" w:hAnsi="Times New Roman" w:cs="Times New Roman"/>
          <w:sz w:val="24"/>
          <w:szCs w:val="24"/>
          <w:vertAlign w:val="superscript"/>
          <w:lang w:val="en-GB"/>
        </w:rPr>
        <w:t>-</w:t>
      </w:r>
      <w:r w:rsidR="0029758A" w:rsidRPr="00513B5A">
        <w:rPr>
          <w:rFonts w:ascii="Times New Roman" w:hAnsi="Times New Roman" w:cs="Times New Roman"/>
          <w:sz w:val="24"/>
          <w:szCs w:val="24"/>
          <w:lang w:val="en-GB"/>
        </w:rPr>
        <w:t>¹) = 62.48±27.89 × e</w:t>
      </w:r>
      <w:r w:rsidR="0029758A" w:rsidRPr="00513B5A">
        <w:rPr>
          <w:rFonts w:ascii="Times New Roman" w:hAnsi="Times New Roman" w:cs="Times New Roman"/>
          <w:sz w:val="24"/>
          <w:szCs w:val="24"/>
          <w:vertAlign w:val="superscript"/>
          <w:lang w:val="en-GB"/>
        </w:rPr>
        <w:t xml:space="preserve">0.017±0.007×Non-flooded forest area (%) </w:t>
      </w:r>
      <w:r w:rsidR="0029758A" w:rsidRPr="00513B5A">
        <w:rPr>
          <w:rFonts w:ascii="Times New Roman" w:hAnsi="Times New Roman" w:cs="Times New Roman"/>
          <w:sz w:val="24"/>
          <w:szCs w:val="24"/>
          <w:lang w:val="en-GB"/>
        </w:rPr>
        <w:t>(</w:t>
      </w:r>
      <w:r w:rsidR="0029758A" w:rsidRPr="00513B5A">
        <w:rPr>
          <w:rFonts w:ascii="Times New Roman" w:hAnsi="Times New Roman" w:cs="Times New Roman"/>
          <w:i/>
          <w:iCs/>
          <w:sz w:val="24"/>
          <w:szCs w:val="24"/>
          <w:lang w:val="en-GB"/>
        </w:rPr>
        <w:t>p</w:t>
      </w:r>
      <w:r w:rsidR="0029758A" w:rsidRPr="00513B5A">
        <w:rPr>
          <w:rFonts w:ascii="Times New Roman" w:hAnsi="Times New Roman" w:cs="Times New Roman"/>
          <w:sz w:val="24"/>
          <w:szCs w:val="24"/>
          <w:lang w:val="en-GB"/>
        </w:rPr>
        <w:t xml:space="preserve"> &lt; 0.05)</w:t>
      </w:r>
      <w:r w:rsidR="00A35819" w:rsidRPr="00513B5A">
        <w:rPr>
          <w:rFonts w:ascii="Times New Roman" w:hAnsi="Times New Roman" w:cs="Times New Roman"/>
          <w:sz w:val="24"/>
          <w:szCs w:val="24"/>
          <w:lang w:val="en-GB"/>
        </w:rPr>
        <w:t>.</w:t>
      </w:r>
      <w:r w:rsidR="0029758A" w:rsidRPr="00513B5A">
        <w:rPr>
          <w:rFonts w:ascii="Times New Roman" w:hAnsi="Times New Roman" w:cs="Times New Roman"/>
          <w:sz w:val="24"/>
          <w:szCs w:val="24"/>
          <w:lang w:val="en-GB"/>
        </w:rPr>
        <w:t xml:space="preserve"> N</w:t>
      </w:r>
      <w:r w:rsidR="00E308E5" w:rsidRPr="00513B5A">
        <w:rPr>
          <w:rFonts w:ascii="Times New Roman" w:hAnsi="Times New Roman" w:cs="Times New Roman"/>
          <w:sz w:val="24"/>
          <w:szCs w:val="24"/>
          <w:lang w:val="en-GB"/>
        </w:rPr>
        <w:t xml:space="preserve">ote the logarithmic scale on </w:t>
      </w:r>
      <w:r w:rsidR="00E308E5" w:rsidRPr="00513B5A">
        <w:rPr>
          <w:rFonts w:ascii="Times New Roman" w:hAnsi="Times New Roman" w:cs="Times New Roman"/>
          <w:i/>
          <w:sz w:val="24"/>
          <w:szCs w:val="24"/>
          <w:lang w:val="en-GB"/>
        </w:rPr>
        <w:t>y</w:t>
      </w:r>
      <w:r w:rsidR="00E308E5" w:rsidRPr="00513B5A">
        <w:rPr>
          <w:rFonts w:ascii="Times New Roman" w:hAnsi="Times New Roman" w:cs="Times New Roman"/>
          <w:sz w:val="24"/>
          <w:szCs w:val="24"/>
          <w:lang w:val="en-GB"/>
        </w:rPr>
        <w:t>-axis in</w:t>
      </w:r>
      <w:r w:rsidR="0029758A" w:rsidRPr="00513B5A">
        <w:rPr>
          <w:rFonts w:ascii="Times New Roman" w:hAnsi="Times New Roman" w:cs="Times New Roman"/>
          <w:sz w:val="24"/>
          <w:szCs w:val="24"/>
          <w:lang w:val="en-GB"/>
        </w:rPr>
        <w:t xml:space="preserve"> all panels.</w:t>
      </w:r>
    </w:p>
    <w:p w14:paraId="7A4157B0" w14:textId="2798C1F4" w:rsidR="00E624B9" w:rsidRPr="00513B5A" w:rsidRDefault="00E624B9" w:rsidP="00BD3B3A">
      <w:pPr>
        <w:spacing w:line="360" w:lineRule="auto"/>
        <w:jc w:val="both"/>
        <w:rPr>
          <w:rFonts w:ascii="Times New Roman" w:hAnsi="Times New Roman" w:cs="Times New Roman"/>
          <w:b/>
          <w:bCs/>
          <w:sz w:val="24"/>
          <w:szCs w:val="24"/>
          <w:lang w:val="en-GB"/>
        </w:rPr>
        <w:sectPr w:rsidR="00E624B9" w:rsidRPr="00513B5A" w:rsidSect="00E624B9">
          <w:pgSz w:w="16838" w:h="11906" w:orient="landscape" w:code="9"/>
          <w:pgMar w:top="1701" w:right="1350" w:bottom="1701" w:left="1418" w:header="709" w:footer="709" w:gutter="0"/>
          <w:lnNumType w:countBy="5" w:restart="continuous"/>
          <w:cols w:space="708"/>
          <w:docGrid w:linePitch="360"/>
        </w:sectPr>
      </w:pPr>
    </w:p>
    <w:p w14:paraId="422708B4" w14:textId="783E929A" w:rsidR="00EC7846" w:rsidRPr="00513B5A" w:rsidRDefault="00745185" w:rsidP="00745185">
      <w:pPr>
        <w:spacing w:line="360" w:lineRule="auto"/>
        <w:rPr>
          <w:rFonts w:ascii="Times New Roman" w:hAnsi="Times New Roman" w:cs="Times New Roman"/>
          <w:b/>
          <w:bCs/>
          <w:sz w:val="24"/>
          <w:szCs w:val="24"/>
          <w:lang w:val="en-GB"/>
        </w:rPr>
      </w:pPr>
      <w:r w:rsidRPr="00513B5A">
        <w:rPr>
          <w:rFonts w:ascii="Times New Roman" w:hAnsi="Times New Roman" w:cs="Times New Roman"/>
          <w:b/>
          <w:bCs/>
          <w:noProof/>
          <w:sz w:val="24"/>
          <w:szCs w:val="24"/>
          <w:lang w:val="en-AU" w:eastAsia="en-AU"/>
        </w:rPr>
        <w:lastRenderedPageBreak/>
        <w:drawing>
          <wp:inline distT="0" distB="0" distL="0" distR="0" wp14:anchorId="49C039A9" wp14:editId="6C3FA413">
            <wp:extent cx="5391150" cy="3190875"/>
            <wp:effectExtent l="19050" t="19050" r="19050" b="285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1150" cy="3190875"/>
                    </a:xfrm>
                    <a:prstGeom prst="rect">
                      <a:avLst/>
                    </a:prstGeom>
                    <a:noFill/>
                    <a:ln w="12700">
                      <a:solidFill>
                        <a:schemeClr val="tx1"/>
                      </a:solidFill>
                    </a:ln>
                  </pic:spPr>
                </pic:pic>
              </a:graphicData>
            </a:graphic>
          </wp:inline>
        </w:drawing>
      </w:r>
    </w:p>
    <w:p w14:paraId="1075DE11" w14:textId="7BB50228" w:rsidR="00DE64ED" w:rsidRPr="00513B5A" w:rsidRDefault="00EC7846" w:rsidP="00EC7846">
      <w:pPr>
        <w:spacing w:line="276" w:lineRule="auto"/>
        <w:jc w:val="both"/>
        <w:rPr>
          <w:rFonts w:ascii="Times New Roman" w:hAnsi="Times New Roman" w:cs="Times New Roman"/>
          <w:sz w:val="24"/>
          <w:szCs w:val="24"/>
          <w:lang w:val="en-GB"/>
        </w:rPr>
      </w:pPr>
      <w:r w:rsidRPr="00513B5A">
        <w:rPr>
          <w:rFonts w:ascii="Times New Roman" w:hAnsi="Times New Roman" w:cs="Times New Roman"/>
          <w:b/>
          <w:bCs/>
          <w:sz w:val="24"/>
          <w:szCs w:val="24"/>
          <w:lang w:val="en-GB"/>
        </w:rPr>
        <w:t xml:space="preserve">Supp. Figure </w:t>
      </w:r>
      <w:r w:rsidR="00C337E4" w:rsidRPr="00513B5A">
        <w:rPr>
          <w:rFonts w:ascii="Times New Roman" w:hAnsi="Times New Roman" w:cs="Times New Roman"/>
          <w:b/>
          <w:bCs/>
          <w:sz w:val="24"/>
          <w:szCs w:val="24"/>
          <w:lang w:val="en-GB"/>
        </w:rPr>
        <w:t>8</w:t>
      </w:r>
      <w:r w:rsidRPr="00513B5A">
        <w:rPr>
          <w:rFonts w:ascii="Times New Roman" w:hAnsi="Times New Roman" w:cs="Times New Roman"/>
          <w:sz w:val="24"/>
          <w:szCs w:val="24"/>
          <w:lang w:val="en-GB"/>
        </w:rPr>
        <w:t xml:space="preserve"> – </w:t>
      </w:r>
      <w:r w:rsidR="00FB4F53" w:rsidRPr="00513B5A">
        <w:rPr>
          <w:rFonts w:ascii="Times New Roman" w:hAnsi="Times New Roman" w:cs="Times New Roman"/>
          <w:sz w:val="24"/>
          <w:szCs w:val="24"/>
          <w:lang w:val="en-GB"/>
        </w:rPr>
        <w:t>Relationship between coefficient of variation</w:t>
      </w:r>
      <w:r w:rsidR="00B4751E" w:rsidRPr="00513B5A">
        <w:rPr>
          <w:rFonts w:ascii="Times New Roman" w:hAnsi="Times New Roman" w:cs="Times New Roman"/>
          <w:sz w:val="24"/>
          <w:szCs w:val="24"/>
          <w:lang w:val="en-GB"/>
        </w:rPr>
        <w:t xml:space="preserve"> of OC burial rates</w:t>
      </w:r>
      <w:r w:rsidR="00FB4F53" w:rsidRPr="00513B5A">
        <w:rPr>
          <w:rFonts w:ascii="Times New Roman" w:hAnsi="Times New Roman" w:cs="Times New Roman"/>
          <w:sz w:val="24"/>
          <w:szCs w:val="24"/>
          <w:lang w:val="en-GB"/>
        </w:rPr>
        <w:t xml:space="preserve"> and the randomly selected number of samples.</w:t>
      </w:r>
    </w:p>
    <w:p w14:paraId="2F17FF24" w14:textId="1F04FF51" w:rsidR="002549B2" w:rsidRPr="00513B5A" w:rsidRDefault="002549B2" w:rsidP="00EC7846">
      <w:pPr>
        <w:spacing w:line="276" w:lineRule="auto"/>
        <w:jc w:val="both"/>
        <w:rPr>
          <w:rFonts w:ascii="Times New Roman" w:hAnsi="Times New Roman" w:cs="Times New Roman"/>
          <w:sz w:val="24"/>
          <w:szCs w:val="24"/>
          <w:lang w:val="en-GB"/>
        </w:rPr>
      </w:pPr>
    </w:p>
    <w:p w14:paraId="18482058" w14:textId="77777777" w:rsidR="002549B2" w:rsidRPr="00513B5A" w:rsidRDefault="002549B2" w:rsidP="00EC7846">
      <w:pPr>
        <w:spacing w:line="276" w:lineRule="auto"/>
        <w:jc w:val="both"/>
        <w:rPr>
          <w:rFonts w:ascii="Times New Roman" w:hAnsi="Times New Roman" w:cs="Times New Roman"/>
          <w:sz w:val="24"/>
          <w:szCs w:val="24"/>
          <w:lang w:val="en-GB"/>
        </w:rPr>
        <w:sectPr w:rsidR="002549B2" w:rsidRPr="00513B5A" w:rsidSect="00E624B9">
          <w:pgSz w:w="11906" w:h="16838" w:code="9"/>
          <w:pgMar w:top="1418" w:right="1701" w:bottom="1350" w:left="1701" w:header="709" w:footer="709" w:gutter="0"/>
          <w:lnNumType w:countBy="5" w:restart="continuous"/>
          <w:cols w:space="708"/>
          <w:docGrid w:linePitch="360"/>
        </w:sectPr>
      </w:pPr>
    </w:p>
    <w:p w14:paraId="26322271" w14:textId="6C79C188" w:rsidR="002549B2" w:rsidRPr="00513B5A" w:rsidRDefault="002549B2" w:rsidP="008F5413">
      <w:pPr>
        <w:spacing w:after="0" w:line="276" w:lineRule="auto"/>
        <w:jc w:val="both"/>
        <w:rPr>
          <w:rFonts w:ascii="Times New Roman" w:hAnsi="Times New Roman" w:cs="Times New Roman"/>
          <w:b/>
          <w:bCs/>
          <w:sz w:val="24"/>
          <w:szCs w:val="24"/>
          <w:lang w:val="en-GB"/>
        </w:rPr>
      </w:pPr>
      <w:r w:rsidRPr="00513B5A">
        <w:rPr>
          <w:rFonts w:ascii="Times New Roman" w:hAnsi="Times New Roman" w:cs="Times New Roman"/>
          <w:b/>
          <w:bCs/>
          <w:noProof/>
          <w:sz w:val="24"/>
          <w:szCs w:val="24"/>
          <w:lang w:val="en-AU" w:eastAsia="en-AU"/>
        </w:rPr>
        <w:lastRenderedPageBreak/>
        <w:drawing>
          <wp:inline distT="0" distB="0" distL="0" distR="0" wp14:anchorId="2F2A0121" wp14:editId="341CCA2E">
            <wp:extent cx="5391150" cy="1914525"/>
            <wp:effectExtent l="19050" t="19050" r="19050" b="285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1150" cy="1914525"/>
                    </a:xfrm>
                    <a:prstGeom prst="rect">
                      <a:avLst/>
                    </a:prstGeom>
                    <a:noFill/>
                    <a:ln>
                      <a:solidFill>
                        <a:schemeClr val="tx1"/>
                      </a:solidFill>
                    </a:ln>
                  </pic:spPr>
                </pic:pic>
              </a:graphicData>
            </a:graphic>
          </wp:inline>
        </w:drawing>
      </w:r>
    </w:p>
    <w:p w14:paraId="13EAB2CE" w14:textId="367DCA97" w:rsidR="002549B2" w:rsidRPr="00513B5A" w:rsidRDefault="002549B2" w:rsidP="002549B2">
      <w:pPr>
        <w:spacing w:line="276" w:lineRule="auto"/>
        <w:jc w:val="both"/>
        <w:rPr>
          <w:rFonts w:ascii="Times New Roman" w:hAnsi="Times New Roman" w:cs="Times New Roman"/>
          <w:sz w:val="24"/>
          <w:szCs w:val="24"/>
          <w:lang w:val="en-US"/>
        </w:rPr>
      </w:pPr>
      <w:r w:rsidRPr="00513B5A">
        <w:rPr>
          <w:rFonts w:ascii="Times New Roman" w:hAnsi="Times New Roman" w:cs="Times New Roman"/>
          <w:b/>
          <w:bCs/>
          <w:sz w:val="24"/>
          <w:szCs w:val="24"/>
          <w:lang w:val="en-GB"/>
        </w:rPr>
        <w:t xml:space="preserve">Supp. Figure </w:t>
      </w:r>
      <w:r w:rsidR="00C337E4" w:rsidRPr="00513B5A">
        <w:rPr>
          <w:rFonts w:ascii="Times New Roman" w:hAnsi="Times New Roman" w:cs="Times New Roman"/>
          <w:b/>
          <w:bCs/>
          <w:sz w:val="24"/>
          <w:szCs w:val="24"/>
          <w:lang w:val="en-GB"/>
        </w:rPr>
        <w:t>9</w:t>
      </w:r>
      <w:r w:rsidR="00FD76A4" w:rsidRPr="00513B5A">
        <w:rPr>
          <w:rFonts w:ascii="Times New Roman" w:hAnsi="Times New Roman" w:cs="Times New Roman"/>
          <w:b/>
          <w:bCs/>
          <w:sz w:val="24"/>
          <w:szCs w:val="24"/>
          <w:lang w:val="en-GB"/>
        </w:rPr>
        <w:t xml:space="preserve"> </w:t>
      </w:r>
      <w:r w:rsidRPr="00513B5A">
        <w:rPr>
          <w:rFonts w:ascii="Times New Roman" w:hAnsi="Times New Roman" w:cs="Times New Roman"/>
          <w:b/>
          <w:bCs/>
          <w:sz w:val="24"/>
          <w:szCs w:val="24"/>
          <w:lang w:val="en-GB"/>
        </w:rPr>
        <w:t xml:space="preserve">- </w:t>
      </w:r>
      <w:r w:rsidRPr="00513B5A">
        <w:rPr>
          <w:rFonts w:ascii="Times New Roman" w:hAnsi="Times New Roman" w:cs="Times New Roman"/>
          <w:sz w:val="24"/>
          <w:szCs w:val="24"/>
          <w:lang w:val="en-US"/>
        </w:rPr>
        <w:t xml:space="preserve">Panel A </w:t>
      </w:r>
      <w:r w:rsidR="008D3E02">
        <w:rPr>
          <w:rFonts w:ascii="Times New Roman" w:hAnsi="Times New Roman" w:cs="Times New Roman"/>
          <w:sz w:val="24"/>
          <w:szCs w:val="24"/>
          <w:lang w:val="en-US"/>
        </w:rPr>
        <w:t>show</w:t>
      </w:r>
      <w:r w:rsidRPr="00513B5A">
        <w:rPr>
          <w:rFonts w:ascii="Times New Roman" w:hAnsi="Times New Roman" w:cs="Times New Roman"/>
          <w:sz w:val="24"/>
          <w:szCs w:val="24"/>
          <w:lang w:val="en-US"/>
        </w:rPr>
        <w:t xml:space="preserve"> the relationship between the average </w:t>
      </w:r>
      <w:r w:rsidR="008D3E02">
        <w:rPr>
          <w:rFonts w:ascii="Times New Roman" w:hAnsi="Times New Roman" w:cs="Times New Roman"/>
          <w:sz w:val="24"/>
          <w:szCs w:val="24"/>
          <w:lang w:val="en-US"/>
        </w:rPr>
        <w:t xml:space="preserve">above </w:t>
      </w:r>
      <w:r w:rsidRPr="00513B5A">
        <w:rPr>
          <w:rFonts w:ascii="Times New Roman" w:hAnsi="Times New Roman" w:cs="Times New Roman"/>
          <w:sz w:val="24"/>
          <w:szCs w:val="24"/>
          <w:lang w:val="en-US"/>
        </w:rPr>
        <w:t>10cm</w:t>
      </w:r>
      <w:r w:rsidR="008D3E02">
        <w:rPr>
          <w:rFonts w:ascii="Times New Roman" w:hAnsi="Times New Roman" w:cs="Times New Roman"/>
          <w:sz w:val="24"/>
          <w:szCs w:val="24"/>
          <w:lang w:val="en-US"/>
        </w:rPr>
        <w:t xml:space="preserve"> on the top of the </w:t>
      </w:r>
      <w:r w:rsidRPr="00513B5A">
        <w:rPr>
          <w:rFonts w:ascii="Times New Roman" w:hAnsi="Times New Roman" w:cs="Times New Roman"/>
          <w:sz w:val="24"/>
          <w:szCs w:val="24"/>
          <w:lang w:val="en-US"/>
        </w:rPr>
        <w:t>core and the percentage of vegetation in 6 km</w:t>
      </w:r>
      <w:r w:rsidRPr="00513B5A">
        <w:rPr>
          <w:rFonts w:ascii="Times New Roman" w:hAnsi="Times New Roman" w:cs="Times New Roman"/>
          <w:sz w:val="24"/>
          <w:szCs w:val="24"/>
          <w:vertAlign w:val="superscript"/>
          <w:lang w:val="en-US"/>
        </w:rPr>
        <w:t>2</w:t>
      </w:r>
      <w:r w:rsidRPr="00513B5A">
        <w:rPr>
          <w:rFonts w:ascii="Times New Roman" w:hAnsi="Times New Roman" w:cs="Times New Roman"/>
          <w:sz w:val="24"/>
          <w:szCs w:val="24"/>
          <w:lang w:val="en-US"/>
        </w:rPr>
        <w:t xml:space="preserve"> buffer size. Panel B is the relationship between the average </w:t>
      </w:r>
      <w:r w:rsidR="008D3E02">
        <w:rPr>
          <w:rFonts w:ascii="Times New Roman" w:hAnsi="Times New Roman" w:cs="Times New Roman"/>
          <w:sz w:val="24"/>
          <w:szCs w:val="24"/>
          <w:lang w:val="en-US"/>
        </w:rPr>
        <w:t xml:space="preserve">bellow </w:t>
      </w:r>
      <w:r w:rsidRPr="00513B5A">
        <w:rPr>
          <w:rFonts w:ascii="Times New Roman" w:hAnsi="Times New Roman" w:cs="Times New Roman"/>
          <w:sz w:val="24"/>
          <w:szCs w:val="24"/>
          <w:lang w:val="en-US"/>
        </w:rPr>
        <w:t xml:space="preserve">10cm </w:t>
      </w:r>
      <w:r w:rsidR="00743AD3">
        <w:rPr>
          <w:rFonts w:ascii="Times New Roman" w:hAnsi="Times New Roman" w:cs="Times New Roman"/>
          <w:sz w:val="24"/>
          <w:szCs w:val="24"/>
          <w:lang w:val="en-US"/>
        </w:rPr>
        <w:t xml:space="preserve">downcore </w:t>
      </w:r>
      <w:r w:rsidRPr="00513B5A">
        <w:rPr>
          <w:rFonts w:ascii="Times New Roman" w:hAnsi="Times New Roman" w:cs="Times New Roman"/>
          <w:sz w:val="24"/>
          <w:szCs w:val="24"/>
          <w:lang w:val="en-US"/>
        </w:rPr>
        <w:t>and the percentage of vegetation in 6km</w:t>
      </w:r>
      <w:r w:rsidRPr="00513B5A">
        <w:rPr>
          <w:rFonts w:ascii="Times New Roman" w:hAnsi="Times New Roman" w:cs="Times New Roman"/>
          <w:sz w:val="24"/>
          <w:szCs w:val="24"/>
          <w:vertAlign w:val="superscript"/>
          <w:lang w:val="en-US"/>
        </w:rPr>
        <w:t>2</w:t>
      </w:r>
      <w:r w:rsidRPr="00513B5A">
        <w:rPr>
          <w:rFonts w:ascii="Times New Roman" w:hAnsi="Times New Roman" w:cs="Times New Roman"/>
          <w:sz w:val="24"/>
          <w:szCs w:val="24"/>
          <w:lang w:val="en-US"/>
        </w:rPr>
        <w:t xml:space="preserve"> buffer size.</w:t>
      </w:r>
    </w:p>
    <w:p w14:paraId="4BEFFD35" w14:textId="3F8F36AC" w:rsidR="00DE64ED" w:rsidRPr="00513B5A" w:rsidRDefault="00DE64ED" w:rsidP="00BD3B3A">
      <w:pPr>
        <w:spacing w:line="360" w:lineRule="auto"/>
        <w:jc w:val="both"/>
        <w:rPr>
          <w:rFonts w:ascii="Times New Roman" w:hAnsi="Times New Roman" w:cs="Times New Roman"/>
          <w:b/>
          <w:bCs/>
          <w:sz w:val="24"/>
          <w:szCs w:val="24"/>
          <w:lang w:val="en-GB"/>
        </w:rPr>
      </w:pPr>
    </w:p>
    <w:p w14:paraId="743146CA" w14:textId="3B292771" w:rsidR="00DE64ED" w:rsidRPr="00513B5A" w:rsidRDefault="00DE64ED" w:rsidP="00BD3B3A">
      <w:pPr>
        <w:spacing w:line="360" w:lineRule="auto"/>
        <w:jc w:val="both"/>
        <w:rPr>
          <w:rFonts w:ascii="Times New Roman" w:hAnsi="Times New Roman" w:cs="Times New Roman"/>
          <w:b/>
          <w:bCs/>
          <w:sz w:val="24"/>
          <w:szCs w:val="24"/>
          <w:lang w:val="en-GB"/>
        </w:rPr>
      </w:pPr>
    </w:p>
    <w:p w14:paraId="52C67C06" w14:textId="77777777" w:rsidR="002E5441" w:rsidRPr="00513B5A" w:rsidRDefault="002E5441" w:rsidP="00BD3B3A">
      <w:pPr>
        <w:spacing w:line="360" w:lineRule="auto"/>
        <w:jc w:val="both"/>
        <w:rPr>
          <w:rFonts w:ascii="Times New Roman" w:hAnsi="Times New Roman" w:cs="Times New Roman"/>
          <w:b/>
          <w:bCs/>
          <w:sz w:val="24"/>
          <w:szCs w:val="24"/>
          <w:lang w:val="en-GB"/>
        </w:rPr>
        <w:sectPr w:rsidR="002E5441" w:rsidRPr="00513B5A" w:rsidSect="00E624B9">
          <w:pgSz w:w="11906" w:h="16838" w:code="9"/>
          <w:pgMar w:top="1418" w:right="1701" w:bottom="1350" w:left="1701" w:header="709" w:footer="709" w:gutter="0"/>
          <w:lnNumType w:countBy="5" w:restart="continuous"/>
          <w:cols w:space="708"/>
          <w:docGrid w:linePitch="360"/>
        </w:sectPr>
      </w:pPr>
    </w:p>
    <w:p w14:paraId="5D2C711F" w14:textId="2A35A4B9" w:rsidR="00BD3B3A" w:rsidRPr="00513B5A" w:rsidRDefault="00BD3B3A" w:rsidP="00BD3B3A">
      <w:pPr>
        <w:spacing w:line="360" w:lineRule="auto"/>
        <w:jc w:val="both"/>
        <w:rPr>
          <w:rFonts w:ascii="Times New Roman" w:hAnsi="Times New Roman" w:cs="Times New Roman"/>
          <w:b/>
          <w:bCs/>
          <w:sz w:val="24"/>
          <w:szCs w:val="24"/>
          <w:lang w:val="en-GB"/>
        </w:rPr>
      </w:pPr>
      <w:r w:rsidRPr="00513B5A">
        <w:rPr>
          <w:rFonts w:ascii="Times New Roman" w:hAnsi="Times New Roman" w:cs="Times New Roman"/>
          <w:b/>
          <w:bCs/>
          <w:sz w:val="24"/>
          <w:szCs w:val="24"/>
          <w:lang w:val="en-GB"/>
        </w:rPr>
        <w:lastRenderedPageBreak/>
        <w:t>Supplementary Discussion</w:t>
      </w:r>
    </w:p>
    <w:p w14:paraId="32C4F0FB" w14:textId="4FFC8B92" w:rsidR="0063128E" w:rsidRPr="00513B5A" w:rsidRDefault="00A311D4" w:rsidP="00411654">
      <w:pPr>
        <w:spacing w:after="0" w:line="360" w:lineRule="auto"/>
        <w:ind w:firstLine="567"/>
        <w:jc w:val="both"/>
        <w:rPr>
          <w:rFonts w:ascii="Times New Roman" w:hAnsi="Times New Roman" w:cs="Times New Roman"/>
          <w:sz w:val="24"/>
          <w:szCs w:val="24"/>
          <w:lang w:val="en-GB"/>
        </w:rPr>
      </w:pPr>
      <w:r w:rsidRPr="00513B5A">
        <w:rPr>
          <w:rFonts w:ascii="Times New Roman" w:hAnsi="Times New Roman" w:cs="Times New Roman"/>
          <w:sz w:val="24"/>
          <w:szCs w:val="24"/>
          <w:lang w:val="en-GB"/>
        </w:rPr>
        <w:t>E</w:t>
      </w:r>
      <w:r w:rsidR="00CE2264" w:rsidRPr="00513B5A">
        <w:rPr>
          <w:rFonts w:ascii="Times New Roman" w:hAnsi="Times New Roman" w:cs="Times New Roman"/>
          <w:sz w:val="24"/>
          <w:szCs w:val="24"/>
          <w:lang w:val="en-GB"/>
        </w:rPr>
        <w:t xml:space="preserve">stimates of annual OC burial in global lakes from our dataset were </w:t>
      </w:r>
      <w:r w:rsidR="00CE2264" w:rsidRPr="00513B5A">
        <w:rPr>
          <w:rFonts w:ascii="Times New Roman" w:hAnsi="Times New Roman" w:cs="Times New Roman"/>
          <w:sz w:val="24"/>
          <w:szCs w:val="24"/>
          <w:shd w:val="clear" w:color="auto" w:fill="FFFFFF"/>
          <w:lang w:val="en-GB"/>
        </w:rPr>
        <w:t>~</w:t>
      </w:r>
      <w:r w:rsidR="00DD709B" w:rsidRPr="00513B5A">
        <w:rPr>
          <w:rFonts w:ascii="Times New Roman" w:hAnsi="Times New Roman" w:cs="Times New Roman"/>
          <w:sz w:val="24"/>
          <w:szCs w:val="24"/>
          <w:shd w:val="clear" w:color="auto" w:fill="FFFFFF"/>
          <w:lang w:val="en-GB"/>
        </w:rPr>
        <w:t>25</w:t>
      </w:r>
      <w:r w:rsidR="00CE2264" w:rsidRPr="00513B5A">
        <w:rPr>
          <w:rFonts w:ascii="Times New Roman" w:hAnsi="Times New Roman" w:cs="Times New Roman"/>
          <w:sz w:val="24"/>
          <w:szCs w:val="24"/>
          <w:shd w:val="clear" w:color="auto" w:fill="FFFFFF"/>
          <w:lang w:val="en-GB"/>
        </w:rPr>
        <w:t xml:space="preserve">, </w:t>
      </w:r>
      <w:r w:rsidR="00DD709B" w:rsidRPr="00513B5A">
        <w:rPr>
          <w:rFonts w:ascii="Times New Roman" w:hAnsi="Times New Roman" w:cs="Times New Roman"/>
          <w:sz w:val="24"/>
          <w:szCs w:val="24"/>
          <w:shd w:val="clear" w:color="auto" w:fill="FFFFFF"/>
          <w:lang w:val="en-GB"/>
        </w:rPr>
        <w:t>13</w:t>
      </w:r>
      <w:r w:rsidR="00CE2264" w:rsidRPr="00513B5A">
        <w:rPr>
          <w:rFonts w:ascii="Times New Roman" w:hAnsi="Times New Roman" w:cs="Times New Roman"/>
          <w:sz w:val="24"/>
          <w:szCs w:val="24"/>
          <w:shd w:val="clear" w:color="auto" w:fill="FFFFFF"/>
          <w:lang w:val="en-GB"/>
        </w:rPr>
        <w:t xml:space="preserve">-63, </w:t>
      </w:r>
      <w:r w:rsidR="00DD709B" w:rsidRPr="00513B5A">
        <w:rPr>
          <w:rFonts w:ascii="Times New Roman" w:hAnsi="Times New Roman" w:cs="Times New Roman"/>
          <w:sz w:val="24"/>
          <w:szCs w:val="24"/>
          <w:shd w:val="clear" w:color="auto" w:fill="FFFFFF"/>
          <w:lang w:val="en-GB"/>
        </w:rPr>
        <w:t>38</w:t>
      </w:r>
      <w:r w:rsidR="00CE2264" w:rsidRPr="00513B5A">
        <w:rPr>
          <w:rFonts w:ascii="Times New Roman" w:hAnsi="Times New Roman" w:cs="Times New Roman"/>
          <w:sz w:val="24"/>
          <w:szCs w:val="24"/>
          <w:shd w:val="clear" w:color="auto" w:fill="FFFFFF"/>
          <w:lang w:val="en-GB"/>
        </w:rPr>
        <w:t>-</w:t>
      </w:r>
      <w:r w:rsidR="00DD709B" w:rsidRPr="00513B5A">
        <w:rPr>
          <w:rFonts w:ascii="Times New Roman" w:hAnsi="Times New Roman" w:cs="Times New Roman"/>
          <w:sz w:val="24"/>
          <w:szCs w:val="24"/>
          <w:shd w:val="clear" w:color="auto" w:fill="FFFFFF"/>
          <w:lang w:val="en-GB"/>
        </w:rPr>
        <w:t xml:space="preserve">50 </w:t>
      </w:r>
      <w:r w:rsidR="00CE2264" w:rsidRPr="00513B5A">
        <w:rPr>
          <w:rFonts w:ascii="Times New Roman" w:hAnsi="Times New Roman" w:cs="Times New Roman"/>
          <w:sz w:val="24"/>
          <w:szCs w:val="24"/>
          <w:shd w:val="clear" w:color="auto" w:fill="FFFFFF"/>
          <w:lang w:val="en-GB"/>
        </w:rPr>
        <w:t xml:space="preserve">and </w:t>
      </w:r>
      <w:r w:rsidR="00CE2264" w:rsidRPr="00513B5A">
        <w:rPr>
          <w:rFonts w:ascii="Times New Roman" w:hAnsi="Times New Roman" w:cs="Times New Roman"/>
          <w:sz w:val="24"/>
          <w:szCs w:val="24"/>
          <w:lang w:val="en-GB"/>
        </w:rPr>
        <w:t>~</w:t>
      </w:r>
      <w:r w:rsidR="00DD709B" w:rsidRPr="00513B5A">
        <w:rPr>
          <w:rFonts w:ascii="Times New Roman" w:hAnsi="Times New Roman" w:cs="Times New Roman"/>
          <w:sz w:val="24"/>
          <w:szCs w:val="24"/>
          <w:lang w:val="en-GB"/>
        </w:rPr>
        <w:t xml:space="preserve">10 </w:t>
      </w:r>
      <w:r w:rsidR="00CE2264" w:rsidRPr="00513B5A">
        <w:rPr>
          <w:rFonts w:ascii="Times New Roman" w:hAnsi="Times New Roman" w:cs="Times New Roman"/>
          <w:sz w:val="24"/>
          <w:szCs w:val="24"/>
          <w:shd w:val="clear" w:color="auto" w:fill="FFFFFF"/>
          <w:lang w:val="en-GB"/>
        </w:rPr>
        <w:t xml:space="preserve">% higher than </w:t>
      </w:r>
      <w:r w:rsidR="00CE2264" w:rsidRPr="00513B5A">
        <w:rPr>
          <w:rFonts w:ascii="Times New Roman" w:hAnsi="Times New Roman" w:cs="Times New Roman"/>
          <w:sz w:val="24"/>
          <w:szCs w:val="24"/>
          <w:shd w:val="clear" w:color="auto" w:fill="FFFFFF"/>
          <w:lang w:val="en-GB"/>
        </w:rPr>
        <w:fldChar w:fldCharType="begin" w:fldLock="1"/>
      </w:r>
      <w:r w:rsidR="001D0B34">
        <w:rPr>
          <w:rFonts w:ascii="Times New Roman" w:hAnsi="Times New Roman" w:cs="Times New Roman"/>
          <w:sz w:val="24"/>
          <w:szCs w:val="24"/>
          <w:shd w:val="clear" w:color="auto" w:fill="FFFFFF"/>
          <w:lang w:val="en-GB"/>
        </w:rPr>
        <w:instrText>ADDIN CSL_CITATION {"citationItems":[{"id":"ITEM-1","itemData":{"DOI":"10.3402/tellusa.v34i5.10834","ISBN":"2153-3490","ISSN":"0040-2826","abstract":"Recent increases in organic carbon accumulation in the sediments of lakes and reservoirs are estimated. The possibility that, as a result of some of man 's activities, the rate of net carbon accumulation in the sediments of inland waters has increased in recent years, removing fossil fuel carbon from the atmosphere and accounting for a portion of the missing carbon in current global carbon budget estimates, was investigated. The findings proved that the role of inland aquatic sediments as sinks in the global carbon cycle is significant although small compared to that of terrestrial systems and the oceans. Rates of organic carbon accumulation in the sediments of inland aquatic ecosystems appear to be related to the flushing rates of these systems. The highest accumulation rates are found in systems which have relatively large inputs of terrestrial organic matter. These systems usually have high watershed area:water surface area ratios, but also have sufficient water residence times for substantial sedimentation of allochthonous inputs and medium to high autochthonous production.","author":[{"dropping-particle":"","family":"Mulholland","given":"Patrick J.","non-dropping-particle":"","parse-names":false,"suffix":""},{"dropping-particle":"","family":"Elwood","given":"Jerry W.","non-dropping-particle":"","parse-names":false,"suffix":""}],"container-title":"Tellus","id":"ITEM-1","issue":"5","issued":{"date-parts":[["1982","1","15"]]},"page":"490-499","title":"The role of lake and reservoir sediments as sinks in the perturbed global carbon cycle","type":"article-journal","volume":"34"},"uris":["http://www.mendeley.com/documents/?uuid=2f97933f-9161-495f-8ad1-88d6d67251cd"]},{"id":"ITEM-2","itemData":{"DOI":"10.4319/lo.2009.54.6_part_2.2298","ISBN":"0024-3590","ISSN":"0024-3590","PMID":"19749023","abstract":"We explore the role of lakes in carbon cycling and global climate, examine the mechanisms influencing carbon pools and transformations in lakes, and discuss how the metabolism of carbon in the inland waters is likely to change in response to climate. Furthermore, we project changes as global climate change in the abundance and spatial distribution of lakes in the biosphere, and we revise the estimate for the global extent of carbon transformation in inland waters. This synthesis demonstrates that the global annual emissions of carbon dioxide from inland waters to the atmosphere are similar in magnitude to the carbon dioxide uptake by the oceans and that the global burial of organic carbon in inland water sediments exceeds organic carbon sequestration on the ocean floor. The role of inland waters in global carbon cycling and climate forcing may be changed by human activities, including construction of impoundments, which accumulate large amounts of carbon in sediments and emit large amounts of methane to the atmosphere. Methane emissions are also expected from lakes on melting permafrost. The synthesis presented here indicates that (1) inland waters constitute a significant component of the global carbon cycle, (2) their contribution to this cycle has significantly changed as a result of human activities, and (3) they will continue to change in response to future climate change causing decreased as well as increased abundance of lakes as well as increases in the number of aquatic impoundments.","author":[{"dropping-particle":"","family":"Tranvik","given":"Lars J.","non-dropping-particle":"","parse-names":false,"suffix":""},{"dropping-particle":"","family":"Downing","given":"John a.","non-dropping-particle":"","parse-names":false,"suffix":""},{"dropping-particle":"","family":"Cotner","given":"James B.","non-dropping-particle":"","parse-names":false,"suffix":""},{"dropping-particle":"","family":"Loiselle","given":"Steven a.","non-dropping-particle":"","parse-names":false,"suffix":""},{"dropping-particle":"","family":"Striegl","given":"Robert G.","non-dropping-particle":"","parse-names":false,"suffix":""},{"dropping-particle":"","family":"Ballatore","given":"Thomas J.","non-dropping-particle":"","parse-names":false,"suffix":""},{"dropping-particle":"","family":"Dillon","given":"Peter","non-dropping-particle":"","parse-names":false,"suffix":""},{"dropping-particle":"","family":"Finlay","given":"Kerri","non-dropping-particle":"","parse-names":false,"suffix":""},{"dropping-particle":"","family":"Fortino","given":"Kenneth","non-dropping-particle":"","parse-names":false,"suffix":""},{"dropping-particle":"","family":"Knoll","given":"Lesley B.","non-dropping-particle":"","parse-names":false,"suffix":""},{"dropping-particle":"","family":"Kortelainen","given":"P L","non-dropping-particle":"","parse-names":false,"suffix":""},{"dropping-particle":"","family":"Kutser","given":"T","non-dropping-particle":"","parse-names":false,"suffix":""},{"dropping-particle":"","family":"Larsen","given":"S","non-dropping-particle":"","parse-names":false,"suffix":""},{"dropping-particle":"","family":"Laurion","given":"I","non-dropping-particle":"","parse-names":false,"suffix":""},{"dropping-particle":"","family":"Leech","given":"D M","non-dropping-particle":"","parse-names":false,"suffix":""},{"dropping-particle":"","family":"McCallister","given":"S L","non-dropping-particle":"","parse-names":false,"suffix":""},{"dropping-particle":"","family":"McKnight","given":"D M","non-dropping-particle":"","parse-names":false,"suffix":""},{"dropping-particle":"","family":"Melack","given":"J M","non-dropping-particle":"","parse-names":false,"suffix":""},{"dropping-particle":"","family":"Overholt","given":"E","non-dropping-particle":"","parse-names":false,"suffix":""},{"dropping-particle":"","family":"Porter","given":"J A","non-dropping-particle":"","parse-names":false,"suffix":""},{"dropping-particle":"","family":"Prairie","given":"Y","non-dropping-particle":"","parse-names":false,"suffix":""},{"dropping-particle":"","family":"Renwick","given":"W H","non-dropping-particle":"","parse-names":false,"suffix":""},{"dropping-particle":"","family":"Roland","given":"F","non-dropping-particle":"","parse-names":false,"suffix":""},{"dropping-particle":"","family":"Sherman","given":"B S","non-dropping-particle":"","parse-names":false,"suffix":""},{"dropping-particle":"","family":"Schindler","given":"D W","non-dropping-particle":"","parse-names":false,"suffix":""},{"dropping-particle":"","family":"Sobek","given":"S","non-dropping-particle":"","parse-names":false,"suffix":""},{"dropping-particle":"","family":"Tremblay","given":"A","non-dropping-particle":"","parse-names":false,"suffix":""},{"dropping-particle":"","family":"Vanni","given":"M J","non-dropping-particle":"","parse-names":false,"suffix":""},{"dropping-particle":"","family":"Verschoor","given":"A M","non-dropping-particle":"","parse-names":false,"suffix":""},{"dropping-particle":"","family":"Wachenfeldt","given":"E","non-dropping-particle":"von","parse-names":false,"suffix":""},{"dropping-particle":"","family":"Weyhenmeyer","given":"G A","non-dropping-particle":"","parse-names":false,"suffix":""}],"container-title":"Limnology and Oceanography","id":"ITEM-2","issue":"6_part_2","issued":{"date-parts":[["2009"]]},"page":"2298-2314","title":"Lakes and reservoirs as regulators of carbon cycling and climate","type":"article-journal","volume":"54"},"uris":["http://www.mendeley.com/documents/?uuid=b98b760d-71af-4f4c-84bb-c678297c01c7"]},{"id":"ITEM-3","itemData":{"DOI":"10.1038/s41467-017-01789-6","ISSN":"2041-1723","abstract":"Burial in sediments removes organic carbon (OC) from the short-term biosphere-atmosphere carbon (C) cycle, and therefore prevents greenhouse gas production in natural systems. Although OC burial in lakes and reservoirs is faster than in the ocean, the magnitude of inland water OC burial is not well constrained. Here we generate the first global-scale and regionally resolved estimate of modern OC burial in lakes and reservoirs, deriving from a comprehensive compilation of literature data. We coupled statistical models to inland water area inventories to estimate a yearly OC burial of 0.15 (range, 0.06–0.25) Pg C, of which ~40% is stored in reservoirs. Relatively higher OC burial rates are predicted for warm and dry regions. While we report lower burial than previously estimated, lake and reservoir OC burial corresponded to ~20% of their C emissions, making them an important C sink that is likely to increase with eutrophication and river damming.","author":[{"dropping-particle":"","family":"Mendonça","given":"Raquel","non-dropping-particle":"","parse-names":false,"suffix":""},{"dropping-particle":"","family":"Müller","given":"Roger A.","non-dropping-particle":"","parse-names":false,"suffix":""},{"dropping-particle":"","family":"Clow","given":"David","non-dropping-particle":"","parse-names":false,"suffix":""},{"dropping-particle":"","family":"Verpoorter","given":"Charles","non-dropping-particle":"","parse-names":false,"suffix":""},{"dropping-particle":"","family":"Raymond","given":"Peter","non-dropping-particle":"","parse-names":false,"suffix":""},{"dropping-particle":"","family":"Tranvik","given":"Lars J.","non-dropping-particle":"","parse-names":false,"suffix":""},{"dropping-particle":"","family":"Sobek","given":"Sebastian","non-dropping-particle":"","parse-names":false,"suffix":""}],"container-title":"Nature Communications","id":"ITEM-3","issue":"1","issued":{"date-parts":[["2017","12","22"]]},"page":"1694","title":"Organic carbon burial in global lakes and reservoirs","type":"article-journal","volume":"8"},"uris":["http://www.mendeley.com/documents/?uuid=e4229cee-44a3-4bc4-8023-a66f6cde8c74"]}],"mendeley":{"formattedCitation":"&lt;sup&gt;7–9&lt;/sup&gt;","manualFormatting":"Mulholland and Elwood (1982), Tranvik et al. (2009), Mendonça et al. (2017)","plainTextFormattedCitation":"7–9","previouslyFormattedCitation":"(Mulholland and Elwood 1982; Tranvik et al. 2009; Mendonça et al. 2017)"},"properties":{"noteIndex":0},"schema":"https://github.com/citation-style-language/schema/raw/master/csl-citation.json"}</w:instrText>
      </w:r>
      <w:r w:rsidR="00CE2264" w:rsidRPr="00513B5A">
        <w:rPr>
          <w:rFonts w:ascii="Times New Roman" w:hAnsi="Times New Roman" w:cs="Times New Roman"/>
          <w:sz w:val="24"/>
          <w:szCs w:val="24"/>
          <w:shd w:val="clear" w:color="auto" w:fill="FFFFFF"/>
          <w:lang w:val="en-GB"/>
        </w:rPr>
        <w:fldChar w:fldCharType="separate"/>
      </w:r>
      <w:r w:rsidR="00CE2264" w:rsidRPr="00513B5A">
        <w:rPr>
          <w:rFonts w:ascii="Times New Roman" w:hAnsi="Times New Roman" w:cs="Times New Roman"/>
          <w:noProof/>
          <w:sz w:val="24"/>
          <w:szCs w:val="24"/>
          <w:shd w:val="clear" w:color="auto" w:fill="FFFFFF"/>
          <w:lang w:val="en-GB"/>
        </w:rPr>
        <w:t>Mulholland and Elwood (1982)</w:t>
      </w:r>
      <w:r w:rsidR="00AD349A" w:rsidRPr="00513B5A">
        <w:rPr>
          <w:rFonts w:ascii="Times New Roman" w:hAnsi="Times New Roman" w:cs="Times New Roman"/>
          <w:noProof/>
          <w:sz w:val="24"/>
          <w:szCs w:val="24"/>
          <w:shd w:val="clear" w:color="auto" w:fill="FFFFFF"/>
          <w:lang w:val="en-GB"/>
        </w:rPr>
        <w:t>,</w:t>
      </w:r>
      <w:r w:rsidR="00CE2264" w:rsidRPr="00513B5A">
        <w:rPr>
          <w:rFonts w:ascii="Times New Roman" w:hAnsi="Times New Roman" w:cs="Times New Roman"/>
          <w:noProof/>
          <w:sz w:val="24"/>
          <w:szCs w:val="24"/>
          <w:shd w:val="clear" w:color="auto" w:fill="FFFFFF"/>
          <w:lang w:val="en-GB"/>
        </w:rPr>
        <w:t xml:space="preserve"> Tranvik et al. (2009)</w:t>
      </w:r>
      <w:r w:rsidR="00AD349A" w:rsidRPr="00513B5A">
        <w:rPr>
          <w:rFonts w:ascii="Times New Roman" w:hAnsi="Times New Roman" w:cs="Times New Roman"/>
          <w:noProof/>
          <w:sz w:val="24"/>
          <w:szCs w:val="24"/>
          <w:shd w:val="clear" w:color="auto" w:fill="FFFFFF"/>
          <w:lang w:val="en-GB"/>
        </w:rPr>
        <w:t>,</w:t>
      </w:r>
      <w:r w:rsidR="00CE2264" w:rsidRPr="00513B5A">
        <w:rPr>
          <w:rFonts w:ascii="Times New Roman" w:hAnsi="Times New Roman" w:cs="Times New Roman"/>
          <w:noProof/>
          <w:sz w:val="24"/>
          <w:szCs w:val="24"/>
          <w:shd w:val="clear" w:color="auto" w:fill="FFFFFF"/>
          <w:lang w:val="en-GB"/>
        </w:rPr>
        <w:t xml:space="preserve"> Mendonça et al. (2017)</w:t>
      </w:r>
      <w:r w:rsidR="00CE2264" w:rsidRPr="00513B5A">
        <w:rPr>
          <w:rFonts w:ascii="Times New Roman" w:hAnsi="Times New Roman" w:cs="Times New Roman"/>
          <w:sz w:val="24"/>
          <w:szCs w:val="24"/>
          <w:shd w:val="clear" w:color="auto" w:fill="FFFFFF"/>
          <w:lang w:val="en-GB"/>
        </w:rPr>
        <w:fldChar w:fldCharType="end"/>
      </w:r>
      <w:r w:rsidR="00CE2264" w:rsidRPr="00513B5A">
        <w:rPr>
          <w:rFonts w:ascii="Times New Roman" w:hAnsi="Times New Roman" w:cs="Times New Roman"/>
          <w:sz w:val="24"/>
          <w:szCs w:val="24"/>
          <w:shd w:val="clear" w:color="auto" w:fill="FFFFFF"/>
          <w:lang w:val="en-GB"/>
        </w:rPr>
        <w:t>, and Anderson et al. (2020),</w:t>
      </w:r>
      <w:r w:rsidR="00CE2264" w:rsidRPr="00513B5A">
        <w:rPr>
          <w:rFonts w:ascii="Times New Roman" w:hAnsi="Times New Roman" w:cs="Times New Roman"/>
          <w:noProof/>
          <w:sz w:val="24"/>
          <w:szCs w:val="24"/>
          <w:lang w:val="en-GB"/>
        </w:rPr>
        <w:t xml:space="preserve"> </w:t>
      </w:r>
      <w:r w:rsidR="00CE2264" w:rsidRPr="00513B5A">
        <w:rPr>
          <w:rFonts w:ascii="Times New Roman" w:hAnsi="Times New Roman" w:cs="Times New Roman"/>
          <w:sz w:val="24"/>
          <w:szCs w:val="24"/>
          <w:lang w:val="en-GB"/>
        </w:rPr>
        <w:t>respectively</w:t>
      </w:r>
      <w:r w:rsidR="00777BD7" w:rsidRPr="00513B5A">
        <w:rPr>
          <w:rFonts w:ascii="Times New Roman" w:hAnsi="Times New Roman" w:cs="Times New Roman"/>
          <w:sz w:val="24"/>
          <w:szCs w:val="24"/>
          <w:lang w:val="en-GB"/>
        </w:rPr>
        <w:t xml:space="preserve">, </w:t>
      </w:r>
      <w:r w:rsidR="004F2E9E" w:rsidRPr="00513B5A">
        <w:rPr>
          <w:rFonts w:ascii="Times New Roman" w:hAnsi="Times New Roman" w:cs="Times New Roman"/>
          <w:sz w:val="24"/>
          <w:szCs w:val="24"/>
          <w:shd w:val="clear" w:color="auto" w:fill="FFFFFF"/>
          <w:lang w:val="en-GB"/>
        </w:rPr>
        <w:t>earlier</w:t>
      </w:r>
      <w:r w:rsidR="00A13E03" w:rsidRPr="00513B5A">
        <w:rPr>
          <w:rFonts w:ascii="Times New Roman" w:hAnsi="Times New Roman" w:cs="Times New Roman"/>
          <w:sz w:val="24"/>
          <w:szCs w:val="24"/>
          <w:shd w:val="clear" w:color="auto" w:fill="FFFFFF"/>
          <w:lang w:val="en-GB"/>
        </w:rPr>
        <w:t xml:space="preserve"> studies that are highly </w:t>
      </w:r>
      <w:r w:rsidR="00CE0C31">
        <w:rPr>
          <w:rFonts w:ascii="Times New Roman" w:hAnsi="Times New Roman" w:cs="Times New Roman"/>
          <w:sz w:val="24"/>
          <w:szCs w:val="24"/>
          <w:lang w:val="en-GB"/>
        </w:rPr>
        <w:t>skewed towards</w:t>
      </w:r>
      <w:r w:rsidR="00A13E03" w:rsidRPr="00513B5A" w:rsidDel="00777BD7">
        <w:rPr>
          <w:rFonts w:ascii="Times New Roman" w:eastAsia="Times New Roman" w:hAnsi="Times New Roman" w:cs="Times New Roman"/>
          <w:sz w:val="24"/>
          <w:szCs w:val="24"/>
          <w:lang w:val="en-GB" w:eastAsia="pt-BR"/>
        </w:rPr>
        <w:t xml:space="preserve"> </w:t>
      </w:r>
      <w:r w:rsidR="00A13E03" w:rsidRPr="00513B5A">
        <w:rPr>
          <w:rFonts w:ascii="Times New Roman" w:eastAsia="Times New Roman" w:hAnsi="Times New Roman" w:cs="Times New Roman"/>
          <w:sz w:val="24"/>
          <w:szCs w:val="24"/>
          <w:lang w:val="en-GB" w:eastAsia="pt-BR"/>
        </w:rPr>
        <w:t>cold high- and mid-latitude environments</w:t>
      </w:r>
      <w:r w:rsidR="00A13E03" w:rsidRPr="00513B5A">
        <w:rPr>
          <w:rFonts w:ascii="Times New Roman" w:hAnsi="Times New Roman" w:cs="Times New Roman"/>
          <w:sz w:val="24"/>
          <w:szCs w:val="24"/>
          <w:lang w:val="en-GB"/>
        </w:rPr>
        <w:t xml:space="preserve">. </w:t>
      </w:r>
      <w:r w:rsidR="004C3688" w:rsidRPr="00513B5A">
        <w:rPr>
          <w:rFonts w:ascii="Times New Roman" w:hAnsi="Times New Roman" w:cs="Times New Roman"/>
          <w:sz w:val="24"/>
          <w:szCs w:val="24"/>
          <w:lang w:val="en-GB"/>
        </w:rPr>
        <w:t>These</w:t>
      </w:r>
      <w:r w:rsidR="00BD3B3A" w:rsidRPr="00513B5A">
        <w:rPr>
          <w:rFonts w:ascii="Times New Roman" w:hAnsi="Times New Roman" w:cs="Times New Roman"/>
          <w:sz w:val="24"/>
          <w:szCs w:val="24"/>
          <w:lang w:val="en-GB"/>
        </w:rPr>
        <w:t xml:space="preserve"> </w:t>
      </w:r>
      <w:r w:rsidR="00CE2264" w:rsidRPr="00513B5A">
        <w:rPr>
          <w:rFonts w:ascii="Times New Roman" w:hAnsi="Times New Roman" w:cs="Times New Roman"/>
          <w:sz w:val="24"/>
          <w:szCs w:val="24"/>
          <w:lang w:val="en-GB"/>
        </w:rPr>
        <w:t xml:space="preserve">findings </w:t>
      </w:r>
      <w:r w:rsidR="00BD3B3A" w:rsidRPr="00513B5A">
        <w:rPr>
          <w:rFonts w:ascii="Times New Roman" w:hAnsi="Times New Roman" w:cs="Times New Roman"/>
          <w:sz w:val="24"/>
          <w:szCs w:val="24"/>
          <w:lang w:val="en-GB"/>
        </w:rPr>
        <w:t xml:space="preserve">confirm </w:t>
      </w:r>
      <w:r w:rsidR="00D16E96" w:rsidRPr="00513B5A">
        <w:rPr>
          <w:rFonts w:ascii="Times New Roman" w:hAnsi="Times New Roman" w:cs="Times New Roman"/>
          <w:sz w:val="24"/>
          <w:szCs w:val="24"/>
          <w:lang w:val="en-GB"/>
        </w:rPr>
        <w:t>recent</w:t>
      </w:r>
      <w:r w:rsidR="00BD3B3A" w:rsidRPr="00513B5A">
        <w:rPr>
          <w:rFonts w:ascii="Times New Roman" w:hAnsi="Times New Roman" w:cs="Times New Roman"/>
          <w:sz w:val="24"/>
          <w:szCs w:val="24"/>
          <w:lang w:val="en-GB"/>
        </w:rPr>
        <w:t xml:space="preserve"> studies</w:t>
      </w:r>
      <w:r w:rsidR="00D16E96" w:rsidRPr="00513B5A">
        <w:rPr>
          <w:rFonts w:ascii="Times New Roman" w:hAnsi="Times New Roman" w:cs="Times New Roman"/>
          <w:sz w:val="24"/>
          <w:szCs w:val="24"/>
          <w:lang w:val="en-GB"/>
        </w:rPr>
        <w:t xml:space="preserve"> </w:t>
      </w:r>
      <w:r w:rsidR="00BD3B3A" w:rsidRPr="00513B5A">
        <w:rPr>
          <w:rFonts w:ascii="Times New Roman" w:hAnsi="Times New Roman" w:cs="Times New Roman"/>
          <w:sz w:val="24"/>
          <w:szCs w:val="24"/>
          <w:lang w:val="en-GB"/>
        </w:rPr>
        <w:t xml:space="preserve">that </w:t>
      </w:r>
      <w:r w:rsidR="007A5AA0" w:rsidRPr="00513B5A">
        <w:rPr>
          <w:rFonts w:ascii="Times New Roman" w:hAnsi="Times New Roman" w:cs="Times New Roman"/>
          <w:sz w:val="24"/>
          <w:szCs w:val="24"/>
          <w:lang w:val="en-GB"/>
        </w:rPr>
        <w:t xml:space="preserve">have supported </w:t>
      </w:r>
      <w:r w:rsidR="00DC64DC" w:rsidRPr="00513B5A">
        <w:rPr>
          <w:rFonts w:ascii="Times New Roman" w:hAnsi="Times New Roman" w:cs="Times New Roman"/>
          <w:sz w:val="24"/>
          <w:szCs w:val="24"/>
          <w:lang w:val="en-GB"/>
        </w:rPr>
        <w:t xml:space="preserve">the idea that there are </w:t>
      </w:r>
      <w:r w:rsidR="00BD3B3A" w:rsidRPr="00513B5A">
        <w:rPr>
          <w:rFonts w:ascii="Times New Roman" w:hAnsi="Times New Roman" w:cs="Times New Roman"/>
          <w:sz w:val="24"/>
          <w:szCs w:val="24"/>
          <w:lang w:val="en-GB"/>
        </w:rPr>
        <w:t xml:space="preserve">important watershed controls on OC accumulation in lakes </w:t>
      </w:r>
      <w:r w:rsidR="00DC64DC" w:rsidRPr="00513B5A">
        <w:rPr>
          <w:rFonts w:ascii="Times New Roman" w:hAnsi="Times New Roman" w:cs="Times New Roman"/>
          <w:sz w:val="24"/>
          <w:szCs w:val="24"/>
          <w:lang w:val="en-GB"/>
        </w:rPr>
        <w:t>globally</w:t>
      </w:r>
      <w:r w:rsidR="00BD3B3A"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{"citationItems":[{"id":"ITEM-1","itemData":{"abstract":"Deevey, E. S., Jr. 1972. Biogeochemistry of lakes: major\\nsubstances. In Nutrients and eutrophication. Proc.\\nAmer. SOC. Limnol. Oceanogr. Special Symp. (ed.\\nG. E. Likens), pp. 14-20. W. K. Kellogg Biol. Sta.,\\nFebruary 11-12, 1971","author":[{"dropping-particle":"","family":"Deevey Jr.","given":"E S","non-dropping-particle":"","parse-names":false,"suffix":""}],"container-title":"Am. Soc. Limnol. Oceanogr. Spec. Symp.","id":"ITEM-1","issued":{"date-parts":[["1972"]]},"page":"14-20","title":"Biogeochemistry of lakes:  major substances","type":"article-journal","volume":"1"},"uris":["http://www.mendeley.com/documents/?uuid=79254d23-5476-4676-95e8-8f34fe461ec3"]}],"mendeley":{"formattedCitation":"&lt;sup&gt;10&lt;/sup&gt;","plainTextFormattedCitation":"10","previouslyFormattedCitation":"(Deevey Jr. 1972)"},"properties":{"noteIndex":0},"schema":"https://github.com/citation-style-language/schema/raw/master/csl-citation.json"}</w:instrText>
      </w:r>
      <w:r w:rsidR="00BD3B3A"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10</w:t>
      </w:r>
      <w:r w:rsidR="00BD3B3A" w:rsidRPr="00513B5A">
        <w:rPr>
          <w:rFonts w:ascii="Times New Roman" w:hAnsi="Times New Roman" w:cs="Times New Roman"/>
          <w:sz w:val="24"/>
          <w:szCs w:val="24"/>
          <w:lang w:val="en-GB"/>
        </w:rPr>
        <w:fldChar w:fldCharType="end"/>
      </w:r>
      <w:r w:rsidR="00DC64DC" w:rsidRPr="00513B5A">
        <w:rPr>
          <w:rFonts w:ascii="Times New Roman" w:hAnsi="Times New Roman" w:cs="Times New Roman"/>
          <w:sz w:val="24"/>
          <w:szCs w:val="24"/>
          <w:lang w:val="en-GB"/>
        </w:rPr>
        <w:t xml:space="preserve">. This is particularly true for </w:t>
      </w:r>
      <w:r w:rsidR="00BD3B3A" w:rsidRPr="00513B5A">
        <w:rPr>
          <w:rFonts w:ascii="Times New Roman" w:hAnsi="Times New Roman" w:cs="Times New Roman"/>
          <w:sz w:val="24"/>
          <w:szCs w:val="24"/>
          <w:lang w:val="en-GB"/>
        </w:rPr>
        <w:t xml:space="preserve">the role of </w:t>
      </w:r>
      <w:r w:rsidR="00B62B42" w:rsidRPr="00513B5A">
        <w:rPr>
          <w:rFonts w:ascii="Times New Roman" w:hAnsi="Times New Roman" w:cs="Times New Roman"/>
          <w:sz w:val="24"/>
          <w:szCs w:val="24"/>
          <w:lang w:val="en-GB"/>
        </w:rPr>
        <w:t>nutrient enrichment</w:t>
      </w:r>
      <w:r w:rsidR="00411654"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{"citationItems":[{"id":"ITEM-1","itemData":{"DOI":"10.1139/f93-168","ISSN":"0706-652X","abstract":"The median TOC, colour, and chemical oxygen demand (CODMn) are 12 mg/L-1, 100 mg Pt.L-1, and 15 mg O2.L-1, respectively. TOC is significantly related to other water quality parameters including the following: CODMn(r2= 0.92), colour (R2= 0.86), total iron (r2= 0.69), total nitrogen (r2= 0.53), and total phosphorus (r2= 0.41). TOC and nutrient concentrations are low in northern Finland compared with southern and central regions. The proportion of the catchment area covered by peatlands is the most important catchment variable determining TOC concentrations. In northern Finland, where catchment areas are less disturbed compared with southern regions, peatlands and latitude explain 63% of the variation in TOC. In the full set of lakes, latitude, catchment to lake area ratio, and the proportion of the catchment area covered by peatlands, upstream lakes, and fields explain 55% of the variation in TOC. -from Author","author":[{"dropping-particle":"","family":"Kortelainen","given":"Pirkko","non-dropping-particle":"","parse-names":false,"suffix":""}],"container-title":"Canadian Journal of Fisheries and Aquatic Sciences","id":"ITEM-1","issue":"7","issued":{"date-parts":[["1993","7"]]},"page":"1477-1483","title":"Content of Total Organic Carbon in Finnish Lakes and Its Relationship to Catchment Characteristics","type":"article-journal","volume":"50"},"uris":["http://www.mendeley.com/documents/?uuid=7800fc79-2385-438f-8c7c-c3b35a95b363"]},{"id":"ITEM-2","itemData":{"DOI":"10.4319/lo.2009.54.6_part_2.2298","ISBN":"0024-3590","ISSN":"0024-3590","PMID":"19749023","abstract":"We explore the role of lakes in carbon cycling and global climate, examine the mechanisms influencing carbon pools and transformations in lakes, and discuss how the metabolism of carbon in the inland waters is likely to change in response to climate. Furthermore, we project changes as global climate change in the abundance and spatial distribution of lakes in the biosphere, and we revise the estimate for the global extent of carbon transformation in inland waters. This synthesis demonstrates that the global annual emissions of carbon dioxide from inland waters to the atmosphere are similar in magnitude to the carbon dioxide uptake by the oceans and that the global burial of organic carbon in inland water sediments exceeds organic carbon sequestration on the ocean floor. The role of inland waters in global carbon cycling and climate forcing may be changed by human activities, including construction of impoundments, which accumulate large amounts of carbon in sediments and emit large amounts of methane to the atmosphere. Methane emissions are also expected from lakes on melting permafrost. The synthesis presented here indicates that (1) inland waters constitute a significant component of the global carbon cycle, (2) their contribution to this cycle has significantly changed as a result of human activities, and (3) they will continue to change in response to future climate change causing decreased as well as increased abundance of lakes as well as increases in the number of aquatic impoundments.","author":[{"dropping-particle":"","family":"Tranvik","given":"Lars J.","non-dropping-particle":"","parse-names":false,"suffix":""},{"dropping-particle":"","family":"Downing","given":"John a.","non-dropping-particle":"","parse-names":false,"suffix":""},{"dropping-particle":"","family":"Cotner","given":"James B.","non-dropping-particle":"","parse-names":false,"suffix":""},{"dropping-particle":"","family":"Loiselle","given":"Steven a.","non-dropping-particle":"","parse-names":false,"suffix":""},{"dropping-particle":"","family":"Striegl","given":"Robert G.","non-dropping-particle":"","parse-names":false,"suffix":""},{"dropping-particle":"","family":"Ballatore","given":"Thomas J.","non-dropping-particle":"","parse-names":false,"suffix":""},{"dropping-particle":"","family":"Dillon","given":"Peter","non-dropping-particle":"","parse-names":false,"suffix":""},{"dropping-particle":"","family":"Finlay","given":"Kerri","non-dropping-particle":"","parse-names":false,"suffix":""},{"dropping-particle":"","family":"Fortino","given":"Kenneth","non-dropping-particle":"","parse-names":false,"suffix":""},{"dropping-particle":"","family":"Knoll","given":"Lesley B.","non-dropping-particle":"","parse-names":false,"suffix":""},{"dropping-particle":"","family":"Kortelainen","given":"P L","non-dropping-particle":"","parse-names":false,"suffix":""},{"dropping-particle":"","family":"Kutser","given":"T","non-dropping-particle":"","parse-names":false,"suffix":""},{"dropping-particle":"","family":"Larsen","given":"S","non-dropping-particle":"","parse-names":false,"suffix":""},{"dropping-particle":"","family":"Laurion","given":"I","non-dropping-particle":"","parse-names":false,"suffix":""},{"dropping-particle":"","family":"Leech","given":"D M","non-dropping-particle":"","parse-names":false,"suffix":""},{"dropping-particle":"","family":"McCallister","given":"S L","non-dropping-particle":"","parse-names":false,"suffix":""},{"dropping-particle":"","family":"McKnight","given":"D M","non-dropping-particle":"","parse-names":false,"suffix":""},{"dropping-particle":"","family":"Melack","given":"J M","non-dropping-particle":"","parse-names":false,"suffix":""},{"dropping-particle":"","family":"Overholt","given":"E","non-dropping-particle":"","parse-names":false,"suffix":""},{"dropping-particle":"","family":"Porter","given":"J A","non-dropping-particle":"","parse-names":false,"suffix":""},{"dropping-particle":"","family":"Prairie","given":"Y","non-dropping-particle":"","parse-names":false,"suffix":""},{"dropping-particle":"","family":"Renwick","given":"W H","non-dropping-particle":"","parse-names":false,"suffix":""},{"dropping-particle":"","family":"Roland","given":"F","non-dropping-particle":"","parse-names":false,"suffix":""},{"dropping-particle":"","family":"Sherman","given":"B S","non-dropping-particle":"","parse-names":false,"suffix":""},{"dropping-particle":"","family":"Schindler","given":"D W","non-dropping-particle":"","parse-names":false,"suffix":""},{"dropping-particle":"","family":"Sobek","given":"S","non-dropping-particle":"","parse-names":false,"suffix":""},{"dropping-particle":"","family":"Tremblay","given":"A","non-dropping-particle":"","parse-names":false,"suffix":""},{"dropping-particle":"","family":"Vanni","given":"M J","non-dropping-particle":"","parse-names":false,"suffix":""},{"dropping-particle":"","family":"Verschoor","given":"A M","non-dropping-particle":"","parse-names":false,"suffix":""},{"dropping-particle":"","family":"Wachenfeldt","given":"E","non-dropping-particle":"von","parse-names":false,"suffix":""},{"dropping-particle":"","family":"Weyhenmeyer","given":"G A","non-dropping-particle":"","parse-names":false,"suffix":""}],"container-title":"Limnology and Oceanography","id":"ITEM-2","issue":"6_part_2","issued":{"date-parts":[["2009"]]},"page":"2298-2314","title":"Lakes and reservoirs as regulators of carbon cycling and climate","type":"article-journal","volume":"54"},"uris":["http://www.mendeley.com/documents/?uuid=b98b760d-71af-4f4c-84bb-c678297c01c7"]},{"id":"ITEM-3","itemData":{"DOI":"10.1038/s41467-017-01789-6","ISSN":"2041-1723","abstract":"Burial in sediments removes organic carbon (OC) from the short-term biosphere-atmosphere carbon (C) cycle, and therefore prevents greenhouse gas production in natural systems. Although OC burial in lakes and reservoirs is faster than in the ocean, the magnitude of inland water OC burial is not well constrained. Here we generate the first global-scale and regionally resolved estimate of modern OC burial in lakes and reservoirs, deriving from a comprehensive compilation of literature data. We coupled statistical models to inland water area inventories to estimate a yearly OC burial of 0.15 (range, 0.06–0.25) Pg C, of which ~40% is stored in reservoirs. Relatively higher OC burial rates are predicted for warm and dry regions. While we report lower burial than previously estimated, lake and reservoir OC burial corresponded to ~20% of their C emissions, making them an important C sink that is likely to increase with eutrophication and river damming.","author":[{"dropping-particle":"","family":"Mendonça","given":"Raquel","non-dropping-particle":"","parse-names":false,"suffix":""},{"dropping-particle":"","family":"Müller","given":"Roger A.","non-dropping-particle":"","parse-names":false,"suffix":""},{"dropping-particle":"","family":"Clow","given":"David","non-dropping-particle":"","parse-names":false,"suffix":""},{"dropping-particle":"","family":"Verpoorter","given":"Charles","non-dropping-particle":"","parse-names":false,"suffix":""},{"dropping-particle":"","family":"Raymond","given":"Peter","non-dropping-particle":"","parse-names":false,"suffix":""},{"dropping-particle":"","family":"Tranvik","given":"Lars J.","non-dropping-particle":"","parse-names":false,"suffix":""},{"dropping-particle":"","family":"Sobek","given":"Sebastian","non-dropping-particle":"","parse-names":false,"suffix":""}],"container-title":"Nature Communications","id":"ITEM-3","issue":"1","issued":{"date-parts":[["2017","12","22"]]},"page":"1694","title":"Organic carbon burial in global lakes and reservoirs","type":"article-journal","volume":"8"},"uris":["http://www.mendeley.com/documents/?uuid=e4229cee-44a3-4bc4-8023-a66f6cde8c74"]}],"mendeley":{"formattedCitation":"&lt;sup&gt;8,9,11&lt;/sup&gt;","plainTextFormattedCitation":"8,9,11","previouslyFormattedCitation":"(Kortelainen 1993; Tranvik et al. 2009; Mendonça et al. 2017)"},"properties":{"noteIndex":0},"schema":"https://github.com/citation-style-language/schema/raw/master/csl-citation.json"}</w:instrText>
      </w:r>
      <w:r w:rsidR="00411654"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8,9,11</w:t>
      </w:r>
      <w:r w:rsidR="00411654" w:rsidRPr="00513B5A">
        <w:rPr>
          <w:rFonts w:ascii="Times New Roman" w:hAnsi="Times New Roman" w:cs="Times New Roman"/>
          <w:sz w:val="24"/>
          <w:szCs w:val="24"/>
          <w:lang w:val="en-GB"/>
        </w:rPr>
        <w:fldChar w:fldCharType="end"/>
      </w:r>
      <w:r w:rsidR="000650D9" w:rsidRPr="00513B5A">
        <w:rPr>
          <w:rFonts w:ascii="Times New Roman" w:hAnsi="Times New Roman" w:cs="Times New Roman"/>
          <w:sz w:val="24"/>
          <w:szCs w:val="24"/>
          <w:lang w:val="en-GB"/>
        </w:rPr>
        <w:t xml:space="preserve"> </w:t>
      </w:r>
      <w:r w:rsidR="00B62B42" w:rsidRPr="00513B5A">
        <w:rPr>
          <w:rFonts w:ascii="Times New Roman" w:hAnsi="Times New Roman" w:cs="Times New Roman"/>
          <w:sz w:val="24"/>
          <w:szCs w:val="24"/>
          <w:lang w:val="en-GB"/>
        </w:rPr>
        <w:t>related to</w:t>
      </w:r>
      <w:r w:rsidR="000650D9" w:rsidRPr="00513B5A">
        <w:rPr>
          <w:rFonts w:ascii="Times New Roman" w:hAnsi="Times New Roman" w:cs="Times New Roman"/>
          <w:sz w:val="24"/>
          <w:szCs w:val="24"/>
          <w:lang w:val="en-GB"/>
        </w:rPr>
        <w:t xml:space="preserve"> </w:t>
      </w:r>
      <w:r w:rsidR="00642FBD" w:rsidRPr="00513B5A">
        <w:rPr>
          <w:rFonts w:ascii="Times New Roman" w:hAnsi="Times New Roman" w:cs="Times New Roman"/>
          <w:sz w:val="24"/>
          <w:szCs w:val="24"/>
          <w:lang w:val="en-GB"/>
        </w:rPr>
        <w:t>human-altered environments</w:t>
      </w:r>
      <w:r w:rsidR="00411654"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{"citationItems":[{"id":"ITEM-1","itemData":{"DOI":"10.3402/tellusa.v34i5.10834","ISBN":"2153-3490","ISSN":"0040-2826","abstract":"Recent increases in organic carbon accumulation in the sediments of lakes and reservoirs are estimated. The possibility that, as a result of some of man 's activities, the rate of net carbon accumulation in the sediments of inland waters has increased in recent years, removing fossil fuel carbon from the atmosphere and accounting for a portion of the missing carbon in current global carbon budget estimates, was investigated. The findings proved that the role of inland aquatic sediments as sinks in the global carbon cycle is significant although small compared to that of terrestrial systems and the oceans. Rates of organic carbon accumulation in the sediments of inland aquatic ecosystems appear to be related to the flushing rates of these systems. The highest accumulation rates are found in systems which have relatively large inputs of terrestrial organic matter. These systems usually have high watershed area:water surface area ratios, but also have sufficient water residence times for substantial sedimentation of allochthonous inputs and medium to high autochthonous production.","author":[{"dropping-particle":"","family":"Mulholland","given":"Patrick J.","non-dropping-particle":"","parse-names":false,"suffix":""},{"dropping-particle":"","family":"Elwood","given":"Jerry W.","non-dropping-particle":"","parse-names":false,"suffix":""}],"container-title":"Tellus","id":"ITEM-1","issue":"5","issued":{"date-parts":[["1982","1","15"]]},"page":"490-499","title":"The role of lake and reservoir sediments as sinks in the perturbed global carbon cycle","type":"article-journal","volume":"34"},"uris":["http://www.mendeley.com/documents/?uuid=2f97933f-9161-495f-8ad1-88d6d67251cd"]},{"id":"ITEM-2","itemData":{"DOI":"10.1007/s00027-006-0833-6","ISSN":"10151621","abstract":"Associations between catchment characteristics (altitude, slope, proportion of peatland, site fertility, total stem volume, and its distribution among the main tree species), climatic drivers (temperature sum, latitude, precipitation and runoff) and atmospheric deposition and concentrations and export of C, N, P and Fe in 21 unmanaged boreal catchments (0.07 to 14 km2) were examined in data sets spanning 3 to 32 years. In the entire data base including catchments from southernmost Finland to the Arctic Circle, N and P concentrations were associated with climatic drivers and deposition, while a catchment characteristic, peatland percentage, reflecting topography and site fertility was the best predictor for TOC (total organic carbon) and total Fe concentrations and export. In a subgroup of 18 catchments located in similar climatic conditions and low N deposition in eastern Finland (&lt;600 kg N km-2 yr-1), peatland percentage accounted for 52-75 % of the export of TOC, TN (total nitrogen), TON (total organic nitrogen), NH 4-N and total Fe, while slope was the best predictor of TP (total phosphorus) export (r2 = 0.56, p &lt; 0.001). Furthermore, among these 18 catchments TOC export accounted for as much as 95 % of the variance in TON export, and 61-73 % of the variance in NH4-N, total Fe and TP export. Total stem volume of the tree stands and their distribution between tree species and vegetation types were not important predictors for concentrations/export. The peatland percentage of the 21 catchments ranged widely, from 0 to 88 %, with an average value of 34 % as in entire Finland. Consequently, among the 21 catchments there was also a large variability both in average TOC and pH, 1.2-30 mg l-1 and 4.2-7.1, respectively. The average annual TOC export was 6,200 kg km-2 yr-1, significantly lower values were recorded for the export of TN, TP and total Fe (130, 5 and 280 kg km-2 yr-1, respectively). N and P export was mainly in an organic form. The TIN (total inorganic N) proportion averaged 13 % and elevated NO3-N export occurred only in fertile, high pH sites in southernmost Finland, where stream C/N ratio was lowest. On average, 97 % of the TOC, 94 % of the TN and 79 % of the TP was in a dissolved form. © Eawag, 2006.","author":[{"dropping-particle":"","family":"Kortelainen","given":"Pirkko","non-dropping-particle":"","parse-names":false,"suffix":""},{"dropping-particle":"","family":"Mattsson","given":"Tuija","non-dropping-particle":"","parse-names":false,"suffix":""},{"dropping-particle":"","family":"Finér","given":"Leena","non-dropping-particle":"","parse-names":false,"suffix":""},{"dropping-particle":"","family":"Ahtiainen","given":"Marketta","non-dropping-particle":"","parse-names":false,"suffix":""},{"dropping-particle":"","family":"Saukkonen","given":"Sari","non-dropping-particle":"","parse-names":false,"suffix":""},{"dropping-particle":"","family":"Sallantaus","given":"Tapani","non-dropping-particle":"","parse-names":false,"suffix":""}],"container-title":"Aquatic Sciences","id":"ITEM-2","issue":"4","issued":{"date-parts":[["2006"]]},"page":"453-468","title":"Controls on the export of C, N, P and Fe from undisturbed boreal catchments, Finland","type":"article-journal","volume":"68"},"uris":["http://www.mendeley.com/documents/?uuid=2d4d2672-7116-497e-9d26-f0f2e023cecf"]},{"id":"ITEM-3","itemData":{"DOI":"10.1029/2010GB003874","ISSN":"08866236","abstract":"Sediment accumulation in lakes provides a small but permanent carbon sink. To date, global estimates of the C cycle have barely considered variations in lake carbon burial. To improve the understanding of carbon storage in lakes this study analyzed the sedimentary record of 228 European lakes concerning long-term carbon burial and its correlation to lake and catchment properties. The results suggest that carbon mass accumulations in small lakes are significantly lower than those used for global estimates so far. On the other hand, the total surface area of small lakes has been severely underestimated. Results from calculations based on a Pareto distribution show that total lake surface is 240,000 km 2 in Europe. We estimate total C burial in European lakes at 1.25 Mt yr -1. Half this storage takes place in boreal lakes of northern Europe, although they contribute up to 65% to the European lake surface. This is due to generally lower carbon burial rates in this region. Carbon mass accumulation rates increased in many lakes between 5000 to 2000 years BP. This coincides with increased clastic inputs due to land use change, i.e., increasing cropland coverage and soil erosion. On average, carbon accumulation rates are twice as high in younger sediments at 20 cm depth when compared to the long-term mean. © 2011 by the American Geophysical Union.","author":[{"dropping-particle":"","family":"Kastowski","given":"Martin","non-dropping-particle":"","parse-names":false,"suffix":""},{"dropping-particle":"","family":"Hinderer","given":"Matthias","non-dropping-particle":"","parse-names":false,"suffix":""},{"dropping-particle":"","family":"Vecsei","given":"Adam","non-dropping-particle":"","parse-names":false,"suffix":""}],"container-title":"Global Biogeochemical Cycles","id":"ITEM-3","issue":"3","issued":{"date-parts":[["2011","9"]]},"page":"n/a-n/a","title":"Long-term carbon burial in European lakes: Analysis and estimate","type":"article-journal","volume":"25"},"uris":["http://www.mendeley.com/documents/?uuid=6db0652b-38d6-4d4a-8129-49dd1f94d59f"]},{"id":"ITEM-4","itemData":{"DOI":"10.1029/2011GB004241","ISBN":"0886-6236","ISSN":"08866236","abstract":"0428 Biogeosciences: Carbon cycling (4806); 1615 Global Change: Biogeochemical cycles, processes, and modeling (0412, 0414, 0793, 4805, 4912); 1845 Hydrology: Limnology (0458, 4239, 4942); 1861 Hydrology: Sedimentation (4863)","author":[{"dropping-particle":"","family":"Ferland","given":"Marie Eve","non-dropping-particle":"","parse-names":false,"suffix":""},{"dropping-particle":"","family":"Giorgio","given":"Paul A.","non-dropping-particle":"Del","parse-names":false,"suffix":""},{"dropping-particle":"","family":"Teodoru","given":"Cristian R.","non-dropping-particle":"","parse-names":false,"suffix":""},{"dropping-particle":"","family":"Prairie","given":"Yves T.","non-dropping-particle":"","parse-names":false,"suffix":""}],"container-title":"Global Biogeochemical Cycles","id":"ITEM-4","issue":"4","issued":{"date-parts":[["2012"]]},"title":"Long-term C accumulation and total C stocks in boreal lakes in northern Québec","type":"article-journal","volume":"26"},"uris":["http://www.mendeley.com/documents/?uuid=d8999275-5e0e-460c-a590-64a5bd04098d"]},{"id":"ITEM-5","itemData":{"DOI":"10.1111/j.1365-2486.2009.01942.x","ISSN":"13541013","author":[{"dropping-particle":"","family":"Anderson","given":"N. J.","non-dropping-particle":"","parse-names":false,"suffix":""},{"dropping-particle":"","family":"D'andrea","given":"W.","non-dropping-particle":"","parse-names":false,"suffix":""},{"dropping-particle":"","family":"Frintz","given":"S. C.","non-dropping-particle":"","parse-names":false,"suffix":""}],"container-title":"Global Change Biology","id":"ITEM-5","issue":"11","issued":{"date-parts":[["2009","11","13"]]},"page":"2590-2598","title":"Holocene carbon burial by lakes in SW Greenland","type":"article-journal","volume":"15"},"uris":["http://www.mendeley.com/documents/?uuid=0bdbdd91-aabe-41e1-ae8e-eb9b41ff4602"]},{"id":"ITEM-6","itemData":{"DOI":"10.1126/sciadv.aaw2145","ISSN":"2375-2548","PMID":"32494589","abstract":"Lakes have a disproportionate effect on the global carbon (C) cycle relative to their area, mediating C transfer from land to atmosphere, and burying organic-C in their sediments. The magnitude and temporal variability of C burial is, however, poorly constrained, and the degree to which humans have influenced lake C cycling through landscape alteration has not been systematically assessed. Here, we report global and biome specific trajectories of lake C sequestration based on 516 lakes and show that some lake C burial rates (i.e., those in tropical forest and grassland biomes) have quadrupled over the last 100 years. Global lake C-sequestration (~0.12 Pg year −1 ) has increased by ~72 Tg year −1 since 1900, offsetting 20% of annual CO 2 freshwater emissions rising to ~30% if reservoirs are included and contributing to the residual continental C sink. Nutrient availability explains ~70% of the observed increase, while rising temperatures have a minimal effect.","author":[{"dropping-particle":"","family":"Anderson","given":"N. J.","non-dropping-particle":"","parse-names":false,"suffix":""},{"dropping-particle":"","family":"Heathcote","given":"A. J.","non-dropping-particle":"","parse-names":false,"suffix":""},{"dropping-particle":"","family":"Engstrom","given":"D. R.","non-dropping-particle":"","parse-names":false,"suffix":""}],"container-title":"Science Advances","id":"ITEM-6","issue":"16","issued":{"date-parts":[["2020","4","15"]]},"page":"eaaw2145","title":"Anthropogenic alteration of nutrient supply increases the global freshwater carbon sink","type":"article-journal","volume":"6"},"uris":["http://www.mendeley.com/documents/?uuid=fe498044-d8ac-44ec-9a3c-78cc916c452c"]}],"mendeley":{"formattedCitation":"&lt;sup&gt;7,12–16&lt;/sup&gt;","plainTextFormattedCitation":"7,12–16","previouslyFormattedCitation":"(Mulholland and Elwood 1982; Kortelainen et al. 2006; Anderson et al. 2009, 2020; Kastowski et al. 2011; Ferland et al. 2012)"},"properties":{"noteIndex":0},"schema":"https://github.com/citation-style-language/schema/raw/master/csl-citation.json"}</w:instrText>
      </w:r>
      <w:r w:rsidR="00411654"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7,12–16</w:t>
      </w:r>
      <w:r w:rsidR="00411654" w:rsidRPr="00513B5A">
        <w:rPr>
          <w:rFonts w:ascii="Times New Roman" w:hAnsi="Times New Roman" w:cs="Times New Roman"/>
          <w:sz w:val="24"/>
          <w:szCs w:val="24"/>
          <w:lang w:val="en-GB"/>
        </w:rPr>
        <w:fldChar w:fldCharType="end"/>
      </w:r>
      <w:r w:rsidR="000650D9" w:rsidRPr="00513B5A">
        <w:rPr>
          <w:rFonts w:ascii="Times New Roman" w:hAnsi="Times New Roman" w:cs="Times New Roman"/>
          <w:sz w:val="24"/>
          <w:szCs w:val="24"/>
          <w:lang w:val="en-GB"/>
        </w:rPr>
        <w:t xml:space="preserve"> </w:t>
      </w:r>
      <w:r w:rsidR="00DC64DC" w:rsidRPr="00513B5A">
        <w:rPr>
          <w:rFonts w:ascii="Times New Roman" w:hAnsi="Times New Roman" w:cs="Times New Roman"/>
          <w:sz w:val="24"/>
          <w:szCs w:val="24"/>
          <w:lang w:val="en-GB"/>
        </w:rPr>
        <w:t>in regulating</w:t>
      </w:r>
      <w:r w:rsidR="000650D9" w:rsidRPr="00513B5A">
        <w:rPr>
          <w:rFonts w:ascii="Times New Roman" w:hAnsi="Times New Roman" w:cs="Times New Roman"/>
          <w:sz w:val="24"/>
          <w:szCs w:val="24"/>
          <w:lang w:val="en-GB"/>
        </w:rPr>
        <w:t xml:space="preserve"> C storage</w:t>
      </w:r>
      <w:r w:rsidR="00BD3B3A" w:rsidRPr="00513B5A">
        <w:rPr>
          <w:rFonts w:ascii="Times New Roman" w:hAnsi="Times New Roman" w:cs="Times New Roman"/>
          <w:sz w:val="24"/>
          <w:szCs w:val="24"/>
          <w:lang w:val="en-GB"/>
        </w:rPr>
        <w:t>.</w:t>
      </w:r>
      <w:bookmarkStart w:id="4" w:name="_Hlk73468381"/>
      <w:bookmarkStart w:id="5" w:name="_Hlk73697797"/>
      <w:r w:rsidR="00D16E96" w:rsidRPr="00513B5A">
        <w:rPr>
          <w:rFonts w:ascii="Times New Roman" w:hAnsi="Times New Roman" w:cs="Times New Roman"/>
          <w:sz w:val="24"/>
          <w:szCs w:val="24"/>
          <w:lang w:val="en-GB"/>
        </w:rPr>
        <w:t xml:space="preserve"> </w:t>
      </w:r>
      <w:r w:rsidR="00933AFF" w:rsidRPr="00513B5A">
        <w:rPr>
          <w:rFonts w:ascii="Times New Roman" w:hAnsi="Times New Roman" w:cs="Times New Roman"/>
          <w:sz w:val="24"/>
          <w:szCs w:val="24"/>
          <w:lang w:val="en-GB"/>
        </w:rPr>
        <w:t>G</w:t>
      </w:r>
      <w:r w:rsidR="00D16E96" w:rsidRPr="00513B5A">
        <w:rPr>
          <w:rFonts w:ascii="Times New Roman" w:hAnsi="Times New Roman" w:cs="Times New Roman"/>
          <w:sz w:val="24"/>
          <w:szCs w:val="24"/>
          <w:lang w:val="en-GB"/>
        </w:rPr>
        <w:t>rowing evidence</w:t>
      </w:r>
      <w:r w:rsidR="00D16E96" w:rsidRPr="00513B5A">
        <w:rPr>
          <w:rFonts w:ascii="Times New Roman" w:eastAsia="Times New Roman" w:hAnsi="Times New Roman" w:cs="Times New Roman"/>
          <w:sz w:val="24"/>
          <w:szCs w:val="24"/>
          <w:lang w:val="en-GB" w:eastAsia="pt-BR"/>
        </w:rPr>
        <w:t xml:space="preserve"> </w:t>
      </w:r>
      <w:r w:rsidR="00DC64DC" w:rsidRPr="00513B5A">
        <w:rPr>
          <w:rFonts w:ascii="Times New Roman" w:eastAsia="Times New Roman" w:hAnsi="Times New Roman" w:cs="Times New Roman"/>
          <w:sz w:val="24"/>
          <w:szCs w:val="24"/>
          <w:lang w:val="en-GB" w:eastAsia="pt-BR"/>
        </w:rPr>
        <w:t>suggests</w:t>
      </w:r>
      <w:r w:rsidR="0007152D" w:rsidRPr="00513B5A">
        <w:rPr>
          <w:rFonts w:ascii="Times New Roman" w:hAnsi="Times New Roman" w:cs="Times New Roman"/>
          <w:sz w:val="24"/>
          <w:szCs w:val="24"/>
          <w:lang w:val="en-GB"/>
        </w:rPr>
        <w:t xml:space="preserve"> higher lake OC burial </w:t>
      </w:r>
      <w:r w:rsidR="00D16E96" w:rsidRPr="00513B5A">
        <w:rPr>
          <w:rFonts w:ascii="Times New Roman" w:hAnsi="Times New Roman" w:cs="Times New Roman"/>
          <w:sz w:val="24"/>
          <w:szCs w:val="24"/>
          <w:lang w:val="en-GB"/>
        </w:rPr>
        <w:t>with</w:t>
      </w:r>
      <w:r w:rsidR="0007152D" w:rsidRPr="00513B5A">
        <w:rPr>
          <w:rFonts w:ascii="Times New Roman" w:hAnsi="Times New Roman" w:cs="Times New Roman"/>
          <w:sz w:val="24"/>
          <w:szCs w:val="24"/>
          <w:lang w:val="en-GB"/>
        </w:rPr>
        <w:t xml:space="preserve"> increas</w:t>
      </w:r>
      <w:r w:rsidR="00D16E96" w:rsidRPr="00513B5A">
        <w:rPr>
          <w:rFonts w:ascii="Times New Roman" w:hAnsi="Times New Roman" w:cs="Times New Roman"/>
          <w:sz w:val="24"/>
          <w:szCs w:val="24"/>
          <w:lang w:val="en-GB"/>
        </w:rPr>
        <w:t>ing</w:t>
      </w:r>
      <w:r w:rsidR="0007152D" w:rsidRPr="00513B5A">
        <w:rPr>
          <w:rFonts w:ascii="Times New Roman" w:hAnsi="Times New Roman" w:cs="Times New Roman"/>
          <w:sz w:val="24"/>
          <w:szCs w:val="24"/>
          <w:lang w:val="en-GB"/>
        </w:rPr>
        <w:t xml:space="preserve"> primary production</w:t>
      </w:r>
      <w:r w:rsidR="0007152D"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{"citationItems":[{"id":"ITEM-1","itemData":{"DOI":"10.1080/03680770.1974.11896164","ISSN":"0368-0770","author":[{"dropping-particle":"","family":"Ahl","given":"Thorsten","non-dropping-particle":"","parse-names":false,"suffix":""}],"container-title":"SIL Proceedings, 1922-2010","id":"ITEM-1","issue":"2","issued":{"date-parts":[["1975","10"]]},"page":"1125-1132","title":"Effects of man-induced and natural loading of phosphorus and nitrogen on the large Swedish lakes","type":"article-journal","volume":"19"},"uris":["http://www.mendeley.com/documents/?uuid=13659b56-f1e1-4040-9c92-24b68815240e"]},{"id":"ITEM-2","itemData":{"DOI":"10.1080/03680770.1977.11896578","ISSN":"0368-0770","author":[{"dropping-particle":"","family":"Pennington","given":"Winifred","non-dropping-particle":"","parse-names":false,"suffix":""},{"dropping-particle":"","family":"Tutin","given":"T. G.","non-dropping-particle":"","parse-names":false,"suffix":""}],"container-title":"SIL Proceedings, 1922-2010","id":"ITEM-2","issue":"1","issued":{"date-parts":[["1978","9"]]},"page":"636-641","title":"Responses of some British lakes to past changes in land use on their catchments","type":"article-journal","volume":"20"},"uris":["http://www.mendeley.com/documents/?uuid=6022e267-5b20-4762-84b6-e1a829e30feb"]},{"id":"ITEM-3","itemData":{"DOI":"10.1016/j.scitotenv.2013.12.036","ISSN":"00489697","abstract":"Phytoplankton biomass and primary production in tropical large lakes vary at different time scales, from seasons to centuries. We provide a dataset made of 7 consecutive years of phytoplankton biomass and production in Lake Kivu (Eastern Africa). From 2002 to 2008, bi-weekly samplings were performed in a pelagic site in order to quantify phytoplankton composition and biomass, using marker pigments determined by HPLC. Primary production rates were estimated by 96 in situ 14C incubations. A principal component analysis showed that the main environmental gradient was linked to a seasonal variation of the phytoplankton assemblage, with a clear separation between diatoms during the dry season and cyanobacteria during the rainy season. A rather wide range of the maximum specific photosynthetic rate (PBm) was found, ranging between 1.15 and 7.21gcarbong-1chlorophyll ah-1, and was best predicted by a regression model using phytoplankton composition as an explanatory variable. The irradiance at the onset of light saturation (Ik) ranged between 91 and 752μEm-2s-1 and was linearly correlated with the mean irradiance in the mixed layer. The inter-annual variability of phytoplankton biomass and production was high, ranging from 53 to 100mgchlorophyll am-2 (annual mean) and from 143 to 278gcarbonm-2y-1, respectively. The degree of seasonal mixing determined annual production, demonstrating the sensitivity of tropical lakes to climate variability. A review of primary production of other African great lakes allows situating Lake Kivu productivity in the same range as that of lakes Tanganyika and Malawi, even if mean phytoplankton biomass was higher in Lake Kivu.© 2013 Elsevier B.V.","author":[{"dropping-particle":"","family":"Darchambeau","given":"F.","non-dropping-particle":"","parse-names":false,"suffix":""},{"dropping-particle":"","family":"Sarmento","given":"H.","non-dropping-particle":"","parse-names":false,"suffix":""},{"dropping-particle":"","family":"Descy","given":"J.-P.","non-dropping-particle":"","parse-names":false,"suffix":""}],"container-title":"Science of The Total Environment","id":"ITEM-3","issued":{"date-parts":[["2014","3"]]},"page":"178-188","title":"Primary production in a tropical large lake: The role of phytoplankton composition","type":"article-journal","volume":"473-474"},"uris":["http://www.mendeley.com/documents/?uuid=7ab27232-85f2-4994-886f-ca3bb3491f91"]}],"mendeley":{"formattedCitation":"&lt;sup&gt;17–19&lt;/sup&gt;","plainTextFormattedCitation":"17–19","previouslyFormattedCitation":"(Ahl 1975; Pennington and Tutin 1978; Darchambeau et al. 2014)"},"properties":{"noteIndex":0},"schema":"https://github.com/citation-style-language/schema/raw/master/csl-citation.json"}</w:instrText>
      </w:r>
      <w:r w:rsidR="0007152D"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17–19</w:t>
      </w:r>
      <w:r w:rsidR="0007152D" w:rsidRPr="00513B5A">
        <w:rPr>
          <w:rFonts w:ascii="Times New Roman" w:hAnsi="Times New Roman" w:cs="Times New Roman"/>
          <w:sz w:val="24"/>
          <w:szCs w:val="24"/>
          <w:lang w:val="en-GB"/>
        </w:rPr>
        <w:fldChar w:fldCharType="end"/>
      </w:r>
      <w:r w:rsidR="0007152D" w:rsidRPr="00513B5A">
        <w:rPr>
          <w:rFonts w:ascii="Times New Roman" w:hAnsi="Times New Roman" w:cs="Times New Roman"/>
          <w:sz w:val="24"/>
          <w:szCs w:val="24"/>
          <w:lang w:val="en-GB"/>
        </w:rPr>
        <w:t xml:space="preserve"> </w:t>
      </w:r>
      <w:r w:rsidR="00D16E96" w:rsidRPr="00513B5A">
        <w:rPr>
          <w:rFonts w:ascii="Times New Roman" w:hAnsi="Times New Roman" w:cs="Times New Roman"/>
          <w:sz w:val="24"/>
          <w:szCs w:val="24"/>
          <w:lang w:val="en-GB"/>
        </w:rPr>
        <w:t>fuelled</w:t>
      </w:r>
      <w:r w:rsidR="0007152D" w:rsidRPr="00513B5A">
        <w:rPr>
          <w:rFonts w:ascii="Times New Roman" w:hAnsi="Times New Roman" w:cs="Times New Roman"/>
          <w:sz w:val="24"/>
          <w:szCs w:val="24"/>
          <w:lang w:val="en-GB"/>
        </w:rPr>
        <w:t xml:space="preserve"> by </w:t>
      </w:r>
      <w:r w:rsidR="00DC64DC" w:rsidRPr="00513B5A">
        <w:rPr>
          <w:rFonts w:ascii="Times New Roman" w:hAnsi="Times New Roman" w:cs="Times New Roman"/>
          <w:sz w:val="24"/>
          <w:szCs w:val="24"/>
          <w:lang w:val="en-GB"/>
        </w:rPr>
        <w:t xml:space="preserve">both </w:t>
      </w:r>
      <w:r w:rsidR="0007152D" w:rsidRPr="00513B5A">
        <w:rPr>
          <w:rFonts w:ascii="Times New Roman" w:hAnsi="Times New Roman" w:cs="Times New Roman"/>
          <w:sz w:val="24"/>
          <w:szCs w:val="24"/>
          <w:lang w:val="en-GB"/>
        </w:rPr>
        <w:t xml:space="preserve">anthropogenic </w:t>
      </w:r>
      <w:r w:rsidR="003B3D88" w:rsidRPr="00513B5A">
        <w:rPr>
          <w:rFonts w:ascii="Times New Roman" w:hAnsi="Times New Roman" w:cs="Times New Roman"/>
          <w:sz w:val="24"/>
          <w:szCs w:val="24"/>
          <w:lang w:val="en-GB"/>
        </w:rPr>
        <w:t>eutrophication</w:t>
      </w:r>
      <w:r w:rsidR="00D532F1"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{"citationItems":[{"id":"ITEM-1","itemData":{"DOI":"10.1111/gcb.12584","ISSN":"13652486","abstract":"The eutrophication of lowland lakes in Europe by excess nitrogen (N) and phosphorus (P) is severe because of the long history of land-cover change and agricultural intensification. The ecological and socio-economic effects of eutrophication are well understood but its effect on organic carbon (OC) sequestration by lakes and its change overtime has not been determined. Here, we compile data from ~90 culturally impacted European lakes [~60% are eutrophic, Total P (TP) &gt;30 μg P l−1] and determine the extent to which OC burial rates have increased over the past 100–150 years. The average focussing corrected, OC accumulation rate (C ARFC) for the period 1950–1990 was ~60 g C m−2 yr−1, and for lakes with &gt;100 μg TP l−1 the average was ~100 g C m−2 yr−1. The ratio of post-1950 to 1900–1950 C AR is low (~1.5) indicating that C accumulation rates have been high throughout the 20th century. Compared to background estimates of OC burial (~5–10 g C m−2 yr−1), contemporary rates have increased by at least four to fivefold. The statistical relationship between C ARFC and TP derived from this study (r2 = 0.5) can be used to estimate OC burial at sites lacking estimates of sediment C-burial. The implications of eutrophication, diagenesis, lake morphometry and sediment focussing as controls of OC burial rates are considered. A conservative interpretation of the results of the this study suggests that lowland European meso- to eutrophic lakes with &gt;30 μg TP l−1 had OC burial rates in excess of 50 g C m−2 yr−1 over the past century, indicating that previous estimates of regional lake OC burial have seriously underestimated their contribution to European carbon sequestration. Enhanced OC burial by lakes is one positive side-effect of the otherwise negative impact of the anthropogenic disruption of nutrient cycles.","author":[{"dropping-particle":"","family":"Anderson","given":"N. J.","non-dropping-particle":"","parse-names":false,"suffix":""},{"dropping-particle":"","family":"Bennion","given":"H.","non-dropping-particle":"","parse-names":false,"suffix":""},{"dropping-particle":"","family":"Lotter","given":"A. F.","non-dropping-particle":"","parse-names":false,"suffix":""}],"container-title":"Global Change Biology","id":"ITEM-1","issue":"9","issued":{"date-parts":[["2014"]]},"page":"2741-2751","title":"Lake eutrophication and its implications for organic carbon sequestration in Europe","type":"article-journal","volume":"20"},"uris":["http://www.mendeley.com/documents/?uuid=53a4a78b-6fd5-4877-9794-bc8d511f57ae"]},{"id":"ITEM-2","itemData":{"DOI":"10.1098/rspb.2013.1278","ISBN":"1471-2954 (Electronic)$\\backslash$r0962-8452 (Linking)","ISSN":"1471-2954","PMID":"23966637","abstract":"Lakes are a central component of the carbon cycle, both mineralizing terrestrially derived organic matter and storing substantial amounts of organic carbon (OC) in their sediments. However, the rates and controls on OC burial by lakes remain uncertain, as do the possible effects of future global change processes. To address these issues, we derived OC burial rates in (210)Pb-dated sediment cores from 116 small Minnesota lakes that cover major climate and land-use gradients. Rates for individual lakes presently range from 7 to 127 g C m(-2) yr(-1) and have increased by up to a factor of 8 since Euro-American settlement (mean increase: 2.8×). Mean pre-disturbance OC burial rates were similar (14-22 g C m(-2) yr(-1)) across all land-cover categories (prairie, mixed deciduous and boreal forest), indicating minimal effect of the regional temperature gradient (approx. 4 °C) on background carbon burial. The relationship between modern OC burial rates and temperature was also not significant after removal of the effect of total phosphorus. Contemporary burial rates were strongly correlated with lake-water nutrients and the extent of agricultural land cover in the catchment. Increased OC burial, documented even in relatively undisturbed boreal lake ecosystems, indicates a possible role for atmospheric nitrogen deposition. Our results suggest that globally, future land-cover change, intensification of agriculture and associated nutrient loading together with atmospheric N-deposition will enhance OC sequestration by lakes.","author":[{"dropping-particle":"","family":"Anderson","given":"N John","non-dropping-particle":"","parse-names":false,"suffix":""},{"dropping-particle":"","family":"Dietz","given":"Robert D","non-dropping-particle":"","parse-names":false,"suffix":""},{"dropping-particle":"","family":"Engstrom","given":"Daniel R","non-dropping-particle":"","parse-names":false,"suffix":""}],"container-title":"Proceedings. Biological sciences / The Royal Society","id":"ITEM-2","issue":"1769","issued":{"date-parts":[["2016","8","21"]]},"page":"20131278","title":"Land-use change, not climate, controls organic carbon burial in lakes.","type":"article-journal","volume":"280"},"uris":["http://www.mendeley.com/documents/?uuid=6f4ce703-859e-4ca1-bbc7-3f1ca5f4e697"]},{"id":"ITEM-3","itemData":{"DOI":"10.1038/ncomms10016","ISSN":"2041-1723","abstract":"Northern forests are important ecosystems for carbon (C) cycling and lakes within them process and bury large amounts of organic-C. Current burial estimates are poorly constrained and may discount other shifts in organic-C burial driven by global change. Here we analyse a suite of northern lakes to determine trends in organic-C burial throughout the Anthropocene. We found burial rates increased significantly over the last century and are up to five times greater than previous estimates. Despite a correlation with temperature, warming alone did not explain the increase in burial, suggesting the importance of other drivers including atmospherically deposited reactive nitrogen. Upscaling mean lake burial rates for each time period to global northern forests yields up to 4.5 Pg C accumulated in the last 100 years—20% of the total burial over the Holocene. Our results indicate that lakes will become increasingly important for C burial under future global change scenarios.","author":[{"dropping-particle":"","family":"Heathcote","given":"Adam J","non-dropping-particle":"","parse-names":false,"suffix":""},{"dropping-particle":"","family":"Anderson","given":"N John","non-dropping-particle":"","parse-names":false,"suffix":""},{"dropping-particle":"","family":"Prairie","given":"Yves T","non-dropping-particle":"","parse-names":false,"suffix":""},{"dropping-particle":"","family":"Engstrom","given":"Daniel R","non-dropping-particle":"","parse-names":false,"suffix":""},{"dropping-particle":"","family":"Giorgio","given":"Paul A.","non-dropping-particle":"del","parse-names":false,"suffix":""}],"container-title":"Nature Communications","id":"ITEM-3","issued":{"date-parts":[["2015","11","26"]]},"page":"10016","title":"Large increases in carbon burial in northern lakes during the Anthropocene","type":"article-journal","volume":"6"},"uris":["http://www.mendeley.com/documents/?uuid=cc455800-c3e2-4c89-b1c3-b04fffc558c2"]},{"id":"ITEM-4","itemData":{"DOI":"10.4319/lo.2009.54.6.2243","ISBN":"0024-3590","ISSN":"0024-3590","abstract":"We compared the burial efficiency of organic carbon (buried OC: deposited OC) in a diverse set of 27 different sediments from 11 lakes, focusing on the potential effects of organic matter source, oxygen exposure, and protective sorption of OC onto mineral surfaces. Average OC burial efficiency was high (mean 48%), and it was particularly high in sediments receiving high input of allochthonous organic matter (mean 67%). Further, OC burial efficiency was strongly negatively related to the oxygen exposure time, again particularly so in sediments receiving high allochthonous loads. On the other hand, OC burial efficiency was not related to the mineral surface area, which was used as a proxy of the sorption capacity of the mineral phase for OC. The high OC burial efficiency in many lake sediments can thus be attributed to the frequent and significant input of allochthonous organic matter to lakes, as well as to a strong dependence of OC burial efficiency on oxygen exposure time. This study demonstrates that the carbon sink in lake sediments alters the OC export from the continents to the sea and that the fate of OC in lake sediments (burial vs. mineralization to carbon dioxide and methane) is highly sensitive to environmental conditions.","author":[{"dropping-particle":"","family":"Sobek","given":"Sebastian","non-dropping-particle":"","parse-names":false,"suffix":""},{"dropping-particle":"","family":"Durisch-Kaiser","given":"Edith","non-dropping-particle":"","parse-names":false,"suffix":""},{"dropping-particle":"","family":"Zurbrügg","given":"Roland","non-dropping-particle":"","parse-names":false,"suffix":""},{"dropping-particle":"","family":"Wongfun","given":"Nuttakan","non-dropping-particle":"","parse-names":false,"suffix":""},{"dropping-particle":"","family":"Wessels","given":"Martin","non-dropping-particle":"","parse-names":false,"suffix":""},{"dropping-particle":"","family":"Pasche","given":"Natacha","non-dropping-particle":"","parse-names":false,"suffix":""},{"dropping-particle":"","family":"Wehrli","given":"Bernhard","non-dropping-particle":"","parse-names":false,"suffix":""}],"container-title":"Limnology and Oceanography","id":"ITEM-4","issue":"6","issued":{"date-parts":[["2009"]]},"page":"2243-2254","title":"Organic carbon burial efficiency in lake sediments controlled by oxygen exposure time and sediment source","type":"article-journal","volume":"54"},"uris":["http://www.mendeley.com/documents/?uuid=27477ebe-f7a7-4d77-93da-09d79908c6ae"]},{"id":"ITEM-5","itemData":{"DOI":"10.1126/sciadv.aaw2145","ISSN":"2375-2548","PMID":"32494589","abstract":"Lakes have a disproportionate effect on the global carbon (C) cycle relative to their area, mediating C transfer from land to atmosphere, and burying organic-C in their sediments. The magnitude and temporal variability of C burial is, however, poorly constrained, and the degree to which humans have influenced lake C cycling through landscape alteration has not been systematically assessed. Here, we report global and biome specific trajectories of lake C sequestration based on 516 lakes and show that some lake C burial rates (i.e., those in tropical forest and grassland biomes) have quadrupled over the last 100 years. Global lake C-sequestration (~0.12 Pg year −1 ) has increased by ~72 Tg year −1 since 1900, offsetting 20% of annual CO 2 freshwater emissions rising to ~30% if reservoirs are included and contributing to the residual continental C sink. Nutrient availability explains ~70% of the observed increase, while rising temperatures have a minimal effect.","author":[{"dropping-particle":"","family":"Anderson","given":"N. J.","non-dropping-particle":"","parse-names":false,"suffix":""},{"dropping-particle":"","family":"Heathcote","given":"A. J.","non-dropping-particle":"","parse-names":false,"suffix":""},{"dropping-particle":"","family":"Engstrom","given":"D. R.","non-dropping-particle":"","parse-names":false,"suffix":""}],"container-title":"Science Advances","id":"ITEM-5","issue":"16","issued":{"date-parts":[["2020","4","15"]]},"page":"eaaw2145","title":"Anthropogenic alteration of nutrient supply increases the global freshwater carbon sink","type":"article-journal","volume":"6"},"uris":["http://www.mendeley.com/documents/?uuid=fe498044-d8ac-44ec-9a3c-78cc916c452c"]}],"mendeley":{"formattedCitation":"&lt;sup&gt;16,20–23&lt;/sup&gt;","plainTextFormattedCitation":"16,20–23","previouslyFormattedCitation":"(Sobek et al. 2009; Anderson et al. 2013, 2014, 2020; Heathcote et al. 2015)"},"properties":{"noteIndex":0},"schema":"https://github.com/citation-style-language/schema/raw/master/csl-citation.json"}</w:instrText>
      </w:r>
      <w:r w:rsidR="00D532F1"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16,20–23</w:t>
      </w:r>
      <w:r w:rsidR="00D532F1" w:rsidRPr="00513B5A">
        <w:rPr>
          <w:rFonts w:ascii="Times New Roman" w:hAnsi="Times New Roman" w:cs="Times New Roman"/>
          <w:sz w:val="24"/>
          <w:szCs w:val="24"/>
          <w:lang w:val="en-GB"/>
        </w:rPr>
        <w:fldChar w:fldCharType="end"/>
      </w:r>
      <w:r w:rsidR="00D532F1" w:rsidRPr="00513B5A">
        <w:rPr>
          <w:rFonts w:ascii="Times New Roman" w:hAnsi="Times New Roman" w:cs="Times New Roman"/>
          <w:sz w:val="24"/>
          <w:szCs w:val="24"/>
          <w:lang w:val="en-GB"/>
        </w:rPr>
        <w:t xml:space="preserve"> </w:t>
      </w:r>
      <w:r w:rsidR="006E3BD3" w:rsidRPr="00513B5A">
        <w:rPr>
          <w:rFonts w:ascii="Times New Roman" w:hAnsi="Times New Roman" w:cs="Times New Roman"/>
          <w:sz w:val="24"/>
          <w:szCs w:val="24"/>
          <w:lang w:val="en-GB"/>
        </w:rPr>
        <w:t>and</w:t>
      </w:r>
      <w:r w:rsidR="0007152D" w:rsidRPr="00513B5A">
        <w:rPr>
          <w:rFonts w:ascii="Times New Roman" w:hAnsi="Times New Roman" w:cs="Times New Roman"/>
          <w:sz w:val="24"/>
          <w:szCs w:val="24"/>
          <w:lang w:val="en-GB"/>
        </w:rPr>
        <w:t xml:space="preserve"> organic matter inputs from deforestation</w:t>
      </w:r>
      <w:r w:rsidR="00411654"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{"citationItems":[{"id":"ITEM-1","itemData":{"DOI":"10.2307/2937031","ISSN":"00129615","abstract":"We report the effects of deforestation on the export of particulate matter, erodi- bility of the ecosystem, and the relative importance of dissolved substances and particulate matter in exported materials. The mature forested ecosystem is little affected by erosion, with an average annual particulate matter export of only 2.5 MT (metric tons) km-2 yr-1. Defor- estation and repression of growth for 3 yr increased export to a maximum of 38 MT km-2 yr-1, but the increase in export was exponential with rather minor increases in the first 2 yr after cutting and a sharp increase in the 3rd yr. This resulted because the ecosystem continued to exercise considerable control over erodibility for 2 yr after cutting without annual renewal of biotic regulation by primary productivity. Increases in particulate matter export are pri- marily due to increases in erodibility rather than increased flow rates. In the mature ecosystem, the average ratio of annual net export of dissolved substance to particulate matter is 2.3. Deforestation shifts this ratio to &gt; 8.0 during the first 2 yr after cutting. This shift results because the export trends, for dissolved substances and particu- late matter following deforestation, are not synchronous. The first response to deforestation is mobilization of nutrients from the available nutrient and organic matter compartments and leakage in stream water. After 2 yr, particulate matter output rises sharply as biotic control of erodibility weakens, while dissolved substance export declines, probably because of diminu- tion of readily available nutrients stored within the system. This nonsynchrony, coupled with the action of natural species adapted to take advantage of the abundance of nutrients and water that results immediately after disturbance, may be considered as part of a homeostatic mechanism that allows rapid recovery of a forest ecosystem while minimizing the effects of erosion. Thus, following destruction of the vegetation, the ecosystem maintains a residual resistance to erosion and has a high potential for repair through successional productivity. Nutrient flux and erosion losses return to previous levels as the intrasystem aspects of the hydrologic-nutrient cycle interaction and erodibility are increasingly regulated by biotic factors. These results relative to stable conditions and their reestablishment following disturbance may have appli- cability to a wide range of terrestrial ecosystems.","author":[{"dropping-particle":"","family":"Bormann","given":"F. H.","non-dropping-particle":"","parse-names":false,"suffix":""},{"dropping-particle":"","family":"Likens","given":"G. E.","non-dropping-particle":"","parse-names":false,"suffix":""},{"dropping-particle":"","family":"Siccama","given":"T. G.","non-dropping-particle":"","parse-names":false,"suffix":""},{"dropping-particle":"","family":"Pierce","given":"R. S.","non-dropping-particle":"","parse-names":false,"suffix":""},{"dropping-particle":"","family":"Eaton","given":"J. S.","non-dropping-particle":"","parse-names":false,"suffix":""}],"container-title":"Ecological Monographs","id":"ITEM-1","issue":"3","issued":{"date-parts":[["1974","2"]]},"page":"255-277","title":"The Export of Nutrients and Recovery of Stable Conditions Following Deforestation at Hubbard Brook","type":"article-journal","volume":"44"},"uris":["http://www.mendeley.com/documents/?uuid=a57b916e-f704-4357-963b-2acce639f142"]},{"id":"ITEM-2","itemData":{"DOI":"10.1002/gbc.20036","ISSN":"08866236","abstract":"The role of lakes in landscape carbon (C) cycling and primary drivers behind freshwater C balance have remained poorly known, although lakes are an important landscape component and cover 10% of Finland's total area. We studied CO2 evasion and average Holocene C accumulation in 82 boreal lakes (0.04-1540 km2; max depth 1-93 m) located between the latitudes 60°N and 69°N. Both CO2 evasion and C accumulation correlated with numerous drivers and were closely linked to lake area and maximum depth. The total aquatic C retention (C evasion + C accumulation) was largely determined by lake area (r2 = 0.96, p &lt; 0.0001). Carbon in boreal lakes is mostly terrestrially fixed and our data demonstrate that boreal lakes are important conduits for transferring terrestrially fixed C to the atmosphere. C evasion/accumulation ratio (Cev/Cacc) ranged from 4 to 86 (on average 30) and correlated positively only with lake water NO 3-N concentration and maximum depth, and negatively with sediment N pool. Numerous possible important drivers like land use and climate as well as lake physical and chemical characteristics were compared to C balances. Our study might thus be valuable in trying to understand links between aquatic and terrestrial C cycling over boreal landscapes. Although climatic drivers generally play a key role in short-term C balance fluctuations, our data indicate nitrogen/fertility to be a key contributing factor to long term C balance - increasing Cev/Cacc and thus decreasing the role of lakes in landscape C sequestration in boreal zone. ©2013. American Geophysical Union. All Rights Reserved.","author":[{"dropping-particle":"","family":"Kortelainen","given":"Pirkko","non-dropping-particle":"","parse-names":false,"suffix":""},{"dropping-particle":"","family":"Rantakari","given":"Miitta","non-dropping-particle":"","parse-names":false,"suffix":""},{"dropping-particle":"","family":"Pajunen","given":"Hannu","non-dropping-particle":"","parse-names":false,"suffix":""},{"dropping-particle":"","family":"Huttunen","given":"Jari T.","non-dropping-particle":"","parse-names":false,"suffix":""},{"dropping-particle":"","family":"Mattsson","given":"Tuija","non-dropping-particle":"","parse-names":false,"suffix":""},{"dropping-particle":"","family":"Juutinen","given":"Sari","non-dropping-particle":"","parse-names":false,"suffix":""},{"dropping-particle":"","family":"Larmola","given":"Tuula","non-dropping-particle":"","parse-names":false,"suffix":""},{"dropping-particle":"","family":"Alm","given":"Jukka","non-dropping-particle":"","parse-names":false,"suffix":""},{"dropping-particle":"","family":"Silvola","given":"Jouko","non-dropping-particle":"","parse-names":false,"suffix":""},{"dropping-particle":"","family":"Martikainen","given":"Pertti J.","non-dropping-particle":"","parse-names":false,"suffix":""}],"container-title":"Global Biogeochemical Cycles","id":"ITEM-2","issue":"2","issued":{"date-parts":[["2013","6"]]},"page":"363-374","title":"Carbon evasion/accumulation ratio in boreal lakes is linked to nitrogen","type":"article-journal","volume":"27"},"uris":["http://www.mendeley.com/documents/?uuid=849ee58a-ac79-46a2-8f88-b84c1b8a8806"]}],"mendeley":{"formattedCitation":"&lt;sup&gt;24,25&lt;/sup&gt;","plainTextFormattedCitation":"24,25","previouslyFormattedCitation":"(Bormann et al. 1974; Kortelainen et al. 2013)"},"properties":{"noteIndex":0},"schema":"https://github.com/citation-style-language/schema/raw/master/csl-citation.json"}</w:instrText>
      </w:r>
      <w:r w:rsidR="00411654"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24,25</w:t>
      </w:r>
      <w:r w:rsidR="00411654" w:rsidRPr="00513B5A">
        <w:rPr>
          <w:rFonts w:ascii="Times New Roman" w:hAnsi="Times New Roman" w:cs="Times New Roman"/>
          <w:sz w:val="24"/>
          <w:szCs w:val="24"/>
          <w:lang w:val="en-GB"/>
        </w:rPr>
        <w:fldChar w:fldCharType="end"/>
      </w:r>
      <w:r w:rsidR="0007152D" w:rsidRPr="00513B5A">
        <w:rPr>
          <w:rFonts w:ascii="Times New Roman" w:hAnsi="Times New Roman" w:cs="Times New Roman"/>
          <w:sz w:val="24"/>
          <w:szCs w:val="24"/>
          <w:lang w:val="en-GB"/>
        </w:rPr>
        <w:t>.</w:t>
      </w:r>
    </w:p>
    <w:p w14:paraId="59720B0F" w14:textId="4B915DF4" w:rsidR="00F46781" w:rsidRPr="00513B5A" w:rsidRDefault="00071E71" w:rsidP="00323E71">
      <w:pPr>
        <w:spacing w:after="0" w:line="360" w:lineRule="auto"/>
        <w:ind w:firstLine="567"/>
        <w:jc w:val="both"/>
        <w:rPr>
          <w:rFonts w:ascii="Times New Roman" w:hAnsi="Times New Roman" w:cs="Times New Roman"/>
          <w:sz w:val="24"/>
          <w:szCs w:val="24"/>
          <w:lang w:val="en-GB"/>
        </w:rPr>
      </w:pPr>
      <w:r w:rsidRPr="00513B5A">
        <w:rPr>
          <w:rFonts w:ascii="Times New Roman" w:hAnsi="Times New Roman" w:cs="Times New Roman"/>
          <w:sz w:val="24"/>
          <w:szCs w:val="24"/>
          <w:lang w:val="en-GB"/>
        </w:rPr>
        <w:t>Accordingly</w:t>
      </w:r>
      <w:r w:rsidR="00933AFF" w:rsidRPr="00513B5A">
        <w:rPr>
          <w:rFonts w:ascii="Times New Roman" w:hAnsi="Times New Roman" w:cs="Times New Roman"/>
          <w:sz w:val="24"/>
          <w:szCs w:val="24"/>
          <w:lang w:val="en-GB"/>
        </w:rPr>
        <w:t xml:space="preserve">, our decadal </w:t>
      </w:r>
      <w:r w:rsidR="00945CB3" w:rsidRPr="00513B5A">
        <w:rPr>
          <w:rFonts w:ascii="Times New Roman" w:hAnsi="Times New Roman" w:cs="Times New Roman"/>
          <w:sz w:val="24"/>
          <w:szCs w:val="24"/>
          <w:lang w:val="en-GB"/>
        </w:rPr>
        <w:t xml:space="preserve">accumulation </w:t>
      </w:r>
      <w:r w:rsidR="00933AFF" w:rsidRPr="00513B5A">
        <w:rPr>
          <w:rFonts w:ascii="Times New Roman" w:hAnsi="Times New Roman" w:cs="Times New Roman"/>
          <w:sz w:val="24"/>
          <w:szCs w:val="24"/>
          <w:lang w:val="en-GB"/>
        </w:rPr>
        <w:t xml:space="preserve">rates </w:t>
      </w:r>
      <w:r w:rsidR="008C431C" w:rsidRPr="00513B5A">
        <w:rPr>
          <w:rFonts w:ascii="Times New Roman" w:hAnsi="Times New Roman" w:cs="Times New Roman"/>
          <w:sz w:val="24"/>
          <w:szCs w:val="24"/>
          <w:lang w:val="en-GB"/>
        </w:rPr>
        <w:t xml:space="preserve">derived </w:t>
      </w:r>
      <w:r w:rsidR="00933AFF" w:rsidRPr="00513B5A">
        <w:rPr>
          <w:rFonts w:ascii="Times New Roman" w:hAnsi="Times New Roman" w:cs="Times New Roman"/>
          <w:sz w:val="24"/>
          <w:szCs w:val="24"/>
          <w:lang w:val="en-GB"/>
        </w:rPr>
        <w:t xml:space="preserve">from </w:t>
      </w:r>
      <w:r w:rsidR="00933AFF" w:rsidRPr="00513B5A">
        <w:rPr>
          <w:rFonts w:ascii="Times New Roman" w:hAnsi="Times New Roman" w:cs="Times New Roman"/>
          <w:sz w:val="24"/>
          <w:szCs w:val="24"/>
          <w:vertAlign w:val="superscript"/>
          <w:lang w:val="en-GB"/>
        </w:rPr>
        <w:t>210</w:t>
      </w:r>
      <w:r w:rsidR="00933AFF" w:rsidRPr="00513B5A">
        <w:rPr>
          <w:rFonts w:ascii="Times New Roman" w:hAnsi="Times New Roman" w:cs="Times New Roman"/>
          <w:sz w:val="24"/>
          <w:szCs w:val="24"/>
          <w:lang w:val="en-GB"/>
        </w:rPr>
        <w:t xml:space="preserve">Pb dating </w:t>
      </w:r>
      <w:r w:rsidR="008C431C" w:rsidRPr="00513B5A">
        <w:rPr>
          <w:rFonts w:ascii="Times New Roman" w:hAnsi="Times New Roman" w:cs="Times New Roman"/>
          <w:sz w:val="24"/>
          <w:szCs w:val="24"/>
          <w:lang w:val="en-GB"/>
        </w:rPr>
        <w:t xml:space="preserve">in boreal lake sediments for </w:t>
      </w:r>
      <w:r w:rsidR="00933AFF" w:rsidRPr="00513B5A">
        <w:rPr>
          <w:rFonts w:ascii="Times New Roman" w:hAnsi="Times New Roman" w:cs="Times New Roman"/>
          <w:sz w:val="24"/>
          <w:szCs w:val="24"/>
          <w:lang w:val="en-GB"/>
        </w:rPr>
        <w:t>last ~50</w:t>
      </w:r>
      <w:r w:rsidR="008C431C" w:rsidRPr="00513B5A">
        <w:rPr>
          <w:rFonts w:ascii="Times New Roman" w:hAnsi="Times New Roman" w:cs="Times New Roman"/>
          <w:sz w:val="24"/>
          <w:szCs w:val="24"/>
          <w:lang w:val="en-GB"/>
        </w:rPr>
        <w:t>-</w:t>
      </w:r>
      <w:r w:rsidR="00933AFF" w:rsidRPr="00513B5A">
        <w:rPr>
          <w:rFonts w:ascii="Times New Roman" w:hAnsi="Times New Roman" w:cs="Times New Roman"/>
          <w:sz w:val="24"/>
          <w:szCs w:val="24"/>
          <w:lang w:val="en-GB"/>
        </w:rPr>
        <w:t>100 years indicated C accumulation ~</w:t>
      </w:r>
      <w:r w:rsidR="0083418F" w:rsidRPr="00513B5A">
        <w:rPr>
          <w:rFonts w:ascii="Times New Roman" w:hAnsi="Times New Roman" w:cs="Times New Roman"/>
          <w:sz w:val="24"/>
          <w:szCs w:val="24"/>
          <w:lang w:val="en-GB"/>
        </w:rPr>
        <w:t>7</w:t>
      </w:r>
      <w:r w:rsidR="00933AFF" w:rsidRPr="00513B5A">
        <w:rPr>
          <w:rFonts w:ascii="Times New Roman" w:hAnsi="Times New Roman" w:cs="Times New Roman"/>
          <w:sz w:val="24"/>
          <w:szCs w:val="24"/>
          <w:lang w:val="en-GB"/>
        </w:rPr>
        <w:t xml:space="preserve"> times higher than th</w:t>
      </w:r>
      <w:r w:rsidR="003B3D88" w:rsidRPr="00513B5A">
        <w:rPr>
          <w:rFonts w:ascii="Times New Roman" w:hAnsi="Times New Roman" w:cs="Times New Roman"/>
          <w:sz w:val="24"/>
          <w:szCs w:val="24"/>
          <w:lang w:val="en-GB"/>
        </w:rPr>
        <w:t xml:space="preserve">ose previously reported </w:t>
      </w:r>
      <w:r w:rsidR="008C431C" w:rsidRPr="00513B5A">
        <w:rPr>
          <w:rFonts w:ascii="Times New Roman" w:hAnsi="Times New Roman" w:cs="Times New Roman"/>
          <w:sz w:val="24"/>
          <w:szCs w:val="24"/>
          <w:lang w:val="en-GB"/>
        </w:rPr>
        <w:t xml:space="preserve">from radiocarbon analysis </w:t>
      </w:r>
      <w:r w:rsidR="003B3D88" w:rsidRPr="00513B5A">
        <w:rPr>
          <w:rFonts w:ascii="Times New Roman" w:hAnsi="Times New Roman" w:cs="Times New Roman"/>
          <w:sz w:val="24"/>
          <w:szCs w:val="24"/>
          <w:lang w:val="en-GB"/>
        </w:rPr>
        <w:t>for</w:t>
      </w:r>
      <w:r w:rsidR="00933AFF" w:rsidRPr="00513B5A">
        <w:rPr>
          <w:rFonts w:ascii="Times New Roman" w:hAnsi="Times New Roman" w:cs="Times New Roman"/>
          <w:sz w:val="24"/>
          <w:szCs w:val="24"/>
          <w:lang w:val="en-GB"/>
        </w:rPr>
        <w:t xml:space="preserve"> the Holocene (last 10,000 years)</w:t>
      </w:r>
      <w:r w:rsidR="00DC3FDD" w:rsidRPr="00513B5A">
        <w:rPr>
          <w:rFonts w:ascii="Times New Roman" w:hAnsi="Times New Roman" w:cs="Times New Roman"/>
          <w:sz w:val="24"/>
          <w:szCs w:val="24"/>
          <w:lang w:val="en-GB"/>
        </w:rPr>
        <w:t xml:space="preserve"> </w:t>
      </w:r>
      <w:r w:rsidR="008C431C" w:rsidRPr="00513B5A">
        <w:rPr>
          <w:rFonts w:ascii="Times New Roman" w:hAnsi="Times New Roman" w:cs="Times New Roman"/>
          <w:sz w:val="24"/>
          <w:szCs w:val="24"/>
          <w:lang w:val="en-GB"/>
        </w:rPr>
        <w:t xml:space="preserve">at </w:t>
      </w:r>
      <w:r w:rsidR="00FF6BA1" w:rsidRPr="00513B5A">
        <w:rPr>
          <w:rFonts w:ascii="Times New Roman" w:hAnsi="Times New Roman" w:cs="Times New Roman"/>
          <w:sz w:val="24"/>
          <w:szCs w:val="24"/>
          <w:lang w:val="en-GB"/>
        </w:rPr>
        <w:t>the same</w:t>
      </w:r>
      <w:r w:rsidR="008C431C" w:rsidRPr="00513B5A">
        <w:rPr>
          <w:rFonts w:ascii="Times New Roman" w:hAnsi="Times New Roman" w:cs="Times New Roman"/>
          <w:sz w:val="24"/>
          <w:szCs w:val="24"/>
          <w:lang w:val="en-GB"/>
        </w:rPr>
        <w:t xml:space="preserve"> </w:t>
      </w:r>
      <w:r w:rsidR="00FF6BA1" w:rsidRPr="00513B5A">
        <w:rPr>
          <w:rFonts w:ascii="Times New Roman" w:hAnsi="Times New Roman" w:cs="Times New Roman"/>
          <w:sz w:val="24"/>
          <w:szCs w:val="24"/>
          <w:lang w:val="en-GB"/>
        </w:rPr>
        <w:t>biome</w:t>
      </w:r>
      <w:r w:rsidR="0083418F"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{"citationItems":[{"id":"ITEM-1","itemData":{"DOI":"10.1007/s00027-006-0833-6","ISSN":"10151621","abstract":"Associations between catchment characteristics (altitude, slope, proportion of peatland, site fertility, total stem volume, and its distribution among the main tree species), climatic drivers (temperature sum, latitude, precipitation and runoff) and atmospheric deposition and concentrations and export of C, N, P and Fe in 21 unmanaged boreal catchments (0.07 to 14 km2) were examined in data sets spanning 3 to 32 years. In the entire data base including catchments from southernmost Finland to the Arctic Circle, N and P concentrations were associated with climatic drivers and deposition, while a catchment characteristic, peatland percentage, reflecting topography and site fertility was the best predictor for TOC (total organic carbon) and total Fe concentrations and export. In a subgroup of 18 catchments located in similar climatic conditions and low N deposition in eastern Finland (&lt;600 kg N km-2 yr-1), peatland percentage accounted for 52-75 % of the export of TOC, TN (total nitrogen), TON (total organic nitrogen), NH 4-N and total Fe, while slope was the best predictor of TP (total phosphorus) export (r2 = 0.56, p &lt; 0.001). Furthermore, among these 18 catchments TOC export accounted for as much as 95 % of the variance in TON export, and 61-73 % of the variance in NH4-N, total Fe and TP export. Total stem volume of the tree stands and their distribution between tree species and vegetation types were not important predictors for concentrations/export. The peatland percentage of the 21 catchments ranged widely, from 0 to 88 %, with an average value of 34 % as in entire Finland. Consequently, among the 21 catchments there was also a large variability both in average TOC and pH, 1.2-30 mg l-1 and 4.2-7.1, respectively. The average annual TOC export was 6,200 kg km-2 yr-1, significantly lower values were recorded for the export of TN, TP and total Fe (130, 5 and 280 kg km-2 yr-1, respectively). N and P export was mainly in an organic form. The TIN (total inorganic N) proportion averaged 13 % and elevated NO3-N export occurred only in fertile, high pH sites in southernmost Finland, where stream C/N ratio was lowest. On average, 97 % of the TOC, 94 % of the TN and 79 % of the TP was in a dissolved form. © Eawag, 2006.","author":[{"dropping-particle":"","family":"Kortelainen","given":"Pirkko","non-dropping-particle":"","parse-names":false,"suffix":""},{"dropping-particle":"","family":"Mattsson","given":"Tuija","non-dropping-particle":"","parse-names":false,"suffix":""},{"dropping-particle":"","family":"Finér","given":"Leena","non-dropping-particle":"","parse-names":false,"suffix":""},{"dropping-particle":"","family":"Ahtiainen","given":"Marketta","non-dropping-particle":"","parse-names":false,"suffix":""},{"dropping-particle":"","family":"Saukkonen","given":"Sari","non-dropping-particle":"","parse-names":false,"suffix":""},{"dropping-particle":"","family":"Sallantaus","given":"Tapani","non-dropping-particle":"","parse-names":false,"suffix":""}],"container-title":"Aquatic Sciences","id":"ITEM-1","issue":"4","issued":{"date-parts":[["2006"]]},"page":"453-468","title":"Controls on the export of C, N, P and Fe from undisturbed boreal catchments, Finland","type":"article-journal","volume":"68"},"uris":["http://www.mendeley.com/documents/?uuid=2d4d2672-7116-497e-9d26-f0f2e023cecf"]},{"id":"ITEM-2","itemData":{"DOI":"10.1111/j.1365-2486.2004.00848.x","ISBN":"1354-1013\\n1365-2486","ISSN":"1354-1013","abstract":"Model-based estimates suggest that lake sediments may be a significant, long-term sink for organic carbon (C) at regional to global scales. These models have used various approaches to predict sediment storage at broad scales from very limited data sets. Here, we report a large-scale direct assessment of the standing stock and sedimentation rate of C for a representative set of lakes in Finland. The 122 lakes were selected from the statistically selected Nordic Lake Survey database, they cover the entire country and the water quality represents the average lake water quality in Finland. Unlike all prior estimates, these data use sediment cores that comprise the entire sediment record. The data show that within Finland, aquatic ecosystems contain the second largest areal C stocks (19 kgCm 2) after peatlands (72 kgCm 2), and exceed by significant amounts stocks in the forest soil (uppermost 75 cm; 7.2 kgCm 2) and woody biomass (3.4 kgCm 2). Kauppi et al. (1997). The Finnish estimate extrapolated over the boreal region gives a total C pool in lakes 19–27 Pg C, significantly lower than the previous model-based estimates.","author":[{"dropping-particle":"","family":"Kortelainen","given":"Pirkko","non-dropping-particle":"","parse-names":false,"suffix":""},{"dropping-particle":"","family":"Pajunen","given":"Hannu","non-dropping-particle":"","parse-names":false,"suffix":""},{"dropping-particle":"","family":"Rantakari","given":"Miitta","non-dropping-particle":"","parse-names":false,"suffix":""},{"dropping-particle":"","family":"Saarnisto","given":"Matti","non-dropping-particle":"","parse-names":false,"suffix":""}],"container-title":"Global Change Biology","id":"ITEM-2","issue":"10","issued":{"date-parts":[["2004","10"]]},"page":"1648-1653","title":"A large carbon pool and small sink in boreal Holocene lake sediments","type":"article-journal","volume":"10"},"uris":["http://www.mendeley.com/documents/?uuid=5ab9e0d1-c015-4d94-a92d-2384a218592b"]}],"mendeley":{"formattedCitation":"&lt;sup&gt;12,26&lt;/sup&gt;","plainTextFormattedCitation":"12,26","previouslyFormattedCitation":"(Kortelainen et al. 2004, 2006)"},"properties":{"noteIndex":0},"schema":"https://github.com/citation-style-language/schema/raw/master/csl-citation.json"}</w:instrText>
      </w:r>
      <w:r w:rsidR="0083418F"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12,26</w:t>
      </w:r>
      <w:r w:rsidR="0083418F" w:rsidRPr="00513B5A">
        <w:rPr>
          <w:rFonts w:ascii="Times New Roman" w:hAnsi="Times New Roman" w:cs="Times New Roman"/>
          <w:sz w:val="24"/>
          <w:szCs w:val="24"/>
          <w:lang w:val="en-GB"/>
        </w:rPr>
        <w:fldChar w:fldCharType="end"/>
      </w:r>
      <w:r w:rsidR="00933AFF" w:rsidRPr="00513B5A">
        <w:rPr>
          <w:rFonts w:ascii="Times New Roman" w:hAnsi="Times New Roman" w:cs="Times New Roman"/>
          <w:sz w:val="24"/>
          <w:szCs w:val="24"/>
          <w:lang w:val="en-GB"/>
        </w:rPr>
        <w:t xml:space="preserve">. A similar order of magnitude difference in OC burial rates </w:t>
      </w:r>
      <w:r w:rsidR="00945CB3" w:rsidRPr="00513B5A">
        <w:rPr>
          <w:rFonts w:ascii="Times New Roman" w:hAnsi="Times New Roman" w:cs="Times New Roman"/>
          <w:sz w:val="24"/>
          <w:szCs w:val="24"/>
          <w:lang w:val="en-GB"/>
        </w:rPr>
        <w:t xml:space="preserve">was </w:t>
      </w:r>
      <w:r w:rsidR="00933AFF" w:rsidRPr="00513B5A">
        <w:rPr>
          <w:rFonts w:ascii="Times New Roman" w:hAnsi="Times New Roman" w:cs="Times New Roman"/>
          <w:sz w:val="24"/>
          <w:szCs w:val="24"/>
          <w:lang w:val="en-GB"/>
        </w:rPr>
        <w:t xml:space="preserve">found in sediment cores where </w:t>
      </w:r>
      <w:r w:rsidR="0004330E" w:rsidRPr="00513B5A">
        <w:rPr>
          <w:rFonts w:ascii="Times New Roman" w:hAnsi="Times New Roman" w:cs="Times New Roman"/>
          <w:sz w:val="24"/>
          <w:szCs w:val="24"/>
          <w:lang w:val="en-GB"/>
        </w:rPr>
        <w:t>these</w:t>
      </w:r>
      <w:r w:rsidR="00933AFF" w:rsidRPr="00513B5A">
        <w:rPr>
          <w:rFonts w:ascii="Times New Roman" w:hAnsi="Times New Roman" w:cs="Times New Roman"/>
          <w:sz w:val="24"/>
          <w:szCs w:val="24"/>
          <w:lang w:val="en-GB"/>
        </w:rPr>
        <w:t xml:space="preserve"> dating methods were used, </w:t>
      </w:r>
      <w:r w:rsidR="00933AFF" w:rsidRPr="00513B5A">
        <w:rPr>
          <w:rFonts w:ascii="Times New Roman" w:hAnsi="Times New Roman" w:cs="Times New Roman"/>
          <w:i/>
          <w:iCs/>
          <w:sz w:val="24"/>
          <w:szCs w:val="24"/>
          <w:lang w:val="en-GB"/>
        </w:rPr>
        <w:t>e.g.</w:t>
      </w:r>
      <w:r w:rsidR="00933AFF" w:rsidRPr="00513B5A">
        <w:rPr>
          <w:rFonts w:ascii="Times New Roman" w:hAnsi="Times New Roman" w:cs="Times New Roman"/>
          <w:sz w:val="24"/>
          <w:szCs w:val="24"/>
          <w:lang w:val="en-GB"/>
        </w:rPr>
        <w:t xml:space="preserve"> ~15 times more in the Amazon floodplain lake Acarabixi</w:t>
      </w:r>
      <w:r w:rsidR="00933AFF"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{"citationItems":[{"id":"ITEM-1","itemData":{"DOI":"10.1590/S0044-59672009000300016","ISSN":"0044-5967","author":[{"dropping-particle":"","family":"Moreira","given":"Luciane Silva","non-dropping-particle":"","parse-names":false,"suffix":""},{"dropping-particle":"","family":"Moreira-Turcq","given":"Patricia Florio","non-dropping-particle":"","parse-names":false,"suffix":""},{"dropping-particle":"","family":"Cordeiro","given":"Renato Campello","non-dropping-particle":"","parse-names":false,"suffix":""},{"dropping-particle":"","family":"Turcq","given":"Bruno Jean","non-dropping-particle":"","parse-names":false,"suffix":""}],"container-title":"Acta Amazonica","id":"ITEM-1","issue":"3","issued":{"date-parts":[["2009"]]},"page":"609 - 616","title":"Reconstituição paleoambiental do Lago Santa Ninha, Várzea do Lago Grande de Curuai, Pará, Brasil","type":"article-journal","volume":"39"},"uris":["http://www.mendeley.com/documents/?uuid=35f9676d-a51c-4a5b-bddf-a6e4f084c265"]}],"mendeley":{"formattedCitation":"&lt;sup&gt;27&lt;/sup&gt;","plainTextFormattedCitation":"27","previouslyFormattedCitation":"(Moreira et al. 2009)"},"properties":{"noteIndex":0},"schema":"https://github.com/citation-style-language/schema/raw/master/csl-citation.json"}</w:instrText>
      </w:r>
      <w:r w:rsidR="00933AFF"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27</w:t>
      </w:r>
      <w:r w:rsidR="00933AFF" w:rsidRPr="00513B5A">
        <w:rPr>
          <w:rFonts w:ascii="Times New Roman" w:hAnsi="Times New Roman" w:cs="Times New Roman"/>
          <w:sz w:val="24"/>
          <w:szCs w:val="24"/>
          <w:lang w:val="en-GB"/>
        </w:rPr>
        <w:fldChar w:fldCharType="end"/>
      </w:r>
      <w:r w:rsidR="00933AFF" w:rsidRPr="00513B5A">
        <w:rPr>
          <w:rFonts w:ascii="Times New Roman" w:hAnsi="Times New Roman" w:cs="Times New Roman"/>
          <w:sz w:val="24"/>
          <w:szCs w:val="24"/>
          <w:lang w:val="en-GB"/>
        </w:rPr>
        <w:t xml:space="preserve"> and ~2 to 10 times more in the central margin of the Arabian Sea</w:t>
      </w:r>
      <w:r w:rsidR="00933AFF"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{"citationItems":[{"id":"ITEM-1","itemData":{"DOI":"10.1016/S0048-9697(99)00155-2","ISSN":"00489697","abstract":"Eight gravity cores from the active eastern continental margins of the Arabian Sea were dated using 210Pb(xs), 137Cs and 14C. The short-term (≤ 100 years) sedimentation rates range from 0.06 to 0.66 cm/year where as the long-term (≥ 1000 years) ones using AMS 14C on planktonic foraminifera varied from 0.004 to 0.13 cm/year. For long-term chronology (≤ 50000 years) AMS dating of well-cleaned planktonic foraminifera is most suited.","author":[{"dropping-particle":"","family":"Somayajulu","given":"B.L.K.","non-dropping-particle":"","parse-names":false,"suffix":""},{"dropping-particle":"","family":"Bhushan","given":"R.","non-dropping-particle":"","parse-names":false,"suffix":""},{"dropping-particle":"","family":"Sarkar","given":"Ashish","non-dropping-particle":"","parse-names":false,"suffix":""},{"dropping-particle":"","family":"Burr","given":"G.S.","non-dropping-particle":"","parse-names":false,"suffix":""},{"dropping-particle":"","family":"Jull","given":"A.J.T.","non-dropping-particle":"","parse-names":false,"suffix":""}],"container-title":"Science of The Total Environment","id":"ITEM-1","issued":{"date-parts":[["1999","9"]]},"page":"429-439","title":"Sediment deposition rates on the continental margins of the eastern Arabian Sea using 210Pb, 137Cs and 14C","type":"article-journal","volume":"237-238"},"uris":["http://www.mendeley.com/documents/?uuid=486e5d3e-8160-457d-ac7e-c5937a7a3632"]}],"mendeley":{"formattedCitation":"&lt;sup&gt;28&lt;/sup&gt;","plainTextFormattedCitation":"28","previouslyFormattedCitation":"(Somayajulu et al. 1999)"},"properties":{"noteIndex":0},"schema":"https://github.com/citation-style-language/schema/raw/master/csl-citation.json"}</w:instrText>
      </w:r>
      <w:r w:rsidR="00933AFF"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28</w:t>
      </w:r>
      <w:r w:rsidR="00933AFF" w:rsidRPr="00513B5A">
        <w:rPr>
          <w:rFonts w:ascii="Times New Roman" w:hAnsi="Times New Roman" w:cs="Times New Roman"/>
          <w:sz w:val="24"/>
          <w:szCs w:val="24"/>
          <w:lang w:val="en-GB"/>
        </w:rPr>
        <w:fldChar w:fldCharType="end"/>
      </w:r>
      <w:r w:rsidR="00933AFF" w:rsidRPr="00513B5A">
        <w:rPr>
          <w:rFonts w:ascii="Times New Roman" w:hAnsi="Times New Roman" w:cs="Times New Roman"/>
          <w:sz w:val="24"/>
          <w:szCs w:val="24"/>
          <w:lang w:val="en-GB"/>
        </w:rPr>
        <w:t xml:space="preserve"> using </w:t>
      </w:r>
      <w:r w:rsidR="00933AFF" w:rsidRPr="00513B5A">
        <w:rPr>
          <w:rFonts w:ascii="Times New Roman" w:hAnsi="Times New Roman" w:cs="Times New Roman"/>
          <w:sz w:val="24"/>
          <w:szCs w:val="24"/>
          <w:vertAlign w:val="superscript"/>
          <w:lang w:val="en-GB"/>
        </w:rPr>
        <w:t>210</w:t>
      </w:r>
      <w:r w:rsidR="00933AFF" w:rsidRPr="00513B5A">
        <w:rPr>
          <w:rFonts w:ascii="Times New Roman" w:hAnsi="Times New Roman" w:cs="Times New Roman"/>
          <w:sz w:val="24"/>
          <w:szCs w:val="24"/>
          <w:lang w:val="en-GB"/>
        </w:rPr>
        <w:t xml:space="preserve">Pb than radiocarbon. </w:t>
      </w:r>
      <w:r w:rsidRPr="00513B5A">
        <w:rPr>
          <w:rFonts w:ascii="Times New Roman" w:hAnsi="Times New Roman" w:cs="Times New Roman"/>
          <w:sz w:val="24"/>
          <w:szCs w:val="24"/>
          <w:lang w:val="en-GB"/>
        </w:rPr>
        <w:t xml:space="preserve">Despite the potential role of active diagenesis </w:t>
      </w:r>
      <w:r w:rsidR="00F46781" w:rsidRPr="00513B5A">
        <w:rPr>
          <w:rFonts w:ascii="Times New Roman" w:hAnsi="Times New Roman" w:cs="Times New Roman"/>
          <w:sz w:val="24"/>
          <w:szCs w:val="24"/>
          <w:lang w:val="en-GB"/>
        </w:rPr>
        <w:t xml:space="preserve">in surface </w:t>
      </w:r>
      <w:r w:rsidRPr="00513B5A">
        <w:rPr>
          <w:rFonts w:ascii="Times New Roman" w:hAnsi="Times New Roman" w:cs="Times New Roman"/>
          <w:sz w:val="24"/>
          <w:szCs w:val="24"/>
          <w:lang w:val="en-GB"/>
        </w:rPr>
        <w:t>sediment</w:t>
      </w:r>
      <w:r w:rsidR="00F46781" w:rsidRPr="00513B5A">
        <w:rPr>
          <w:rFonts w:ascii="Times New Roman" w:hAnsi="Times New Roman" w:cs="Times New Roman"/>
          <w:sz w:val="24"/>
          <w:szCs w:val="24"/>
          <w:lang w:val="en-GB"/>
        </w:rPr>
        <w:t>s</w:t>
      </w:r>
      <w:r w:rsidRPr="00513B5A">
        <w:rPr>
          <w:rFonts w:ascii="Times New Roman" w:hAnsi="Times New Roman" w:cs="Times New Roman"/>
          <w:sz w:val="24"/>
          <w:szCs w:val="24"/>
          <w:lang w:val="en-GB"/>
        </w:rPr>
        <w:t xml:space="preserve"> to overestimate lake C </w:t>
      </w:r>
      <w:r w:rsidR="00C43CBD" w:rsidRPr="00513B5A">
        <w:rPr>
          <w:rFonts w:ascii="Times New Roman" w:hAnsi="Times New Roman" w:cs="Times New Roman"/>
          <w:sz w:val="24"/>
          <w:szCs w:val="24"/>
          <w:lang w:val="en-GB"/>
        </w:rPr>
        <w:t>accumulation</w:t>
      </w:r>
      <w:r w:rsidR="00411654"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{"citationItems":[{"id":"ITEM-1","itemData":{"DOI":"10.1007/s10021-014-9826-9","ISBN":"1432-9840","ISSN":"1432-9840","author":[{"dropping-particle":"","family":"Hanson","given":"Paul C.","non-dropping-particle":"","parse-names":false,"suffix":""},{"dropping-particle":"","family":"Pace","given":"Michael L.","non-dropping-particle":"","parse-names":false,"suffix":""},{"dropping-particle":"","family":"Carpenter","given":"Stephen R.","non-dropping-particle":"","parse-names":false,"suffix":""},{"dropping-particle":"","family":"Cole","given":"Jonathan J.","non-dropping-particle":"","parse-names":false,"suffix":""},{"dropping-particle":"","family":"Stanley","given":"Emily H.","non-dropping-particle":"","parse-names":false,"suffix":""}],"container-title":"Ecosystems","id":"ITEM-1","issue":"3","issued":{"date-parts":[["2015","4","25"]]},"page":"363-375","title":"Integrating Landscape Carbon Cycling: Research Needs for Resolving Organic Carbon Budgets of Lakes","type":"article-journal","volume":"18"},"uris":["http://www.mendeley.com/documents/?uuid=bed706aa-b104-4673-bc44-88bea63414e1"]}],"mendeley":{"formattedCitation":"&lt;sup&gt;29&lt;/sup&gt;","plainTextFormattedCitation":"29","previouslyFormattedCitation":"(Hanson et al. 2015)"},"properties":{"noteIndex":0},"schema":"https://github.com/citation-style-language/schema/raw/master/csl-citation.json"}</w:instrText>
      </w:r>
      <w:r w:rsidR="00411654"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29</w:t>
      </w:r>
      <w:r w:rsidR="00411654" w:rsidRPr="00513B5A">
        <w:rPr>
          <w:rFonts w:ascii="Times New Roman" w:hAnsi="Times New Roman" w:cs="Times New Roman"/>
          <w:sz w:val="24"/>
          <w:szCs w:val="24"/>
          <w:lang w:val="en-GB"/>
        </w:rPr>
        <w:fldChar w:fldCharType="end"/>
      </w:r>
      <w:r w:rsidRPr="00513B5A">
        <w:rPr>
          <w:rFonts w:ascii="Times New Roman" w:eastAsia="Times New Roman" w:hAnsi="Times New Roman" w:cs="Times New Roman"/>
          <w:sz w:val="24"/>
          <w:szCs w:val="24"/>
          <w:lang w:val="en-GB" w:eastAsia="pt-BR"/>
        </w:rPr>
        <w:t xml:space="preserve">, </w:t>
      </w:r>
      <w:r w:rsidRPr="00513B5A">
        <w:rPr>
          <w:rFonts w:ascii="Times New Roman" w:hAnsi="Times New Roman" w:cs="Times New Roman"/>
          <w:sz w:val="24"/>
          <w:szCs w:val="24"/>
          <w:lang w:val="en-GB"/>
        </w:rPr>
        <w:t xml:space="preserve">highly divergent </w:t>
      </w:r>
      <w:r w:rsidR="00C43CBD" w:rsidRPr="00513B5A">
        <w:rPr>
          <w:rFonts w:ascii="Times New Roman" w:hAnsi="Times New Roman" w:cs="Times New Roman"/>
          <w:sz w:val="24"/>
          <w:szCs w:val="24"/>
          <w:lang w:val="en-GB"/>
        </w:rPr>
        <w:t xml:space="preserve">OC burial </w:t>
      </w:r>
      <w:r w:rsidRPr="00513B5A">
        <w:rPr>
          <w:rFonts w:ascii="Times New Roman" w:hAnsi="Times New Roman" w:cs="Times New Roman"/>
          <w:sz w:val="24"/>
          <w:szCs w:val="24"/>
          <w:lang w:val="en-GB"/>
        </w:rPr>
        <w:t xml:space="preserve">rates have been attributed to the </w:t>
      </w:r>
      <w:r w:rsidR="00323E71" w:rsidRPr="00513B5A">
        <w:rPr>
          <w:rFonts w:ascii="Times New Roman" w:hAnsi="Times New Roman" w:cs="Times New Roman"/>
          <w:sz w:val="24"/>
          <w:szCs w:val="24"/>
          <w:lang w:val="en-GB"/>
        </w:rPr>
        <w:t>anthropogenic increases over the past decades</w:t>
      </w:r>
      <w:r w:rsidR="00411654"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{"citationItems":[{"id":"ITEM-1","itemData":{"DOI":"10.1016/j.chemosphere.2020.128895","ISSN":"18791298","PMID":"33213881","abstract":"The determination of age-dated metal sediment accumulation rates in a representative South American bay is able to portray the dimension of human impacts during the colonial occupation and industrial periods. Many studies have assessed metal distribution and chronology at Guanabara Bay, in Brazil. However, understanding natural variabilities associated to paleoclimatic changes and comparing these natural variabilities to anthropogenic processes are not well established to date. Accurate geochronological control integrating ages determined by 210Pb and 14C chronologies through an exponential spline fit model allowed for a precise definition of changes associated to the holocene marine transgression, as well as the colonial period, leading to intense land use changes, and the industrial period. The reference values of the system were defined based on their concentrations and the accumulation rates of ecotoxicologically important metals. Al, Ba, Fe, Cd, Cu, Cr, Li, Ni, Mn, Pb, Si, Ti, V, and Zn distributions were determined in a Guanabara Bay core (BG-28) by the EPA 3051 method. Elemental distribution profile assessment allowed for the identification of variabilities associated to weathering processes, predominantly of lithogenic origin, mainly for Al, Ba, Fe, Li, Si, and V. Weathering processes occurred simultaneously to land use changes in the drainage basin since the colonial period, at 400 cal yr BP, and during the industrial period, mainly after the 1960s, denoted by Cd, Cr, Cu, Mn, Pb and Zn increases. The highest average metal enrichment values metals associated to industrial processes reached 5.95, with 119.1-fold higher accumulation rates than the background accumulation values observed between 4200 and 500 cal yr BP.","author":[{"dropping-particle":"","family":"Cordeiro","given":"R. C.","non-dropping-particle":"","parse-names":false,"suffix":""},{"dropping-particle":"","family":"Monteiro","given":"F. F.","non-dropping-particle":"","parse-names":false,"suffix":""},{"dropping-particle":"","family":"Santelli","given":"R. E.","non-dropping-particle":"","parse-names":false,"suffix":""},{"dropping-particle":"","family":"Moreira","given":"L. S.","non-dropping-particle":"","parse-names":false,"suffix":""},{"dropping-particle":"","family":"Figueiredo","given":"A. G.","non-dropping-particle":"","parse-names":false,"suffix":""},{"dropping-particle":"","family":"Bidone","given":"E. D.","non-dropping-particle":"","parse-names":false,"suffix":""},{"dropping-particle":"","family":"Pereira","given":"R. S.","non-dropping-particle":"","parse-names":false,"suffix":""},{"dropping-particle":"","family":"Anjos","given":"L. C.","non-dropping-particle":"","parse-names":false,"suffix":""},{"dropping-particle":"","family":"Meniconi","given":"M. F.G.","non-dropping-particle":"","parse-names":false,"suffix":""}],"container-title":"Chemosphere","id":"ITEM-1","issued":{"date-parts":[["2021","3"]]},"page":"128895","title":"Environmental and anthropic variabilities at Guanabara Bay (Brazil): A comparative perspective of metal depositions in different time scales during the last 5,500 yrs","type":"article-journal","volume":"267"},"uris":["http://www.mendeley.com/documents/?uuid=17cf8a2d-53dd-4ffc-8845-9941e665cc24"]},{"id":"ITEM-2","itemData":{"DOI":"10.1016/S0048-9697(99)00155-2","ISSN":"00489697","abstract":"Eight gravity cores from the active eastern continental margins of the Arabian Sea were dated using 210Pb(xs), 137Cs and 14C. The short-term (≤ 100 years) sedimentation rates range from 0.06 to 0.66 cm/year where as the long-term (≥ 1000 years) ones using AMS 14C on planktonic foraminifera varied from 0.004 to 0.13 cm/year. For long-term chronology (≤ 50000 years) AMS dating of well-cleaned planktonic foraminifera is most suited.","author":[{"dropping-particle":"","family":"Somayajulu","given":"B.L.K.","non-dropping-particle":"","parse-names":false,"suffix":""},{"dropping-particle":"","family":"Bhushan","given":"R.","non-dropping-particle":"","parse-names":false,"suffix":""},{"dropping-particle":"","family":"Sarkar","given":"Ashish","non-dropping-particle":"","parse-names":false,"suffix":""},{"dropping-particle":"","family":"Burr","given":"G.S.","non-dropping-particle":"","parse-names":false,"suffix":""},{"dropping-particle":"","family":"Jull","given":"A.J.T.","non-dropping-particle":"","parse-names":false,"suffix":""}],"container-title":"Science of The Total Environment","id":"ITEM-2","issued":{"date-parts":[["1999","9"]]},"page":"429-439","title":"Sediment deposition rates on the continental margins of the eastern Arabian Sea using 210Pb, 137Cs and 14C","type":"article-journal","volume":"237-238"},"uris":["http://www.mendeley.com/documents/?uuid=486e5d3e-8160-457d-ac7e-c5937a7a3632"]}],"mendeley":{"formattedCitation":"&lt;sup&gt;28,30&lt;/sup&gt;","plainTextFormattedCitation":"28,30","previouslyFormattedCitation":"(Somayajulu et al. 1999; Cordeiro et al. 2021)"},"properties":{"noteIndex":0},"schema":"https://github.com/citation-style-language/schema/raw/master/csl-citation.json"}</w:instrText>
      </w:r>
      <w:r w:rsidR="00411654"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28,30</w:t>
      </w:r>
      <w:r w:rsidR="00411654" w:rsidRPr="00513B5A">
        <w:rPr>
          <w:rFonts w:ascii="Times New Roman" w:hAnsi="Times New Roman" w:cs="Times New Roman"/>
          <w:sz w:val="24"/>
          <w:szCs w:val="24"/>
          <w:lang w:val="en-GB"/>
        </w:rPr>
        <w:fldChar w:fldCharType="end"/>
      </w:r>
      <w:r w:rsidR="00323E71" w:rsidRPr="00513B5A">
        <w:rPr>
          <w:rFonts w:ascii="Times New Roman" w:hAnsi="Times New Roman" w:cs="Times New Roman"/>
          <w:sz w:val="24"/>
          <w:szCs w:val="24"/>
          <w:lang w:val="en-GB"/>
        </w:rPr>
        <w:t xml:space="preserve"> and the </w:t>
      </w:r>
      <w:r w:rsidRPr="00513B5A">
        <w:rPr>
          <w:rFonts w:ascii="Times New Roman" w:hAnsi="Times New Roman" w:cs="Times New Roman"/>
          <w:sz w:val="24"/>
          <w:szCs w:val="24"/>
          <w:lang w:val="en-GB"/>
        </w:rPr>
        <w:t xml:space="preserve">lower uncertainty of </w:t>
      </w:r>
      <w:r w:rsidRPr="00513B5A">
        <w:rPr>
          <w:rFonts w:ascii="Times New Roman" w:hAnsi="Times New Roman" w:cs="Times New Roman"/>
          <w:sz w:val="24"/>
          <w:szCs w:val="24"/>
          <w:vertAlign w:val="superscript"/>
          <w:lang w:val="en-GB"/>
        </w:rPr>
        <w:t>210</w:t>
      </w:r>
      <w:r w:rsidRPr="00513B5A">
        <w:rPr>
          <w:rFonts w:ascii="Times New Roman" w:hAnsi="Times New Roman" w:cs="Times New Roman"/>
          <w:sz w:val="24"/>
          <w:szCs w:val="24"/>
          <w:lang w:val="en-GB"/>
        </w:rPr>
        <w:t xml:space="preserve">Pb </w:t>
      </w:r>
      <w:r w:rsidR="00C43CBD" w:rsidRPr="00513B5A">
        <w:rPr>
          <w:rFonts w:ascii="Times New Roman" w:hAnsi="Times New Roman" w:cs="Times New Roman"/>
          <w:sz w:val="24"/>
          <w:szCs w:val="24"/>
          <w:lang w:val="en-GB"/>
        </w:rPr>
        <w:t>than</w:t>
      </w:r>
      <w:r w:rsidRPr="00513B5A">
        <w:rPr>
          <w:rFonts w:ascii="Times New Roman" w:hAnsi="Times New Roman" w:cs="Times New Roman"/>
          <w:sz w:val="24"/>
          <w:szCs w:val="24"/>
          <w:lang w:val="en-GB"/>
        </w:rPr>
        <w:t xml:space="preserve"> radiocarbon</w:t>
      </w:r>
      <w:r w:rsidR="00C43CBD" w:rsidRPr="00513B5A">
        <w:rPr>
          <w:rFonts w:ascii="Times New Roman" w:hAnsi="Times New Roman" w:cs="Times New Roman"/>
          <w:sz w:val="24"/>
          <w:szCs w:val="24"/>
          <w:lang w:val="en-GB"/>
        </w:rPr>
        <w:t xml:space="preserve"> dating </w:t>
      </w:r>
      <w:r w:rsidRPr="00513B5A">
        <w:rPr>
          <w:rFonts w:ascii="Times New Roman" w:hAnsi="Times New Roman" w:cs="Times New Roman"/>
          <w:sz w:val="24"/>
          <w:szCs w:val="24"/>
          <w:lang w:val="en-GB"/>
        </w:rPr>
        <w:t>on a time scale of up to a century</w:t>
      </w:r>
      <w:r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{"citationItems":[{"id":"ITEM-1","itemData":{"abstract":"Pb is of crucial importance to a wide range of programs studying environmental records stored in natural archives such as lake sedi-ments or peat bog accumulations. In a large number of cases the method has proved to be very reliable, particularly in stable environments with uniform sediment accumulation rates where the dating calculations are unambiguous. The method has also been found to give good result at many sites with non-uniform accumulation, though here the problem is more difficult in view of the need to determine an appropriate dating model. There are two simple models, commonly referred to as the CRS and CIC models (Appleby &amp; Oldfield 1978, Robbins 1978). Of these, the CRS (constant rate of 210 Pb supply) model is per-haps the most widely used. The main principles of this model are exemplified in Appleby et al. (1979) by cores from three Finnish lakes with annually lami-nated sediments, all of which contained layers recording dilution of the atmos-pheric 210 Pb flux by increased sedimentation. 210 Pb dates calculated using the CRS model were in good agreements with those determined by laminae counting. There are however circumstances where the CIC (constant initial concentration) model is appropriate, e.g. in a core from Devoke Water (Appleby &amp; Oldfield 1992) where the CRS model was invalidated by an abrupt disconti-nuity in the sediment record. In a very real sense these models should in the first instance be regarded as tools whose purpose is to determine, as far as practicable, the processes that have generated the data contained in the sediment record. In each case the","author":[{"dropping-particle":"","family":"Appleby","given":"P G","non-dropping-particle":"","parse-names":false,"suffix":""}],"container-title":"Stuk a-145","id":"ITEM-1","issued":{"date-parts":[["1998"]]},"page":"7-24","title":"Dating recent sediments by 210 pb: problems and solutions","type":"article-journal"},"uris":["http://www.mendeley.com/documents/?uuid=41ea9fcd-fb30-4224-968d-8ed4bba4a0f5"]},{"id":"ITEM-2","itemData":{"DOI":"10.1038/195984a0","ISSN":"0028-0836","author":[{"dropping-particle":"","family":"Godwin","given":"H.","non-dropping-particle":"","parse-names":false,"suffix":""}],"container-title":"Nature","id":"ITEM-2","issue":"4845","issued":{"date-parts":[["1962","9"]]},"page":"984-984","title":"Half-life of Radiocarbon","type":"article-journal","volume":"195"},"uris":["http://www.mendeley.com/documents/?uuid=53572199-f9d8-4d63-ab39-1044c4e5e79d"]}],"mendeley":{"formattedCitation":"&lt;sup&gt;31,32&lt;/sup&gt;","plainTextFormattedCitation":"31,32","previouslyFormattedCitation":"(Godwin 1962; Appleby 1998)"},"properties":{"noteIndex":0},"schema":"https://github.com/citation-style-language/schema/raw/master/csl-citation.json"}</w:instrText>
      </w:r>
      <w:r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31,32</w:t>
      </w:r>
      <w:r w:rsidRPr="00513B5A">
        <w:rPr>
          <w:rFonts w:ascii="Times New Roman" w:hAnsi="Times New Roman" w:cs="Times New Roman"/>
          <w:sz w:val="24"/>
          <w:szCs w:val="24"/>
          <w:lang w:val="en-GB"/>
        </w:rPr>
        <w:fldChar w:fldCharType="end"/>
      </w:r>
      <w:r w:rsidRPr="00513B5A">
        <w:rPr>
          <w:rFonts w:ascii="Times New Roman" w:hAnsi="Times New Roman" w:cs="Times New Roman"/>
          <w:sz w:val="24"/>
          <w:szCs w:val="24"/>
          <w:lang w:val="en-GB"/>
        </w:rPr>
        <w:t>.</w:t>
      </w:r>
      <w:r w:rsidR="00F46781" w:rsidRPr="00513B5A">
        <w:rPr>
          <w:rFonts w:ascii="Times New Roman" w:hAnsi="Times New Roman" w:cs="Times New Roman"/>
          <w:sz w:val="24"/>
          <w:szCs w:val="24"/>
          <w:lang w:val="en-GB"/>
        </w:rPr>
        <w:t xml:space="preserve"> Indeed, </w:t>
      </w:r>
      <w:r w:rsidR="00F46781" w:rsidRPr="00513B5A">
        <w:rPr>
          <w:rFonts w:ascii="Times New Roman" w:hAnsi="Times New Roman" w:cs="Times New Roman"/>
          <w:sz w:val="24"/>
          <w:szCs w:val="24"/>
          <w:lang w:val="en-US"/>
        </w:rPr>
        <w:t xml:space="preserve">the relationships of non-flooded forest cover and OC burial rates in sediment profiles comparing above and below 10-cm layers showed the same results (Supp Figure </w:t>
      </w:r>
      <w:r w:rsidR="008E5BDE" w:rsidRPr="00513B5A">
        <w:rPr>
          <w:rFonts w:ascii="Times New Roman" w:hAnsi="Times New Roman" w:cs="Times New Roman"/>
          <w:sz w:val="24"/>
          <w:szCs w:val="24"/>
          <w:lang w:val="en-US"/>
        </w:rPr>
        <w:t>9</w:t>
      </w:r>
      <w:r w:rsidR="00F46781" w:rsidRPr="00513B5A">
        <w:rPr>
          <w:rFonts w:ascii="Times New Roman" w:hAnsi="Times New Roman" w:cs="Times New Roman"/>
          <w:sz w:val="24"/>
          <w:szCs w:val="24"/>
          <w:lang w:val="en-US"/>
        </w:rPr>
        <w:t>), indicating no bias towards incomplete diagenesis in our conclusion</w:t>
      </w:r>
      <w:r w:rsidR="00323E71" w:rsidRPr="00513B5A">
        <w:rPr>
          <w:rFonts w:ascii="Times New Roman" w:hAnsi="Times New Roman" w:cs="Times New Roman"/>
          <w:sz w:val="24"/>
          <w:szCs w:val="24"/>
          <w:lang w:val="en-US"/>
        </w:rPr>
        <w:t>.</w:t>
      </w:r>
    </w:p>
    <w:p w14:paraId="7F467CD7" w14:textId="60FCFF7D" w:rsidR="00B90CE4" w:rsidRPr="00513B5A" w:rsidRDefault="003432D0" w:rsidP="00766871">
      <w:pPr>
        <w:spacing w:after="0" w:line="360" w:lineRule="auto"/>
        <w:ind w:firstLine="708"/>
        <w:jc w:val="both"/>
        <w:rPr>
          <w:rFonts w:ascii="Times New Roman" w:hAnsi="Times New Roman" w:cs="Times New Roman"/>
          <w:sz w:val="24"/>
          <w:szCs w:val="24"/>
          <w:lang w:val="en-GB"/>
        </w:rPr>
      </w:pPr>
      <w:r w:rsidRPr="00513B5A">
        <w:rPr>
          <w:rFonts w:ascii="Times New Roman" w:hAnsi="Times New Roman" w:cs="Times New Roman"/>
          <w:sz w:val="24"/>
          <w:szCs w:val="24"/>
          <w:lang w:val="en-GB"/>
        </w:rPr>
        <w:t>However</w:t>
      </w:r>
      <w:r w:rsidR="00071E71" w:rsidRPr="00513B5A">
        <w:rPr>
          <w:rFonts w:ascii="Times New Roman" w:hAnsi="Times New Roman" w:cs="Times New Roman"/>
          <w:sz w:val="24"/>
          <w:szCs w:val="24"/>
          <w:lang w:val="en-GB"/>
        </w:rPr>
        <w:t xml:space="preserve">, </w:t>
      </w:r>
      <w:r w:rsidRPr="00513B5A">
        <w:rPr>
          <w:rFonts w:ascii="Times New Roman" w:hAnsi="Times New Roman" w:cs="Times New Roman"/>
          <w:sz w:val="24"/>
          <w:szCs w:val="24"/>
          <w:shd w:val="clear" w:color="auto" w:fill="FFFFFF"/>
          <w:lang w:val="en-GB"/>
        </w:rPr>
        <w:t>o</w:t>
      </w:r>
      <w:r w:rsidR="00F46A7E" w:rsidRPr="00513B5A">
        <w:rPr>
          <w:rFonts w:ascii="Times New Roman" w:hAnsi="Times New Roman" w:cs="Times New Roman"/>
          <w:sz w:val="24"/>
          <w:szCs w:val="24"/>
          <w:lang w:val="en-GB"/>
        </w:rPr>
        <w:t xml:space="preserve">ur </w:t>
      </w:r>
      <w:r w:rsidR="002336BA" w:rsidRPr="00513B5A">
        <w:rPr>
          <w:rFonts w:ascii="Times New Roman" w:hAnsi="Times New Roman" w:cs="Times New Roman"/>
          <w:sz w:val="24"/>
          <w:szCs w:val="24"/>
          <w:lang w:val="en-GB"/>
        </w:rPr>
        <w:t xml:space="preserve">lower estimates of OC burial in human-altered versus conserved lakes </w:t>
      </w:r>
      <w:r w:rsidR="00F915DA" w:rsidRPr="00513B5A">
        <w:rPr>
          <w:rFonts w:ascii="Times New Roman" w:hAnsi="Times New Roman" w:cs="Times New Roman"/>
          <w:sz w:val="24"/>
          <w:szCs w:val="24"/>
          <w:lang w:val="en-GB"/>
        </w:rPr>
        <w:t xml:space="preserve">also </w:t>
      </w:r>
      <w:r w:rsidR="007B7EAE" w:rsidRPr="00513B5A">
        <w:rPr>
          <w:rFonts w:ascii="Times New Roman" w:hAnsi="Times New Roman" w:cs="Times New Roman"/>
          <w:sz w:val="24"/>
          <w:szCs w:val="24"/>
          <w:lang w:val="en-GB"/>
        </w:rPr>
        <w:t>complement</w:t>
      </w:r>
      <w:r w:rsidRPr="00513B5A">
        <w:rPr>
          <w:rFonts w:ascii="Times New Roman" w:hAnsi="Times New Roman" w:cs="Times New Roman"/>
          <w:sz w:val="24"/>
          <w:szCs w:val="24"/>
          <w:lang w:val="en-GB"/>
        </w:rPr>
        <w:t>ed</w:t>
      </w:r>
      <w:r w:rsidR="002336BA" w:rsidRPr="00513B5A">
        <w:rPr>
          <w:rFonts w:ascii="Times New Roman" w:hAnsi="Times New Roman" w:cs="Times New Roman"/>
          <w:sz w:val="24"/>
          <w:szCs w:val="24"/>
          <w:lang w:val="en-GB"/>
        </w:rPr>
        <w:t xml:space="preserve"> earlier predictions derived from datasets that underrepresented low-latitude ecosystems (e.g., </w:t>
      </w:r>
      <w:r w:rsidR="002336BA"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{"citationItems":[{"id":"ITEM-1","itemData":{"DOI":"10.1029/98GB00741","ISSN":"08866236","abstract":"This paper examines the linkages between the carbon cycle and sedimentary\\nprocesses on land. Available data suggest that sedimentation on land\\ncan bury vast quantities of organic carbon, roughly 1015 g C yr&amp;8722;1.\\nTo evaluate the relative roles of various classes of processes in\\nthe burial of carbon on land, terrestrial sedimentation was modeled\\nas a series of 864 scenarios. Each scenario represents a unique choice\\nof intensities for seven classes of processes and two different global\\nwetland distributions. Comparison was made with presumed preagricultural\\nconditions. The classes of processes were divided into two major\\ncomponent parts: clastic sedimentation of soil-derived carbon and\\norganic sedimentation of autochthonous carbon. For clastic sedimentation,\\nmasses of sediment were considered for burial as reservoir sediment,\\nlake sediment, and combined colluvium, alluvium, and aeolian deposits.\\nWhen the ensemble of models is examined, the human-induced burial\\nof 0.6-1.5·1015 g yr&amp;8722;1 of carbon on land is entirely plausible.\\nThis sink reaches its maximum strength between 30° and 50° N. Paddy\\nlands stand out as a type of land use that warrants future study,\\nbut the many faces of rice agriculture limit generalization. In an\\nextreme scenario, paddy lands alone could be made to bury about 1·1015\\ng C yr&amp;8722;1. Arguing that terrestrial sedimentation processes could\\nbe much of the sink for the so called &amp;8220;missing carbon&amp;8221;\\nis reasonable. Such a hypothesis, however, requires major redesign\\nof how the carbon cycle is modeled. Unlike ecosystem processes that\\nare amenable to satellite monitoring and parallel modeling, many\\naspects of terrestrial sedimentation are hidden from space.","author":[{"dropping-particle":"","family":"Stallard","given":"Robert F.","non-dropping-particle":"","parse-names":false,"suffix":""}],"container-title":"Global Biogeochemical Cycles","id":"ITEM-1","issue":"2","issued":{"date-parts":[["1998","6"]]},"page":"231-257","title":"Terrestrial sedimentation and the carbon cycle: Coupling weathering and erosion to carbon burial","type":"article-journal","volume":"12"},"uris":["http://www.mendeley.com/documents/?uuid=3976c0a5-be61-405b-b569-62628c2c4c09"]}],"mendeley":{"formattedCitation":"&lt;sup&gt;33&lt;/sup&gt;","manualFormatting":"Stallard, 1998","plainTextFormattedCitation":"33","previouslyFormattedCitation":"(Stallard 1998)"},"properties":{"noteIndex":0},"schema":"https://github.com/citation-style-language/schema/raw/master/csl-citation.json"}</w:instrText>
      </w:r>
      <w:r w:rsidR="002336BA" w:rsidRPr="00513B5A">
        <w:rPr>
          <w:rFonts w:ascii="Times New Roman" w:hAnsi="Times New Roman" w:cs="Times New Roman"/>
          <w:sz w:val="24"/>
          <w:szCs w:val="24"/>
          <w:lang w:val="en-GB"/>
        </w:rPr>
        <w:fldChar w:fldCharType="separate"/>
      </w:r>
      <w:r w:rsidR="002336BA" w:rsidRPr="00513B5A">
        <w:rPr>
          <w:rFonts w:ascii="Times New Roman" w:hAnsi="Times New Roman" w:cs="Times New Roman"/>
          <w:noProof/>
          <w:sz w:val="24"/>
          <w:szCs w:val="24"/>
          <w:lang w:val="en-GB"/>
        </w:rPr>
        <w:t>Stallard, 1998</w:t>
      </w:r>
      <w:r w:rsidR="002336BA" w:rsidRPr="00513B5A">
        <w:rPr>
          <w:rFonts w:ascii="Times New Roman" w:hAnsi="Times New Roman" w:cs="Times New Roman"/>
          <w:sz w:val="24"/>
          <w:szCs w:val="24"/>
          <w:lang w:val="en-GB"/>
        </w:rPr>
        <w:fldChar w:fldCharType="end"/>
      </w:r>
      <w:r w:rsidR="002336BA" w:rsidRPr="00513B5A">
        <w:rPr>
          <w:rFonts w:ascii="Times New Roman" w:hAnsi="Times New Roman" w:cs="Times New Roman"/>
          <w:sz w:val="24"/>
          <w:szCs w:val="24"/>
          <w:lang w:val="en-GB"/>
        </w:rPr>
        <w:t>; Heathcote et al., 2015)</w:t>
      </w:r>
      <w:r w:rsidR="00835967" w:rsidRPr="00513B5A">
        <w:rPr>
          <w:rFonts w:ascii="Times New Roman" w:hAnsi="Times New Roman" w:cs="Times New Roman"/>
          <w:sz w:val="24"/>
          <w:szCs w:val="24"/>
          <w:lang w:val="en-GB"/>
        </w:rPr>
        <w:t>.</w:t>
      </w:r>
      <w:r w:rsidR="007B7EAE" w:rsidRPr="00513B5A">
        <w:rPr>
          <w:rFonts w:ascii="Times New Roman" w:hAnsi="Times New Roman" w:cs="Times New Roman"/>
          <w:sz w:val="24"/>
          <w:szCs w:val="24"/>
          <w:lang w:val="en-GB"/>
        </w:rPr>
        <w:t xml:space="preserve"> </w:t>
      </w:r>
      <w:bookmarkStart w:id="6" w:name="_Hlk73475255"/>
      <w:bookmarkEnd w:id="4"/>
      <w:r w:rsidRPr="00513B5A">
        <w:rPr>
          <w:rFonts w:ascii="Times New Roman" w:hAnsi="Times New Roman" w:cs="Times New Roman"/>
          <w:sz w:val="24"/>
          <w:szCs w:val="24"/>
          <w:lang w:val="en-GB"/>
        </w:rPr>
        <w:t xml:space="preserve">We show here that tropical forest lakes are underrepresented in global data sets and are </w:t>
      </w:r>
      <w:r w:rsidR="00945CB3" w:rsidRPr="00513B5A">
        <w:rPr>
          <w:rFonts w:ascii="Times New Roman" w:hAnsi="Times New Roman" w:cs="Times New Roman"/>
          <w:sz w:val="24"/>
          <w:szCs w:val="24"/>
          <w:lang w:val="en-GB"/>
        </w:rPr>
        <w:t xml:space="preserve">further </w:t>
      </w:r>
      <w:r w:rsidRPr="00513B5A">
        <w:rPr>
          <w:rFonts w:ascii="Times New Roman" w:hAnsi="Times New Roman" w:cs="Times New Roman"/>
          <w:sz w:val="24"/>
          <w:szCs w:val="24"/>
          <w:lang w:val="en-GB"/>
        </w:rPr>
        <w:t xml:space="preserve">shown here to bury more C per unit area annually, and sequester around </w:t>
      </w:r>
      <w:r w:rsidRPr="00513B5A">
        <w:rPr>
          <w:rFonts w:ascii="Times New Roman" w:hAnsi="Times New Roman" w:cs="Times New Roman"/>
          <w:sz w:val="24"/>
          <w:szCs w:val="24"/>
          <w:shd w:val="clear" w:color="auto" w:fill="FFFFFF"/>
          <w:lang w:val="en-GB"/>
        </w:rPr>
        <w:t>~23 and 8% more C than the eutrophic and hypereutrophic lakes previously reported</w:t>
      </w:r>
      <w:r w:rsidRPr="00513B5A">
        <w:rPr>
          <w:rFonts w:ascii="Times New Roman" w:hAnsi="Times New Roman" w:cs="Times New Roman"/>
          <w:sz w:val="24"/>
          <w:szCs w:val="24"/>
          <w:shd w:val="clear" w:color="auto" w:fill="FFFFFF"/>
          <w:lang w:val="en-GB"/>
        </w:rPr>
        <w:fldChar w:fldCharType="begin" w:fldLock="1"/>
      </w:r>
      <w:r w:rsidR="001D0B34">
        <w:rPr>
          <w:rFonts w:ascii="Times New Roman" w:hAnsi="Times New Roman" w:cs="Times New Roman"/>
          <w:sz w:val="24"/>
          <w:szCs w:val="24"/>
          <w:shd w:val="clear" w:color="auto" w:fill="FFFFFF"/>
          <w:lang w:val="en-GB"/>
        </w:rPr>
        <w:instrText>ADDIN CSL_CITATION {"citationItems":[{"id":"ITEM-1","itemData":{"DOI":"10.1111/gcb.12584","ISSN":"13652486","abstract":"The eutrophication of lowland lakes in Europe by excess nitrogen (N) and phosphorus (P) is severe because of the long history of land-cover change and agricultural intensification. The ecological and socio-economic effects of eutrophication are well understood but its effect on organic carbon (OC) sequestration by lakes and its change overtime has not been determined. Here, we compile data from ~90 culturally impacted European lakes [~60% are eutrophic, Total P (TP) &gt;30 μg P l−1] and determine the extent to which OC burial rates have increased over the past 100–150 years. The average focussing corrected, OC accumulation rate (C ARFC) for the period 1950–1990 was ~60 g C m−2 yr−1, and for lakes with &gt;100 μg TP l−1 the average was ~100 g C m−2 yr−1. The ratio of post-1950 to 1900–1950 C AR is low (~1.5) indicating that C accumulation rates have been high throughout the 20th century. Compared to background estimates of OC burial (~5–10 g C m−2 yr−1), contemporary rates have increased by at least four to fivefold. The statistical relationship between C ARFC and TP derived from this study (r2 = 0.5) can be used to estimate OC burial at sites lacking estimates of sediment C-burial. The implications of eutrophication, diagenesis, lake morphometry and sediment focussing as controls of OC burial rates are considered. A conservative interpretation of the results of the this study suggests that lowland European meso- to eutrophic lakes with &gt;30 μg TP l−1 had OC burial rates in excess of 50 g C m−2 yr−1 over the past century, indicating that previous estimates of regional lake OC burial have seriously underestimated their contribution to European carbon sequestration. Enhanced OC burial by lakes is one positive side-effect of the otherwise negative impact of the anthropogenic disruption of nutrient cycles.","author":[{"dropping-particle":"","family":"Anderson","given":"N. J.","non-dropping-particle":"","parse-names":false,"suffix":""},{"dropping-particle":"","family":"Bennion","given":"H.","non-dropping-particle":"","parse-names":false,"suffix":""},{"dropping-particle":"","family":"Lotter","given":"A. F.","non-dropping-particle":"","parse-names":false,"suffix":""}],"container-title":"Global Change Biology","id":"ITEM-1","issue":"9","issued":{"date-parts":[["2014"]]},"page":"2741-2751","title":"Lake eutrophication and its implications for organic carbon sequestration in Europe","type":"article-journal","volume":"20"},"uris":["http://www.mendeley.com/documents/?uuid=53a4a78b-6fd5-4877-9794-bc8d511f57ae"]},{"id":"ITEM-2","itemData":{"DOI":"10.4319/lo.2009.54.6.2243","ISBN":"0024-3590","ISSN":"0024-3590","abstract":"We compared the burial efficiency of organic carbon (buried OC: deposited OC) in a diverse set of 27 different sediments from 11 lakes, focusing on the potential effects of organic matter source, oxygen exposure, and protective sorption of OC onto mineral surfaces. Average OC burial efficiency was high (mean 48%), and it was particularly high in sediments receiving high input of allochthonous organic matter (mean 67%). Further, OC burial efficiency was strongly negatively related to the oxygen exposure time, again particularly so in sediments receiving high allochthonous loads. On the other hand, OC burial efficiency was not related to the mineral surface area, which was used as a proxy of the sorption capacity of the mineral phase for OC. The high OC burial efficiency in many lake sediments can thus be attributed to the frequent and significant input of allochthonous organic matter to lakes, as well as to a strong dependence of OC burial efficiency on oxygen exposure time. This study demonstrates that the carbon sink in lake sediments alters the OC export from the continents to the sea and that the fate of OC in lake sediments (burial vs. mineralization to carbon dioxide and methane) is highly sensitive to environmental conditions.","author":[{"dropping-particle":"","family":"Sobek","given":"Sebastian","non-dropping-particle":"","parse-names":false,"suffix":""},{"dropping-particle":"","family":"Durisch-Kaiser","given":"Edith","non-dropping-particle":"","parse-names":false,"suffix":""},{"dropping-particle":"","family":"Zurbrügg","given":"Roland","non-dropping-particle":"","parse-names":false,"suffix":""},{"dropping-particle":"","family":"Wongfun","given":"Nuttakan","non-dropping-particle":"","parse-names":false,"suffix":""},{"dropping-particle":"","family":"Wessels","given":"Martin","non-dropping-particle":"","parse-names":false,"suffix":""},{"dropping-particle":"","family":"Pasche","given":"Natacha","non-dropping-particle":"","parse-names":false,"suffix":""},{"dropping-particle":"","family":"Wehrli","given":"Bernhard","non-dropping-particle":"","parse-names":false,"suffix":""}],"container-title":"Limnology and Oceanography","id":"ITEM-2","issue":"6","issued":{"date-parts":[["2009"]]},"page":"2243-2254","title":"Organic carbon burial efficiency in lake sediments controlled by oxygen exposure time and sediment source","type":"article-journal","volume":"54"},"uris":["http://www.mendeley.com/documents/?uuid=27477ebe-f7a7-4d77-93da-09d79908c6ae"]}],"mendeley":{"formattedCitation":"&lt;sup&gt;20,23&lt;/sup&gt;","plainTextFormattedCitation":"20,23","previouslyFormattedCitation":"(Sobek et al. 2009; Anderson et al. 2014)"},"properties":{"noteIndex":0},"schema":"https://github.com/citation-style-language/schema/raw/master/csl-citation.json"}</w:instrText>
      </w:r>
      <w:r w:rsidRPr="00513B5A">
        <w:rPr>
          <w:rFonts w:ascii="Times New Roman" w:hAnsi="Times New Roman" w:cs="Times New Roman"/>
          <w:sz w:val="24"/>
          <w:szCs w:val="24"/>
          <w:shd w:val="clear" w:color="auto" w:fill="FFFFFF"/>
          <w:lang w:val="en-GB"/>
        </w:rPr>
        <w:fldChar w:fldCharType="separate"/>
      </w:r>
      <w:r w:rsidR="001D0B34" w:rsidRPr="001D0B34">
        <w:rPr>
          <w:rFonts w:ascii="Times New Roman" w:hAnsi="Times New Roman" w:cs="Times New Roman"/>
          <w:noProof/>
          <w:sz w:val="24"/>
          <w:szCs w:val="24"/>
          <w:shd w:val="clear" w:color="auto" w:fill="FFFFFF"/>
          <w:vertAlign w:val="superscript"/>
          <w:lang w:val="en-GB"/>
        </w:rPr>
        <w:t>20,23</w:t>
      </w:r>
      <w:r w:rsidRPr="00513B5A">
        <w:rPr>
          <w:rFonts w:ascii="Times New Roman" w:hAnsi="Times New Roman" w:cs="Times New Roman"/>
          <w:sz w:val="24"/>
          <w:szCs w:val="24"/>
          <w:shd w:val="clear" w:color="auto" w:fill="FFFFFF"/>
          <w:lang w:val="en-GB"/>
        </w:rPr>
        <w:fldChar w:fldCharType="end"/>
      </w:r>
      <w:r w:rsidRPr="00513B5A">
        <w:rPr>
          <w:rFonts w:ascii="Times New Roman" w:hAnsi="Times New Roman" w:cs="Times New Roman"/>
          <w:sz w:val="24"/>
          <w:szCs w:val="24"/>
          <w:shd w:val="clear" w:color="auto" w:fill="FFFFFF"/>
          <w:lang w:val="en-GB"/>
        </w:rPr>
        <w:t>.</w:t>
      </w:r>
      <w:bookmarkStart w:id="7" w:name="_Hlk73538634"/>
      <w:bookmarkEnd w:id="5"/>
      <w:r w:rsidR="006666A2" w:rsidRPr="00513B5A">
        <w:rPr>
          <w:rFonts w:ascii="Times New Roman" w:hAnsi="Times New Roman" w:cs="Times New Roman"/>
          <w:sz w:val="24"/>
          <w:szCs w:val="24"/>
          <w:shd w:val="clear" w:color="auto" w:fill="FFFFFF"/>
          <w:lang w:val="en-GB"/>
        </w:rPr>
        <w:t xml:space="preserve"> </w:t>
      </w:r>
      <w:bookmarkStart w:id="8" w:name="_Hlk81300968"/>
      <w:r w:rsidR="006666A2" w:rsidRPr="00513B5A">
        <w:rPr>
          <w:rFonts w:ascii="Times New Roman" w:hAnsi="Times New Roman" w:cs="Times New Roman"/>
          <w:sz w:val="24"/>
          <w:szCs w:val="24"/>
          <w:lang w:val="en-US"/>
        </w:rPr>
        <w:t>T</w:t>
      </w:r>
      <w:r w:rsidR="006666A2" w:rsidRPr="00513B5A">
        <w:rPr>
          <w:rFonts w:ascii="Times New Roman" w:hAnsi="Times New Roman" w:cs="Times New Roman"/>
          <w:sz w:val="24"/>
          <w:szCs w:val="24"/>
          <w:lang w:val="en-GB"/>
        </w:rPr>
        <w:t xml:space="preserve">he significant decrease in OC burial rates observed here in Amazonian lakes surrounded by lower forest cover would indicate an additional effect, related to initial peaks of C storage in lacustrine </w:t>
      </w:r>
      <w:r w:rsidR="006666A2" w:rsidRPr="00513B5A">
        <w:rPr>
          <w:rFonts w:ascii="Times New Roman" w:hAnsi="Times New Roman" w:cs="Times New Roman"/>
          <w:sz w:val="24"/>
          <w:szCs w:val="24"/>
          <w:lang w:val="en-GB"/>
        </w:rPr>
        <w:lastRenderedPageBreak/>
        <w:t>sediments after deforestation</w:t>
      </w:r>
      <w:r w:rsidR="006666A2"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{"citationItems":[{"id":"ITEM-1","itemData":{"DOI":"10.1016/S1001-0742(08)62093-8","ISSN":"10010742","abstract":"Organic carbon (OC), total nitrogen (TN), and 210Pb in core sediment were measured to quantify the burial of organic carbon and the relative importance of allochthonous and autochthonous contributions during the past one hundred years in Jiaozhou Bay, North China. The core sediment was dated using 210Pb chronology, which is the most promising method for estimation of sedimentation rate on a time scale of 100-150 years. The variation of the burial flux of organic carbon in the past one hundred years can be divided into the following three stages: (1) relatively steady before 1980s; (2) increasing rapidly from the 1980s to a peak in the 1990s, and (3) decreasing from the 1990s to the present. The change is consistent with the amount of solid waste and sewage emptied into the bay. The OC:TN ratio was used to evaluate the source of organic carbon in the Jiaozhou Bay sediment. In the inner bay and bay mouth, the organic carbon was the main contributor from terrestrial sources, whereas only about half of organic carbon was contributed from terrestrial source in the outer bay. In the inner bay, the terrestrial source of organic carbon showed a steady change with an increase in the range of 69%-77% before 1990 to 93% in 2000, and then decreased from 2000 because of the decrease in the terrestrial input. In the bay mouth, the percentage of organic carbon from land reached the highest value with 94% in 1994. In the outer bay, the sediment source maintained steady for the past one hundred years. © 2008 The Research Centre for Eco-Environmental Sciences, Chinese Academy of Sciences.","author":[{"dropping-particle":"","family":"Li","given":"Xuegang","non-dropping-particle":"","parse-names":false,"suffix":""},{"dropping-particle":"","family":"Yuan","given":"Huamao","non-dropping-particle":"","parse-names":false,"suffix":""},{"dropping-particle":"","family":"Li","given":"Ning","non-dropping-particle":"","parse-names":false,"suffix":""},{"dropping-particle":"","family":"Song","given":"Jinming","non-dropping-particle":"","parse-names":false,"suffix":""}],"container-title":"Journal of Environmental Sciences","id":"ITEM-1","issue":"5","issued":{"date-parts":[["2008","1"]]},"page":"551-557","title":"Organic carbon source and burial during the past one hundred years in Jiaozhou Bay, North China","type":"article-journal","volume":"20"},"uris":["http://www.mendeley.com/documents/?uuid=b409696c-6b20-4dac-bd86-12d8802fe968"]},{"id":"ITEM-2","itemData":{"DOI":"10.1098/rspb.2013.1278","ISBN":"1471-2954 (Electronic)$\\backslash$r0962-8452 (Linking)","ISSN":"1471-2954","PMID":"23966637","abstract":"Lakes are a central component of the carbon cycle, both mineralizing terrestrially derived organic matter and storing substantial amounts of organic carbon (OC) in their sediments. However, the rates and controls on OC burial by lakes remain uncertain, as do the possible effects of future global change processes. To address these issues, we derived OC burial rates in (210)Pb-dated sediment cores from 116 small Minnesota lakes that cover major climate and land-use gradients. Rates for individual lakes presently range from 7 to 127 g C m(-2) yr(-1) and have increased by up to a factor of 8 since Euro-American settlement (mean increase: 2.8×). Mean pre-disturbance OC burial rates were similar (14-22 g C m(-2) yr(-1)) across all land-cover categories (prairie, mixed deciduous and boreal forest), indicating minimal effect of the regional temperature gradient (approx. 4 °C) on background carbon burial. The relationship between modern OC burial rates and temperature was also not significant after removal of the effect of total phosphorus. Contemporary burial rates were strongly correlated with lake-water nutrients and the extent of agricultural land cover in the catchment. Increased OC burial, documented even in relatively undisturbed boreal lake ecosystems, indicates a possible role for atmospheric nitrogen deposition. Our results suggest that globally, future land-cover change, intensification of agriculture and associated nutrient loading together with atmospheric N-deposition will enhance OC sequestration by lakes.","author":[{"dropping-particle":"","family":"Anderson","given":"N John","non-dropping-particle":"","parse-names":false,"suffix":""},{"dropping-particle":"","family":"Dietz","given":"Robert D","non-dropping-particle":"","parse-names":false,"suffix":""},{"dropping-particle":"","family":"Engstrom","given":"Daniel R","non-dropping-particle":"","parse-names":false,"suffix":""}],"container-title":"Proceedings. Biological sciences / The Royal Society","id":"ITEM-2","issue":"1769","issued":{"date-parts":[["2016","8","21"]]},"page":"20131278","title":"Land-use change, not climate, controls organic carbon burial in lakes.","type":"article-journal","volume":"280"},"uris":["http://www.mendeley.com/documents/?uuid=6f4ce703-859e-4ca1-bbc7-3f1ca5f4e697"]}],"mendeley":{"formattedCitation":"&lt;sup&gt;21,34&lt;/sup&gt;","plainTextFormattedCitation":"21,34","previouslyFormattedCitation":"(Li et al. 2008; Anderson et al. 2013)"},"properties":{"noteIndex":0},"schema":"https://github.com/citation-style-language/schema/raw/master/csl-citation.json"}</w:instrText>
      </w:r>
      <w:r w:rsidR="006666A2"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21,34</w:t>
      </w:r>
      <w:r w:rsidR="006666A2" w:rsidRPr="00513B5A">
        <w:rPr>
          <w:rFonts w:ascii="Times New Roman" w:hAnsi="Times New Roman" w:cs="Times New Roman"/>
          <w:sz w:val="24"/>
          <w:szCs w:val="24"/>
          <w:lang w:val="en-GB"/>
        </w:rPr>
        <w:fldChar w:fldCharType="end"/>
      </w:r>
      <w:r w:rsidR="006666A2" w:rsidRPr="00513B5A">
        <w:rPr>
          <w:rFonts w:ascii="Times New Roman" w:hAnsi="Times New Roman" w:cs="Times New Roman"/>
          <w:sz w:val="24"/>
          <w:szCs w:val="24"/>
          <w:lang w:val="en-GB"/>
        </w:rPr>
        <w:t xml:space="preserve"> that they may be a transient feature that is followed by long-term C storage decline</w:t>
      </w:r>
      <w:r w:rsidR="006666A2"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 xml:space="preserve">ADDIN CSL_CITATION {"citationItems":[{"id":"ITEM-1","itemData":{"DOI":"10.1007/BF00682508","ISSN":"0921-2728","abstract":"Sediment cores from three lakes were dated with210Pb using a constant rate of supply (CRS) model. We used low-background gamma counting to measure naturally occurring levels of210Pb,226Ra, and137Cs in sediment samples because sample preparation is simple and non-destructive,226Ra activity provides a direct measure of supported210Pb activity for each sample analyzed, and137Cs activity may provide an independent age marker for the 1962-1963 peak in atmospheric fallout of this radionuclide. In one core supported210Pb activity was estimated equally well from226Ra activity of each sampling interval or from the mean total210Pb activity of constant activity samples at depth. Supported210Pb activity was constant with depth in this core. In a short freeze core, determining226Ra activity of every sample proved advantageous in estimating supported210Pb activity because supported210Pb activity could be estimated from210Pb measurements only at the deepest sampling interval. Supported210Pb activity estimated from226Ra activity also yielded more precise estimates of highly variable sedimentation rates. In the third core226Ra activity exceeded210Pb activity at the top of the core and varied 20 fold with depth. This high input of226Ra in disequilibrium with210Pb is attributed to recent erosion of radium-bearing materials in the drainage basin. These data invalidate the assumption that supported210Pb activity is constant in sediment cores and can be estimated from the mean total210Pb activity at depths where210Pb activity is constant. We recommend using gamma counting or another independent assay of226Ra to validate the assumption of constant supported210Pb activity in sediment cores if there is reason to expect that226Ra activity varies with depth. © 1994 Kluwer Academic Publishers.","author":[{"dropping-particle":"","family":"Schelske","given":"Claire L.","non-dropping-particle":"","parse-names":false,"suffix":""},{"dropping-particle":"","family":"Peplow","given":"Arthur","non-dropping-particle":"","parse-names":false,"suffix":""},{"dropping-particle":"","family":"Brenner","given":"Mark","non-dropping-particle":"","parse-names":false,"suffix":""},{"dropping-particle":"","family":"Spencer","given":"Craig N.","non-dropping-particle":"","parse-names":false,"suffix":""}],"container-title":"Journal of Paleolimnology","id":"ITEM-1","issue":"2","issued":{"date-parts":[["1994"]]},"page":"115-128","title":"Low-background gamma counting: applications for210Pb dating of sediments","type":"article-journal","volume":"10"},"uris":["http://www.mendeley.com/documents/?uuid=c1821778-8d87-4faa-8485-6cbc561a0e53"]},{"id":"ITEM-2","itemData":{"DOI":"10.5194/bg-15-447-2018","ISSN":"17264189","abstract":"&lt;p&gt;The forests along the Amazon Basin produce significant quantities of organic material, a portion of which is deposited in floodplain lakes. However, potentially important effects of ongoing deforestation in the watershed on these carbon fluxes is still poorly understood. Here, a sediment core was extracted from an Amazon floodplain lake to examine the relationship between carbon burial and land cover/use. Historical records from 1942 and satellite data from 1975 were used to calculate deforestation rates between 1942 and 1975, and 1975 to 2008 in four zones with different distances from the margins of the lake and its tributaries (100, 500, 1000 and 6000-m buffers). Sediment accumulation rates were determined from the &lt;sup&gt;240&amp;amp;plus;239&lt;/sup&gt;Pu signatures and the excess &lt;sup&gt;210&lt;/sup&gt;Pb method, reaching near 3.8 and 4.2&amp;amp;thinsp;mm&amp;amp;thinsp;year&lt;sup&gt;&amp;amp;minus;1&lt;/sup&gt; in the last 60 and 120 years respectively. The average carbon burial rates ranged between 100 and 350&amp;amp;thinsp;g C m&lt;sup&gt;&amp;amp;minus;2&lt;/sup&gt;&amp;amp;thinsp;year&lt;sup&gt;&amp;amp;minus;1&lt;/sup&gt;, with pulses of high carbon burial derived from the forest vegetation, as indicated by δ&lt;sup&gt;13&lt;/sup&gt;C and δ&lt;sup&gt;15&lt;/sup&gt;N signatures, which corresponded to heavy deforestation in the 1940 and 50s. Finally, our results revealed a potentially important spatial dependence of the OC burial in Amazon lacustrine sediments in relation to deforestation rates in the catchment. These deforestation rates were more intense in the riparian vegetation (100-m buffer) during the period 1942&amp;amp;ndash;1975 and the larger open water areas (500, 1000 and 6000-m buffer) during 1975&amp;amp;ndash;2008. The continued removal of vegetation from the interior of the forest was not related to the peak of OC burial in the lake, but only the riparian deforestation around 1950. Our novel findings suggest the importance of abrupt and temporary events in which some of the biomass released by the deforestation, especially restricted to areas along open water edges, might reach the depositional environments in the floodplain of the Amazon Basin.&lt;/p&gt;","author":[{"dropping-particle":"","family":"Sanders","given":"Luciana M.","non-dropping-particle":"","parse-names":false,"suffix":""},{"dropping-particle":"","family":"Taffs","given":"Kathryn","non-dropping-particle":"","parse-names":false,"suffix":""},{"dropping-particle":"","family":"Stokes","given":"Debra","non-dropping-particle":"","parse-names":false,"suffix":""},{"dropping-particle":"","family":"Sanders","given":"Christian J.","non-dropping-particle":"","parse-names":false,"suffix":""},{"dropping-particle":"","family":"Enrich-Prast","given":"Alex","non-dropping-particle":"","parse-names":false,"suffix":""},{"dropping-particle":"","family":"Amora","given":"Leonardo Nogueira","non-dropping-particle":"","parse-names":false,"suffix":""},{"dropping-particle":"","family":"Marotta","given":"Humberto","non-dropping-particle":"","parse-names":false,"suffix":""}],"container-title":"Biogeosciences","id":"ITEM-2","issue":"2","issued":{"date-parts":[["2018","5","17"]]},"page":"447-455","title":"Historic carbon burial spike in an Amazon floodplain lake linked to riparian deforestation near Santarém, Brazil","type":"article-journal","volume":"15"},"uris":["http://www.mendeley.com/documents/?uuid=37081d06-41a0-4fbd-ba49-d05515090898"]},{"id":"ITEM-3","itemData":{"DOI":"10.1016/j.csr.2004.09.015","ISSN":"02784343","abstract":"The burial of organic carbon (OC) on continental margins is strongly coupled to the supply and accumulation of inorganic mineral particles. It follows that carbon burial on the margins should be impacted by changes in riverine sediment delivery, yet these impacts have not been well documented. In this study, an </w:instrText>
      </w:r>
      <w:r w:rsidR="001D0B34">
        <w:rPr>
          <w:rFonts w:ascii="Cambria Math" w:hAnsi="Cambria Math" w:cs="Cambria Math"/>
          <w:sz w:val="24"/>
          <w:szCs w:val="24"/>
          <w:lang w:val="en-GB"/>
        </w:rPr>
        <w:instrText>∼</w:instrText>
      </w:r>
      <w:r w:rsidR="001D0B34">
        <w:rPr>
          <w:rFonts w:ascii="Times New Roman" w:hAnsi="Times New Roman" w:cs="Times New Roman"/>
          <w:sz w:val="24"/>
          <w:szCs w:val="24"/>
          <w:lang w:val="en-GB"/>
        </w:rPr>
        <w:instrText xml:space="preserve">2000-year record of sedimentation and carbon burial on the continental shelf offshore from the Eel River in northern California was examined. The record reveals a 6-11-fold increase in the rate of sediment accumulation on the mid-shelf beginning about 1955, and a concomitant decrease in grain size and increase in flood-layer preservation. At the same time, the age of buried wood fragments abruptly decreased and their stable carbon isotopic composition became enriched in 13C. We argue that these changes can be explained largely as the result of altered land use in the Eel watershed during the past century and its impacts on shelf sediment dispersal processes. Sedimentary OC on the Eel shelf consists primarily of discrete wood fragments associated with coarse-silt- and sand-sized particles, and of organic matter strongly bound to clay-sized mineral grains. The clay fraction is a particularly sensitive recorder of environmental change in the Eel system. Above the 1955 horizon, the clay fraction shows an abrupt decrease in OC concentration and loading (OC content normalized to particle surface area) attendant with the increased accumulation rate. Kerogen carbon constitutes a relatively constant proportion of the clay-associated OC throughout the </w:instrText>
      </w:r>
      <w:r w:rsidR="001D0B34">
        <w:rPr>
          <w:rFonts w:ascii="Cambria Math" w:hAnsi="Cambria Math" w:cs="Cambria Math"/>
          <w:sz w:val="24"/>
          <w:szCs w:val="24"/>
          <w:lang w:val="en-GB"/>
        </w:rPr>
        <w:instrText>∼</w:instrText>
      </w:r>
      <w:r w:rsidR="001D0B34">
        <w:rPr>
          <w:rFonts w:ascii="Times New Roman" w:hAnsi="Times New Roman" w:cs="Times New Roman"/>
          <w:sz w:val="24"/>
          <w:szCs w:val="24"/>
          <w:lang w:val="en-GB"/>
        </w:rPr>
        <w:instrText>2000-year record. Increases in mass wasting and input of bedrock material following the onset of intensive industrial logging in the Eel watershed may have resulted in a lower loading of terrestrial plant OC in the clay fraction deposited after 1955 as suggested by isotopic mass balance calculations. The Eel River is representative of small mountainous watersheds worldwide that deliver a major portion of the sediment and carbon flux to the margins and that have been strongly impacted by land-use change during the past century. Our results suggest that such changes leave a distinctive mark in both the sedimentological and geochemical records preserved offshore. © 2004 Elsevier Ltd. All rights reserved.","author":[{"dropping-particle":"","family":"Leithold","given":"Elana L.","non-dropping-particle":"","parse-names":false,"suffix":""},{"dropping-particle":"","family":"Perkey","given":"David W.","non-dropping-particle":"","parse-names":false,"suffix":""},{"dropping-particle":"","family":"Blair","given":"Neal E.","non-dropping-particle":"","parse-names":false,"suffix":""},{"dropping-particle":"","family":"Creamer","given":"Todd N.","non-dropping-particle":"","parse-names":false,"suffix":""}],"container-title":"Continental Shelf Research","id":"ITEM-3","issue":"3","issued":{"date-parts":[["2005"]]},"page":"349-371","title":"Sedimentation and carbon burial on the northern California continental shelf: The signatures of land-use change","type":"article-journal","volume":"25"},"uris":["http://www.mendeley.com/documents/?uuid=5765223e-44de-4470-95e4-685263edfd11"]},{"id":"ITEM-4","itemData":{"DOI":"10.1007/BF02839765","ISSN":"1000-9426","author":[{"dropping-particle":"","family":"Ruiz-Fernández","given":"Ana Carolina","non-dropping-particle":"","parse-names":false,"suffix":""},{"dropping-particle":"","family":"Hillaire-Marcel","given":"Claude","non-dropping-particle":"","parse-names":false,"suffix":""},{"dropping-particle":"","family":"Páez-Osuna","given":"Federico","non-dropping-particle":"","parse-names":false,"suffix":""},{"dropping-particle":"","family":"Ghaleb","given":"Bassam","non-dropping-particle":"","parse-names":false,"suffix":""},{"dropping-particle":"","family":"Caballero-Miranda","given":"Margarita","non-dropping-particle":"","parse-names":false,"suffix":""}],"container-title":"Chinese Journal of Geochemistry","id":"ITEM-4","issue":"S1","issued":{"date-parts":[["2006","3"]]},"page":"17-17","title":"210Pb chronology and trace metal geochemistry at Los Tuxtlas, Mexico, as evidenced by a sedimentary record from the Lago Verde crater lake","type":"article-journal","volume":"25"},"uris":["http://www.mendeley.com/documents/?uuid=051249fe-d9b3-4760-8862-0c6ab923c207"]}],"mendeley":{"formattedCitation":"&lt;sup&gt;35–38&lt;/sup&gt;","plainTextFormattedCitation":"35–38","previouslyFormattedCitation":"(Schelske et al. 1994; Leithold et al. 2005; Ruiz-Fernández et al. 2006; Sanders et al. 2018)"},"properties":{"noteIndex":0},"schema":"https://github.com/citation-style-language/schema/raw/master/csl-citation.json"}</w:instrText>
      </w:r>
      <w:r w:rsidR="006666A2"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35–38</w:t>
      </w:r>
      <w:r w:rsidR="006666A2" w:rsidRPr="00513B5A">
        <w:rPr>
          <w:rFonts w:ascii="Times New Roman" w:hAnsi="Times New Roman" w:cs="Times New Roman"/>
          <w:sz w:val="24"/>
          <w:szCs w:val="24"/>
          <w:lang w:val="en-GB"/>
        </w:rPr>
        <w:fldChar w:fldCharType="end"/>
      </w:r>
      <w:r w:rsidR="006666A2" w:rsidRPr="00513B5A">
        <w:rPr>
          <w:rFonts w:ascii="Times New Roman" w:hAnsi="Times New Roman" w:cs="Times New Roman"/>
          <w:sz w:val="24"/>
          <w:szCs w:val="24"/>
          <w:lang w:val="en-GB"/>
        </w:rPr>
        <w:t>. This dynamic is supported by the finding of loss of organic matter  in response to reduced forest cover</w:t>
      </w:r>
      <w:r w:rsidR="006666A2"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{"citationItems":[{"id":"ITEM-1","itemData":{"DOI":"10.3390/su9030379","ISSN":"20711050","abstract":"Anthropogenic forest disturbance and land use change (LUC) in the Amazon region is the main source of greenhouse gas emissions to the atmosphere in Brazil, due to the carbon (C) and nitrogen (N) emitted from vegetation clearance. Land use conversion associated with management practices plays a key role in the distribution and origin of C in different soil organic matter (SOM) fractions. Here, we show how changing land use systems have influenced soil C and N stocks, SOM physical fractions, and the origin of SOM in the Santarém region of the eastern Brazilian Amazon. Soil C and N stocks were calculated for the surface layer of 0-30 cm. Anthropogenic disturbances to the standing forest, such as selective logging and wildfires, led to significant declines in soil C and N stocks. However, in the long-term, the conversion of the Amazon forest to pasture did not have a noticeable effect on soil C and N stocks, presumably because of additional inputs from pasture grasses. However, the conversion to cropland did lead to reductions in soil C and N content. According to the physical fractionation of SOM, LUC altered SOM quality, but silt and clay remained the combined fraction that contributed the most to soil C storage. Our results emphasize the importance of implementing more sustainable forest management systems, whilst also calling further attention to the need for fire monitoring systems, helping to ensure the resilience of C and N stocks and sequestration in forest soils; thereby contributing towards urgently needed ongoing efforts to mitigate climate change.","author":[{"dropping-particle":"","family":"Durigan","given":"Mariana Regina","non-dropping-particle":"","parse-names":false,"suffix":""},{"dropping-particle":"","family":"Cherubin","given":"Maurício Roberto","non-dropping-particle":"","parse-names":false,"suffix":""},{"dropping-particle":"","family":"Camargo","given":"Plínio Barbosa","non-dropping-particle":"de","parse-names":false,"suffix":""},{"dropping-particle":"","family":"Ferreira","given":"Joice Nunes","non-dropping-particle":"","parse-names":false,"suffix":""},{"dropping-particle":"","family":"Berenguer","given":"Erika","non-dropping-particle":"","parse-names":false,"suffix":""},{"dropping-particle":"","family":"Gardner","given":"Toby Alan","non-dropping-particle":"","parse-names":false,"suffix":""},{"dropping-particle":"","family":"Barlow","given":"Jos","non-dropping-particle":"","parse-names":false,"suffix":""},{"dropping-particle":"","family":"Dias","given":"Carlos Tadeu dos Santos","non-dropping-particle":"","parse-names":false,"suffix":""},{"dropping-particle":"","family":"Signor","given":"Diana","non-dropping-particle":"","parse-names":false,"suffix":""},{"dropping-particle":"","family":"Oliveira","given":"Raimundo Cosme","non-dropping-particle":"de","parse-names":false,"suffix":""},{"dropping-particle":"","family":"Cerri","given":"Carlos Eduardo Pellegrino","non-dropping-particle":"","parse-names":false,"suffix":""}],"container-title":"Sustainability (Switzerland)","id":"ITEM-1","issue":"3","issued":{"date-parts":[["2017"]]},"title":"Soil organic matter responses to anthropogenic forest disturbance and land use change in the eastern Brazilian Amazon","type":"article-journal","volume":"9"},"uris":["http://www.mendeley.com/documents/?uuid=46054167-e979-4296-aac1-181e724eefe1"]}],"mendeley":{"formattedCitation":"&lt;sup&gt;39&lt;/sup&gt;","plainTextFormattedCitation":"39","previouslyFormattedCitation":"(Durigan et al. 2017)"},"properties":{"noteIndex":0},"schema":"https://github.com/citation-style-language/schema/raw/master/csl-citation.json"}</w:instrText>
      </w:r>
      <w:r w:rsidR="006666A2"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39</w:t>
      </w:r>
      <w:r w:rsidR="006666A2" w:rsidRPr="00513B5A">
        <w:rPr>
          <w:rFonts w:ascii="Times New Roman" w:hAnsi="Times New Roman" w:cs="Times New Roman"/>
          <w:sz w:val="24"/>
          <w:szCs w:val="24"/>
          <w:lang w:val="en-GB"/>
        </w:rPr>
        <w:fldChar w:fldCharType="end"/>
      </w:r>
      <w:r w:rsidR="006666A2" w:rsidRPr="00513B5A">
        <w:rPr>
          <w:rFonts w:ascii="Times New Roman" w:hAnsi="Times New Roman" w:cs="Times New Roman"/>
          <w:sz w:val="24"/>
          <w:szCs w:val="24"/>
          <w:lang w:val="en-GB"/>
        </w:rPr>
        <w:t xml:space="preserve"> and subsequent increased soil exposure to biological remineralization</w:t>
      </w:r>
      <w:r w:rsidR="006666A2"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{"citationItems":[{"id":"ITEM-1","itemData":{"DOI":"10.1002/ldr.3203","ISSN":"1099145X","abstract":"Slash-and-burn agriculture followed by tillage and western style agriculture often lead to loss of soil organic matter and soil degradation. Traditional slash-and-burn agriculture affects large areas of land across the tropical zone. However, there are few detailed studies about this practice. To evaluate the effect of traditional slash-and-burn agriculture on soil properties (total C, N, P, and C fractions of soil and available P, Ca, Mg, K, NO 3 , pH, and microbial community biomass and composition), we studied a chronosequence represented by active gardens, abandoned gardens (5–10 years old), secondary forest in abandoned garden sites (20–40 years old), and primary forest with no evidence of cultivation for at least 60 years. No significant differences between individual succession stages were found in total C, N, and P and in C fractions, pH, conductivity, and microbial biomass. In addition, stocks of C, N, and P in the soil did not differ between succession stages. By contrast, the concentration of available P, Ca, Mg, K, and NO 3 was highest in active gardens. Litter was absent in active gardens, and the highest amount of litter on the soil surface was found in primary forest. Our results show that traditional slash-and-burn agriculture had a strong effect on nutrient availability but no effect on the total CNP stocks and soil C fractions.","author":[{"dropping-particle":"","family":"Kukla","given":"Jaroslav","non-dropping-particle":"","parse-names":false,"suffix":""},{"dropping-particle":"","family":"Whitfeld","given":"Timothy","non-dropping-particle":"","parse-names":false,"suffix":""},{"dropping-particle":"","family":"Cajthaml","given":"Tomáš","non-dropping-particle":"","parse-names":false,"suffix":""},{"dropping-particle":"","family":"Baldrian","given":"Petr","non-dropping-particle":"","parse-names":false,"suffix":""},{"dropping-particle":"","family":"Veselá-Šimáčková","given":"Hana","non-dropping-particle":"","parse-names":false,"suffix":""},{"dropping-particle":"","family":"Novotný","given":"Vojtěch","non-dropping-particle":"","parse-names":false,"suffix":""},{"dropping-particle":"","family":"Frouz","given":"Jan","non-dropping-particle":"","parse-names":false,"suffix":""}],"container-title":"Land Degradation and Development","id":"ITEM-1","issue":"2","issued":{"date-parts":[["2019"]]},"page":"166-177","title":"The effect of traditional slash-and-burn agriculture on soil organic matter, nutrient content, and microbiota in tropical ecosystems of Papua New Guinea","type":"article-journal","volume":"30"},"uris":["http://www.mendeley.com/documents/?uuid=15658796-11c6-42b3-9135-f86061ede7ce"]}],"mendeley":{"formattedCitation":"&lt;sup&gt;40&lt;/sup&gt;","plainTextFormattedCitation":"40","previouslyFormattedCitation":"(Kukla et al. 2019)"},"properties":{"noteIndex":0},"schema":"https://github.com/citation-style-language/schema/raw/master/csl-citation.json"}</w:instrText>
      </w:r>
      <w:r w:rsidR="006666A2"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40</w:t>
      </w:r>
      <w:r w:rsidR="006666A2" w:rsidRPr="00513B5A">
        <w:rPr>
          <w:rFonts w:ascii="Times New Roman" w:hAnsi="Times New Roman" w:cs="Times New Roman"/>
          <w:sz w:val="24"/>
          <w:szCs w:val="24"/>
          <w:lang w:val="en-GB"/>
        </w:rPr>
        <w:fldChar w:fldCharType="end"/>
      </w:r>
      <w:r w:rsidR="006666A2" w:rsidRPr="00513B5A">
        <w:rPr>
          <w:rFonts w:ascii="Times New Roman" w:hAnsi="Times New Roman" w:cs="Times New Roman"/>
          <w:sz w:val="24"/>
          <w:szCs w:val="24"/>
          <w:lang w:val="en-GB"/>
        </w:rPr>
        <w:t>, also confirming recent and still scarce evidence on the mechanistic link between deforestation and changes in C accumulation in Amazon lakes</w:t>
      </w:r>
      <w:r w:rsidR="006666A2"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{"citationItems":[{"id":"ITEM-1","itemData":{"DOI":"10.5194/bg-15-447-2018","ISSN":"17264189","abstract":"&lt;p&gt;The forests along the Amazon Basin produce significant quantities of organic material, a portion of which is deposited in floodplain lakes. However, potentially important effects of ongoing deforestation in the watershed on these carbon fluxes is still poorly understood. Here, a sediment core was extracted from an Amazon floodplain lake to examine the relationship between carbon burial and land cover/use. Historical records from 1942 and satellite data from 1975 were used to calculate deforestation rates between 1942 and 1975, and 1975 to 2008 in four zones with different distances from the margins of the lake and its tributaries (100, 500, 1000 and 6000-m buffers). Sediment accumulation rates were determined from the &lt;sup&gt;240&amp;amp;plus;239&lt;/sup&gt;Pu signatures and the excess &lt;sup&gt;210&lt;/sup&gt;Pb method, reaching near 3.8 and 4.2&amp;amp;thinsp;mm&amp;amp;thinsp;year&lt;sup&gt;&amp;amp;minus;1&lt;/sup&gt; in the last 60 and 120 years respectively. The average carbon burial rates ranged between 100 and 350&amp;amp;thinsp;g C m&lt;sup&gt;&amp;amp;minus;2&lt;/sup&gt;&amp;amp;thinsp;year&lt;sup&gt;&amp;amp;minus;1&lt;/sup&gt;, with pulses of high carbon burial derived from the forest vegetation, as indicated by δ&lt;sup&gt;13&lt;/sup&gt;C and δ&lt;sup&gt;15&lt;/sup&gt;N signatures, which corresponded to heavy deforestation in the 1940 and 50s. Finally, our results revealed a potentially important spatial dependence of the OC burial in Amazon lacustrine sediments in relation to deforestation rates in the catchment. These deforestation rates were more intense in the riparian vegetation (100-m buffer) during the period 1942&amp;amp;ndash;1975 and the larger open water areas (500, 1000 and 6000-m buffer) during 1975&amp;amp;ndash;2008. The continued removal of vegetation from the interior of the forest was not related to the peak of OC burial in the lake, but only the riparian deforestation around 1950. Our novel findings suggest the importance of abrupt and temporary events in which some of the biomass released by the deforestation, especially restricted to areas along open water edges, might reach the depositional environments in the floodplain of the Amazon Basin.&lt;/p&gt;","author":[{"dropping-particle":"","family":"Sanders","given":"Luciana M.","non-dropping-particle":"","parse-names":false,"suffix":""},{"dropping-particle":"","family":"Taffs","given":"Kathryn","non-dropping-particle":"","parse-names":false,"suffix":""},{"dropping-particle":"","family":"Stokes","given":"Debra","non-dropping-particle":"","parse-names":false,"suffix":""},{"dropping-particle":"","family":"Sanders","given":"Christian J.","non-dropping-particle":"","parse-names":false,"suffix":""},{"dropping-particle":"","family":"Enrich-Prast","given":"Alex","non-dropping-particle":"","parse-names":false,"suffix":""},{"dropping-particle":"","family":"Amora","given":"Leonardo Nogueira","non-dropping-particle":"","parse-names":false,"suffix":""},{"dropping-particle":"","family":"Marotta","given":"Humberto","non-dropping-particle":"","parse-names":false,"suffix":""}],"container-title":"Biogeosciences","id":"ITEM-1","issue":"2","issued":{"date-parts":[["2018","5","17"]]},"page":"447-455","title":"Historic carbon burial spike in an Amazon floodplain lake linked to riparian deforestation near Santarém, Brazil","type":"article-journal","volume":"15"},"uris":["http://www.mendeley.com/documents/?uuid=37081d06-41a0-4fbd-ba49-d05515090898"]}],"mendeley":{"formattedCitation":"&lt;sup&gt;36&lt;/sup&gt;","plainTextFormattedCitation":"36","previouslyFormattedCitation":"(Sanders et al. 2018)"},"properties":{"noteIndex":0},"schema":"https://github.com/citation-style-language/schema/raw/master/csl-citation.json"}</w:instrText>
      </w:r>
      <w:r w:rsidR="006666A2"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36</w:t>
      </w:r>
      <w:r w:rsidR="006666A2" w:rsidRPr="00513B5A">
        <w:rPr>
          <w:rFonts w:ascii="Times New Roman" w:hAnsi="Times New Roman" w:cs="Times New Roman"/>
          <w:sz w:val="24"/>
          <w:szCs w:val="24"/>
          <w:lang w:val="en-GB"/>
        </w:rPr>
        <w:fldChar w:fldCharType="end"/>
      </w:r>
      <w:r w:rsidR="006666A2" w:rsidRPr="00513B5A">
        <w:rPr>
          <w:rFonts w:ascii="Times New Roman" w:hAnsi="Times New Roman" w:cs="Times New Roman"/>
          <w:sz w:val="24"/>
          <w:szCs w:val="24"/>
          <w:lang w:val="en-GB"/>
        </w:rPr>
        <w:t>.</w:t>
      </w:r>
      <w:bookmarkEnd w:id="8"/>
    </w:p>
    <w:p w14:paraId="47D62809" w14:textId="0A5DF559" w:rsidR="00B90CE4" w:rsidRPr="00513B5A" w:rsidRDefault="00B90CE4" w:rsidP="00766871">
      <w:pPr>
        <w:spacing w:after="0" w:line="360" w:lineRule="auto"/>
        <w:ind w:firstLine="708"/>
        <w:jc w:val="both"/>
        <w:rPr>
          <w:rFonts w:ascii="Times New Roman" w:hAnsi="Times New Roman" w:cs="Times New Roman"/>
          <w:sz w:val="24"/>
          <w:szCs w:val="24"/>
          <w:lang w:val="en-GB"/>
        </w:rPr>
      </w:pPr>
      <w:r w:rsidRPr="00513B5A">
        <w:rPr>
          <w:rFonts w:ascii="Times New Roman" w:hAnsi="Times New Roman" w:cs="Times New Roman"/>
          <w:sz w:val="24"/>
          <w:szCs w:val="24"/>
          <w:lang w:val="en-GB"/>
        </w:rPr>
        <w:t>Indeed, the absence of tropical lakes surrounded by the most productive world biome</w:t>
      </w:r>
      <w:r w:rsidR="006666A2" w:rsidRPr="00513B5A">
        <w:rPr>
          <w:rFonts w:ascii="Times New Roman" w:hAnsi="Times New Roman" w:cs="Times New Roman"/>
          <w:sz w:val="24"/>
          <w:szCs w:val="24"/>
          <w:lang w:val="en-GB"/>
        </w:rPr>
        <w:t xml:space="preserve"> on Earth</w:t>
      </w:r>
      <w:r w:rsidRPr="00513B5A">
        <w:rPr>
          <w:rFonts w:ascii="Times New Roman" w:hAnsi="Times New Roman" w:cs="Times New Roman"/>
          <w:sz w:val="24"/>
          <w:szCs w:val="24"/>
          <w:lang w:val="en-GB"/>
        </w:rPr>
        <w:t xml:space="preserve"> (i.e., tropical humid forest) could have </w:t>
      </w:r>
      <w:r w:rsidR="00AA1BE1" w:rsidRPr="00513B5A">
        <w:rPr>
          <w:rFonts w:ascii="Times New Roman" w:hAnsi="Times New Roman" w:cs="Times New Roman"/>
          <w:sz w:val="24"/>
          <w:szCs w:val="24"/>
          <w:lang w:val="en-GB"/>
        </w:rPr>
        <w:t xml:space="preserve">led to </w:t>
      </w:r>
      <w:r w:rsidRPr="00513B5A">
        <w:rPr>
          <w:rFonts w:ascii="Times New Roman" w:hAnsi="Times New Roman" w:cs="Times New Roman"/>
          <w:sz w:val="24"/>
          <w:szCs w:val="24"/>
          <w:lang w:val="en-GB"/>
        </w:rPr>
        <w:t>underestimat</w:t>
      </w:r>
      <w:r w:rsidR="00AA1BE1" w:rsidRPr="00513B5A">
        <w:rPr>
          <w:rFonts w:ascii="Times New Roman" w:hAnsi="Times New Roman" w:cs="Times New Roman"/>
          <w:sz w:val="24"/>
          <w:szCs w:val="24"/>
          <w:lang w:val="en-GB"/>
        </w:rPr>
        <w:t xml:space="preserve">es of </w:t>
      </w:r>
      <w:r w:rsidRPr="00513B5A">
        <w:rPr>
          <w:rFonts w:ascii="Times New Roman" w:hAnsi="Times New Roman" w:cs="Times New Roman"/>
          <w:sz w:val="24"/>
          <w:szCs w:val="24"/>
          <w:lang w:val="en-GB"/>
        </w:rPr>
        <w:t xml:space="preserve">the role of forest conservation </w:t>
      </w:r>
      <w:r w:rsidR="006666A2" w:rsidRPr="00513B5A">
        <w:rPr>
          <w:rFonts w:ascii="Times New Roman" w:hAnsi="Times New Roman" w:cs="Times New Roman"/>
          <w:sz w:val="24"/>
          <w:szCs w:val="24"/>
          <w:lang w:val="en-GB"/>
        </w:rPr>
        <w:t>in</w:t>
      </w:r>
      <w:r w:rsidRPr="00513B5A">
        <w:rPr>
          <w:rFonts w:ascii="Times New Roman" w:hAnsi="Times New Roman" w:cs="Times New Roman"/>
          <w:sz w:val="24"/>
          <w:szCs w:val="24"/>
          <w:lang w:val="en-GB"/>
        </w:rPr>
        <w:t xml:space="preserve"> support</w:t>
      </w:r>
      <w:r w:rsidR="006666A2" w:rsidRPr="00513B5A">
        <w:rPr>
          <w:rFonts w:ascii="Times New Roman" w:hAnsi="Times New Roman" w:cs="Times New Roman"/>
          <w:sz w:val="24"/>
          <w:szCs w:val="24"/>
          <w:lang w:val="en-GB"/>
        </w:rPr>
        <w:t>ing</w:t>
      </w:r>
      <w:r w:rsidRPr="00513B5A">
        <w:rPr>
          <w:rFonts w:ascii="Times New Roman" w:hAnsi="Times New Roman" w:cs="Times New Roman"/>
          <w:sz w:val="24"/>
          <w:szCs w:val="24"/>
          <w:lang w:val="en-GB"/>
        </w:rPr>
        <w:t xml:space="preserve"> C accumulation in aquatic sediments in previous reviews. The estimates of annual OC burial rates in global lakes here were comparable to ~2.5 and 3.0% of the terrestrial and ocean CO</w:t>
      </w:r>
      <w:r w:rsidRPr="00513B5A">
        <w:rPr>
          <w:rFonts w:ascii="Times New Roman" w:hAnsi="Times New Roman" w:cs="Times New Roman"/>
          <w:sz w:val="24"/>
          <w:szCs w:val="24"/>
          <w:vertAlign w:val="subscript"/>
          <w:lang w:val="en-GB"/>
        </w:rPr>
        <w:t>2</w:t>
      </w:r>
      <w:r w:rsidRPr="00513B5A">
        <w:rPr>
          <w:rFonts w:ascii="Times New Roman" w:hAnsi="Times New Roman" w:cs="Times New Roman"/>
          <w:sz w:val="24"/>
          <w:szCs w:val="24"/>
          <w:lang w:val="en-GB"/>
        </w:rPr>
        <w:t xml:space="preserve"> sink, respectively, or ~5% of the emissions from land-use change for the last decade</w:t>
      </w:r>
      <w:r w:rsidR="00716207"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{"citationItems":[{"id":"ITEM-1","itemData":{"DOI":"10.5194/essd-10-2141-2018","ISSN":"1866-3516","abstract":"Abstract. Accurate assessment of anthropogenic carbon dioxide (CO2) emissions and their redistribution among the atmosphere, ocean, and terrestrial biosphere – the “global carbon budget” – is important to better understand the global carbon cycle, support the development of climate policies, and project future climate change. Here we describe data sets and methodology to quantify the five major components of the global carbon budget and their uncertainties. Fossil CO2 emissions (EFF) are based on energy statistics and cement production data, while emissions from land use and land-use change (ELUC), mainly deforestation, are based on land use and land-use change data and bookkeeping models. Atmospheric CO2 concentration is measured directly and its growth rate (GATM) is computed from the annual changes in concentration. The ocean CO2 sink (SOCEAN) and terrestrial CO2 sink (SLAND) are estimated with global process models constrained by observations. The resulting carbon budget imbalance (BIM), the difference between the estimated total emissions and the estimated changes in the atmosphere, ocean, and terrestrial biosphere, is a measure of imperfect data and understanding of the contemporary carbon cycle. All uncertainties are reported as ±1σ. For the last decade available (2008–2017), EFF was 9.4±0.5GtCyr−1, ELUC 1.5±0.7GtCyr−1, GATM 4.7±0.02GtCyr−1, SOCEAN 2.4±0.5GtCyr−1, and SLAND 3.2±0.8GtCyr−1, with a budget imbalance BIM of 0.5GtCyr−1 indicating overestimated emissions and/or underestimated sinks. For the year 2017 alone, the growth in EFF was about 1.6% and emissions increased to 9.9±0.5GtCyr−1. Also for 2017, ELUC was 1.4±0.7GtCyr−1, GATM was 4.6±0.2GtCyr−1, SOCEAN was 2.5±0.5GtCyr−1, and SLAND was 3.8±0.8GtCyr−1, with a BIM of 0.3GtC. The global atmospheric CO2 concentration reached 405.0±0.1ppm averaged over 2017. For 2018, preliminary data for the first 6–9 months indicate a renewed growth in EFF of +2.7% (range of 1.8% to 3.7%) based on national emission projections for China, the US, the EU, and India and projections of gross domestic product corrected for recent changes in the carbon intensity of the economy for the rest of the world. The analysis presented here shows that the mean and trend in the five components of the global carbon budget are consistently estimated over the period of 1959–2017, but discrepancies of up to 1GtCyr−1 persist for the representation of semi-decadal variability in CO2 fluxes. A detailed comparison among individua…","author":[{"dropping-particle":"","family":"Quéré","given":"Corinne","non-dropping-particle":"Le","parse-names":false,"suffix":""},{"dropping-particle":"","family":"Andrew","given":"Robbie M.","non-dropping-particle":"","parse-names":false,"suffix":""},{"dropping-particle":"","family":"Friedlingstein","given":"Pierre","non-dropping-particle":"","parse-names":false,"suffix":""},{"dropping-particle":"","family":"Sitch","given":"Stephen","non-dropping-particle":"","parse-names":false,"suffix":""},{"dropping-particle":"","family":"Hauck","given":"Judith","non-dropping-particle":"","parse-names":false,"suffix":""},{"dropping-particle":"","family":"Pongratz","given":"Julia","non-dropping-particle":"","parse-names":false,"suffix":""},{"dropping-particle":"","family":"Pickers","given":"Penelope A.","non-dropping-particle":"","parse-names":false,"suffix":""},{"dropping-particle":"","family":"Korsbakken","given":"Jan Ivar","non-dropping-particle":"","parse-names":false,"suffix":""},{"dropping-particle":"","family":"Peters","given":"Glen P.","non-dropping-particle":"","parse-names":false,"suffix":""},{"dropping-particle":"","family":"Canadell","given":"Josep G.","non-dropping-particle":"","parse-names":false,"suffix":""},{"dropping-particle":"","family":"Arneth","given":"Almut","non-dropping-particle":"","parse-names":false,"suffix":""},{"dropping-particle":"","family":"Arora","given":"Vivek K.","non-dropping-particle":"","parse-names":false,"suffix":""},{"dropping-particle":"","family":"Barbero","given":"Leticia","non-dropping-particle":"","parse-names":false,"suffix":""},{"dropping-particle":"","family":"Bastos","given":"Ana","non-dropping-particle":"","parse-names":false,"suffix":""},{"dropping-particle":"","family":"Bopp","given":"Laurent","non-dropping-particle":"","parse-names":false,"suffix":""},{"dropping-particle":"","family":"Chevallier","given":"Frédéric","non-dropping-particle":"","parse-names":false,"suffix":""},{"dropping-particle":"","family":"Chini","given":"Louise P.","non-dropping-particle":"","parse-names":false,"suffix":""},{"dropping-particle":"","family":"Ciais","given":"Philippe","non-dropping-particle":"","parse-names":false,"suffix":""},{"dropping-particle":"","family":"Doney","given":"Scott C.","non-dropping-particle":"","parse-names":false,"suffix":""},{"dropping-particle":"","family":"Gkritzalis","given":"Thanos","non-dropping-particle":"","parse-names":false,"suffix":""},{"dropping-particle":"","family":"Goll","given":"Daniel S.","non-dropping-particle":"","parse-names":false,"suffix":""},{"dropping-particle":"","family":"Harris","given":"Ian","non-dropping-particle":"","parse-names":false,"suffix":""},{"dropping-particle":"","family":"Haverd","given":"Vanessa","non-dropping-particle":"","parse-names":false,"suffix":""},{"dropping-particle":"","family":"Hoffman","given":"Forrest M.","non-dropping-particle":"","parse-names":false,"suffix":""},{"dropping-particle":"","family":"Hoppema","given":"Mario","non-dropping-particle":"","parse-names":false,"suffix":""},{"dropping-particle":"","family":"Houghton","given":"Richard A.","non-dropping-particle":"","parse-names":false,"suffix":""},{"dropping-particle":"","family":"Hurtt","given":"George","non-dropping-particle":"","parse-names":false,"suffix":""},{"dropping-particle":"","family":"Ilyina","given":"Tatiana","non-dropping-particle":"","parse-names":false,"suffix":""},{"dropping-particle":"","family":"Jain","given":"Atul K.","non-dropping-particle":"","parse-names":false,"suffix":""},{"dropping-particle":"","family":"Johannessen","given":"Truls","non-dropping-particle":"","parse-names":false,"suffix":""},{"dropping-particle":"","family":"Jones","given":"Chris D.","non-dropping-particle":"","parse-names":false,"suffix":""},{"dropping-particle":"","family":"Kato","given":"Etsushi","non-dropping-particle":"","parse-names":false,"suffix":""},{"dropping-particle":"","family":"Keeling","given":"Ralph F.","non-dropping-particle":"","parse-names":false,"suffix":""},{"dropping-particle":"","family":"Goldewijk","given":"Kees Klein","non-dropping-particle":"","parse-names":false,"suffix":""},{"dropping-particle":"","family":"Landschützer","given":"Peter","non-dropping-particle":"","parse-names":false,"suffix":""},{"dropping-particle":"","family":"Lefèvre","given":"Nathalie","non-dropping-particle":"","parse-names":false,"suffix":""},{"dropping-particle":"","family":"Lienert","given":"Sebastian","non-dropping-particle":"","parse-names":false,"suffix":""},{"dropping-particle":"","family":"Liu","given":"Zhu","non-dropping-particle":"","parse-names":false,"suffix":""},{"dropping-particle":"","family":"Lombardozzi","given":"Danica","non-dropping-particle":"","parse-names":false,"suffix":""},{"dropping-particle":"","family":"Metzl","given":"Nicolas","non-dropping-particle":"","parse-names":false,"suffix":""},{"dropping-particle":"","family":"Munro","given":"David R.","non-dropping-particle":"","parse-names":false,"suffix":""},{"dropping-particle":"","family":"Nabel","given":"Julia E. M. S.","non-dropping-particle":"","parse-names":false,"suffix":""},{"dropping-particle":"","family":"Nakaoka","given":"Shin-ichiro","non-dropping-particle":"","parse-names":false,"suffix":""},{"dropping-particle":"","family":"Neill","given":"Craig","non-dropping-particle":"","parse-names":false,"suffix":""},{"dropping-particle":"","family":"Olsen","given":"Are","non-dropping-particle":"","parse-names":false,"suffix":""},{"dropping-particle":"","family":"Ono","given":"Tsueno","non-dropping-particle":"","parse-names":false,"suffix":""},{"dropping-particle":"","family":"Patra","given":"Prabir","non-dropping-particle":"","parse-names":false,"suffix":""},{"dropping-particle":"","family":"Peregon","given":"Anna","non-dropping-particle":"","parse-names":false,"suffix":""},{"dropping-particle":"","family":"Peters","given":"Wouter","non-dropping-particle":"","parse-names":false,"suffix":""},{"dropping-particle":"","family":"Peylin","given":"Philippe","non-dropping-particle":"","parse-names":false,"suffix":""},{"dropping-particle":"","family":"Pfeil","given":"Benjamin","non-dropping-particle":"","parse-names":false,"suffix":""},{"dropping-particle":"","family":"Pierrot","given":"Denis","non-dropping-particle":"","parse-names":false,"suffix":""},{"dropping-particle":"","family":"Poulter","given":"Benjamin","non-dropping-particle":"","parse-names":false,"suffix":""},{"dropping-particle":"","family":"Rehder","given":"Gregor","non-dropping-particle":"","parse-names":false,"suffix":""},{"dropping-particle":"","family":"Resplandy","given":"Laure","non-dropping-particle":"","parse-names":false,"suffix":""},{"dropping-particle":"","family":"Robertson","given":"Eddy","non-dropping-particle":"","parse-names":false,"suffix":""},{"dropping-particle":"","family":"Rocher","given":"Matthias","non-dropping-particle":"","parse-names":false,"suffix":""},{"dropping-particle":"","family":"Rödenbeck","given":"Christian","non-dropping-particle":"","parse-names":false,"suffix":""},{"dropping-particle":"","family":"Schuster","given":"Ute","non-dropping-particle":"","parse-names":false,"suffix":""},{"dropping-particle":"","family":"Schwinger","given":"Jörg","non-dropping-particle":"","parse-names":false,"suffix":""},{"dropping-particle":"","family":"Séférian","given":"Roland","non-dropping-particle":"","parse-names":false,"suffix":""},{"dropping-particle":"","family":"Skjelvan","given":"Ingunn","non-dropping-particle":"","parse-names":false,"suffix":""},{"dropping-particle":"","family":"Steinhoff","given":"Tobias","non-dropping-particle":"","parse-names":false,"suffix":""},{"dropping-particle":"","family":"Sutton","given":"Adrienne","non-dropping-particle":"","parse-names":false,"suffix":""},{"dropping-particle":"","family":"Tans","given":"Pieter P.","non-dropping-particle":"","parse-names":false,"suffix":""},{"dropping-particle":"","family":"Tian","given":"Hanqin","non-dropping-particle":"","parse-names":false,"suffix":""},{"dropping-particle":"","family":"Tilbrook","given":"Bronte","non-dropping-particle":"","parse-names":false,"suffix":""},{"dropping-particle":"","family":"Tubiello","given":"Francesco N.","non-dropping-particle":"","parse-names":false,"suffix":""},{"dropping-particle":"","family":"Laan-Luijkx","given":"Ingrid T.","non-dropping-particle":"van der","parse-names":false,"suffix":""},{"dropping-particle":"","family":"Werf","given":"Guido R.","non-dropping-particle":"van der","parse-names":false,"suffix":""},{"dropping-particle":"","family":"Viovy","given":"Nicolas","non-dropping-particle":"","parse-names":false,"suffix":""},{"dropping-particle":"","family":"Walker","given":"Anthony P.","non-dropping-particle":"","parse-names":false,"suffix":""},{"dropping-particle":"","family":"Wiltshire","given":"Andrew J.","non-dropping-particle":"","parse-names":false,"suffix":""},{"dropping-particle":"","family":"Wright","given":"Rebecca","non-dropping-particle":"","parse-names":false,"suffix":""},{"dropping-particle":"","family":"Zaehle","given":"Sönke","non-dropping-particle":"","parse-names":false,"suffix":""},{"dropping-particle":"","family":"Zheng","given":"Bo","non-dropping-particle":"","parse-names":false,"suffix":""}],"container-title":"Earth System Science Data","id":"ITEM-1","issue":"4","issued":{"date-parts":[["2018","12","5"]]},"page":"2141-2194","title":"Global Carbon Budget 2018","type":"article-journal","volume":"10"},"uris":["http://www.mendeley.com/documents/?uuid=c5471b1d-e16d-47fd-9d1c-c6105f7f0915"]}],"mendeley":{"formattedCitation":"&lt;sup&gt;41&lt;/sup&gt;","plainTextFormattedCitation":"41","previouslyFormattedCitation":"(Le Quéré et al. 2018)"},"properties":{"noteIndex":0},"schema":"https://github.com/citation-style-language/schema/raw/master/csl-citation.json"}</w:instrText>
      </w:r>
      <w:r w:rsidR="00716207"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41</w:t>
      </w:r>
      <w:r w:rsidR="00716207" w:rsidRPr="00513B5A">
        <w:rPr>
          <w:rFonts w:ascii="Times New Roman" w:hAnsi="Times New Roman" w:cs="Times New Roman"/>
          <w:sz w:val="24"/>
          <w:szCs w:val="24"/>
          <w:lang w:val="en-GB"/>
        </w:rPr>
        <w:fldChar w:fldCharType="end"/>
      </w:r>
      <w:r w:rsidRPr="00513B5A">
        <w:rPr>
          <w:rFonts w:ascii="Times New Roman" w:hAnsi="Times New Roman" w:cs="Times New Roman"/>
          <w:sz w:val="24"/>
          <w:szCs w:val="24"/>
          <w:lang w:val="en-GB"/>
        </w:rPr>
        <w:t xml:space="preserve">. Derived from a broad biome-weighted analysis, these results also indicated the critical role of forest cover to support OC burial in lacustrine ecosystems at </w:t>
      </w:r>
      <w:r w:rsidR="00AA1BE1" w:rsidRPr="00513B5A">
        <w:rPr>
          <w:rFonts w:ascii="Times New Roman" w:hAnsi="Times New Roman" w:cs="Times New Roman"/>
          <w:sz w:val="24"/>
          <w:szCs w:val="24"/>
          <w:lang w:val="en-GB"/>
        </w:rPr>
        <w:t xml:space="preserve">the </w:t>
      </w:r>
      <w:r w:rsidRPr="00513B5A">
        <w:rPr>
          <w:rFonts w:ascii="Times New Roman" w:hAnsi="Times New Roman" w:cs="Times New Roman"/>
          <w:sz w:val="24"/>
          <w:szCs w:val="24"/>
          <w:lang w:val="en-GB"/>
        </w:rPr>
        <w:t>global scale. In particular, tropical lakes show a disproportionate C accumulation with respect to their smaller global land area, determined by the balance of more intense ecosystem processes at warm low latitudes that should be considered in global models, such as the overall C sink</w:t>
      </w:r>
      <w:r w:rsidR="00716207"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{"citationItems":[{"id":"ITEM-1","itemData":{"DOI":"10.1126/science.1201609","ISBN":"0036-8075","ISSN":"0036-8075","PMID":"21764754","abstract":"The terrestrial carbon sink has been large in recent decades, but its size and location remain uncertain. Using forest inventory data and long-term ecosystem carbon studies, we estimate a total forest sink of 2.4 ± 0.4 petagrams of carbon per year (Pg C year(-1)) globally for 1990 to 2007. We also estimate a source of 1.3 ± 0.7 Pg C year(-1) from tropical land-use change, consisting of a gross tropical deforestation emission of 2.9 ± 0.5 Pg C year(-1) partially compensated by a carbon sink in tropical forest regrowth of 1.6 ± 0.5 Pg C year(-1). Together, the fluxes comprise a net global forest sink of 1.1 ± 0.8 Pg C year(-1), with tropical estimates having the largest uncertainties. Our total forest sink estimate is equivalent in magnitude to the terrestrial sink deduced from fossil fuel emissions and land-use change sources minus ocean and atmospheric sinks.","author":[{"dropping-particle":"","family":"Pan","given":"Yude","non-dropping-particle":"","parse-names":false,"suffix":""},{"dropping-particle":"","family":"Birdsey","given":"Richard a","non-dropping-particle":"","parse-names":false,"suffix":""},{"dropping-particle":"","family":"Fang","given":"Jingyun","non-dropping-particle":"","parse-names":false,"suffix":""},{"dropping-particle":"","family":"Houghton","given":"Richard","non-dropping-particle":"","parse-names":false,"suffix":""},{"dropping-particle":"","family":"Kauppi","given":"Pekka E","non-dropping-particle":"","parse-names":false,"suffix":""},{"dropping-particle":"","family":"Kurz","given":"Werner a","non-dropping-particle":"","parse-names":false,"suffix":""},{"dropping-particle":"","family":"Phillips","given":"Oliver L","non-dropping-particle":"","parse-names":false,"suffix":""},{"dropping-particle":"","family":"Shvidenko","given":"Anatoly","non-dropping-particle":"","parse-names":false,"suffix":""},{"dropping-particle":"","family":"Lewis","given":"Simon L","non-dropping-particle":"","parse-names":false,"suffix":""},{"dropping-particle":"","family":"Canadell","given":"Josep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B","non-dropping-particle":"","parse-names":false,"suffix":""},{"dropping-particle":"","family":"Pacala","given":"Stephen W","non-dropping-particle":"","parse-names":false,"suffix":""},{"dropping-particle":"","family":"McGuire","given":"a David","non-dropping-particle":"","parse-names":false,"suffix":""},{"dropping-particle":"","family":"Piao","given":"Shilong","non-dropping-particle":"","parse-names":false,"suffix":""},{"dropping-particle":"","family":"Rautiainen","given":"Aapo","non-dropping-particle":"","parse-names":false,"suffix":""},{"dropping-particle":"","family":"Sitch","given":"Stephen","non-dropping-particle":"","parse-names":false,"suffix":""},{"dropping-particle":"","family":"Hayes","given":"Daniel","non-dropping-particle":"","parse-names":false,"suffix":""}],"container-title":"Science (New York, N.Y.)","id":"ITEM-1","issue":"6045","issued":{"date-parts":[["2011","8","19"]]},"page":"988-993","title":"A large and persistent carbon sink in the world's forests.","type":"article-journal","volume":"333"},"uris":["http://www.mendeley.com/documents/?uuid=35c4d272-920c-4bfa-b895-701654387798"]}],"mendeley":{"formattedCitation":"&lt;sup&gt;2&lt;/sup&gt;","plainTextFormattedCitation":"2","previouslyFormattedCitation":"(Pan et al. 2011)"},"properties":{"noteIndex":0},"schema":"https://github.com/citation-style-language/schema/raw/master/csl-citation.json"}</w:instrText>
      </w:r>
      <w:r w:rsidR="00716207"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2</w:t>
      </w:r>
      <w:r w:rsidR="00716207" w:rsidRPr="00513B5A">
        <w:rPr>
          <w:rFonts w:ascii="Times New Roman" w:hAnsi="Times New Roman" w:cs="Times New Roman"/>
          <w:sz w:val="24"/>
          <w:szCs w:val="24"/>
          <w:lang w:val="en-GB"/>
        </w:rPr>
        <w:fldChar w:fldCharType="end"/>
      </w:r>
      <w:r w:rsidRPr="00513B5A">
        <w:rPr>
          <w:rFonts w:ascii="Times New Roman" w:hAnsi="Times New Roman" w:cs="Times New Roman"/>
          <w:sz w:val="24"/>
          <w:szCs w:val="24"/>
          <w:lang w:val="en-GB"/>
        </w:rPr>
        <w:t xml:space="preserve"> and the uptake of anthropogenic C</w:t>
      </w:r>
      <w:r w:rsidR="00495D33"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{"citationItems":[{"id":"ITEM-1","itemData":{"DOI":"10.1038/s41558-018-0367-7","ISSN":"1758-678X","abstract":"Elevated CO2 concentrations increase photosynthesis and, potentially, net ecosystem production (NEP), meaning a greater CO2 uptake. Climate, nutrients and ecosystem structure, however, influence the effect of increasing CO2. Here we analysed global NEP from MACC-II and Jena CarboScope atmospheric inversions and ten dynamic global vegetation models (TRENDY), using statistical models to attribute the trends in NEP to its potential drivers: CO2, climatic variables and land-use change. We found that an increased CO2 was consistently associated with an increased NEP (1995–2014). Conversely, increased temperatures were negatively associated with NEP. Using the two atmospheric inversions and TRENDY, the estimated global sensitivities for CO2 were 6.0 ± 0.1, 8.1 ± 0.3 and 3.1 ± 0.1 PgC per 100 ppm (~1 °C increase), and −0.5 ± 0.2, −0.9 ± 0.4 and −1.1 ± 0.1 PgC °C−1 for temperature. These results indicate a positive CO2 effect on terrestrial C sinks that is constrained by climate warming.","author":[{"dropping-particle":"","family":"Fernández-Martínez","given":"M.","non-dropping-particle":"","parse-names":false,"suffix":""},{"dropping-particle":"","family":"Sardans","given":"J.","non-dropping-particle":"","parse-names":false,"suffix":""},{"dropping-particle":"","family":"Chevallier","given":"F.","non-dropping-particle":"","parse-names":false,"suffix":""},{"dropping-particle":"","family":"Ciais","given":"P.","non-dropping-particle":"","parse-names":false,"suffix":""},{"dropping-particle":"","family":"Obersteiner","given":"M.","non-dropping-particle":"","parse-names":false,"suffix":""},{"dropping-particle":"","family":"Vicca","given":"S.","non-dropping-particle":"","parse-names":false,"suffix":""},{"dropping-particle":"","family":"Canadell","given":"J. G.","non-dropping-particle":"","parse-names":false,"suffix":""},{"dropping-particle":"","family":"Bastos","given":"A.","non-dropping-particle":"","parse-names":false,"suffix":""},{"dropping-particle":"","family":"Friedlingstein","given":"P.","non-dropping-particle":"","parse-names":false,"suffix":""},{"dropping-particle":"","family":"Sitch","given":"S.","non-dropping-particle":"","parse-names":false,"suffix":""},{"dropping-particle":"","family":"Piao","given":"S. L.","non-dropping-particle":"","parse-names":false,"suffix":""},{"dropping-particle":"","family":"Janssens","given":"I. A.","non-dropping-particle":"","parse-names":false,"suffix":""},{"dropping-particle":"","family":"Peñuelas","given":"J.","non-dropping-particle":"","parse-names":false,"suffix":""}],"container-title":"Nature Climate Change","id":"ITEM-1","issue":"1","issued":{"date-parts":[["2019","1","17"]]},"page":"73-79","title":"Global trends in carbon sinks and their relationships with CO2 and temperature","type":"article-journal","volume":"9"},"uris":["http://www.mendeley.com/documents/?uuid=cb265f58-71a9-45a8-bfc5-0eae6c2907d2"]}],"mendeley":{"formattedCitation":"&lt;sup&gt;42&lt;/sup&gt;","plainTextFormattedCitation":"42","previouslyFormattedCitation":"(Fernández-Martínez et al. 2019)"},"properties":{"noteIndex":0},"schema":"https://github.com/citation-style-language/schema/raw/master/csl-citation.json"}</w:instrText>
      </w:r>
      <w:r w:rsidR="00495D33"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42</w:t>
      </w:r>
      <w:r w:rsidR="00495D33" w:rsidRPr="00513B5A">
        <w:rPr>
          <w:rFonts w:ascii="Times New Roman" w:hAnsi="Times New Roman" w:cs="Times New Roman"/>
          <w:sz w:val="24"/>
          <w:szCs w:val="24"/>
          <w:lang w:val="en-GB"/>
        </w:rPr>
        <w:fldChar w:fldCharType="end"/>
      </w:r>
      <w:r w:rsidRPr="00513B5A">
        <w:rPr>
          <w:rFonts w:ascii="Times New Roman" w:hAnsi="Times New Roman" w:cs="Times New Roman"/>
          <w:sz w:val="24"/>
          <w:szCs w:val="24"/>
          <w:lang w:val="en-GB"/>
        </w:rPr>
        <w:t xml:space="preserve"> from the atmosphere by terrestrial primary production, the OM remineralization in aquatic sediments</w:t>
      </w:r>
      <w:r w:rsidR="00716207"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{"citationItems":[{"id":"ITEM-1","itemData":{"DOI":"10.1038/NCLIMATE2222","ISSN":"1758-678X","abstract":"L. Pinho 3 , C. Gudasz 4,5 , D. Bastviken 6 , L. J. Tranvik 4 and A. Enrich-Prast 2,3,6 Inland water sediments receive large quantities of terrestrial organic matter 1–5 and are globally important sites for organic carbon preservation 5,6 . Sediment organic matter mineraliza-tion is positively related to temperature across a wide range of high-latitude ecosystems 6–10 , but the situation in the tropics remains unclear. Here we assessed temperature eeects on the biological production of CO 2 and CH 4 in anaerobic sediments of tropical lakes in the Amazon and boreal lakes in Sweden. On the basis of conservative regional warming projections until 2100 (ref. 11), we estimate that sediment CO 2 and CH 4 production will increase 9–61% above present rates. Combining the CO 2 and CH 4 as CO 2 equivalents (CO 2 eq; ref. 11), the predicted increase is 2.4–4.5 times higher in tropical than boreal sediments. Although the estimated lake area in low latitudes is 3.2 times smaller than that of the boreal zone, we estimate that the increase in gas production from tropical lake sediments would be on average 2.4 times higher for CO 2 and 2.8 times higher for CH 4 . The exponential temperature response of organic matter mineralization, coupled with higher increases in the proportion of CH 4 relative to CO 2 on warming, suggests that the production of greenhouse gases in tropical sediments will increase substantially. This represents a potential large-scale positive feedback to climate change. Tropical and boreal biomes harbour approximately 50% of the lakes on Earth 12 . These inland waters emit substantial amounts of carbon dioxide (CO 2 ; on the order of 0.5 Pg yr −1 ; refs 1,4,13,14) and methane (CH 4 ; 70 Tg yr −1 ; ref. 15). Organic matter escapes mineralization through burial in lake sediments, representing a global carbon (C) sink 13–15 . Cold conditions are favouring organic carbon preservation in lakes at northern latitudes 8–10,16 , whereas warm inland waters show intense organic degradation supporting high C emissions to the atmosphere 4,5,17,18 . Temperature and organic carbon mineralization were recently shown to be strongly positively related in boreal lake sediments overlain by oxic water 9 . However, most freshwater sediments below the uppermost layer (typically a few millimetres) are anoxic 19 , where the anaerobic biological degradation of organic carbon releases not only CO 2 but also significant amounts of CH 4 (ref. 15). Although higher temperatures a…","author":[{"dropping-particle":"","family":"Marotta","given":"H","non-dropping-particle":"","parse-names":false,"suffix":""},{"dropping-particle":"","family":"Pinho","given":"L","non-dropping-particle":"","parse-names":false,"suffix":""},{"dropping-particle":"","family":"Gudasz","given":"C","non-dropping-particle":"","parse-names":false,"suffix":""}],"container-title":"Nature Climate Change","id":"ITEM-1","issue":"May","issued":{"date-parts":[["2014"]]},"page":"11-14","title":"Greenhouse gas production in low-latitude lake sediments responds strongly to warming","type":"article-journal","volume":"4"},"uris":["http://www.mendeley.com/documents/?uuid=f178ae99-5e8e-4cb0-a8ce-40be41db0390"]}],"mendeley":{"formattedCitation":"&lt;sup&gt;43&lt;/sup&gt;","plainTextFormattedCitation":"43","previouslyFormattedCitation":"(Marotta et al. 2014)"},"properties":{"noteIndex":0},"schema":"https://github.com/citation-style-language/schema/raw/master/csl-citation.json"}</w:instrText>
      </w:r>
      <w:r w:rsidR="00716207"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43</w:t>
      </w:r>
      <w:r w:rsidR="00716207" w:rsidRPr="00513B5A">
        <w:rPr>
          <w:rFonts w:ascii="Times New Roman" w:hAnsi="Times New Roman" w:cs="Times New Roman"/>
          <w:sz w:val="24"/>
          <w:szCs w:val="24"/>
          <w:lang w:val="en-GB"/>
        </w:rPr>
        <w:fldChar w:fldCharType="end"/>
      </w:r>
      <w:r w:rsidRPr="00513B5A">
        <w:rPr>
          <w:rFonts w:ascii="Times New Roman" w:hAnsi="Times New Roman" w:cs="Times New Roman"/>
          <w:sz w:val="24"/>
          <w:szCs w:val="24"/>
          <w:lang w:val="en-GB"/>
        </w:rPr>
        <w:t>, or even the metabolic responses to recent warming</w:t>
      </w:r>
      <w:r w:rsidR="00495D33" w:rsidRPr="00513B5A">
        <w:rPr>
          <w:rFonts w:ascii="Times New Roman" w:hAnsi="Times New Roman" w:cs="Times New Roman"/>
          <w:sz w:val="24"/>
          <w:szCs w:val="24"/>
          <w:lang w:val="en-GB"/>
        </w:rPr>
        <w:fldChar w:fldCharType="begin" w:fldLock="1"/>
      </w:r>
      <w:r w:rsidR="001D0B34">
        <w:rPr>
          <w:rFonts w:ascii="Times New Roman" w:hAnsi="Times New Roman" w:cs="Times New Roman"/>
          <w:sz w:val="24"/>
          <w:szCs w:val="24"/>
          <w:lang w:val="en-GB"/>
        </w:rPr>
        <w:instrText>ADDIN CSL_CITATION {"citationItems":[{"id":"ITEM-1","itemData":{"DOI":"10.1038/nature09407","ISBN":"0028-0836","ISSN":"0028-0836","PMID":"20930843","abstract":"Documented shifts in geographical ranges1, 2, seasonal phenology3, 4, community interactions5, genetics3, 6 and extinctions7 have been attributed to recent global warming8, 9, 10. Many such biotic shifts have been detected at mid- to high latitudes in the Northern Hemisphere4, 9, 10—a latitudinal pattern that is expected4, 8, 10, 11 because warming is fastest in these regions8. In contrast, shifts in tropical regions are expected to be less marked4, 8, 10, 11 because warming is less pronounced there8. However, biotic impacts of warming are mediated through physiology, and metabolic rate, which is a fundamental measure of physiological activity and ecological impact, increases exponentially rather than linearly with temperature in ectotherms12. Therefore, tropical ectotherms (with warm baseline temperatures) should experience larger absolute shifts in metabolic rate than the magnitude of tropical temperature change itself would suggest, but the impact of climate warming on metabolic rate has never been quantified on a global scale. Here we show that estimated changes in terrestrial metabolic rates in the tropics are large, are equivalent in magnitude to those in the north temperate-zone regions, and are in fact far greater than those in the Arctic, even though tropical temperature change has been relatively small. Because of temperature’s nonlinear effects on metabolism, tropical organisms, which constitute much of Earth’s biodiversity, should be profoundly affected by recent and projected climate warming2, 13, 14.","author":[{"dropping-particle":"","family":"Dillon","given":"M E","non-dropping-particle":"","parse-names":false,"suffix":""},{"dropping-particle":"","family":"Wang","given":"G","non-dropping-particle":"","parse-names":false,"suffix":""},{"dropping-particle":"","family":"Huey","given":"R B","non-dropping-particle":"","parse-names":false,"suffix":""}],"container-title":"Nature","id":"ITEM-1","issue":"7316","issued":{"date-parts":[["2010"]]},"page":"704-706","title":"Global metabolic impacts of recent climate warming","type":"article-journal","volume":"467"},"uris":["http://www.mendeley.com/documents/?uuid=80177a6b-17ce-465c-b4ea-815f7eb01552"]}],"mendeley":{"formattedCitation":"&lt;sup&gt;44&lt;/sup&gt;","plainTextFormattedCitation":"44","previouslyFormattedCitation":"(Dillon et al. 2010)"},"properties":{"noteIndex":0},"schema":"https://github.com/citation-style-language/schema/raw/master/csl-citation.json"}</w:instrText>
      </w:r>
      <w:r w:rsidR="00495D33" w:rsidRPr="00513B5A">
        <w:rPr>
          <w:rFonts w:ascii="Times New Roman" w:hAnsi="Times New Roman" w:cs="Times New Roman"/>
          <w:sz w:val="24"/>
          <w:szCs w:val="24"/>
          <w:lang w:val="en-GB"/>
        </w:rPr>
        <w:fldChar w:fldCharType="separate"/>
      </w:r>
      <w:r w:rsidR="001D0B34" w:rsidRPr="001D0B34">
        <w:rPr>
          <w:rFonts w:ascii="Times New Roman" w:hAnsi="Times New Roman" w:cs="Times New Roman"/>
          <w:noProof/>
          <w:sz w:val="24"/>
          <w:szCs w:val="24"/>
          <w:vertAlign w:val="superscript"/>
          <w:lang w:val="en-GB"/>
        </w:rPr>
        <w:t>44</w:t>
      </w:r>
      <w:r w:rsidR="00495D33" w:rsidRPr="00513B5A">
        <w:rPr>
          <w:rFonts w:ascii="Times New Roman" w:hAnsi="Times New Roman" w:cs="Times New Roman"/>
          <w:sz w:val="24"/>
          <w:szCs w:val="24"/>
          <w:lang w:val="en-GB"/>
        </w:rPr>
        <w:fldChar w:fldCharType="end"/>
      </w:r>
      <w:r w:rsidRPr="00513B5A">
        <w:rPr>
          <w:rFonts w:ascii="Times New Roman" w:hAnsi="Times New Roman" w:cs="Times New Roman"/>
          <w:sz w:val="24"/>
          <w:szCs w:val="24"/>
          <w:lang w:val="en-GB"/>
        </w:rPr>
        <w:t>. Therefore, our novel findings reveal that global change science still needs to unravel a neglected loss of C burial capacity connecting broad terrestrial and aquatic environments, with potentially important implications of productive and threatened humid tropical forests to climate change mitigation.</w:t>
      </w:r>
    </w:p>
    <w:bookmarkEnd w:id="6"/>
    <w:bookmarkEnd w:id="7"/>
    <w:p w14:paraId="12200BAB" w14:textId="77777777" w:rsidR="00495D33" w:rsidRPr="00513B5A" w:rsidRDefault="00495D33" w:rsidP="000F2280">
      <w:pPr>
        <w:spacing w:line="360" w:lineRule="auto"/>
        <w:jc w:val="both"/>
        <w:rPr>
          <w:rFonts w:ascii="Times New Roman" w:hAnsi="Times New Roman" w:cs="Times New Roman"/>
          <w:sz w:val="24"/>
          <w:szCs w:val="24"/>
          <w:lang w:val="en-GB"/>
        </w:rPr>
      </w:pPr>
    </w:p>
    <w:p w14:paraId="17179169" w14:textId="77777777" w:rsidR="00BD3B3A" w:rsidRPr="00513B5A" w:rsidRDefault="00BD3B3A" w:rsidP="00C72953">
      <w:pPr>
        <w:spacing w:line="360" w:lineRule="auto"/>
        <w:jc w:val="both"/>
        <w:rPr>
          <w:rFonts w:ascii="Times New Roman" w:hAnsi="Times New Roman" w:cs="Times New Roman"/>
          <w:sz w:val="24"/>
          <w:szCs w:val="24"/>
          <w:lang w:val="en-GB"/>
        </w:rPr>
      </w:pPr>
      <w:r w:rsidRPr="00513B5A">
        <w:rPr>
          <w:rFonts w:ascii="Times New Roman" w:hAnsi="Times New Roman" w:cs="Times New Roman"/>
          <w:b/>
          <w:bCs/>
          <w:sz w:val="24"/>
          <w:szCs w:val="24"/>
          <w:lang w:val="en-GB"/>
        </w:rPr>
        <w:t>REFERENCES</w:t>
      </w:r>
    </w:p>
    <w:p w14:paraId="09D9F1BF" w14:textId="4ABB0F64" w:rsidR="001D0B34" w:rsidRPr="00BA1E10" w:rsidRDefault="00BD3B3A"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513B5A">
        <w:rPr>
          <w:rFonts w:ascii="Times New Roman" w:hAnsi="Times New Roman" w:cs="Times New Roman"/>
          <w:sz w:val="24"/>
          <w:szCs w:val="24"/>
          <w:lang w:val="en-GB"/>
        </w:rPr>
        <w:fldChar w:fldCharType="begin" w:fldLock="1"/>
      </w:r>
      <w:r w:rsidRPr="00513B5A">
        <w:rPr>
          <w:rFonts w:ascii="Times New Roman" w:hAnsi="Times New Roman" w:cs="Times New Roman"/>
          <w:sz w:val="24"/>
          <w:szCs w:val="24"/>
          <w:lang w:val="en-GB"/>
        </w:rPr>
        <w:instrText xml:space="preserve">ADDIN Mendeley Bibliography CSL_BIBLIOGRAPHY </w:instrText>
      </w:r>
      <w:r w:rsidRPr="00513B5A">
        <w:rPr>
          <w:rFonts w:ascii="Times New Roman" w:hAnsi="Times New Roman" w:cs="Times New Roman"/>
          <w:sz w:val="24"/>
          <w:szCs w:val="24"/>
          <w:lang w:val="en-GB"/>
        </w:rPr>
        <w:fldChar w:fldCharType="separate"/>
      </w:r>
      <w:r w:rsidR="001D0B34" w:rsidRPr="00BA1E10">
        <w:rPr>
          <w:rFonts w:ascii="Times New Roman" w:hAnsi="Times New Roman" w:cs="Times New Roman"/>
          <w:noProof/>
          <w:sz w:val="24"/>
          <w:szCs w:val="24"/>
          <w:lang w:val="en-US"/>
        </w:rPr>
        <w:t>1.</w:t>
      </w:r>
      <w:r w:rsidR="001D0B34" w:rsidRPr="00BA1E10">
        <w:rPr>
          <w:rFonts w:ascii="Times New Roman" w:hAnsi="Times New Roman" w:cs="Times New Roman"/>
          <w:noProof/>
          <w:sz w:val="24"/>
          <w:szCs w:val="24"/>
          <w:lang w:val="en-US"/>
        </w:rPr>
        <w:tab/>
        <w:t xml:space="preserve">Messager, M. L., Lehner, B., Grill, G., Nedeva, I. &amp; Schmitt, O. Estimating the volume and age of water stored in global lakes using a geo-statistical approach. </w:t>
      </w:r>
      <w:r w:rsidR="001D0B34" w:rsidRPr="00BA1E10">
        <w:rPr>
          <w:rFonts w:ascii="Times New Roman" w:hAnsi="Times New Roman" w:cs="Times New Roman"/>
          <w:i/>
          <w:iCs/>
          <w:noProof/>
          <w:sz w:val="24"/>
          <w:szCs w:val="24"/>
          <w:lang w:val="en-US"/>
        </w:rPr>
        <w:t>Nat. Commun.</w:t>
      </w:r>
      <w:r w:rsidR="001D0B34" w:rsidRPr="00BA1E10">
        <w:rPr>
          <w:rFonts w:ascii="Times New Roman" w:hAnsi="Times New Roman" w:cs="Times New Roman"/>
          <w:noProof/>
          <w:sz w:val="24"/>
          <w:szCs w:val="24"/>
          <w:lang w:val="en-US"/>
        </w:rPr>
        <w:t xml:space="preserve"> </w:t>
      </w:r>
      <w:r w:rsidR="001D0B34" w:rsidRPr="00BA1E10">
        <w:rPr>
          <w:rFonts w:ascii="Times New Roman" w:hAnsi="Times New Roman" w:cs="Times New Roman"/>
          <w:b/>
          <w:bCs/>
          <w:noProof/>
          <w:sz w:val="24"/>
          <w:szCs w:val="24"/>
          <w:lang w:val="en-US"/>
        </w:rPr>
        <w:t>7</w:t>
      </w:r>
      <w:r w:rsidR="001D0B34" w:rsidRPr="00BA1E10">
        <w:rPr>
          <w:rFonts w:ascii="Times New Roman" w:hAnsi="Times New Roman" w:cs="Times New Roman"/>
          <w:noProof/>
          <w:sz w:val="24"/>
          <w:szCs w:val="24"/>
          <w:lang w:val="en-US"/>
        </w:rPr>
        <w:t>, 13603 (2016).</w:t>
      </w:r>
    </w:p>
    <w:p w14:paraId="091BEE8D"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w:t>
      </w:r>
      <w:r w:rsidRPr="00BA1E10">
        <w:rPr>
          <w:rFonts w:ascii="Times New Roman" w:hAnsi="Times New Roman" w:cs="Times New Roman"/>
          <w:noProof/>
          <w:sz w:val="24"/>
          <w:szCs w:val="24"/>
          <w:lang w:val="en-US"/>
        </w:rPr>
        <w:tab/>
        <w:t xml:space="preserve">Pan, Y.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A large and persistent carbon sink in the world’s forests. </w:t>
      </w:r>
      <w:r w:rsidRPr="00BA1E10">
        <w:rPr>
          <w:rFonts w:ascii="Times New Roman" w:hAnsi="Times New Roman" w:cs="Times New Roman"/>
          <w:i/>
          <w:iCs/>
          <w:noProof/>
          <w:sz w:val="24"/>
          <w:szCs w:val="24"/>
          <w:lang w:val="en-US"/>
        </w:rPr>
        <w:t>Science</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333</w:t>
      </w:r>
      <w:r w:rsidRPr="00BA1E10">
        <w:rPr>
          <w:rFonts w:ascii="Times New Roman" w:hAnsi="Times New Roman" w:cs="Times New Roman"/>
          <w:noProof/>
          <w:sz w:val="24"/>
          <w:szCs w:val="24"/>
          <w:lang w:val="en-US"/>
        </w:rPr>
        <w:t>, 988–993 (2011).</w:t>
      </w:r>
    </w:p>
    <w:p w14:paraId="0F9B599D"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w:t>
      </w:r>
      <w:r w:rsidRPr="00BA1E10">
        <w:rPr>
          <w:rFonts w:ascii="Times New Roman" w:hAnsi="Times New Roman" w:cs="Times New Roman"/>
          <w:noProof/>
          <w:sz w:val="24"/>
          <w:szCs w:val="24"/>
          <w:lang w:val="en-US"/>
        </w:rPr>
        <w:tab/>
        <w:t xml:space="preserve">Grace, J. &amp; Malhi, Y. Global change: carbon dioxide goes with the flow. </w:t>
      </w:r>
      <w:r w:rsidRPr="00BA1E10">
        <w:rPr>
          <w:rFonts w:ascii="Times New Roman" w:hAnsi="Times New Roman" w:cs="Times New Roman"/>
          <w:i/>
          <w:iCs/>
          <w:noProof/>
          <w:sz w:val="24"/>
          <w:szCs w:val="24"/>
          <w:lang w:val="en-US"/>
        </w:rPr>
        <w:t>Nature</w:t>
      </w:r>
      <w:r w:rsidRPr="00BA1E10">
        <w:rPr>
          <w:rFonts w:ascii="Times New Roman" w:hAnsi="Times New Roman" w:cs="Times New Roman"/>
          <w:noProof/>
          <w:sz w:val="24"/>
          <w:szCs w:val="24"/>
          <w:lang w:val="en-US"/>
        </w:rPr>
        <w:t xml:space="preserve"> vol. 416 594 (2002).</w:t>
      </w:r>
    </w:p>
    <w:p w14:paraId="55C98CF6"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4.</w:t>
      </w:r>
      <w:r w:rsidRPr="00BA1E10">
        <w:rPr>
          <w:rFonts w:ascii="Times New Roman" w:hAnsi="Times New Roman" w:cs="Times New Roman"/>
          <w:noProof/>
          <w:sz w:val="24"/>
          <w:szCs w:val="24"/>
          <w:lang w:val="en-US"/>
        </w:rPr>
        <w:tab/>
        <w:t xml:space="preserve">Malhi, Y. &amp; Grace, J. Tropical forests and atmospheric carbon dioxide. </w:t>
      </w:r>
      <w:r w:rsidRPr="00BA1E10">
        <w:rPr>
          <w:rFonts w:ascii="Times New Roman" w:hAnsi="Times New Roman" w:cs="Times New Roman"/>
          <w:i/>
          <w:iCs/>
          <w:noProof/>
          <w:sz w:val="24"/>
          <w:szCs w:val="24"/>
          <w:lang w:val="en-US"/>
        </w:rPr>
        <w:t>Trends Res. Ecol. Environ.</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15</w:t>
      </w:r>
      <w:r w:rsidRPr="00BA1E10">
        <w:rPr>
          <w:rFonts w:ascii="Times New Roman" w:hAnsi="Times New Roman" w:cs="Times New Roman"/>
          <w:noProof/>
          <w:sz w:val="24"/>
          <w:szCs w:val="24"/>
          <w:lang w:val="en-US"/>
        </w:rPr>
        <w:t>, 332–337 (2000).</w:t>
      </w:r>
    </w:p>
    <w:p w14:paraId="3031AAA9"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5.</w:t>
      </w:r>
      <w:r w:rsidRPr="00BA1E10">
        <w:rPr>
          <w:rFonts w:ascii="Times New Roman" w:hAnsi="Times New Roman" w:cs="Times New Roman"/>
          <w:noProof/>
          <w:sz w:val="24"/>
          <w:szCs w:val="24"/>
          <w:lang w:val="en-US"/>
        </w:rPr>
        <w:tab/>
        <w:t xml:space="preserve">Mitra, S., Wassmann, R. &amp; Vlek, P. L. G. An appraisal of global wetland area and its organic carbon stock. </w:t>
      </w:r>
      <w:r w:rsidRPr="00BA1E10">
        <w:rPr>
          <w:rFonts w:ascii="Times New Roman" w:hAnsi="Times New Roman" w:cs="Times New Roman"/>
          <w:i/>
          <w:iCs/>
          <w:noProof/>
          <w:sz w:val="24"/>
          <w:szCs w:val="24"/>
          <w:lang w:val="en-US"/>
        </w:rPr>
        <w:t>Curr. Sci.</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88</w:t>
      </w:r>
      <w:r w:rsidRPr="00BA1E10">
        <w:rPr>
          <w:rFonts w:ascii="Times New Roman" w:hAnsi="Times New Roman" w:cs="Times New Roman"/>
          <w:noProof/>
          <w:sz w:val="24"/>
          <w:szCs w:val="24"/>
          <w:lang w:val="en-US"/>
        </w:rPr>
        <w:t>, 25–35 (2005).</w:t>
      </w:r>
    </w:p>
    <w:p w14:paraId="7C6CE172"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6.</w:t>
      </w:r>
      <w:r w:rsidRPr="00BA1E10">
        <w:rPr>
          <w:rFonts w:ascii="Times New Roman" w:hAnsi="Times New Roman" w:cs="Times New Roman"/>
          <w:noProof/>
          <w:sz w:val="24"/>
          <w:szCs w:val="24"/>
          <w:lang w:val="en-US"/>
        </w:rPr>
        <w:tab/>
        <w:t xml:space="preserve">Olson, D. M.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Terrestrial Ecoregions of the World: A New Map of Life on </w:t>
      </w:r>
      <w:r w:rsidRPr="00BA1E10">
        <w:rPr>
          <w:rFonts w:ascii="Times New Roman" w:hAnsi="Times New Roman" w:cs="Times New Roman"/>
          <w:noProof/>
          <w:sz w:val="24"/>
          <w:szCs w:val="24"/>
          <w:lang w:val="en-US"/>
        </w:rPr>
        <w:lastRenderedPageBreak/>
        <w:t xml:space="preserve">Earth. </w:t>
      </w:r>
      <w:r w:rsidRPr="00BA1E10">
        <w:rPr>
          <w:rFonts w:ascii="Times New Roman" w:hAnsi="Times New Roman" w:cs="Times New Roman"/>
          <w:i/>
          <w:iCs/>
          <w:noProof/>
          <w:sz w:val="24"/>
          <w:szCs w:val="24"/>
          <w:lang w:val="en-US"/>
        </w:rPr>
        <w:t>Bioscience</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51</w:t>
      </w:r>
      <w:r w:rsidRPr="00BA1E10">
        <w:rPr>
          <w:rFonts w:ascii="Times New Roman" w:hAnsi="Times New Roman" w:cs="Times New Roman"/>
          <w:noProof/>
          <w:sz w:val="24"/>
          <w:szCs w:val="24"/>
          <w:lang w:val="en-US"/>
        </w:rPr>
        <w:t>, 933 (2001).</w:t>
      </w:r>
    </w:p>
    <w:p w14:paraId="7811BA43"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7.</w:t>
      </w:r>
      <w:r w:rsidRPr="00BA1E10">
        <w:rPr>
          <w:rFonts w:ascii="Times New Roman" w:hAnsi="Times New Roman" w:cs="Times New Roman"/>
          <w:noProof/>
          <w:sz w:val="24"/>
          <w:szCs w:val="24"/>
          <w:lang w:val="en-US"/>
        </w:rPr>
        <w:tab/>
        <w:t xml:space="preserve">Mulholland, P. J. &amp; Elwood, J. W. The role of lake and reservoir sediments as sinks in the perturbed global carbon cycle. </w:t>
      </w:r>
      <w:r w:rsidRPr="00BA1E10">
        <w:rPr>
          <w:rFonts w:ascii="Times New Roman" w:hAnsi="Times New Roman" w:cs="Times New Roman"/>
          <w:i/>
          <w:iCs/>
          <w:noProof/>
          <w:sz w:val="24"/>
          <w:szCs w:val="24"/>
          <w:lang w:val="en-US"/>
        </w:rPr>
        <w:t>Tellus</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34</w:t>
      </w:r>
      <w:r w:rsidRPr="00BA1E10">
        <w:rPr>
          <w:rFonts w:ascii="Times New Roman" w:hAnsi="Times New Roman" w:cs="Times New Roman"/>
          <w:noProof/>
          <w:sz w:val="24"/>
          <w:szCs w:val="24"/>
          <w:lang w:val="en-US"/>
        </w:rPr>
        <w:t>, 490–499 (1982).</w:t>
      </w:r>
    </w:p>
    <w:p w14:paraId="5B239340"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8.</w:t>
      </w:r>
      <w:r w:rsidRPr="00BA1E10">
        <w:rPr>
          <w:rFonts w:ascii="Times New Roman" w:hAnsi="Times New Roman" w:cs="Times New Roman"/>
          <w:noProof/>
          <w:sz w:val="24"/>
          <w:szCs w:val="24"/>
          <w:lang w:val="en-US"/>
        </w:rPr>
        <w:tab/>
        <w:t xml:space="preserve">Tranvik, L. J.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Lakes and reservoirs as regulators of carbon cycling and climate. </w:t>
      </w:r>
      <w:r w:rsidRPr="00BA1E10">
        <w:rPr>
          <w:rFonts w:ascii="Times New Roman" w:hAnsi="Times New Roman" w:cs="Times New Roman"/>
          <w:i/>
          <w:iCs/>
          <w:noProof/>
          <w:sz w:val="24"/>
          <w:szCs w:val="24"/>
          <w:lang w:val="en-US"/>
        </w:rPr>
        <w:t>Limnol. Oceanogr.</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54</w:t>
      </w:r>
      <w:r w:rsidRPr="00BA1E10">
        <w:rPr>
          <w:rFonts w:ascii="Times New Roman" w:hAnsi="Times New Roman" w:cs="Times New Roman"/>
          <w:noProof/>
          <w:sz w:val="24"/>
          <w:szCs w:val="24"/>
          <w:lang w:val="en-US"/>
        </w:rPr>
        <w:t>, 2298–2314 (2009).</w:t>
      </w:r>
    </w:p>
    <w:p w14:paraId="7ED4E247"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9.</w:t>
      </w:r>
      <w:r w:rsidRPr="00BA1E10">
        <w:rPr>
          <w:rFonts w:ascii="Times New Roman" w:hAnsi="Times New Roman" w:cs="Times New Roman"/>
          <w:noProof/>
          <w:sz w:val="24"/>
          <w:szCs w:val="24"/>
          <w:lang w:val="en-US"/>
        </w:rPr>
        <w:tab/>
        <w:t xml:space="preserve">Mendonça, R.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Organic carbon burial in global lakes and reservoirs. </w:t>
      </w:r>
      <w:r w:rsidRPr="00BA1E10">
        <w:rPr>
          <w:rFonts w:ascii="Times New Roman" w:hAnsi="Times New Roman" w:cs="Times New Roman"/>
          <w:i/>
          <w:iCs/>
          <w:noProof/>
          <w:sz w:val="24"/>
          <w:szCs w:val="24"/>
          <w:lang w:val="en-US"/>
        </w:rPr>
        <w:t>Nat. Commun.</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8</w:t>
      </w:r>
      <w:r w:rsidRPr="00BA1E10">
        <w:rPr>
          <w:rFonts w:ascii="Times New Roman" w:hAnsi="Times New Roman" w:cs="Times New Roman"/>
          <w:noProof/>
          <w:sz w:val="24"/>
          <w:szCs w:val="24"/>
          <w:lang w:val="en-US"/>
        </w:rPr>
        <w:t>, 1694 (2017).</w:t>
      </w:r>
    </w:p>
    <w:p w14:paraId="47F9AA70"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10.</w:t>
      </w:r>
      <w:r w:rsidRPr="00BA1E10">
        <w:rPr>
          <w:rFonts w:ascii="Times New Roman" w:hAnsi="Times New Roman" w:cs="Times New Roman"/>
          <w:noProof/>
          <w:sz w:val="24"/>
          <w:szCs w:val="24"/>
          <w:lang w:val="en-US"/>
        </w:rPr>
        <w:tab/>
        <w:t xml:space="preserve">Deevey Jr., E. S. Biogeochemistry of lakes:  major substances. </w:t>
      </w:r>
      <w:r w:rsidRPr="00BA1E10">
        <w:rPr>
          <w:rFonts w:ascii="Times New Roman" w:hAnsi="Times New Roman" w:cs="Times New Roman"/>
          <w:i/>
          <w:iCs/>
          <w:noProof/>
          <w:sz w:val="24"/>
          <w:szCs w:val="24"/>
          <w:lang w:val="en-US"/>
        </w:rPr>
        <w:t>Am. Soc. Limnol. Ocean. Spec. Symp.</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w:t>
      </w:r>
      <w:r w:rsidRPr="00BA1E10">
        <w:rPr>
          <w:rFonts w:ascii="Times New Roman" w:hAnsi="Times New Roman" w:cs="Times New Roman"/>
          <w:noProof/>
          <w:sz w:val="24"/>
          <w:szCs w:val="24"/>
          <w:lang w:val="en-US"/>
        </w:rPr>
        <w:t>, 14–20 (1972).</w:t>
      </w:r>
    </w:p>
    <w:p w14:paraId="500C7336"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11.</w:t>
      </w:r>
      <w:r w:rsidRPr="00BA1E10">
        <w:rPr>
          <w:rFonts w:ascii="Times New Roman" w:hAnsi="Times New Roman" w:cs="Times New Roman"/>
          <w:noProof/>
          <w:sz w:val="24"/>
          <w:szCs w:val="24"/>
          <w:lang w:val="en-US"/>
        </w:rPr>
        <w:tab/>
        <w:t xml:space="preserve">Kortelainen, P. Content of Total Organic Carbon in Finnish Lakes and Its Relationship to Catchment Characteristics. </w:t>
      </w:r>
      <w:r w:rsidRPr="00BA1E10">
        <w:rPr>
          <w:rFonts w:ascii="Times New Roman" w:hAnsi="Times New Roman" w:cs="Times New Roman"/>
          <w:i/>
          <w:iCs/>
          <w:noProof/>
          <w:sz w:val="24"/>
          <w:szCs w:val="24"/>
          <w:lang w:val="en-US"/>
        </w:rPr>
        <w:t>Can. J. Fish. Aquat. Sci.</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50</w:t>
      </w:r>
      <w:r w:rsidRPr="00BA1E10">
        <w:rPr>
          <w:rFonts w:ascii="Times New Roman" w:hAnsi="Times New Roman" w:cs="Times New Roman"/>
          <w:noProof/>
          <w:sz w:val="24"/>
          <w:szCs w:val="24"/>
          <w:lang w:val="en-US"/>
        </w:rPr>
        <w:t>, 1477–1483 (1993).</w:t>
      </w:r>
    </w:p>
    <w:p w14:paraId="08ACC75F"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12.</w:t>
      </w:r>
      <w:r w:rsidRPr="00BA1E10">
        <w:rPr>
          <w:rFonts w:ascii="Times New Roman" w:hAnsi="Times New Roman" w:cs="Times New Roman"/>
          <w:noProof/>
          <w:sz w:val="24"/>
          <w:szCs w:val="24"/>
          <w:lang w:val="en-US"/>
        </w:rPr>
        <w:tab/>
        <w:t xml:space="preserve">Kortelainen, P.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Controls on the export of C, N, P and Fe from undisturbed boreal catchments, Finland. </w:t>
      </w:r>
      <w:r w:rsidRPr="00BA1E10">
        <w:rPr>
          <w:rFonts w:ascii="Times New Roman" w:hAnsi="Times New Roman" w:cs="Times New Roman"/>
          <w:i/>
          <w:iCs/>
          <w:noProof/>
          <w:sz w:val="24"/>
          <w:szCs w:val="24"/>
          <w:lang w:val="en-US"/>
        </w:rPr>
        <w:t>Aquat. Sci.</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68</w:t>
      </w:r>
      <w:r w:rsidRPr="00BA1E10">
        <w:rPr>
          <w:rFonts w:ascii="Times New Roman" w:hAnsi="Times New Roman" w:cs="Times New Roman"/>
          <w:noProof/>
          <w:sz w:val="24"/>
          <w:szCs w:val="24"/>
          <w:lang w:val="en-US"/>
        </w:rPr>
        <w:t>, 453–468 (2006).</w:t>
      </w:r>
    </w:p>
    <w:p w14:paraId="67693870"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13.</w:t>
      </w:r>
      <w:r w:rsidRPr="00BA1E10">
        <w:rPr>
          <w:rFonts w:ascii="Times New Roman" w:hAnsi="Times New Roman" w:cs="Times New Roman"/>
          <w:noProof/>
          <w:sz w:val="24"/>
          <w:szCs w:val="24"/>
          <w:lang w:val="en-US"/>
        </w:rPr>
        <w:tab/>
        <w:t xml:space="preserve">Kastowski, M., Hinderer, M. &amp; Vecsei, A. Long-term carbon burial in European lakes: Analysis and estimate. </w:t>
      </w:r>
      <w:r w:rsidRPr="00BA1E10">
        <w:rPr>
          <w:rFonts w:ascii="Times New Roman" w:hAnsi="Times New Roman" w:cs="Times New Roman"/>
          <w:i/>
          <w:iCs/>
          <w:noProof/>
          <w:sz w:val="24"/>
          <w:szCs w:val="24"/>
          <w:lang w:val="en-US"/>
        </w:rPr>
        <w:t>Global Biogeochem. Cycles</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25</w:t>
      </w:r>
      <w:r w:rsidRPr="00BA1E10">
        <w:rPr>
          <w:rFonts w:ascii="Times New Roman" w:hAnsi="Times New Roman" w:cs="Times New Roman"/>
          <w:noProof/>
          <w:sz w:val="24"/>
          <w:szCs w:val="24"/>
          <w:lang w:val="en-US"/>
        </w:rPr>
        <w:t>, n/a-n/a (2011).</w:t>
      </w:r>
    </w:p>
    <w:p w14:paraId="4AA711FB"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14.</w:t>
      </w:r>
      <w:r w:rsidRPr="00BA1E10">
        <w:rPr>
          <w:rFonts w:ascii="Times New Roman" w:hAnsi="Times New Roman" w:cs="Times New Roman"/>
          <w:noProof/>
          <w:sz w:val="24"/>
          <w:szCs w:val="24"/>
          <w:lang w:val="en-US"/>
        </w:rPr>
        <w:tab/>
        <w:t xml:space="preserve">Ferland, M. E., Del Giorgio, P. A., Teodoru, C. R. &amp; Prairie, Y. T. Long-term C accumulation and total C stocks in boreal lakes in northern Québec. </w:t>
      </w:r>
      <w:r w:rsidRPr="00BA1E10">
        <w:rPr>
          <w:rFonts w:ascii="Times New Roman" w:hAnsi="Times New Roman" w:cs="Times New Roman"/>
          <w:i/>
          <w:iCs/>
          <w:noProof/>
          <w:sz w:val="24"/>
          <w:szCs w:val="24"/>
          <w:lang w:val="en-US"/>
        </w:rPr>
        <w:t>Global Biogeochem. Cycles</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26</w:t>
      </w:r>
      <w:r w:rsidRPr="00BA1E10">
        <w:rPr>
          <w:rFonts w:ascii="Times New Roman" w:hAnsi="Times New Roman" w:cs="Times New Roman"/>
          <w:noProof/>
          <w:sz w:val="24"/>
          <w:szCs w:val="24"/>
          <w:lang w:val="en-US"/>
        </w:rPr>
        <w:t>, (2012).</w:t>
      </w:r>
    </w:p>
    <w:p w14:paraId="0669963D"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15.</w:t>
      </w:r>
      <w:r w:rsidRPr="00BA1E10">
        <w:rPr>
          <w:rFonts w:ascii="Times New Roman" w:hAnsi="Times New Roman" w:cs="Times New Roman"/>
          <w:noProof/>
          <w:sz w:val="24"/>
          <w:szCs w:val="24"/>
          <w:lang w:val="en-US"/>
        </w:rPr>
        <w:tab/>
        <w:t xml:space="preserve">Anderson, N. J., D’andrea, W. &amp; Frintz, S. C. Holocene carbon burial by lakes in SW Greenland. </w:t>
      </w:r>
      <w:r w:rsidRPr="00BA1E10">
        <w:rPr>
          <w:rFonts w:ascii="Times New Roman" w:hAnsi="Times New Roman" w:cs="Times New Roman"/>
          <w:i/>
          <w:iCs/>
          <w:noProof/>
          <w:sz w:val="24"/>
          <w:szCs w:val="24"/>
          <w:lang w:val="en-US"/>
        </w:rPr>
        <w:t>Glob. Chang. Biol.</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15</w:t>
      </w:r>
      <w:r w:rsidRPr="00BA1E10">
        <w:rPr>
          <w:rFonts w:ascii="Times New Roman" w:hAnsi="Times New Roman" w:cs="Times New Roman"/>
          <w:noProof/>
          <w:sz w:val="24"/>
          <w:szCs w:val="24"/>
          <w:lang w:val="en-US"/>
        </w:rPr>
        <w:t>, 2590–2598 (2009).</w:t>
      </w:r>
    </w:p>
    <w:p w14:paraId="1BB563A6"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16.</w:t>
      </w:r>
      <w:r w:rsidRPr="00BA1E10">
        <w:rPr>
          <w:rFonts w:ascii="Times New Roman" w:hAnsi="Times New Roman" w:cs="Times New Roman"/>
          <w:noProof/>
          <w:sz w:val="24"/>
          <w:szCs w:val="24"/>
          <w:lang w:val="en-US"/>
        </w:rPr>
        <w:tab/>
        <w:t xml:space="preserve">Anderson, N. J., Heathcote, A. J. &amp; Engstrom, D. R. Anthropogenic alteration of nutrient supply increases the global freshwater carbon sink. </w:t>
      </w:r>
      <w:r w:rsidRPr="00BA1E10">
        <w:rPr>
          <w:rFonts w:ascii="Times New Roman" w:hAnsi="Times New Roman" w:cs="Times New Roman"/>
          <w:i/>
          <w:iCs/>
          <w:noProof/>
          <w:sz w:val="24"/>
          <w:szCs w:val="24"/>
          <w:lang w:val="en-US"/>
        </w:rPr>
        <w:t>Sci. Adv.</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6</w:t>
      </w:r>
      <w:r w:rsidRPr="00BA1E10">
        <w:rPr>
          <w:rFonts w:ascii="Times New Roman" w:hAnsi="Times New Roman" w:cs="Times New Roman"/>
          <w:noProof/>
          <w:sz w:val="24"/>
          <w:szCs w:val="24"/>
          <w:lang w:val="en-US"/>
        </w:rPr>
        <w:t>, eaaw2145 (2020).</w:t>
      </w:r>
    </w:p>
    <w:p w14:paraId="18BCA7B5"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17.</w:t>
      </w:r>
      <w:r w:rsidRPr="00BA1E10">
        <w:rPr>
          <w:rFonts w:ascii="Times New Roman" w:hAnsi="Times New Roman" w:cs="Times New Roman"/>
          <w:noProof/>
          <w:sz w:val="24"/>
          <w:szCs w:val="24"/>
          <w:lang w:val="en-US"/>
        </w:rPr>
        <w:tab/>
        <w:t xml:space="preserve">Ahl, T. Effects of man-induced and natural loading of phosphorus and nitrogen on the large Swedish lakes. </w:t>
      </w:r>
      <w:r w:rsidRPr="00BA1E10">
        <w:rPr>
          <w:rFonts w:ascii="Times New Roman" w:hAnsi="Times New Roman" w:cs="Times New Roman"/>
          <w:i/>
          <w:iCs/>
          <w:noProof/>
          <w:sz w:val="24"/>
          <w:szCs w:val="24"/>
          <w:lang w:val="en-US"/>
        </w:rPr>
        <w:t>SIL Proceedings, 1922-2010</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19</w:t>
      </w:r>
      <w:r w:rsidRPr="00BA1E10">
        <w:rPr>
          <w:rFonts w:ascii="Times New Roman" w:hAnsi="Times New Roman" w:cs="Times New Roman"/>
          <w:noProof/>
          <w:sz w:val="24"/>
          <w:szCs w:val="24"/>
          <w:lang w:val="en-US"/>
        </w:rPr>
        <w:t>, 1125–1132 (1975).</w:t>
      </w:r>
    </w:p>
    <w:p w14:paraId="187A7A69"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18.</w:t>
      </w:r>
      <w:r w:rsidRPr="00BA1E10">
        <w:rPr>
          <w:rFonts w:ascii="Times New Roman" w:hAnsi="Times New Roman" w:cs="Times New Roman"/>
          <w:noProof/>
          <w:sz w:val="24"/>
          <w:szCs w:val="24"/>
          <w:lang w:val="en-US"/>
        </w:rPr>
        <w:tab/>
        <w:t xml:space="preserve">Pennington, W. &amp; Tutin, T. G. Responses of some British lakes to past changes in land use on their catchments. </w:t>
      </w:r>
      <w:r w:rsidRPr="00BA1E10">
        <w:rPr>
          <w:rFonts w:ascii="Times New Roman" w:hAnsi="Times New Roman" w:cs="Times New Roman"/>
          <w:i/>
          <w:iCs/>
          <w:noProof/>
          <w:sz w:val="24"/>
          <w:szCs w:val="24"/>
          <w:lang w:val="en-US"/>
        </w:rPr>
        <w:t>SIL Proceedings, 1922-2010</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20</w:t>
      </w:r>
      <w:r w:rsidRPr="00BA1E10">
        <w:rPr>
          <w:rFonts w:ascii="Times New Roman" w:hAnsi="Times New Roman" w:cs="Times New Roman"/>
          <w:noProof/>
          <w:sz w:val="24"/>
          <w:szCs w:val="24"/>
          <w:lang w:val="en-US"/>
        </w:rPr>
        <w:t>, 636–641 (1978).</w:t>
      </w:r>
    </w:p>
    <w:p w14:paraId="2DB6D5B4"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19.</w:t>
      </w:r>
      <w:r w:rsidRPr="00BA1E10">
        <w:rPr>
          <w:rFonts w:ascii="Times New Roman" w:hAnsi="Times New Roman" w:cs="Times New Roman"/>
          <w:noProof/>
          <w:sz w:val="24"/>
          <w:szCs w:val="24"/>
          <w:lang w:val="en-US"/>
        </w:rPr>
        <w:tab/>
        <w:t xml:space="preserve">Darchambeau, F., Sarmento, H. &amp; Descy, J.-P. Primary production in a tropical large lake: The role of phytoplankton composition. </w:t>
      </w:r>
      <w:r w:rsidRPr="00BA1E10">
        <w:rPr>
          <w:rFonts w:ascii="Times New Roman" w:hAnsi="Times New Roman" w:cs="Times New Roman"/>
          <w:i/>
          <w:iCs/>
          <w:noProof/>
          <w:sz w:val="24"/>
          <w:szCs w:val="24"/>
          <w:lang w:val="en-US"/>
        </w:rPr>
        <w:t>Sci. Total Environ.</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473</w:t>
      </w:r>
      <w:r w:rsidRPr="00BA1E10">
        <w:rPr>
          <w:rFonts w:ascii="Times New Roman" w:hAnsi="Times New Roman" w:cs="Times New Roman"/>
          <w:noProof/>
          <w:sz w:val="24"/>
          <w:szCs w:val="24"/>
          <w:lang w:val="en-US"/>
        </w:rPr>
        <w:t>–</w:t>
      </w:r>
      <w:r w:rsidRPr="00BA1E10">
        <w:rPr>
          <w:rFonts w:ascii="Times New Roman" w:hAnsi="Times New Roman" w:cs="Times New Roman"/>
          <w:b/>
          <w:bCs/>
          <w:noProof/>
          <w:sz w:val="24"/>
          <w:szCs w:val="24"/>
          <w:lang w:val="en-US"/>
        </w:rPr>
        <w:t>474</w:t>
      </w:r>
      <w:r w:rsidRPr="00BA1E10">
        <w:rPr>
          <w:rFonts w:ascii="Times New Roman" w:hAnsi="Times New Roman" w:cs="Times New Roman"/>
          <w:noProof/>
          <w:sz w:val="24"/>
          <w:szCs w:val="24"/>
          <w:lang w:val="en-US"/>
        </w:rPr>
        <w:t>, 178–188 (2014).</w:t>
      </w:r>
    </w:p>
    <w:p w14:paraId="5A311FC6"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20.</w:t>
      </w:r>
      <w:r w:rsidRPr="00BA1E10">
        <w:rPr>
          <w:rFonts w:ascii="Times New Roman" w:hAnsi="Times New Roman" w:cs="Times New Roman"/>
          <w:noProof/>
          <w:sz w:val="24"/>
          <w:szCs w:val="24"/>
          <w:lang w:val="en-US"/>
        </w:rPr>
        <w:tab/>
        <w:t xml:space="preserve">Anderson, N. J., Bennion, H. &amp; Lotter, A. F. Lake eutrophication and its implications for organic carbon sequestration in Europe. </w:t>
      </w:r>
      <w:r w:rsidRPr="00BA1E10">
        <w:rPr>
          <w:rFonts w:ascii="Times New Roman" w:hAnsi="Times New Roman" w:cs="Times New Roman"/>
          <w:i/>
          <w:iCs/>
          <w:noProof/>
          <w:sz w:val="24"/>
          <w:szCs w:val="24"/>
          <w:lang w:val="en-US"/>
        </w:rPr>
        <w:t>Glob. Chang. Biol.</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20</w:t>
      </w:r>
      <w:r w:rsidRPr="00BA1E10">
        <w:rPr>
          <w:rFonts w:ascii="Times New Roman" w:hAnsi="Times New Roman" w:cs="Times New Roman"/>
          <w:noProof/>
          <w:sz w:val="24"/>
          <w:szCs w:val="24"/>
          <w:lang w:val="en-US"/>
        </w:rPr>
        <w:t>, 2741–2751 (2014).</w:t>
      </w:r>
    </w:p>
    <w:p w14:paraId="299CD06A"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21.</w:t>
      </w:r>
      <w:r w:rsidRPr="00BA1E10">
        <w:rPr>
          <w:rFonts w:ascii="Times New Roman" w:hAnsi="Times New Roman" w:cs="Times New Roman"/>
          <w:noProof/>
          <w:sz w:val="24"/>
          <w:szCs w:val="24"/>
          <w:lang w:val="en-US"/>
        </w:rPr>
        <w:tab/>
        <w:t xml:space="preserve">Anderson, N. J., Dietz, R. D. &amp; Engstrom, D. R. Land-use change, not climate, controls organic carbon burial in lakes. </w:t>
      </w:r>
      <w:r w:rsidRPr="00BA1E10">
        <w:rPr>
          <w:rFonts w:ascii="Times New Roman" w:hAnsi="Times New Roman" w:cs="Times New Roman"/>
          <w:i/>
          <w:iCs/>
          <w:noProof/>
          <w:sz w:val="24"/>
          <w:szCs w:val="24"/>
          <w:lang w:val="en-US"/>
        </w:rPr>
        <w:t>Proc. Biol. Sci.</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280</w:t>
      </w:r>
      <w:r w:rsidRPr="00BA1E10">
        <w:rPr>
          <w:rFonts w:ascii="Times New Roman" w:hAnsi="Times New Roman" w:cs="Times New Roman"/>
          <w:noProof/>
          <w:sz w:val="24"/>
          <w:szCs w:val="24"/>
          <w:lang w:val="en-US"/>
        </w:rPr>
        <w:t>, 20131278 (2016).</w:t>
      </w:r>
    </w:p>
    <w:p w14:paraId="7FF4320B"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22.</w:t>
      </w:r>
      <w:r w:rsidRPr="00BA1E10">
        <w:rPr>
          <w:rFonts w:ascii="Times New Roman" w:hAnsi="Times New Roman" w:cs="Times New Roman"/>
          <w:noProof/>
          <w:sz w:val="24"/>
          <w:szCs w:val="24"/>
          <w:lang w:val="en-US"/>
        </w:rPr>
        <w:tab/>
        <w:t xml:space="preserve">Heathcote, A. J., Anderson, N. J., Prairie, Y. T., Engstrom, D. R. &amp; del Giorgio, P. A. Large increases in carbon burial in northern lakes during the Anthropocene. </w:t>
      </w:r>
      <w:r w:rsidRPr="00BA1E10">
        <w:rPr>
          <w:rFonts w:ascii="Times New Roman" w:hAnsi="Times New Roman" w:cs="Times New Roman"/>
          <w:i/>
          <w:iCs/>
          <w:noProof/>
          <w:sz w:val="24"/>
          <w:szCs w:val="24"/>
          <w:lang w:val="en-US"/>
        </w:rPr>
        <w:t>Nat. Commun.</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6</w:t>
      </w:r>
      <w:r w:rsidRPr="00BA1E10">
        <w:rPr>
          <w:rFonts w:ascii="Times New Roman" w:hAnsi="Times New Roman" w:cs="Times New Roman"/>
          <w:noProof/>
          <w:sz w:val="24"/>
          <w:szCs w:val="24"/>
          <w:lang w:val="en-US"/>
        </w:rPr>
        <w:t>, 10016 (2015).</w:t>
      </w:r>
    </w:p>
    <w:p w14:paraId="5630D165"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23.</w:t>
      </w:r>
      <w:r w:rsidRPr="00BA1E10">
        <w:rPr>
          <w:rFonts w:ascii="Times New Roman" w:hAnsi="Times New Roman" w:cs="Times New Roman"/>
          <w:noProof/>
          <w:sz w:val="24"/>
          <w:szCs w:val="24"/>
          <w:lang w:val="en-US"/>
        </w:rPr>
        <w:tab/>
        <w:t xml:space="preserve">Sobek, S.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Organic carbon burial efficiency in lake sediments controlled by oxygen exposure time and sediment source. </w:t>
      </w:r>
      <w:r w:rsidRPr="00BA1E10">
        <w:rPr>
          <w:rFonts w:ascii="Times New Roman" w:hAnsi="Times New Roman" w:cs="Times New Roman"/>
          <w:i/>
          <w:iCs/>
          <w:noProof/>
          <w:sz w:val="24"/>
          <w:szCs w:val="24"/>
          <w:lang w:val="en-US"/>
        </w:rPr>
        <w:t>Limnol. Oceanogr.</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54</w:t>
      </w:r>
      <w:r w:rsidRPr="00BA1E10">
        <w:rPr>
          <w:rFonts w:ascii="Times New Roman" w:hAnsi="Times New Roman" w:cs="Times New Roman"/>
          <w:noProof/>
          <w:sz w:val="24"/>
          <w:szCs w:val="24"/>
          <w:lang w:val="en-US"/>
        </w:rPr>
        <w:t>, 2243–2254 (2009).</w:t>
      </w:r>
    </w:p>
    <w:p w14:paraId="29DE0435"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24.</w:t>
      </w:r>
      <w:r w:rsidRPr="00BA1E10">
        <w:rPr>
          <w:rFonts w:ascii="Times New Roman" w:hAnsi="Times New Roman" w:cs="Times New Roman"/>
          <w:noProof/>
          <w:sz w:val="24"/>
          <w:szCs w:val="24"/>
          <w:lang w:val="en-US"/>
        </w:rPr>
        <w:tab/>
        <w:t xml:space="preserve">Bormann, F. H., Likens, G. E., Siccama, T. G., Pierce, R. S. &amp; Eaton, J. S. The Export of Nutrients and Recovery of Stable Conditions Following Deforestation at Hubbard Brook. </w:t>
      </w:r>
      <w:r w:rsidRPr="00BA1E10">
        <w:rPr>
          <w:rFonts w:ascii="Times New Roman" w:hAnsi="Times New Roman" w:cs="Times New Roman"/>
          <w:i/>
          <w:iCs/>
          <w:noProof/>
          <w:sz w:val="24"/>
          <w:szCs w:val="24"/>
          <w:lang w:val="en-US"/>
        </w:rPr>
        <w:t>Ecol. Monogr.</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44</w:t>
      </w:r>
      <w:r w:rsidRPr="00BA1E10">
        <w:rPr>
          <w:rFonts w:ascii="Times New Roman" w:hAnsi="Times New Roman" w:cs="Times New Roman"/>
          <w:noProof/>
          <w:sz w:val="24"/>
          <w:szCs w:val="24"/>
          <w:lang w:val="en-US"/>
        </w:rPr>
        <w:t>, 255–277 (1974).</w:t>
      </w:r>
    </w:p>
    <w:p w14:paraId="45542A0A"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25.</w:t>
      </w:r>
      <w:r w:rsidRPr="00BA1E10">
        <w:rPr>
          <w:rFonts w:ascii="Times New Roman" w:hAnsi="Times New Roman" w:cs="Times New Roman"/>
          <w:noProof/>
          <w:sz w:val="24"/>
          <w:szCs w:val="24"/>
          <w:lang w:val="en-US"/>
        </w:rPr>
        <w:tab/>
        <w:t xml:space="preserve">Kortelainen, P.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Carbon evasion/accumulation ratio in boreal lakes is linked to nitrogen. </w:t>
      </w:r>
      <w:r w:rsidRPr="00BA1E10">
        <w:rPr>
          <w:rFonts w:ascii="Times New Roman" w:hAnsi="Times New Roman" w:cs="Times New Roman"/>
          <w:i/>
          <w:iCs/>
          <w:noProof/>
          <w:sz w:val="24"/>
          <w:szCs w:val="24"/>
          <w:lang w:val="en-US"/>
        </w:rPr>
        <w:t>Global Biogeochem. Cycles</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27</w:t>
      </w:r>
      <w:r w:rsidRPr="00BA1E10">
        <w:rPr>
          <w:rFonts w:ascii="Times New Roman" w:hAnsi="Times New Roman" w:cs="Times New Roman"/>
          <w:noProof/>
          <w:sz w:val="24"/>
          <w:szCs w:val="24"/>
          <w:lang w:val="en-US"/>
        </w:rPr>
        <w:t>, 363–374 (2013).</w:t>
      </w:r>
    </w:p>
    <w:p w14:paraId="48DD91BB" w14:textId="77777777" w:rsidR="001D0B34" w:rsidRPr="001D0B34"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BA1E10">
        <w:rPr>
          <w:rFonts w:ascii="Times New Roman" w:hAnsi="Times New Roman" w:cs="Times New Roman"/>
          <w:noProof/>
          <w:sz w:val="24"/>
          <w:szCs w:val="24"/>
          <w:lang w:val="en-US"/>
        </w:rPr>
        <w:t>26.</w:t>
      </w:r>
      <w:r w:rsidRPr="00BA1E10">
        <w:rPr>
          <w:rFonts w:ascii="Times New Roman" w:hAnsi="Times New Roman" w:cs="Times New Roman"/>
          <w:noProof/>
          <w:sz w:val="24"/>
          <w:szCs w:val="24"/>
          <w:lang w:val="en-US"/>
        </w:rPr>
        <w:tab/>
        <w:t xml:space="preserve">Kortelainen, P., Pajunen, H., Rantakari, M. &amp; Saarnisto, M. A large carbon pool and small sink in boreal Holocene lake sediments. </w:t>
      </w:r>
      <w:r w:rsidRPr="001D0B34">
        <w:rPr>
          <w:rFonts w:ascii="Times New Roman" w:hAnsi="Times New Roman" w:cs="Times New Roman"/>
          <w:i/>
          <w:iCs/>
          <w:noProof/>
          <w:sz w:val="24"/>
          <w:szCs w:val="24"/>
        </w:rPr>
        <w:t>Glob. Chang. Biol.</w:t>
      </w:r>
      <w:r w:rsidRPr="001D0B34">
        <w:rPr>
          <w:rFonts w:ascii="Times New Roman" w:hAnsi="Times New Roman" w:cs="Times New Roman"/>
          <w:noProof/>
          <w:sz w:val="24"/>
          <w:szCs w:val="24"/>
        </w:rPr>
        <w:t xml:space="preserve"> </w:t>
      </w:r>
      <w:r w:rsidRPr="001D0B34">
        <w:rPr>
          <w:rFonts w:ascii="Times New Roman" w:hAnsi="Times New Roman" w:cs="Times New Roman"/>
          <w:b/>
          <w:bCs/>
          <w:noProof/>
          <w:sz w:val="24"/>
          <w:szCs w:val="24"/>
        </w:rPr>
        <w:t>10</w:t>
      </w:r>
      <w:r w:rsidRPr="001D0B34">
        <w:rPr>
          <w:rFonts w:ascii="Times New Roman" w:hAnsi="Times New Roman" w:cs="Times New Roman"/>
          <w:noProof/>
          <w:sz w:val="24"/>
          <w:szCs w:val="24"/>
        </w:rPr>
        <w:t>, 1648–1653 (2004).</w:t>
      </w:r>
    </w:p>
    <w:p w14:paraId="772C9370"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1D0B34">
        <w:rPr>
          <w:rFonts w:ascii="Times New Roman" w:hAnsi="Times New Roman" w:cs="Times New Roman"/>
          <w:noProof/>
          <w:sz w:val="24"/>
          <w:szCs w:val="24"/>
        </w:rPr>
        <w:lastRenderedPageBreak/>
        <w:t>27.</w:t>
      </w:r>
      <w:r w:rsidRPr="001D0B34">
        <w:rPr>
          <w:rFonts w:ascii="Times New Roman" w:hAnsi="Times New Roman" w:cs="Times New Roman"/>
          <w:noProof/>
          <w:sz w:val="24"/>
          <w:szCs w:val="24"/>
        </w:rPr>
        <w:tab/>
        <w:t xml:space="preserve">Moreira, L. S., Moreira-Turcq, P. F., Cordeiro, R. C. &amp; Turcq, B. J. Reconstituição paleoambiental do Lago Santa Ninha, Várzea do Lago Grande de Curuai, Pará, Brasil. </w:t>
      </w:r>
      <w:r w:rsidRPr="00BA1E10">
        <w:rPr>
          <w:rFonts w:ascii="Times New Roman" w:hAnsi="Times New Roman" w:cs="Times New Roman"/>
          <w:i/>
          <w:iCs/>
          <w:noProof/>
          <w:sz w:val="24"/>
          <w:szCs w:val="24"/>
          <w:lang w:val="en-US"/>
        </w:rPr>
        <w:t>Acta Amaz.</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39</w:t>
      </w:r>
      <w:r w:rsidRPr="00BA1E10">
        <w:rPr>
          <w:rFonts w:ascii="Times New Roman" w:hAnsi="Times New Roman" w:cs="Times New Roman"/>
          <w:noProof/>
          <w:sz w:val="24"/>
          <w:szCs w:val="24"/>
          <w:lang w:val="en-US"/>
        </w:rPr>
        <w:t>, 609–616 (2009).</w:t>
      </w:r>
    </w:p>
    <w:p w14:paraId="04212E18"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28.</w:t>
      </w:r>
      <w:r w:rsidRPr="00BA1E10">
        <w:rPr>
          <w:rFonts w:ascii="Times New Roman" w:hAnsi="Times New Roman" w:cs="Times New Roman"/>
          <w:noProof/>
          <w:sz w:val="24"/>
          <w:szCs w:val="24"/>
          <w:lang w:val="en-US"/>
        </w:rPr>
        <w:tab/>
        <w:t xml:space="preserve">Somayajulu, B. L. K., Bhushan, R., Sarkar, A., Burr, G. S. &amp; Jull, A. J. T. Sediment deposition rates on the continental margins of the eastern Arabian Sea using 210Pb, 137Cs and 14C. </w:t>
      </w:r>
      <w:r w:rsidRPr="00BA1E10">
        <w:rPr>
          <w:rFonts w:ascii="Times New Roman" w:hAnsi="Times New Roman" w:cs="Times New Roman"/>
          <w:i/>
          <w:iCs/>
          <w:noProof/>
          <w:sz w:val="24"/>
          <w:szCs w:val="24"/>
          <w:lang w:val="en-US"/>
        </w:rPr>
        <w:t>Sci. Total Environ.</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237</w:t>
      </w:r>
      <w:r w:rsidRPr="00BA1E10">
        <w:rPr>
          <w:rFonts w:ascii="Times New Roman" w:hAnsi="Times New Roman" w:cs="Times New Roman"/>
          <w:noProof/>
          <w:sz w:val="24"/>
          <w:szCs w:val="24"/>
          <w:lang w:val="en-US"/>
        </w:rPr>
        <w:t>–</w:t>
      </w:r>
      <w:r w:rsidRPr="00BA1E10">
        <w:rPr>
          <w:rFonts w:ascii="Times New Roman" w:hAnsi="Times New Roman" w:cs="Times New Roman"/>
          <w:b/>
          <w:bCs/>
          <w:noProof/>
          <w:sz w:val="24"/>
          <w:szCs w:val="24"/>
          <w:lang w:val="en-US"/>
        </w:rPr>
        <w:t>238</w:t>
      </w:r>
      <w:r w:rsidRPr="00BA1E10">
        <w:rPr>
          <w:rFonts w:ascii="Times New Roman" w:hAnsi="Times New Roman" w:cs="Times New Roman"/>
          <w:noProof/>
          <w:sz w:val="24"/>
          <w:szCs w:val="24"/>
          <w:lang w:val="en-US"/>
        </w:rPr>
        <w:t>, 429–439 (1999).</w:t>
      </w:r>
    </w:p>
    <w:p w14:paraId="07F212AF"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29.</w:t>
      </w:r>
      <w:r w:rsidRPr="00BA1E10">
        <w:rPr>
          <w:rFonts w:ascii="Times New Roman" w:hAnsi="Times New Roman" w:cs="Times New Roman"/>
          <w:noProof/>
          <w:sz w:val="24"/>
          <w:szCs w:val="24"/>
          <w:lang w:val="en-US"/>
        </w:rPr>
        <w:tab/>
        <w:t xml:space="preserve">Hanson, P. C., Pace, M. L., Carpenter, S. R., Cole, J. J. &amp; Stanley, E. H. Integrating Landscape Carbon Cycling: Research Needs for Resolving Organic Carbon Budgets of Lakes. </w:t>
      </w:r>
      <w:r w:rsidRPr="00BA1E10">
        <w:rPr>
          <w:rFonts w:ascii="Times New Roman" w:hAnsi="Times New Roman" w:cs="Times New Roman"/>
          <w:i/>
          <w:iCs/>
          <w:noProof/>
          <w:sz w:val="24"/>
          <w:szCs w:val="24"/>
          <w:lang w:val="en-US"/>
        </w:rPr>
        <w:t>Ecosystems</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18</w:t>
      </w:r>
      <w:r w:rsidRPr="00BA1E10">
        <w:rPr>
          <w:rFonts w:ascii="Times New Roman" w:hAnsi="Times New Roman" w:cs="Times New Roman"/>
          <w:noProof/>
          <w:sz w:val="24"/>
          <w:szCs w:val="24"/>
          <w:lang w:val="en-US"/>
        </w:rPr>
        <w:t>, 363–375 (2015).</w:t>
      </w:r>
    </w:p>
    <w:p w14:paraId="6CC36D62"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30.</w:t>
      </w:r>
      <w:r w:rsidRPr="00BA1E10">
        <w:rPr>
          <w:rFonts w:ascii="Times New Roman" w:hAnsi="Times New Roman" w:cs="Times New Roman"/>
          <w:noProof/>
          <w:sz w:val="24"/>
          <w:szCs w:val="24"/>
          <w:lang w:val="en-US"/>
        </w:rPr>
        <w:tab/>
        <w:t xml:space="preserve">Cordeiro, R. C.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Environmental and anthropic variabilities at Guanabara Bay (Brazil): A comparative perspective of metal depositions in different time scales during the last 5,500 yrs. </w:t>
      </w:r>
      <w:r w:rsidRPr="00BA1E10">
        <w:rPr>
          <w:rFonts w:ascii="Times New Roman" w:hAnsi="Times New Roman" w:cs="Times New Roman"/>
          <w:i/>
          <w:iCs/>
          <w:noProof/>
          <w:sz w:val="24"/>
          <w:szCs w:val="24"/>
          <w:lang w:val="en-US"/>
        </w:rPr>
        <w:t>Chemosphere</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267</w:t>
      </w:r>
      <w:r w:rsidRPr="00BA1E10">
        <w:rPr>
          <w:rFonts w:ascii="Times New Roman" w:hAnsi="Times New Roman" w:cs="Times New Roman"/>
          <w:noProof/>
          <w:sz w:val="24"/>
          <w:szCs w:val="24"/>
          <w:lang w:val="en-US"/>
        </w:rPr>
        <w:t>, 128895 (2021).</w:t>
      </w:r>
    </w:p>
    <w:p w14:paraId="20483014"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31.</w:t>
      </w:r>
      <w:r w:rsidRPr="00BA1E10">
        <w:rPr>
          <w:rFonts w:ascii="Times New Roman" w:hAnsi="Times New Roman" w:cs="Times New Roman"/>
          <w:noProof/>
          <w:sz w:val="24"/>
          <w:szCs w:val="24"/>
          <w:lang w:val="en-US"/>
        </w:rPr>
        <w:tab/>
        <w:t xml:space="preserve">Appleby, P. G. Dating recent sediments by 210 pb: problems and solutions. </w:t>
      </w:r>
      <w:r w:rsidRPr="00BA1E10">
        <w:rPr>
          <w:rFonts w:ascii="Times New Roman" w:hAnsi="Times New Roman" w:cs="Times New Roman"/>
          <w:i/>
          <w:iCs/>
          <w:noProof/>
          <w:sz w:val="24"/>
          <w:szCs w:val="24"/>
          <w:lang w:val="en-US"/>
        </w:rPr>
        <w:t>Stuk a-145</w:t>
      </w:r>
      <w:r w:rsidRPr="00BA1E10">
        <w:rPr>
          <w:rFonts w:ascii="Times New Roman" w:hAnsi="Times New Roman" w:cs="Times New Roman"/>
          <w:noProof/>
          <w:sz w:val="24"/>
          <w:szCs w:val="24"/>
          <w:lang w:val="en-US"/>
        </w:rPr>
        <w:t xml:space="preserve"> 7–24 (1998).</w:t>
      </w:r>
    </w:p>
    <w:p w14:paraId="0C694344"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32.</w:t>
      </w:r>
      <w:r w:rsidRPr="00BA1E10">
        <w:rPr>
          <w:rFonts w:ascii="Times New Roman" w:hAnsi="Times New Roman" w:cs="Times New Roman"/>
          <w:noProof/>
          <w:sz w:val="24"/>
          <w:szCs w:val="24"/>
          <w:lang w:val="en-US"/>
        </w:rPr>
        <w:tab/>
        <w:t xml:space="preserve">Godwin, H. Half-life of Radiocarbon. </w:t>
      </w:r>
      <w:r w:rsidRPr="00BA1E10">
        <w:rPr>
          <w:rFonts w:ascii="Times New Roman" w:hAnsi="Times New Roman" w:cs="Times New Roman"/>
          <w:i/>
          <w:iCs/>
          <w:noProof/>
          <w:sz w:val="24"/>
          <w:szCs w:val="24"/>
          <w:lang w:val="en-US"/>
        </w:rPr>
        <w:t>Nature</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195</w:t>
      </w:r>
      <w:r w:rsidRPr="00BA1E10">
        <w:rPr>
          <w:rFonts w:ascii="Times New Roman" w:hAnsi="Times New Roman" w:cs="Times New Roman"/>
          <w:noProof/>
          <w:sz w:val="24"/>
          <w:szCs w:val="24"/>
          <w:lang w:val="en-US"/>
        </w:rPr>
        <w:t>, 984–984 (1962).</w:t>
      </w:r>
    </w:p>
    <w:p w14:paraId="3D462C91"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33.</w:t>
      </w:r>
      <w:r w:rsidRPr="00BA1E10">
        <w:rPr>
          <w:rFonts w:ascii="Times New Roman" w:hAnsi="Times New Roman" w:cs="Times New Roman"/>
          <w:noProof/>
          <w:sz w:val="24"/>
          <w:szCs w:val="24"/>
          <w:lang w:val="en-US"/>
        </w:rPr>
        <w:tab/>
        <w:t xml:space="preserve">Stallard, R. F. Terrestrial sedimentation and the carbon cycle: Coupling weathering and erosion to carbon burial. </w:t>
      </w:r>
      <w:r w:rsidRPr="00BA1E10">
        <w:rPr>
          <w:rFonts w:ascii="Times New Roman" w:hAnsi="Times New Roman" w:cs="Times New Roman"/>
          <w:i/>
          <w:iCs/>
          <w:noProof/>
          <w:sz w:val="24"/>
          <w:szCs w:val="24"/>
          <w:lang w:val="en-US"/>
        </w:rPr>
        <w:t>Global Biogeochem. Cycles</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12</w:t>
      </w:r>
      <w:r w:rsidRPr="00BA1E10">
        <w:rPr>
          <w:rFonts w:ascii="Times New Roman" w:hAnsi="Times New Roman" w:cs="Times New Roman"/>
          <w:noProof/>
          <w:sz w:val="24"/>
          <w:szCs w:val="24"/>
          <w:lang w:val="en-US"/>
        </w:rPr>
        <w:t>, 231–257 (1998).</w:t>
      </w:r>
    </w:p>
    <w:p w14:paraId="48289E9A"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34.</w:t>
      </w:r>
      <w:r w:rsidRPr="00BA1E10">
        <w:rPr>
          <w:rFonts w:ascii="Times New Roman" w:hAnsi="Times New Roman" w:cs="Times New Roman"/>
          <w:noProof/>
          <w:sz w:val="24"/>
          <w:szCs w:val="24"/>
          <w:lang w:val="en-US"/>
        </w:rPr>
        <w:tab/>
        <w:t xml:space="preserve">Li, X., Yuan, H., Li, N. &amp; Song, J. Organic carbon source and burial during the past one hundred years in Jiaozhou Bay, North China. </w:t>
      </w:r>
      <w:r w:rsidRPr="00BA1E10">
        <w:rPr>
          <w:rFonts w:ascii="Times New Roman" w:hAnsi="Times New Roman" w:cs="Times New Roman"/>
          <w:i/>
          <w:iCs/>
          <w:noProof/>
          <w:sz w:val="24"/>
          <w:szCs w:val="24"/>
          <w:lang w:val="en-US"/>
        </w:rPr>
        <w:t>J. Environ. Sci.</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20</w:t>
      </w:r>
      <w:r w:rsidRPr="00BA1E10">
        <w:rPr>
          <w:rFonts w:ascii="Times New Roman" w:hAnsi="Times New Roman" w:cs="Times New Roman"/>
          <w:noProof/>
          <w:sz w:val="24"/>
          <w:szCs w:val="24"/>
          <w:lang w:val="en-US"/>
        </w:rPr>
        <w:t>, 551–557 (2008).</w:t>
      </w:r>
    </w:p>
    <w:p w14:paraId="5959514F"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35.</w:t>
      </w:r>
      <w:r w:rsidRPr="00BA1E10">
        <w:rPr>
          <w:rFonts w:ascii="Times New Roman" w:hAnsi="Times New Roman" w:cs="Times New Roman"/>
          <w:noProof/>
          <w:sz w:val="24"/>
          <w:szCs w:val="24"/>
          <w:lang w:val="en-US"/>
        </w:rPr>
        <w:tab/>
        <w:t xml:space="preserve">Schelske, C. L., Peplow, A., Brenner, M. &amp; Spencer, C. N. Low-background gamma counting: applications for210Pb dating of sediments. </w:t>
      </w:r>
      <w:r w:rsidRPr="00BA1E10">
        <w:rPr>
          <w:rFonts w:ascii="Times New Roman" w:hAnsi="Times New Roman" w:cs="Times New Roman"/>
          <w:i/>
          <w:iCs/>
          <w:noProof/>
          <w:sz w:val="24"/>
          <w:szCs w:val="24"/>
          <w:lang w:val="en-US"/>
        </w:rPr>
        <w:t>J. Paleolimnol.</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10</w:t>
      </w:r>
      <w:r w:rsidRPr="00BA1E10">
        <w:rPr>
          <w:rFonts w:ascii="Times New Roman" w:hAnsi="Times New Roman" w:cs="Times New Roman"/>
          <w:noProof/>
          <w:sz w:val="24"/>
          <w:szCs w:val="24"/>
          <w:lang w:val="en-US"/>
        </w:rPr>
        <w:t>, 115–128 (1994).</w:t>
      </w:r>
    </w:p>
    <w:p w14:paraId="52913BF5"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36.</w:t>
      </w:r>
      <w:r w:rsidRPr="00BA1E10">
        <w:rPr>
          <w:rFonts w:ascii="Times New Roman" w:hAnsi="Times New Roman" w:cs="Times New Roman"/>
          <w:noProof/>
          <w:sz w:val="24"/>
          <w:szCs w:val="24"/>
          <w:lang w:val="en-US"/>
        </w:rPr>
        <w:tab/>
        <w:t xml:space="preserve">Sanders, L. M.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Historic carbon burial spike in an Amazon floodplain lake linked to riparian deforestation near Santarém, Brazil. </w:t>
      </w:r>
      <w:r w:rsidRPr="00BA1E10">
        <w:rPr>
          <w:rFonts w:ascii="Times New Roman" w:hAnsi="Times New Roman" w:cs="Times New Roman"/>
          <w:i/>
          <w:iCs/>
          <w:noProof/>
          <w:sz w:val="24"/>
          <w:szCs w:val="24"/>
          <w:lang w:val="en-US"/>
        </w:rPr>
        <w:t>Biogeosciences</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15</w:t>
      </w:r>
      <w:r w:rsidRPr="00BA1E10">
        <w:rPr>
          <w:rFonts w:ascii="Times New Roman" w:hAnsi="Times New Roman" w:cs="Times New Roman"/>
          <w:noProof/>
          <w:sz w:val="24"/>
          <w:szCs w:val="24"/>
          <w:lang w:val="en-US"/>
        </w:rPr>
        <w:t>, 447–455 (2018).</w:t>
      </w:r>
    </w:p>
    <w:p w14:paraId="28B6144D"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37.</w:t>
      </w:r>
      <w:r w:rsidRPr="00BA1E10">
        <w:rPr>
          <w:rFonts w:ascii="Times New Roman" w:hAnsi="Times New Roman" w:cs="Times New Roman"/>
          <w:noProof/>
          <w:sz w:val="24"/>
          <w:szCs w:val="24"/>
          <w:lang w:val="en-US"/>
        </w:rPr>
        <w:tab/>
        <w:t xml:space="preserve">Leithold, E. L., Perkey, D. W., Blair, N. E. &amp; Creamer, T. N. Sedimentation and carbon burial on the northern California continental shelf: The signatures of land-use change. </w:t>
      </w:r>
      <w:r w:rsidRPr="00BA1E10">
        <w:rPr>
          <w:rFonts w:ascii="Times New Roman" w:hAnsi="Times New Roman" w:cs="Times New Roman"/>
          <w:i/>
          <w:iCs/>
          <w:noProof/>
          <w:sz w:val="24"/>
          <w:szCs w:val="24"/>
          <w:lang w:val="en-US"/>
        </w:rPr>
        <w:t>Cont. Shelf Res.</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25</w:t>
      </w:r>
      <w:r w:rsidRPr="00BA1E10">
        <w:rPr>
          <w:rFonts w:ascii="Times New Roman" w:hAnsi="Times New Roman" w:cs="Times New Roman"/>
          <w:noProof/>
          <w:sz w:val="24"/>
          <w:szCs w:val="24"/>
          <w:lang w:val="en-US"/>
        </w:rPr>
        <w:t>, 349–371 (2005).</w:t>
      </w:r>
    </w:p>
    <w:p w14:paraId="6C358FD5"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38.</w:t>
      </w:r>
      <w:r w:rsidRPr="00BA1E10">
        <w:rPr>
          <w:rFonts w:ascii="Times New Roman" w:hAnsi="Times New Roman" w:cs="Times New Roman"/>
          <w:noProof/>
          <w:sz w:val="24"/>
          <w:szCs w:val="24"/>
          <w:lang w:val="en-US"/>
        </w:rPr>
        <w:tab/>
        <w:t xml:space="preserve">Ruiz-Fernández, A. C., Hillaire-Marcel, C., Páez-Osuna, F., Ghaleb, B. &amp; Caballero-Miranda, M. 210Pb chronology and trace metal geochemistry at Los Tuxtlas, Mexico, as evidenced by a sedimentary record from the Lago Verde crater lake. </w:t>
      </w:r>
      <w:r w:rsidRPr="00BA1E10">
        <w:rPr>
          <w:rFonts w:ascii="Times New Roman" w:hAnsi="Times New Roman" w:cs="Times New Roman"/>
          <w:i/>
          <w:iCs/>
          <w:noProof/>
          <w:sz w:val="24"/>
          <w:szCs w:val="24"/>
          <w:lang w:val="en-US"/>
        </w:rPr>
        <w:t>Chinese J. Geochemistry</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25</w:t>
      </w:r>
      <w:r w:rsidRPr="00BA1E10">
        <w:rPr>
          <w:rFonts w:ascii="Times New Roman" w:hAnsi="Times New Roman" w:cs="Times New Roman"/>
          <w:noProof/>
          <w:sz w:val="24"/>
          <w:szCs w:val="24"/>
          <w:lang w:val="en-US"/>
        </w:rPr>
        <w:t>, 17–17 (2006).</w:t>
      </w:r>
    </w:p>
    <w:p w14:paraId="5DDBD19E"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39.</w:t>
      </w:r>
      <w:r w:rsidRPr="00BA1E10">
        <w:rPr>
          <w:rFonts w:ascii="Times New Roman" w:hAnsi="Times New Roman" w:cs="Times New Roman"/>
          <w:noProof/>
          <w:sz w:val="24"/>
          <w:szCs w:val="24"/>
          <w:lang w:val="en-US"/>
        </w:rPr>
        <w:tab/>
        <w:t xml:space="preserve">Durigan, M. R.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Soil organic matter responses to anthropogenic forest disturbance and land use change in the eastern Brazilian Amazon. </w:t>
      </w:r>
      <w:r w:rsidRPr="00BA1E10">
        <w:rPr>
          <w:rFonts w:ascii="Times New Roman" w:hAnsi="Times New Roman" w:cs="Times New Roman"/>
          <w:i/>
          <w:iCs/>
          <w:noProof/>
          <w:sz w:val="24"/>
          <w:szCs w:val="24"/>
          <w:lang w:val="en-US"/>
        </w:rPr>
        <w:t>Sustain.</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9</w:t>
      </w:r>
      <w:r w:rsidRPr="00BA1E10">
        <w:rPr>
          <w:rFonts w:ascii="Times New Roman" w:hAnsi="Times New Roman" w:cs="Times New Roman"/>
          <w:noProof/>
          <w:sz w:val="24"/>
          <w:szCs w:val="24"/>
          <w:lang w:val="en-US"/>
        </w:rPr>
        <w:t>, (2017).</w:t>
      </w:r>
    </w:p>
    <w:p w14:paraId="55058253"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40.</w:t>
      </w:r>
      <w:r w:rsidRPr="00BA1E10">
        <w:rPr>
          <w:rFonts w:ascii="Times New Roman" w:hAnsi="Times New Roman" w:cs="Times New Roman"/>
          <w:noProof/>
          <w:sz w:val="24"/>
          <w:szCs w:val="24"/>
          <w:lang w:val="en-US"/>
        </w:rPr>
        <w:tab/>
        <w:t xml:space="preserve">Kukla, J.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The effect of traditional slash-and-burn agriculture on soil organic matter, nutrient content, and microbiota in tropical ecosystems of Papua New Guinea. </w:t>
      </w:r>
      <w:r w:rsidRPr="00BA1E10">
        <w:rPr>
          <w:rFonts w:ascii="Times New Roman" w:hAnsi="Times New Roman" w:cs="Times New Roman"/>
          <w:i/>
          <w:iCs/>
          <w:noProof/>
          <w:sz w:val="24"/>
          <w:szCs w:val="24"/>
          <w:lang w:val="en-US"/>
        </w:rPr>
        <w:t>L. Degrad. Dev.</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30</w:t>
      </w:r>
      <w:r w:rsidRPr="00BA1E10">
        <w:rPr>
          <w:rFonts w:ascii="Times New Roman" w:hAnsi="Times New Roman" w:cs="Times New Roman"/>
          <w:noProof/>
          <w:sz w:val="24"/>
          <w:szCs w:val="24"/>
          <w:lang w:val="en-US"/>
        </w:rPr>
        <w:t>, 166–177 (2019).</w:t>
      </w:r>
    </w:p>
    <w:p w14:paraId="4F658185"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41.</w:t>
      </w:r>
      <w:r w:rsidRPr="00BA1E10">
        <w:rPr>
          <w:rFonts w:ascii="Times New Roman" w:hAnsi="Times New Roman" w:cs="Times New Roman"/>
          <w:noProof/>
          <w:sz w:val="24"/>
          <w:szCs w:val="24"/>
          <w:lang w:val="en-US"/>
        </w:rPr>
        <w:tab/>
        <w:t xml:space="preserve">Le Quéré, C.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Global Carbon Budget 2018. </w:t>
      </w:r>
      <w:r w:rsidRPr="00BA1E10">
        <w:rPr>
          <w:rFonts w:ascii="Times New Roman" w:hAnsi="Times New Roman" w:cs="Times New Roman"/>
          <w:i/>
          <w:iCs/>
          <w:noProof/>
          <w:sz w:val="24"/>
          <w:szCs w:val="24"/>
          <w:lang w:val="en-US"/>
        </w:rPr>
        <w:t>Earth Syst. Sci. Data</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10</w:t>
      </w:r>
      <w:r w:rsidRPr="00BA1E10">
        <w:rPr>
          <w:rFonts w:ascii="Times New Roman" w:hAnsi="Times New Roman" w:cs="Times New Roman"/>
          <w:noProof/>
          <w:sz w:val="24"/>
          <w:szCs w:val="24"/>
          <w:lang w:val="en-US"/>
        </w:rPr>
        <w:t>, 2141–2194 (2018).</w:t>
      </w:r>
    </w:p>
    <w:p w14:paraId="04269D38"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42.</w:t>
      </w:r>
      <w:r w:rsidRPr="00BA1E10">
        <w:rPr>
          <w:rFonts w:ascii="Times New Roman" w:hAnsi="Times New Roman" w:cs="Times New Roman"/>
          <w:noProof/>
          <w:sz w:val="24"/>
          <w:szCs w:val="24"/>
          <w:lang w:val="en-US"/>
        </w:rPr>
        <w:tab/>
        <w:t xml:space="preserve">Fernández-Martínez, M. </w:t>
      </w:r>
      <w:r w:rsidRPr="00BA1E10">
        <w:rPr>
          <w:rFonts w:ascii="Times New Roman" w:hAnsi="Times New Roman" w:cs="Times New Roman"/>
          <w:i/>
          <w:iCs/>
          <w:noProof/>
          <w:sz w:val="24"/>
          <w:szCs w:val="24"/>
          <w:lang w:val="en-US"/>
        </w:rPr>
        <w:t>et al.</w:t>
      </w:r>
      <w:r w:rsidRPr="00BA1E10">
        <w:rPr>
          <w:rFonts w:ascii="Times New Roman" w:hAnsi="Times New Roman" w:cs="Times New Roman"/>
          <w:noProof/>
          <w:sz w:val="24"/>
          <w:szCs w:val="24"/>
          <w:lang w:val="en-US"/>
        </w:rPr>
        <w:t xml:space="preserve"> Global trends in carbon sinks and their relationships with CO2 and temperature. </w:t>
      </w:r>
      <w:r w:rsidRPr="00BA1E10">
        <w:rPr>
          <w:rFonts w:ascii="Times New Roman" w:hAnsi="Times New Roman" w:cs="Times New Roman"/>
          <w:i/>
          <w:iCs/>
          <w:noProof/>
          <w:sz w:val="24"/>
          <w:szCs w:val="24"/>
          <w:lang w:val="en-US"/>
        </w:rPr>
        <w:t>Nat. Clim. Chang.</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9</w:t>
      </w:r>
      <w:r w:rsidRPr="00BA1E10">
        <w:rPr>
          <w:rFonts w:ascii="Times New Roman" w:hAnsi="Times New Roman" w:cs="Times New Roman"/>
          <w:noProof/>
          <w:sz w:val="24"/>
          <w:szCs w:val="24"/>
          <w:lang w:val="en-US"/>
        </w:rPr>
        <w:t>, 73–79 (2019).</w:t>
      </w:r>
    </w:p>
    <w:p w14:paraId="586A0EE9" w14:textId="77777777" w:rsidR="001D0B34" w:rsidRPr="00BA1E10"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szCs w:val="24"/>
          <w:lang w:val="en-US"/>
        </w:rPr>
      </w:pPr>
      <w:r w:rsidRPr="00BA1E10">
        <w:rPr>
          <w:rFonts w:ascii="Times New Roman" w:hAnsi="Times New Roman" w:cs="Times New Roman"/>
          <w:noProof/>
          <w:sz w:val="24"/>
          <w:szCs w:val="24"/>
          <w:lang w:val="en-US"/>
        </w:rPr>
        <w:t>43.</w:t>
      </w:r>
      <w:r w:rsidRPr="00BA1E10">
        <w:rPr>
          <w:rFonts w:ascii="Times New Roman" w:hAnsi="Times New Roman" w:cs="Times New Roman"/>
          <w:noProof/>
          <w:sz w:val="24"/>
          <w:szCs w:val="24"/>
          <w:lang w:val="en-US"/>
        </w:rPr>
        <w:tab/>
        <w:t xml:space="preserve">Marotta, H., Pinho, L. &amp; Gudasz, C. Greenhouse gas production in low-latitude lake sediments responds strongly to warming. </w:t>
      </w:r>
      <w:r w:rsidRPr="00BA1E10">
        <w:rPr>
          <w:rFonts w:ascii="Times New Roman" w:hAnsi="Times New Roman" w:cs="Times New Roman"/>
          <w:i/>
          <w:iCs/>
          <w:noProof/>
          <w:sz w:val="24"/>
          <w:szCs w:val="24"/>
          <w:lang w:val="en-US"/>
        </w:rPr>
        <w:t>Nat. Clim. Chang.</w:t>
      </w:r>
      <w:r w:rsidRPr="00BA1E10">
        <w:rPr>
          <w:rFonts w:ascii="Times New Roman" w:hAnsi="Times New Roman" w:cs="Times New Roman"/>
          <w:noProof/>
          <w:sz w:val="24"/>
          <w:szCs w:val="24"/>
          <w:lang w:val="en-US"/>
        </w:rPr>
        <w:t xml:space="preserve"> </w:t>
      </w:r>
      <w:r w:rsidRPr="00BA1E10">
        <w:rPr>
          <w:rFonts w:ascii="Times New Roman" w:hAnsi="Times New Roman" w:cs="Times New Roman"/>
          <w:b/>
          <w:bCs/>
          <w:noProof/>
          <w:sz w:val="24"/>
          <w:szCs w:val="24"/>
          <w:lang w:val="en-US"/>
        </w:rPr>
        <w:t>4</w:t>
      </w:r>
      <w:r w:rsidRPr="00BA1E10">
        <w:rPr>
          <w:rFonts w:ascii="Times New Roman" w:hAnsi="Times New Roman" w:cs="Times New Roman"/>
          <w:noProof/>
          <w:sz w:val="24"/>
          <w:szCs w:val="24"/>
          <w:lang w:val="en-US"/>
        </w:rPr>
        <w:t>, 11–14 (2014).</w:t>
      </w:r>
    </w:p>
    <w:p w14:paraId="77CAE8DE" w14:textId="77777777" w:rsidR="001D0B34" w:rsidRPr="001D0B34" w:rsidRDefault="001D0B34" w:rsidP="001D0B34">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BA1E10">
        <w:rPr>
          <w:rFonts w:ascii="Times New Roman" w:hAnsi="Times New Roman" w:cs="Times New Roman"/>
          <w:noProof/>
          <w:sz w:val="24"/>
          <w:szCs w:val="24"/>
          <w:lang w:val="en-US"/>
        </w:rPr>
        <w:t>44.</w:t>
      </w:r>
      <w:r w:rsidRPr="00BA1E10">
        <w:rPr>
          <w:rFonts w:ascii="Times New Roman" w:hAnsi="Times New Roman" w:cs="Times New Roman"/>
          <w:noProof/>
          <w:sz w:val="24"/>
          <w:szCs w:val="24"/>
          <w:lang w:val="en-US"/>
        </w:rPr>
        <w:tab/>
        <w:t xml:space="preserve">Dillon, M. E., Wang, G. &amp; Huey, R. B. Global metabolic impacts of recent climate warming. </w:t>
      </w:r>
      <w:r w:rsidRPr="001D0B34">
        <w:rPr>
          <w:rFonts w:ascii="Times New Roman" w:hAnsi="Times New Roman" w:cs="Times New Roman"/>
          <w:i/>
          <w:iCs/>
          <w:noProof/>
          <w:sz w:val="24"/>
          <w:szCs w:val="24"/>
        </w:rPr>
        <w:t>Nature</w:t>
      </w:r>
      <w:r w:rsidRPr="001D0B34">
        <w:rPr>
          <w:rFonts w:ascii="Times New Roman" w:hAnsi="Times New Roman" w:cs="Times New Roman"/>
          <w:noProof/>
          <w:sz w:val="24"/>
          <w:szCs w:val="24"/>
        </w:rPr>
        <w:t xml:space="preserve"> </w:t>
      </w:r>
      <w:r w:rsidRPr="001D0B34">
        <w:rPr>
          <w:rFonts w:ascii="Times New Roman" w:hAnsi="Times New Roman" w:cs="Times New Roman"/>
          <w:b/>
          <w:bCs/>
          <w:noProof/>
          <w:sz w:val="24"/>
          <w:szCs w:val="24"/>
        </w:rPr>
        <w:t>467</w:t>
      </w:r>
      <w:r w:rsidRPr="001D0B34">
        <w:rPr>
          <w:rFonts w:ascii="Times New Roman" w:hAnsi="Times New Roman" w:cs="Times New Roman"/>
          <w:noProof/>
          <w:sz w:val="24"/>
          <w:szCs w:val="24"/>
        </w:rPr>
        <w:t>, 704–706 (2010).</w:t>
      </w:r>
    </w:p>
    <w:p w14:paraId="37A16B72" w14:textId="5B651366" w:rsidR="000D2243" w:rsidRDefault="00BD3B3A" w:rsidP="001D0B34">
      <w:pPr>
        <w:widowControl w:val="0"/>
        <w:autoSpaceDE w:val="0"/>
        <w:autoSpaceDN w:val="0"/>
        <w:adjustRightInd w:val="0"/>
        <w:spacing w:after="0" w:line="240" w:lineRule="auto"/>
        <w:ind w:left="480" w:hanging="480"/>
        <w:jc w:val="both"/>
        <w:rPr>
          <w:rFonts w:ascii="Times New Roman" w:hAnsi="Times New Roman" w:cs="Times New Roman"/>
          <w:sz w:val="24"/>
          <w:szCs w:val="24"/>
          <w:lang w:val="en-GB"/>
        </w:rPr>
      </w:pPr>
      <w:r w:rsidRPr="00513B5A">
        <w:rPr>
          <w:rFonts w:ascii="Times New Roman" w:hAnsi="Times New Roman" w:cs="Times New Roman"/>
          <w:sz w:val="24"/>
          <w:szCs w:val="24"/>
          <w:lang w:val="en-GB"/>
        </w:rPr>
        <w:fldChar w:fldCharType="end"/>
      </w:r>
    </w:p>
    <w:p w14:paraId="073B6CC4" w14:textId="77777777" w:rsidR="00A66E0B" w:rsidRPr="00766871" w:rsidRDefault="00A66E0B" w:rsidP="00495D33">
      <w:pPr>
        <w:widowControl w:val="0"/>
        <w:autoSpaceDE w:val="0"/>
        <w:autoSpaceDN w:val="0"/>
        <w:adjustRightInd w:val="0"/>
        <w:spacing w:after="0" w:line="240" w:lineRule="auto"/>
        <w:ind w:left="480" w:hanging="480"/>
        <w:jc w:val="both"/>
        <w:rPr>
          <w:lang w:val="en-GB"/>
        </w:rPr>
      </w:pPr>
    </w:p>
    <w:sectPr w:rsidR="00A66E0B" w:rsidRPr="00766871" w:rsidSect="00E624B9">
      <w:pgSz w:w="11906" w:h="16838" w:code="9"/>
      <w:pgMar w:top="1418" w:right="1701" w:bottom="1350" w:left="1701"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9DC2" w14:textId="77777777" w:rsidR="00203C30" w:rsidRDefault="00203C30" w:rsidP="00BF2F05">
      <w:pPr>
        <w:spacing w:after="0" w:line="240" w:lineRule="auto"/>
      </w:pPr>
      <w:r>
        <w:separator/>
      </w:r>
    </w:p>
  </w:endnote>
  <w:endnote w:type="continuationSeparator" w:id="0">
    <w:p w14:paraId="4E4ABA09" w14:textId="77777777" w:rsidR="00203C30" w:rsidRDefault="00203C30" w:rsidP="00BF2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63594"/>
      <w:docPartObj>
        <w:docPartGallery w:val="Page Numbers (Bottom of Page)"/>
        <w:docPartUnique/>
      </w:docPartObj>
    </w:sdtPr>
    <w:sdtEndPr/>
    <w:sdtContent>
      <w:p w14:paraId="0E396823" w14:textId="77266506" w:rsidR="001E7B53" w:rsidRDefault="001E7B53">
        <w:pPr>
          <w:pStyle w:val="Rodap"/>
          <w:jc w:val="right"/>
        </w:pPr>
        <w:r>
          <w:fldChar w:fldCharType="begin"/>
        </w:r>
        <w:r>
          <w:instrText>PAGE   \* MERGEFORMAT</w:instrText>
        </w:r>
        <w:r>
          <w:fldChar w:fldCharType="separate"/>
        </w:r>
        <w:r w:rsidR="00CE0C31">
          <w:rPr>
            <w:noProof/>
          </w:rPr>
          <w:t>1</w:t>
        </w:r>
        <w:r>
          <w:fldChar w:fldCharType="end"/>
        </w:r>
      </w:p>
    </w:sdtContent>
  </w:sdt>
  <w:p w14:paraId="4B5CB698" w14:textId="77777777" w:rsidR="001E7B53" w:rsidRDefault="001E7B5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74113"/>
      <w:docPartObj>
        <w:docPartGallery w:val="Page Numbers (Bottom of Page)"/>
        <w:docPartUnique/>
      </w:docPartObj>
    </w:sdtPr>
    <w:sdtEndPr/>
    <w:sdtContent>
      <w:p w14:paraId="14ABFCC6" w14:textId="38E8FFFA" w:rsidR="001E7B53" w:rsidRDefault="001E7B53">
        <w:pPr>
          <w:pStyle w:val="Rodap"/>
          <w:jc w:val="right"/>
        </w:pPr>
        <w:r>
          <w:fldChar w:fldCharType="begin"/>
        </w:r>
        <w:r>
          <w:instrText>PAGE   \* MERGEFORMAT</w:instrText>
        </w:r>
        <w:r>
          <w:fldChar w:fldCharType="separate"/>
        </w:r>
        <w:r w:rsidR="00CE0C31">
          <w:rPr>
            <w:noProof/>
          </w:rPr>
          <w:t>17</w:t>
        </w:r>
        <w:r>
          <w:fldChar w:fldCharType="end"/>
        </w:r>
      </w:p>
    </w:sdtContent>
  </w:sdt>
  <w:p w14:paraId="0682BDEF" w14:textId="77777777" w:rsidR="001E7B53" w:rsidRDefault="001E7B5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A7B9E" w14:textId="77777777" w:rsidR="00203C30" w:rsidRDefault="00203C30" w:rsidP="00BF2F05">
      <w:pPr>
        <w:spacing w:after="0" w:line="240" w:lineRule="auto"/>
      </w:pPr>
      <w:r>
        <w:separator/>
      </w:r>
    </w:p>
  </w:footnote>
  <w:footnote w:type="continuationSeparator" w:id="0">
    <w:p w14:paraId="562CE2A1" w14:textId="77777777" w:rsidR="00203C30" w:rsidRDefault="00203C30" w:rsidP="00BF2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E97"/>
    <w:multiLevelType w:val="hybridMultilevel"/>
    <w:tmpl w:val="80CA28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yM7A0MDExNTcztjRQ0lEKTi0uzszPAykwMq4FANvAaDctAAAA"/>
  </w:docVars>
  <w:rsids>
    <w:rsidRoot w:val="0085223B"/>
    <w:rsid w:val="0000062E"/>
    <w:rsid w:val="000023FE"/>
    <w:rsid w:val="0000517D"/>
    <w:rsid w:val="000100CA"/>
    <w:rsid w:val="00010407"/>
    <w:rsid w:val="00014E85"/>
    <w:rsid w:val="00021BDF"/>
    <w:rsid w:val="00030E01"/>
    <w:rsid w:val="00033DD9"/>
    <w:rsid w:val="00035E6A"/>
    <w:rsid w:val="00036A22"/>
    <w:rsid w:val="0004330E"/>
    <w:rsid w:val="00044973"/>
    <w:rsid w:val="00045414"/>
    <w:rsid w:val="000478FD"/>
    <w:rsid w:val="00047D98"/>
    <w:rsid w:val="00050A8E"/>
    <w:rsid w:val="000528F1"/>
    <w:rsid w:val="00054B40"/>
    <w:rsid w:val="00061E55"/>
    <w:rsid w:val="00064302"/>
    <w:rsid w:val="000650D9"/>
    <w:rsid w:val="0007152D"/>
    <w:rsid w:val="00071E71"/>
    <w:rsid w:val="000752AB"/>
    <w:rsid w:val="000926B4"/>
    <w:rsid w:val="000A1034"/>
    <w:rsid w:val="000A1831"/>
    <w:rsid w:val="000A5833"/>
    <w:rsid w:val="000B3D24"/>
    <w:rsid w:val="000C0E97"/>
    <w:rsid w:val="000C4089"/>
    <w:rsid w:val="000C4B31"/>
    <w:rsid w:val="000D01B6"/>
    <w:rsid w:val="000D0D8E"/>
    <w:rsid w:val="000D2243"/>
    <w:rsid w:val="000D3855"/>
    <w:rsid w:val="000D522C"/>
    <w:rsid w:val="000D54CF"/>
    <w:rsid w:val="000D5BBB"/>
    <w:rsid w:val="000D5BCE"/>
    <w:rsid w:val="000D66A3"/>
    <w:rsid w:val="000E1BDA"/>
    <w:rsid w:val="000E73EC"/>
    <w:rsid w:val="000F0685"/>
    <w:rsid w:val="000F118C"/>
    <w:rsid w:val="000F2280"/>
    <w:rsid w:val="001019A8"/>
    <w:rsid w:val="001166F0"/>
    <w:rsid w:val="001241E2"/>
    <w:rsid w:val="001274F2"/>
    <w:rsid w:val="00131242"/>
    <w:rsid w:val="0013178A"/>
    <w:rsid w:val="00132916"/>
    <w:rsid w:val="00137BC9"/>
    <w:rsid w:val="001414AD"/>
    <w:rsid w:val="00141749"/>
    <w:rsid w:val="00146DB7"/>
    <w:rsid w:val="00160835"/>
    <w:rsid w:val="00160E44"/>
    <w:rsid w:val="001643BF"/>
    <w:rsid w:val="001664DE"/>
    <w:rsid w:val="00173E92"/>
    <w:rsid w:val="00174F95"/>
    <w:rsid w:val="0017593C"/>
    <w:rsid w:val="00183E39"/>
    <w:rsid w:val="0019036D"/>
    <w:rsid w:val="001931B6"/>
    <w:rsid w:val="00194381"/>
    <w:rsid w:val="00194695"/>
    <w:rsid w:val="001971BF"/>
    <w:rsid w:val="001A0FB8"/>
    <w:rsid w:val="001A1166"/>
    <w:rsid w:val="001A305E"/>
    <w:rsid w:val="001A7907"/>
    <w:rsid w:val="001C1BF3"/>
    <w:rsid w:val="001C2419"/>
    <w:rsid w:val="001C3EEC"/>
    <w:rsid w:val="001C5651"/>
    <w:rsid w:val="001C7B4C"/>
    <w:rsid w:val="001C7D92"/>
    <w:rsid w:val="001D0B34"/>
    <w:rsid w:val="001D7333"/>
    <w:rsid w:val="001D78CE"/>
    <w:rsid w:val="001D79E1"/>
    <w:rsid w:val="001E0AD9"/>
    <w:rsid w:val="001E1B74"/>
    <w:rsid w:val="001E5A57"/>
    <w:rsid w:val="001E7B53"/>
    <w:rsid w:val="001F12D2"/>
    <w:rsid w:val="001F237A"/>
    <w:rsid w:val="00203C30"/>
    <w:rsid w:val="002109BE"/>
    <w:rsid w:val="00217F4C"/>
    <w:rsid w:val="002336BA"/>
    <w:rsid w:val="0024123A"/>
    <w:rsid w:val="00244254"/>
    <w:rsid w:val="00247437"/>
    <w:rsid w:val="00252F8E"/>
    <w:rsid w:val="002549B2"/>
    <w:rsid w:val="00257F13"/>
    <w:rsid w:val="00263234"/>
    <w:rsid w:val="00270329"/>
    <w:rsid w:val="00272C9E"/>
    <w:rsid w:val="00272E4E"/>
    <w:rsid w:val="00273701"/>
    <w:rsid w:val="00275099"/>
    <w:rsid w:val="002905FB"/>
    <w:rsid w:val="00290A6A"/>
    <w:rsid w:val="00290BCE"/>
    <w:rsid w:val="00291225"/>
    <w:rsid w:val="00291F23"/>
    <w:rsid w:val="00294670"/>
    <w:rsid w:val="00295386"/>
    <w:rsid w:val="00296680"/>
    <w:rsid w:val="0029758A"/>
    <w:rsid w:val="002B1851"/>
    <w:rsid w:val="002B5F2B"/>
    <w:rsid w:val="002B67A8"/>
    <w:rsid w:val="002C2A87"/>
    <w:rsid w:val="002D34B4"/>
    <w:rsid w:val="002E003C"/>
    <w:rsid w:val="002E4EB4"/>
    <w:rsid w:val="002E5441"/>
    <w:rsid w:val="002E7734"/>
    <w:rsid w:val="003008D2"/>
    <w:rsid w:val="003014F2"/>
    <w:rsid w:val="0031012D"/>
    <w:rsid w:val="00311B3E"/>
    <w:rsid w:val="003134FD"/>
    <w:rsid w:val="003158BF"/>
    <w:rsid w:val="00321570"/>
    <w:rsid w:val="0032354B"/>
    <w:rsid w:val="00323E71"/>
    <w:rsid w:val="00335EC7"/>
    <w:rsid w:val="003409FB"/>
    <w:rsid w:val="00341994"/>
    <w:rsid w:val="003432D0"/>
    <w:rsid w:val="00347D4B"/>
    <w:rsid w:val="0035243B"/>
    <w:rsid w:val="00360199"/>
    <w:rsid w:val="003628D3"/>
    <w:rsid w:val="00362DBF"/>
    <w:rsid w:val="00364372"/>
    <w:rsid w:val="00365471"/>
    <w:rsid w:val="00374798"/>
    <w:rsid w:val="0037552F"/>
    <w:rsid w:val="0038118B"/>
    <w:rsid w:val="00382789"/>
    <w:rsid w:val="0038762D"/>
    <w:rsid w:val="003923C7"/>
    <w:rsid w:val="00394CAB"/>
    <w:rsid w:val="003A11AB"/>
    <w:rsid w:val="003A2180"/>
    <w:rsid w:val="003B1A63"/>
    <w:rsid w:val="003B3D88"/>
    <w:rsid w:val="003B43DF"/>
    <w:rsid w:val="003C5FD1"/>
    <w:rsid w:val="003D148B"/>
    <w:rsid w:val="003D1750"/>
    <w:rsid w:val="003D1D2B"/>
    <w:rsid w:val="003D56F3"/>
    <w:rsid w:val="003D7EF2"/>
    <w:rsid w:val="003D7F66"/>
    <w:rsid w:val="003E09D3"/>
    <w:rsid w:val="003E43EC"/>
    <w:rsid w:val="003E7C82"/>
    <w:rsid w:val="003F1CB5"/>
    <w:rsid w:val="003F6699"/>
    <w:rsid w:val="003F753E"/>
    <w:rsid w:val="00401B42"/>
    <w:rsid w:val="00403778"/>
    <w:rsid w:val="004069B2"/>
    <w:rsid w:val="00407555"/>
    <w:rsid w:val="00411654"/>
    <w:rsid w:val="00412182"/>
    <w:rsid w:val="00414D9B"/>
    <w:rsid w:val="00416B30"/>
    <w:rsid w:val="00420F15"/>
    <w:rsid w:val="004216AF"/>
    <w:rsid w:val="00427432"/>
    <w:rsid w:val="00427613"/>
    <w:rsid w:val="00430B17"/>
    <w:rsid w:val="004325F9"/>
    <w:rsid w:val="00437C4B"/>
    <w:rsid w:val="00442D4E"/>
    <w:rsid w:val="004468D6"/>
    <w:rsid w:val="00450725"/>
    <w:rsid w:val="00460393"/>
    <w:rsid w:val="00460E94"/>
    <w:rsid w:val="00492C36"/>
    <w:rsid w:val="00495D33"/>
    <w:rsid w:val="004A12A7"/>
    <w:rsid w:val="004A3969"/>
    <w:rsid w:val="004A4BB3"/>
    <w:rsid w:val="004B6F0B"/>
    <w:rsid w:val="004C0066"/>
    <w:rsid w:val="004C2D5E"/>
    <w:rsid w:val="004C3688"/>
    <w:rsid w:val="004C444C"/>
    <w:rsid w:val="004D19D6"/>
    <w:rsid w:val="004D3515"/>
    <w:rsid w:val="004D723D"/>
    <w:rsid w:val="004E2B88"/>
    <w:rsid w:val="004F017C"/>
    <w:rsid w:val="004F2E9E"/>
    <w:rsid w:val="00501DEB"/>
    <w:rsid w:val="0050292F"/>
    <w:rsid w:val="00504B20"/>
    <w:rsid w:val="00506BE1"/>
    <w:rsid w:val="00510786"/>
    <w:rsid w:val="00510966"/>
    <w:rsid w:val="00510991"/>
    <w:rsid w:val="005129E3"/>
    <w:rsid w:val="00513B5A"/>
    <w:rsid w:val="00513DD6"/>
    <w:rsid w:val="005148F1"/>
    <w:rsid w:val="00517C79"/>
    <w:rsid w:val="00522D6C"/>
    <w:rsid w:val="00530F3A"/>
    <w:rsid w:val="00533177"/>
    <w:rsid w:val="00537ECD"/>
    <w:rsid w:val="005417D6"/>
    <w:rsid w:val="00547855"/>
    <w:rsid w:val="00547EAB"/>
    <w:rsid w:val="005602B5"/>
    <w:rsid w:val="0057095B"/>
    <w:rsid w:val="0057244D"/>
    <w:rsid w:val="005825FD"/>
    <w:rsid w:val="00591383"/>
    <w:rsid w:val="00594910"/>
    <w:rsid w:val="00595B1A"/>
    <w:rsid w:val="005A16E6"/>
    <w:rsid w:val="005B0B6A"/>
    <w:rsid w:val="005B3702"/>
    <w:rsid w:val="005B4E2A"/>
    <w:rsid w:val="005C0854"/>
    <w:rsid w:val="005C2A0C"/>
    <w:rsid w:val="005C4C06"/>
    <w:rsid w:val="005D0456"/>
    <w:rsid w:val="005D47F6"/>
    <w:rsid w:val="005D523A"/>
    <w:rsid w:val="005E05E0"/>
    <w:rsid w:val="005E2D55"/>
    <w:rsid w:val="005E5203"/>
    <w:rsid w:val="005E54AB"/>
    <w:rsid w:val="005E5D51"/>
    <w:rsid w:val="005F04AD"/>
    <w:rsid w:val="005F3008"/>
    <w:rsid w:val="0060124F"/>
    <w:rsid w:val="00610FCE"/>
    <w:rsid w:val="006122CC"/>
    <w:rsid w:val="00612A2A"/>
    <w:rsid w:val="00612C0F"/>
    <w:rsid w:val="00613F61"/>
    <w:rsid w:val="006173DA"/>
    <w:rsid w:val="00620F97"/>
    <w:rsid w:val="0062210F"/>
    <w:rsid w:val="00622F69"/>
    <w:rsid w:val="00624B86"/>
    <w:rsid w:val="006308B2"/>
    <w:rsid w:val="0063128E"/>
    <w:rsid w:val="0063132D"/>
    <w:rsid w:val="006316FF"/>
    <w:rsid w:val="00631D03"/>
    <w:rsid w:val="006356B4"/>
    <w:rsid w:val="006367E9"/>
    <w:rsid w:val="00640714"/>
    <w:rsid w:val="00642FBD"/>
    <w:rsid w:val="006444E2"/>
    <w:rsid w:val="0065685E"/>
    <w:rsid w:val="006638E8"/>
    <w:rsid w:val="00665486"/>
    <w:rsid w:val="006666A2"/>
    <w:rsid w:val="00666AB0"/>
    <w:rsid w:val="006714F2"/>
    <w:rsid w:val="0067287E"/>
    <w:rsid w:val="0067302D"/>
    <w:rsid w:val="00674F49"/>
    <w:rsid w:val="0067734A"/>
    <w:rsid w:val="006810FC"/>
    <w:rsid w:val="006948F4"/>
    <w:rsid w:val="006A0CDB"/>
    <w:rsid w:val="006A2C18"/>
    <w:rsid w:val="006A7385"/>
    <w:rsid w:val="006B5ACB"/>
    <w:rsid w:val="006B7C86"/>
    <w:rsid w:val="006C6B79"/>
    <w:rsid w:val="006D3141"/>
    <w:rsid w:val="006E3904"/>
    <w:rsid w:val="006E3BD3"/>
    <w:rsid w:val="006E43CE"/>
    <w:rsid w:val="006E48CF"/>
    <w:rsid w:val="006F1DC3"/>
    <w:rsid w:val="006F2D39"/>
    <w:rsid w:val="007027A1"/>
    <w:rsid w:val="00707939"/>
    <w:rsid w:val="00716207"/>
    <w:rsid w:val="007174BC"/>
    <w:rsid w:val="0072549E"/>
    <w:rsid w:val="00740335"/>
    <w:rsid w:val="00743AD3"/>
    <w:rsid w:val="00745185"/>
    <w:rsid w:val="00751EFD"/>
    <w:rsid w:val="00756B36"/>
    <w:rsid w:val="00766871"/>
    <w:rsid w:val="00771882"/>
    <w:rsid w:val="00773D46"/>
    <w:rsid w:val="00777BD7"/>
    <w:rsid w:val="007830AB"/>
    <w:rsid w:val="007847CA"/>
    <w:rsid w:val="007848C0"/>
    <w:rsid w:val="00795ADC"/>
    <w:rsid w:val="007A170A"/>
    <w:rsid w:val="007A5AA0"/>
    <w:rsid w:val="007A782B"/>
    <w:rsid w:val="007B5DC4"/>
    <w:rsid w:val="007B6EF5"/>
    <w:rsid w:val="007B7EAE"/>
    <w:rsid w:val="007C2938"/>
    <w:rsid w:val="007D07A8"/>
    <w:rsid w:val="007D4480"/>
    <w:rsid w:val="007E149A"/>
    <w:rsid w:val="007E3C93"/>
    <w:rsid w:val="007F348A"/>
    <w:rsid w:val="00801F2A"/>
    <w:rsid w:val="0080205F"/>
    <w:rsid w:val="008070D2"/>
    <w:rsid w:val="00811487"/>
    <w:rsid w:val="008148F5"/>
    <w:rsid w:val="008163E9"/>
    <w:rsid w:val="00823C4B"/>
    <w:rsid w:val="00825804"/>
    <w:rsid w:val="008271ED"/>
    <w:rsid w:val="0083418F"/>
    <w:rsid w:val="00834C93"/>
    <w:rsid w:val="008355D2"/>
    <w:rsid w:val="00835967"/>
    <w:rsid w:val="00837D23"/>
    <w:rsid w:val="00837EFF"/>
    <w:rsid w:val="0084289C"/>
    <w:rsid w:val="00844371"/>
    <w:rsid w:val="00844A21"/>
    <w:rsid w:val="00845E46"/>
    <w:rsid w:val="0085223B"/>
    <w:rsid w:val="00855C9C"/>
    <w:rsid w:val="0085774F"/>
    <w:rsid w:val="00870228"/>
    <w:rsid w:val="00870341"/>
    <w:rsid w:val="008708E8"/>
    <w:rsid w:val="00872266"/>
    <w:rsid w:val="00872434"/>
    <w:rsid w:val="00872540"/>
    <w:rsid w:val="00874736"/>
    <w:rsid w:val="00875B4D"/>
    <w:rsid w:val="00880168"/>
    <w:rsid w:val="00882CB8"/>
    <w:rsid w:val="00882EED"/>
    <w:rsid w:val="00885839"/>
    <w:rsid w:val="0089459A"/>
    <w:rsid w:val="008A1ECE"/>
    <w:rsid w:val="008A3337"/>
    <w:rsid w:val="008A34E8"/>
    <w:rsid w:val="008B046C"/>
    <w:rsid w:val="008B04EE"/>
    <w:rsid w:val="008B4750"/>
    <w:rsid w:val="008B4799"/>
    <w:rsid w:val="008B567E"/>
    <w:rsid w:val="008B67D2"/>
    <w:rsid w:val="008B78A7"/>
    <w:rsid w:val="008B7F56"/>
    <w:rsid w:val="008C431C"/>
    <w:rsid w:val="008C6A2F"/>
    <w:rsid w:val="008D0525"/>
    <w:rsid w:val="008D3E02"/>
    <w:rsid w:val="008E0D66"/>
    <w:rsid w:val="008E5BDE"/>
    <w:rsid w:val="008F22EC"/>
    <w:rsid w:val="008F2934"/>
    <w:rsid w:val="008F4441"/>
    <w:rsid w:val="008F5413"/>
    <w:rsid w:val="008F6F8A"/>
    <w:rsid w:val="009070E1"/>
    <w:rsid w:val="0090722D"/>
    <w:rsid w:val="00924860"/>
    <w:rsid w:val="0092662A"/>
    <w:rsid w:val="009266EF"/>
    <w:rsid w:val="00933646"/>
    <w:rsid w:val="00933AFF"/>
    <w:rsid w:val="00945CB3"/>
    <w:rsid w:val="009467F7"/>
    <w:rsid w:val="00947F6A"/>
    <w:rsid w:val="009602B7"/>
    <w:rsid w:val="00960D7F"/>
    <w:rsid w:val="009630B6"/>
    <w:rsid w:val="00967708"/>
    <w:rsid w:val="0097051E"/>
    <w:rsid w:val="0097277C"/>
    <w:rsid w:val="009817B4"/>
    <w:rsid w:val="009A1A1E"/>
    <w:rsid w:val="009A2A45"/>
    <w:rsid w:val="009B5A25"/>
    <w:rsid w:val="009B67BE"/>
    <w:rsid w:val="009C0E64"/>
    <w:rsid w:val="009C1E76"/>
    <w:rsid w:val="009C2093"/>
    <w:rsid w:val="009C357F"/>
    <w:rsid w:val="009C3EE9"/>
    <w:rsid w:val="009C61E7"/>
    <w:rsid w:val="009C63CD"/>
    <w:rsid w:val="009C64DA"/>
    <w:rsid w:val="009C65B3"/>
    <w:rsid w:val="009C6739"/>
    <w:rsid w:val="009C739A"/>
    <w:rsid w:val="009D7546"/>
    <w:rsid w:val="009E54E4"/>
    <w:rsid w:val="009E7B3B"/>
    <w:rsid w:val="009F23E7"/>
    <w:rsid w:val="009F3C25"/>
    <w:rsid w:val="009F5466"/>
    <w:rsid w:val="00A058F4"/>
    <w:rsid w:val="00A07863"/>
    <w:rsid w:val="00A1274C"/>
    <w:rsid w:val="00A13E03"/>
    <w:rsid w:val="00A20274"/>
    <w:rsid w:val="00A25381"/>
    <w:rsid w:val="00A26A91"/>
    <w:rsid w:val="00A2733C"/>
    <w:rsid w:val="00A311D4"/>
    <w:rsid w:val="00A3136F"/>
    <w:rsid w:val="00A322F3"/>
    <w:rsid w:val="00A35819"/>
    <w:rsid w:val="00A44FAD"/>
    <w:rsid w:val="00A47D7D"/>
    <w:rsid w:val="00A524E1"/>
    <w:rsid w:val="00A532C7"/>
    <w:rsid w:val="00A56FE6"/>
    <w:rsid w:val="00A6268C"/>
    <w:rsid w:val="00A66E0B"/>
    <w:rsid w:val="00A67EFE"/>
    <w:rsid w:val="00A7309F"/>
    <w:rsid w:val="00A7487C"/>
    <w:rsid w:val="00A754A8"/>
    <w:rsid w:val="00A754AD"/>
    <w:rsid w:val="00A75594"/>
    <w:rsid w:val="00A761D0"/>
    <w:rsid w:val="00A76E84"/>
    <w:rsid w:val="00A82D0A"/>
    <w:rsid w:val="00A84589"/>
    <w:rsid w:val="00A84BA0"/>
    <w:rsid w:val="00A9250E"/>
    <w:rsid w:val="00A93FC7"/>
    <w:rsid w:val="00AA1BE1"/>
    <w:rsid w:val="00AA1CAF"/>
    <w:rsid w:val="00AA4296"/>
    <w:rsid w:val="00AA6216"/>
    <w:rsid w:val="00AB0656"/>
    <w:rsid w:val="00AB1286"/>
    <w:rsid w:val="00AB2D41"/>
    <w:rsid w:val="00AB480A"/>
    <w:rsid w:val="00AB6239"/>
    <w:rsid w:val="00AD0C79"/>
    <w:rsid w:val="00AD349A"/>
    <w:rsid w:val="00AD3A1C"/>
    <w:rsid w:val="00AE3434"/>
    <w:rsid w:val="00AF1997"/>
    <w:rsid w:val="00AF6CF3"/>
    <w:rsid w:val="00B02AF1"/>
    <w:rsid w:val="00B03028"/>
    <w:rsid w:val="00B06D0D"/>
    <w:rsid w:val="00B12441"/>
    <w:rsid w:val="00B1362C"/>
    <w:rsid w:val="00B159BA"/>
    <w:rsid w:val="00B170C9"/>
    <w:rsid w:val="00B200F5"/>
    <w:rsid w:val="00B23E8C"/>
    <w:rsid w:val="00B24258"/>
    <w:rsid w:val="00B24F85"/>
    <w:rsid w:val="00B26AE2"/>
    <w:rsid w:val="00B26C05"/>
    <w:rsid w:val="00B26E4E"/>
    <w:rsid w:val="00B34404"/>
    <w:rsid w:val="00B41CA6"/>
    <w:rsid w:val="00B4245E"/>
    <w:rsid w:val="00B4271E"/>
    <w:rsid w:val="00B4751E"/>
    <w:rsid w:val="00B519DD"/>
    <w:rsid w:val="00B53396"/>
    <w:rsid w:val="00B5343A"/>
    <w:rsid w:val="00B5413A"/>
    <w:rsid w:val="00B5445C"/>
    <w:rsid w:val="00B55E24"/>
    <w:rsid w:val="00B62B42"/>
    <w:rsid w:val="00B646AA"/>
    <w:rsid w:val="00B65129"/>
    <w:rsid w:val="00B67FB7"/>
    <w:rsid w:val="00B736C9"/>
    <w:rsid w:val="00B74FF0"/>
    <w:rsid w:val="00B81C6D"/>
    <w:rsid w:val="00B826D7"/>
    <w:rsid w:val="00B90CE4"/>
    <w:rsid w:val="00B90E6D"/>
    <w:rsid w:val="00B93C2B"/>
    <w:rsid w:val="00B978B2"/>
    <w:rsid w:val="00BA0D6B"/>
    <w:rsid w:val="00BA1BD5"/>
    <w:rsid w:val="00BA1E10"/>
    <w:rsid w:val="00BA2095"/>
    <w:rsid w:val="00BB0B19"/>
    <w:rsid w:val="00BB1479"/>
    <w:rsid w:val="00BB43E2"/>
    <w:rsid w:val="00BB4748"/>
    <w:rsid w:val="00BB6AA8"/>
    <w:rsid w:val="00BB6F76"/>
    <w:rsid w:val="00BB73FA"/>
    <w:rsid w:val="00BC6298"/>
    <w:rsid w:val="00BC6CF2"/>
    <w:rsid w:val="00BC7D0A"/>
    <w:rsid w:val="00BD254B"/>
    <w:rsid w:val="00BD27BC"/>
    <w:rsid w:val="00BD3B3A"/>
    <w:rsid w:val="00BE1534"/>
    <w:rsid w:val="00BE2609"/>
    <w:rsid w:val="00BE26CD"/>
    <w:rsid w:val="00BE4347"/>
    <w:rsid w:val="00BF2F05"/>
    <w:rsid w:val="00BF3AD0"/>
    <w:rsid w:val="00C01AC8"/>
    <w:rsid w:val="00C066E2"/>
    <w:rsid w:val="00C108AA"/>
    <w:rsid w:val="00C10D76"/>
    <w:rsid w:val="00C2581D"/>
    <w:rsid w:val="00C258A8"/>
    <w:rsid w:val="00C337E4"/>
    <w:rsid w:val="00C3481B"/>
    <w:rsid w:val="00C34870"/>
    <w:rsid w:val="00C356F7"/>
    <w:rsid w:val="00C36D6F"/>
    <w:rsid w:val="00C43CBD"/>
    <w:rsid w:val="00C4419D"/>
    <w:rsid w:val="00C475D1"/>
    <w:rsid w:val="00C479A0"/>
    <w:rsid w:val="00C51167"/>
    <w:rsid w:val="00C63874"/>
    <w:rsid w:val="00C6448C"/>
    <w:rsid w:val="00C65A64"/>
    <w:rsid w:val="00C72953"/>
    <w:rsid w:val="00C740BD"/>
    <w:rsid w:val="00C76469"/>
    <w:rsid w:val="00C820B6"/>
    <w:rsid w:val="00C8243E"/>
    <w:rsid w:val="00C85A56"/>
    <w:rsid w:val="00C86437"/>
    <w:rsid w:val="00C905AC"/>
    <w:rsid w:val="00C96B18"/>
    <w:rsid w:val="00CA49A0"/>
    <w:rsid w:val="00CA6B15"/>
    <w:rsid w:val="00CA6B6A"/>
    <w:rsid w:val="00CA7CD2"/>
    <w:rsid w:val="00CB41C4"/>
    <w:rsid w:val="00CB514C"/>
    <w:rsid w:val="00CB6322"/>
    <w:rsid w:val="00CC3A57"/>
    <w:rsid w:val="00CC7DF0"/>
    <w:rsid w:val="00CD04C9"/>
    <w:rsid w:val="00CE0C31"/>
    <w:rsid w:val="00CE2264"/>
    <w:rsid w:val="00CE53D1"/>
    <w:rsid w:val="00CE6DCB"/>
    <w:rsid w:val="00CF4642"/>
    <w:rsid w:val="00D032EB"/>
    <w:rsid w:val="00D101CD"/>
    <w:rsid w:val="00D1157E"/>
    <w:rsid w:val="00D1187E"/>
    <w:rsid w:val="00D16E96"/>
    <w:rsid w:val="00D30426"/>
    <w:rsid w:val="00D30CD4"/>
    <w:rsid w:val="00D310FC"/>
    <w:rsid w:val="00D32EAB"/>
    <w:rsid w:val="00D36301"/>
    <w:rsid w:val="00D40120"/>
    <w:rsid w:val="00D447A6"/>
    <w:rsid w:val="00D463E5"/>
    <w:rsid w:val="00D506A2"/>
    <w:rsid w:val="00D5209F"/>
    <w:rsid w:val="00D52FC8"/>
    <w:rsid w:val="00D532F1"/>
    <w:rsid w:val="00D548B8"/>
    <w:rsid w:val="00D665BA"/>
    <w:rsid w:val="00D75D70"/>
    <w:rsid w:val="00D75D7E"/>
    <w:rsid w:val="00D76297"/>
    <w:rsid w:val="00D8542D"/>
    <w:rsid w:val="00D93126"/>
    <w:rsid w:val="00D97A34"/>
    <w:rsid w:val="00DB43D4"/>
    <w:rsid w:val="00DB43F4"/>
    <w:rsid w:val="00DB4419"/>
    <w:rsid w:val="00DC036B"/>
    <w:rsid w:val="00DC3856"/>
    <w:rsid w:val="00DC3FDD"/>
    <w:rsid w:val="00DC4741"/>
    <w:rsid w:val="00DC50EB"/>
    <w:rsid w:val="00DC64DC"/>
    <w:rsid w:val="00DC7D0C"/>
    <w:rsid w:val="00DC7E22"/>
    <w:rsid w:val="00DD0FA6"/>
    <w:rsid w:val="00DD14D7"/>
    <w:rsid w:val="00DD3774"/>
    <w:rsid w:val="00DD41ED"/>
    <w:rsid w:val="00DD6759"/>
    <w:rsid w:val="00DD709B"/>
    <w:rsid w:val="00DD7270"/>
    <w:rsid w:val="00DE0DF3"/>
    <w:rsid w:val="00DE64ED"/>
    <w:rsid w:val="00DF23D6"/>
    <w:rsid w:val="00DF483F"/>
    <w:rsid w:val="00DF4A6F"/>
    <w:rsid w:val="00DF67FD"/>
    <w:rsid w:val="00E07A72"/>
    <w:rsid w:val="00E21517"/>
    <w:rsid w:val="00E23C0A"/>
    <w:rsid w:val="00E23EAF"/>
    <w:rsid w:val="00E24361"/>
    <w:rsid w:val="00E26E5E"/>
    <w:rsid w:val="00E308E5"/>
    <w:rsid w:val="00E31120"/>
    <w:rsid w:val="00E32AE6"/>
    <w:rsid w:val="00E36240"/>
    <w:rsid w:val="00E433B2"/>
    <w:rsid w:val="00E44766"/>
    <w:rsid w:val="00E44803"/>
    <w:rsid w:val="00E45739"/>
    <w:rsid w:val="00E51FDF"/>
    <w:rsid w:val="00E624B9"/>
    <w:rsid w:val="00E67D0F"/>
    <w:rsid w:val="00E75BDA"/>
    <w:rsid w:val="00E907F3"/>
    <w:rsid w:val="00E969D1"/>
    <w:rsid w:val="00EA000F"/>
    <w:rsid w:val="00EA01CA"/>
    <w:rsid w:val="00EA02F3"/>
    <w:rsid w:val="00EA3651"/>
    <w:rsid w:val="00EB12C1"/>
    <w:rsid w:val="00EC06F1"/>
    <w:rsid w:val="00EC1CA7"/>
    <w:rsid w:val="00EC3F0E"/>
    <w:rsid w:val="00EC6CFF"/>
    <w:rsid w:val="00EC7846"/>
    <w:rsid w:val="00EF0059"/>
    <w:rsid w:val="00EF0641"/>
    <w:rsid w:val="00EF426F"/>
    <w:rsid w:val="00EF7BF8"/>
    <w:rsid w:val="00F057B8"/>
    <w:rsid w:val="00F05884"/>
    <w:rsid w:val="00F06E52"/>
    <w:rsid w:val="00F1119D"/>
    <w:rsid w:val="00F15ACF"/>
    <w:rsid w:val="00F22C98"/>
    <w:rsid w:val="00F23621"/>
    <w:rsid w:val="00F30A2B"/>
    <w:rsid w:val="00F35C89"/>
    <w:rsid w:val="00F3668B"/>
    <w:rsid w:val="00F434D8"/>
    <w:rsid w:val="00F46781"/>
    <w:rsid w:val="00F46A7E"/>
    <w:rsid w:val="00F62558"/>
    <w:rsid w:val="00F62BE7"/>
    <w:rsid w:val="00F712D1"/>
    <w:rsid w:val="00F76784"/>
    <w:rsid w:val="00F878EF"/>
    <w:rsid w:val="00F915DA"/>
    <w:rsid w:val="00F91D5F"/>
    <w:rsid w:val="00FA29C8"/>
    <w:rsid w:val="00FA2F78"/>
    <w:rsid w:val="00FA5EF2"/>
    <w:rsid w:val="00FB4F53"/>
    <w:rsid w:val="00FC340D"/>
    <w:rsid w:val="00FC4E46"/>
    <w:rsid w:val="00FC6322"/>
    <w:rsid w:val="00FC633B"/>
    <w:rsid w:val="00FD4C3F"/>
    <w:rsid w:val="00FD4DBA"/>
    <w:rsid w:val="00FD76A4"/>
    <w:rsid w:val="00FD7D0C"/>
    <w:rsid w:val="00FE0BC1"/>
    <w:rsid w:val="00FE2B0C"/>
    <w:rsid w:val="00FE3936"/>
    <w:rsid w:val="00FE5540"/>
    <w:rsid w:val="00FF6B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F2AFC"/>
  <w15:chartTrackingRefBased/>
  <w15:docId w15:val="{4D53A9C7-9318-4FA3-8E24-87002CC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23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5223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5223B"/>
    <w:rPr>
      <w:rFonts w:ascii="Segoe UI" w:hAnsi="Segoe UI" w:cs="Segoe UI"/>
      <w:sz w:val="18"/>
      <w:szCs w:val="18"/>
    </w:rPr>
  </w:style>
  <w:style w:type="paragraph" w:styleId="Reviso">
    <w:name w:val="Revision"/>
    <w:hidden/>
    <w:uiPriority w:val="99"/>
    <w:semiHidden/>
    <w:rsid w:val="00D447A6"/>
    <w:pPr>
      <w:spacing w:after="0" w:line="240" w:lineRule="auto"/>
    </w:pPr>
  </w:style>
  <w:style w:type="character" w:styleId="Nmerodelinha">
    <w:name w:val="line number"/>
    <w:basedOn w:val="Fontepargpadro"/>
    <w:uiPriority w:val="99"/>
    <w:semiHidden/>
    <w:unhideWhenUsed/>
    <w:rsid w:val="004D723D"/>
  </w:style>
  <w:style w:type="character" w:styleId="Refdecomentrio">
    <w:name w:val="annotation reference"/>
    <w:basedOn w:val="Fontepargpadro"/>
    <w:uiPriority w:val="99"/>
    <w:semiHidden/>
    <w:unhideWhenUsed/>
    <w:rsid w:val="00160E44"/>
    <w:rPr>
      <w:sz w:val="16"/>
      <w:szCs w:val="16"/>
    </w:rPr>
  </w:style>
  <w:style w:type="paragraph" w:styleId="Textodecomentrio">
    <w:name w:val="annotation text"/>
    <w:basedOn w:val="Normal"/>
    <w:link w:val="TextodecomentrioChar"/>
    <w:uiPriority w:val="99"/>
    <w:unhideWhenUsed/>
    <w:rsid w:val="00160E44"/>
    <w:pPr>
      <w:spacing w:line="240" w:lineRule="auto"/>
    </w:pPr>
    <w:rPr>
      <w:sz w:val="20"/>
      <w:szCs w:val="20"/>
    </w:rPr>
  </w:style>
  <w:style w:type="character" w:customStyle="1" w:styleId="TextodecomentrioChar">
    <w:name w:val="Texto de comentário Char"/>
    <w:basedOn w:val="Fontepargpadro"/>
    <w:link w:val="Textodecomentrio"/>
    <w:uiPriority w:val="99"/>
    <w:rsid w:val="00160E44"/>
    <w:rPr>
      <w:sz w:val="20"/>
      <w:szCs w:val="20"/>
    </w:rPr>
  </w:style>
  <w:style w:type="paragraph" w:styleId="Assuntodocomentrio">
    <w:name w:val="annotation subject"/>
    <w:basedOn w:val="Textodecomentrio"/>
    <w:next w:val="Textodecomentrio"/>
    <w:link w:val="AssuntodocomentrioChar"/>
    <w:uiPriority w:val="99"/>
    <w:semiHidden/>
    <w:unhideWhenUsed/>
    <w:rsid w:val="00160E44"/>
    <w:rPr>
      <w:b/>
      <w:bCs/>
    </w:rPr>
  </w:style>
  <w:style w:type="character" w:customStyle="1" w:styleId="AssuntodocomentrioChar">
    <w:name w:val="Assunto do comentário Char"/>
    <w:basedOn w:val="TextodecomentrioChar"/>
    <w:link w:val="Assuntodocomentrio"/>
    <w:uiPriority w:val="99"/>
    <w:semiHidden/>
    <w:rsid w:val="00160E44"/>
    <w:rPr>
      <w:b/>
      <w:bCs/>
      <w:sz w:val="20"/>
      <w:szCs w:val="20"/>
    </w:rPr>
  </w:style>
  <w:style w:type="paragraph" w:styleId="NormalWeb">
    <w:name w:val="Normal (Web)"/>
    <w:basedOn w:val="Normal"/>
    <w:uiPriority w:val="99"/>
    <w:semiHidden/>
    <w:unhideWhenUsed/>
    <w:rsid w:val="00AB2D4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1E1B74"/>
    <w:pPr>
      <w:ind w:left="720"/>
      <w:contextualSpacing/>
    </w:pPr>
  </w:style>
  <w:style w:type="paragraph" w:styleId="Cabealho">
    <w:name w:val="header"/>
    <w:basedOn w:val="Normal"/>
    <w:link w:val="CabealhoChar"/>
    <w:uiPriority w:val="99"/>
    <w:unhideWhenUsed/>
    <w:rsid w:val="00BF2F0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2F05"/>
  </w:style>
  <w:style w:type="paragraph" w:styleId="Rodap">
    <w:name w:val="footer"/>
    <w:basedOn w:val="Normal"/>
    <w:link w:val="RodapChar"/>
    <w:uiPriority w:val="99"/>
    <w:unhideWhenUsed/>
    <w:rsid w:val="00BF2F05"/>
    <w:pPr>
      <w:tabs>
        <w:tab w:val="center" w:pos="4252"/>
        <w:tab w:val="right" w:pos="8504"/>
      </w:tabs>
      <w:spacing w:after="0" w:line="240" w:lineRule="auto"/>
    </w:pPr>
  </w:style>
  <w:style w:type="character" w:customStyle="1" w:styleId="RodapChar">
    <w:name w:val="Rodapé Char"/>
    <w:basedOn w:val="Fontepargpadro"/>
    <w:link w:val="Rodap"/>
    <w:uiPriority w:val="99"/>
    <w:rsid w:val="00BF2F05"/>
  </w:style>
  <w:style w:type="table" w:styleId="Tabelacomgrade">
    <w:name w:val="Table Grid"/>
    <w:basedOn w:val="Tabelanormal"/>
    <w:uiPriority w:val="39"/>
    <w:rsid w:val="00BD3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6173D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74899">
      <w:bodyDiv w:val="1"/>
      <w:marLeft w:val="0"/>
      <w:marRight w:val="0"/>
      <w:marTop w:val="0"/>
      <w:marBottom w:val="0"/>
      <w:divBdr>
        <w:top w:val="none" w:sz="0" w:space="0" w:color="auto"/>
        <w:left w:val="none" w:sz="0" w:space="0" w:color="auto"/>
        <w:bottom w:val="none" w:sz="0" w:space="0" w:color="auto"/>
        <w:right w:val="none" w:sz="0" w:space="0" w:color="auto"/>
      </w:divBdr>
    </w:div>
    <w:div w:id="635380510">
      <w:bodyDiv w:val="1"/>
      <w:marLeft w:val="0"/>
      <w:marRight w:val="0"/>
      <w:marTop w:val="0"/>
      <w:marBottom w:val="0"/>
      <w:divBdr>
        <w:top w:val="none" w:sz="0" w:space="0" w:color="auto"/>
        <w:left w:val="none" w:sz="0" w:space="0" w:color="auto"/>
        <w:bottom w:val="none" w:sz="0" w:space="0" w:color="auto"/>
        <w:right w:val="none" w:sz="0" w:space="0" w:color="auto"/>
      </w:divBdr>
    </w:div>
    <w:div w:id="695811587">
      <w:bodyDiv w:val="1"/>
      <w:marLeft w:val="0"/>
      <w:marRight w:val="0"/>
      <w:marTop w:val="0"/>
      <w:marBottom w:val="0"/>
      <w:divBdr>
        <w:top w:val="none" w:sz="0" w:space="0" w:color="auto"/>
        <w:left w:val="none" w:sz="0" w:space="0" w:color="auto"/>
        <w:bottom w:val="none" w:sz="0" w:space="0" w:color="auto"/>
        <w:right w:val="none" w:sz="0" w:space="0" w:color="auto"/>
      </w:divBdr>
    </w:div>
    <w:div w:id="949816374">
      <w:bodyDiv w:val="1"/>
      <w:marLeft w:val="0"/>
      <w:marRight w:val="0"/>
      <w:marTop w:val="0"/>
      <w:marBottom w:val="0"/>
      <w:divBdr>
        <w:top w:val="none" w:sz="0" w:space="0" w:color="auto"/>
        <w:left w:val="none" w:sz="0" w:space="0" w:color="auto"/>
        <w:bottom w:val="none" w:sz="0" w:space="0" w:color="auto"/>
        <w:right w:val="none" w:sz="0" w:space="0" w:color="auto"/>
      </w:divBdr>
    </w:div>
    <w:div w:id="1015614508">
      <w:bodyDiv w:val="1"/>
      <w:marLeft w:val="0"/>
      <w:marRight w:val="0"/>
      <w:marTop w:val="0"/>
      <w:marBottom w:val="0"/>
      <w:divBdr>
        <w:top w:val="none" w:sz="0" w:space="0" w:color="auto"/>
        <w:left w:val="none" w:sz="0" w:space="0" w:color="auto"/>
        <w:bottom w:val="none" w:sz="0" w:space="0" w:color="auto"/>
        <w:right w:val="none" w:sz="0" w:space="0" w:color="auto"/>
      </w:divBdr>
    </w:div>
    <w:div w:id="1140879502">
      <w:bodyDiv w:val="1"/>
      <w:marLeft w:val="0"/>
      <w:marRight w:val="0"/>
      <w:marTop w:val="0"/>
      <w:marBottom w:val="0"/>
      <w:divBdr>
        <w:top w:val="none" w:sz="0" w:space="0" w:color="auto"/>
        <w:left w:val="none" w:sz="0" w:space="0" w:color="auto"/>
        <w:bottom w:val="none" w:sz="0" w:space="0" w:color="auto"/>
        <w:right w:val="none" w:sz="0" w:space="0" w:color="auto"/>
      </w:divBdr>
    </w:div>
    <w:div w:id="1228107736">
      <w:bodyDiv w:val="1"/>
      <w:marLeft w:val="0"/>
      <w:marRight w:val="0"/>
      <w:marTop w:val="0"/>
      <w:marBottom w:val="0"/>
      <w:divBdr>
        <w:top w:val="none" w:sz="0" w:space="0" w:color="auto"/>
        <w:left w:val="none" w:sz="0" w:space="0" w:color="auto"/>
        <w:bottom w:val="none" w:sz="0" w:space="0" w:color="auto"/>
        <w:right w:val="none" w:sz="0" w:space="0" w:color="auto"/>
      </w:divBdr>
    </w:div>
    <w:div w:id="1325628260">
      <w:bodyDiv w:val="1"/>
      <w:marLeft w:val="0"/>
      <w:marRight w:val="0"/>
      <w:marTop w:val="0"/>
      <w:marBottom w:val="0"/>
      <w:divBdr>
        <w:top w:val="none" w:sz="0" w:space="0" w:color="auto"/>
        <w:left w:val="none" w:sz="0" w:space="0" w:color="auto"/>
        <w:bottom w:val="none" w:sz="0" w:space="0" w:color="auto"/>
        <w:right w:val="none" w:sz="0" w:space="0" w:color="auto"/>
      </w:divBdr>
    </w:div>
    <w:div w:id="1809975901">
      <w:bodyDiv w:val="1"/>
      <w:marLeft w:val="0"/>
      <w:marRight w:val="0"/>
      <w:marTop w:val="0"/>
      <w:marBottom w:val="0"/>
      <w:divBdr>
        <w:top w:val="none" w:sz="0" w:space="0" w:color="auto"/>
        <w:left w:val="none" w:sz="0" w:space="0" w:color="auto"/>
        <w:bottom w:val="none" w:sz="0" w:space="0" w:color="auto"/>
        <w:right w:val="none" w:sz="0" w:space="0" w:color="auto"/>
      </w:divBdr>
    </w:div>
    <w:div w:id="1880238606">
      <w:bodyDiv w:val="1"/>
      <w:marLeft w:val="0"/>
      <w:marRight w:val="0"/>
      <w:marTop w:val="0"/>
      <w:marBottom w:val="0"/>
      <w:divBdr>
        <w:top w:val="none" w:sz="0" w:space="0" w:color="auto"/>
        <w:left w:val="none" w:sz="0" w:space="0" w:color="auto"/>
        <w:bottom w:val="none" w:sz="0" w:space="0" w:color="auto"/>
        <w:right w:val="none" w:sz="0" w:space="0" w:color="auto"/>
      </w:divBdr>
      <w:divsChild>
        <w:div w:id="1085610953">
          <w:marLeft w:val="0"/>
          <w:marRight w:val="0"/>
          <w:marTop w:val="0"/>
          <w:marBottom w:val="0"/>
          <w:divBdr>
            <w:top w:val="none" w:sz="0" w:space="0" w:color="auto"/>
            <w:left w:val="none" w:sz="0" w:space="0" w:color="auto"/>
            <w:bottom w:val="none" w:sz="0" w:space="0" w:color="auto"/>
            <w:right w:val="none" w:sz="0" w:space="0" w:color="auto"/>
          </w:divBdr>
          <w:divsChild>
            <w:div w:id="1158962491">
              <w:marLeft w:val="0"/>
              <w:marRight w:val="0"/>
              <w:marTop w:val="0"/>
              <w:marBottom w:val="0"/>
              <w:divBdr>
                <w:top w:val="none" w:sz="0" w:space="0" w:color="auto"/>
                <w:left w:val="none" w:sz="0" w:space="0" w:color="auto"/>
                <w:bottom w:val="none" w:sz="0" w:space="0" w:color="auto"/>
                <w:right w:val="none" w:sz="0" w:space="0" w:color="auto"/>
              </w:divBdr>
              <w:divsChild>
                <w:div w:id="79784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FEA9-6893-4642-8828-14FD0315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28847</Words>
  <Characters>155775</Characters>
  <Application>Microsoft Office Word</Application>
  <DocSecurity>0</DocSecurity>
  <Lines>1298</Lines>
  <Paragraphs>368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Amora</dc:creator>
  <cp:keywords/>
  <dc:description/>
  <cp:lastModifiedBy>User</cp:lastModifiedBy>
  <cp:revision>29</cp:revision>
  <cp:lastPrinted>2022-05-31T17:13:00Z</cp:lastPrinted>
  <dcterms:created xsi:type="dcterms:W3CDTF">2021-12-23T21:48:00Z</dcterms:created>
  <dcterms:modified xsi:type="dcterms:W3CDTF">2022-07-04T21:39:00Z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http://www.zotero.org/styles/ecosystems</vt:lpwstr>
  </property>
  <property fmtid="{D5CDD505-2E9C-101B-9397-08002B2CF9AE}" pid="7" name="Mendeley Recent Style Name 2_1">
    <vt:lpwstr>Ecosystems</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http://www.zotero.org/styles/journal-of-marine-systems</vt:lpwstr>
  </property>
  <property fmtid="{D5CDD505-2E9C-101B-9397-08002B2CF9AE}" pid="11" name="Mendeley Recent Style Name 4_1">
    <vt:lpwstr>Journal of Marine Systems</vt:lpwstr>
  </property>
  <property fmtid="{D5CDD505-2E9C-101B-9397-08002B2CF9AE}" pid="12" name="Mendeley Recent Style Id 5_1">
    <vt:lpwstr>http://www.zotero.org/styles/limnology-and-oceanography</vt:lpwstr>
  </property>
  <property fmtid="{D5CDD505-2E9C-101B-9397-08002B2CF9AE}" pid="13" name="Mendeley Recent Style Name 5_1">
    <vt:lpwstr>Limnology and Oceanography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http://www.zotero.org/styles/universidade-federal-do-rio-de-janeiro-instituto-alberto-luiz-coimbra-de-pos-graduacao-e-pesquisa-de-engenharia-abnt</vt:lpwstr>
  </property>
  <property fmtid="{D5CDD505-2E9C-101B-9397-08002B2CF9AE}" pid="21" name="Mendeley Recent Style Name 9_1">
    <vt:lpwstr>Universidade Federal do Rio de Janeiro - Instituto Alberto Luiz Coimbra de Pós-Graduação e Pesquisa de Engenharia - ABNT (Portuguese - Brazil)</vt:lpwstr>
  </property>
  <property fmtid="{D5CDD505-2E9C-101B-9397-08002B2CF9AE}" pid="22" name="Mendeley Document_1">
    <vt:lpwstr>True</vt:lpwstr>
  </property>
  <property fmtid="{D5CDD505-2E9C-101B-9397-08002B2CF9AE}" pid="23" name="Mendeley Unique User Id_1">
    <vt:lpwstr>86604f71-d2ab-315b-914b-20b381a64d76</vt:lpwstr>
  </property>
  <property fmtid="{D5CDD505-2E9C-101B-9397-08002B2CF9AE}" pid="24" name="Mendeley Citation Style_1">
    <vt:lpwstr>http://www.zotero.org/styles/nature</vt:lpwstr>
  </property>
</Properties>
</file>