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EA485" w14:textId="70CBCC99" w:rsidR="00283DE8" w:rsidRPr="00E85E3D" w:rsidRDefault="00283DE8" w:rsidP="00282C17">
      <w:pPr>
        <w:spacing w:afterLines="80" w:after="192" w:line="240" w:lineRule="auto"/>
        <w:jc w:val="center"/>
        <w:rPr>
          <w:rFonts w:ascii="Times New Roman" w:hAnsi="Times New Roman" w:cs="Times New Roman"/>
          <w:b/>
          <w:bCs/>
          <w:sz w:val="36"/>
          <w:szCs w:val="32"/>
          <w:lang w:val="en-CA"/>
        </w:rPr>
      </w:pPr>
      <w:r w:rsidRPr="00805810">
        <w:rPr>
          <w:rFonts w:ascii="Times New Roman" w:hAnsi="Times New Roman" w:cs="Times New Roman"/>
          <w:b/>
          <w:bCs/>
          <w:sz w:val="28"/>
          <w:szCs w:val="24"/>
        </w:rPr>
        <w:t>Supplem</w:t>
      </w:r>
      <w:r w:rsidR="00810513">
        <w:rPr>
          <w:rFonts w:ascii="Times New Roman" w:hAnsi="Times New Roman" w:cs="Times New Roman"/>
          <w:b/>
          <w:bCs/>
          <w:sz w:val="28"/>
          <w:szCs w:val="24"/>
        </w:rPr>
        <w:t>entary</w:t>
      </w:r>
      <w:r w:rsidRPr="00805810">
        <w:rPr>
          <w:rFonts w:ascii="Times New Roman" w:hAnsi="Times New Roman" w:cs="Times New Roman"/>
          <w:b/>
          <w:bCs/>
          <w:sz w:val="28"/>
          <w:szCs w:val="24"/>
        </w:rPr>
        <w:t xml:space="preserve"> Information</w:t>
      </w:r>
    </w:p>
    <w:p w14:paraId="6BF6AC18" w14:textId="77777777" w:rsidR="00F22376" w:rsidRDefault="00F22376" w:rsidP="00F22376">
      <w:pPr>
        <w:spacing w:afterLines="80" w:after="192" w:line="360" w:lineRule="auto"/>
        <w:jc w:val="center"/>
        <w:rPr>
          <w:rFonts w:ascii="Times New Roman" w:hAnsi="Times New Roman" w:cs="Times New Roman"/>
          <w:b/>
          <w:bCs/>
          <w:sz w:val="28"/>
          <w:szCs w:val="28"/>
        </w:rPr>
      </w:pPr>
      <w:r w:rsidRPr="00322219">
        <w:rPr>
          <w:rFonts w:ascii="Times New Roman" w:hAnsi="Times New Roman" w:cs="Times New Roman"/>
          <w:b/>
          <w:bCs/>
          <w:sz w:val="28"/>
          <w:szCs w:val="28"/>
        </w:rPr>
        <w:t>Bipolar membrane electrolyzers enable high single-pass CO</w:t>
      </w:r>
      <w:r w:rsidRPr="00322219">
        <w:rPr>
          <w:rFonts w:ascii="Times New Roman" w:hAnsi="Times New Roman" w:cs="Times New Roman"/>
          <w:b/>
          <w:bCs/>
          <w:sz w:val="28"/>
          <w:szCs w:val="28"/>
          <w:vertAlign w:val="subscript"/>
        </w:rPr>
        <w:t>2</w:t>
      </w:r>
      <w:r w:rsidRPr="00322219">
        <w:rPr>
          <w:rFonts w:ascii="Times New Roman" w:hAnsi="Times New Roman" w:cs="Times New Roman"/>
          <w:b/>
          <w:bCs/>
          <w:sz w:val="28"/>
          <w:szCs w:val="28"/>
        </w:rPr>
        <w:t xml:space="preserve"> electroreduction to multicarbon products</w:t>
      </w:r>
      <w:r w:rsidRPr="00322219" w:rsidDel="00322219">
        <w:rPr>
          <w:rFonts w:ascii="Times New Roman" w:hAnsi="Times New Roman" w:cs="Times New Roman"/>
          <w:b/>
          <w:bCs/>
          <w:sz w:val="28"/>
          <w:szCs w:val="28"/>
        </w:rPr>
        <w:t xml:space="preserve"> </w:t>
      </w:r>
    </w:p>
    <w:p w14:paraId="7134F719" w14:textId="77777777" w:rsidR="00F22376" w:rsidRDefault="00F22376" w:rsidP="00F22376">
      <w:pPr>
        <w:spacing w:afterLines="80" w:after="192"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Ke Xie,</w:t>
      </w:r>
      <w:r>
        <w:rPr>
          <w:rFonts w:ascii="Times New Roman" w:hAnsi="Times New Roman" w:cs="Times New Roman"/>
          <w:sz w:val="24"/>
          <w:szCs w:val="24"/>
          <w:vertAlign w:val="superscript"/>
        </w:rPr>
        <w:t>1,†</w:t>
      </w:r>
      <w:r>
        <w:rPr>
          <w:rFonts w:ascii="Times New Roman" w:hAnsi="Times New Roman" w:cs="Times New Roman"/>
          <w:sz w:val="24"/>
          <w:szCs w:val="24"/>
        </w:rPr>
        <w:t xml:space="preserve"> Rui Kai Miao,</w:t>
      </w:r>
      <w:r>
        <w:rPr>
          <w:rFonts w:ascii="Times New Roman" w:hAnsi="Times New Roman" w:cs="Times New Roman"/>
          <w:sz w:val="24"/>
          <w:szCs w:val="24"/>
          <w:vertAlign w:val="superscript"/>
        </w:rPr>
        <w:t>2,</w:t>
      </w:r>
      <w:r w:rsidRPr="00BD09FA">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w:t>
      </w:r>
      <w:r>
        <w:rPr>
          <w:rFonts w:ascii="Times New Roman" w:hAnsi="Times New Roman" w:cs="Times New Roman"/>
          <w:sz w:val="24"/>
          <w:szCs w:val="24"/>
        </w:rPr>
        <w:t xml:space="preserve"> Adnan Ozden,</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bookmarkStart w:id="0" w:name="_Hlk78929493"/>
      <w:r>
        <w:rPr>
          <w:rFonts w:ascii="Times New Roman" w:hAnsi="Times New Roman" w:cs="Times New Roman"/>
          <w:sz w:val="24"/>
          <w:szCs w:val="24"/>
        </w:rPr>
        <w:t>Shijie Liu,</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bookmarkEnd w:id="0"/>
      <w:r>
        <w:rPr>
          <w:rFonts w:ascii="Times New Roman" w:hAnsi="Times New Roman" w:cs="Times New Roman"/>
          <w:sz w:val="24"/>
          <w:szCs w:val="24"/>
        </w:rPr>
        <w:t>Zhu Chen,</w:t>
      </w:r>
      <w:r>
        <w:rPr>
          <w:rFonts w:ascii="Times New Roman" w:hAnsi="Times New Roman" w:cs="Times New Roman"/>
          <w:sz w:val="24"/>
          <w:szCs w:val="24"/>
          <w:vertAlign w:val="superscript"/>
        </w:rPr>
        <w:t>1</w:t>
      </w:r>
      <w:r>
        <w:rPr>
          <w:rFonts w:ascii="Times New Roman" w:hAnsi="Times New Roman" w:cs="Times New Roman"/>
          <w:sz w:val="24"/>
          <w:szCs w:val="24"/>
        </w:rPr>
        <w:t xml:space="preserve"> Cao-Thang Dinh,</w:t>
      </w:r>
      <w:r>
        <w:rPr>
          <w:rFonts w:ascii="Times New Roman" w:hAnsi="Times New Roman" w:cs="Times New Roman"/>
          <w:sz w:val="24"/>
          <w:szCs w:val="24"/>
          <w:vertAlign w:val="superscript"/>
        </w:rPr>
        <w:t>3</w:t>
      </w:r>
      <w:r>
        <w:rPr>
          <w:rFonts w:ascii="Times New Roman" w:hAnsi="Times New Roman" w:cs="Times New Roman"/>
          <w:sz w:val="24"/>
          <w:szCs w:val="24"/>
        </w:rPr>
        <w:t xml:space="preserve"> Jianan Erick Huang,</w:t>
      </w:r>
      <w:r>
        <w:rPr>
          <w:rFonts w:ascii="Times New Roman" w:hAnsi="Times New Roman" w:cs="Times New Roman"/>
          <w:sz w:val="24"/>
          <w:szCs w:val="24"/>
          <w:vertAlign w:val="superscript"/>
        </w:rPr>
        <w:t>1</w:t>
      </w:r>
      <w:r>
        <w:rPr>
          <w:rFonts w:ascii="Times New Roman" w:hAnsi="Times New Roman" w:cs="Times New Roman"/>
          <w:sz w:val="24"/>
          <w:szCs w:val="24"/>
        </w:rPr>
        <w:t xml:space="preserve"> Qiucheng Xu,</w:t>
      </w:r>
      <w:r>
        <w:rPr>
          <w:rFonts w:ascii="Times New Roman" w:hAnsi="Times New Roman" w:cs="Times New Roman"/>
          <w:sz w:val="24"/>
          <w:szCs w:val="24"/>
          <w:vertAlign w:val="superscript"/>
        </w:rPr>
        <w:t>4</w:t>
      </w:r>
      <w:r>
        <w:rPr>
          <w:rFonts w:ascii="Times New Roman" w:hAnsi="Times New Roman" w:cs="Times New Roman"/>
          <w:sz w:val="24"/>
          <w:szCs w:val="24"/>
        </w:rPr>
        <w:t xml:space="preserve"> Christine M. Gabardo,</w:t>
      </w:r>
      <w:r>
        <w:rPr>
          <w:rFonts w:ascii="Times New Roman" w:hAnsi="Times New Roman" w:cs="Times New Roman"/>
          <w:sz w:val="24"/>
          <w:szCs w:val="24"/>
          <w:vertAlign w:val="superscript"/>
        </w:rPr>
        <w:t>2</w:t>
      </w:r>
      <w:r>
        <w:rPr>
          <w:rFonts w:ascii="Times New Roman" w:hAnsi="Times New Roman" w:cs="Times New Roman"/>
          <w:sz w:val="24"/>
          <w:szCs w:val="24"/>
        </w:rPr>
        <w:t xml:space="preserve"> Geonhui Lee,</w:t>
      </w:r>
      <w:r>
        <w:rPr>
          <w:rFonts w:ascii="Times New Roman" w:hAnsi="Times New Roman" w:cs="Times New Roman"/>
          <w:sz w:val="24"/>
          <w:szCs w:val="24"/>
          <w:vertAlign w:val="superscript"/>
        </w:rPr>
        <w:t>1</w:t>
      </w:r>
      <w:r>
        <w:rPr>
          <w:rFonts w:ascii="Times New Roman" w:hAnsi="Times New Roman" w:cs="Times New Roman"/>
          <w:sz w:val="24"/>
          <w:szCs w:val="24"/>
        </w:rPr>
        <w:t xml:space="preserve"> Jonathan P. Edwards,</w:t>
      </w:r>
      <w:r>
        <w:rPr>
          <w:rFonts w:ascii="Times New Roman" w:hAnsi="Times New Roman" w:cs="Times New Roman"/>
          <w:sz w:val="24"/>
          <w:szCs w:val="24"/>
          <w:vertAlign w:val="superscript"/>
        </w:rPr>
        <w:t>2</w:t>
      </w:r>
      <w:r>
        <w:rPr>
          <w:rFonts w:ascii="Times New Roman" w:hAnsi="Times New Roman" w:cs="Times New Roman"/>
          <w:sz w:val="24"/>
          <w:szCs w:val="24"/>
        </w:rPr>
        <w:t xml:space="preserve"> Colin P. O’Brien,</w:t>
      </w:r>
      <w:r>
        <w:rPr>
          <w:rFonts w:ascii="Times New Roman" w:hAnsi="Times New Roman" w:cs="Times New Roman"/>
          <w:sz w:val="24"/>
          <w:szCs w:val="24"/>
          <w:vertAlign w:val="superscript"/>
        </w:rPr>
        <w:t>2</w:t>
      </w:r>
      <w:r>
        <w:rPr>
          <w:rFonts w:ascii="Times New Roman" w:hAnsi="Times New Roman" w:cs="Times New Roman"/>
          <w:sz w:val="24"/>
          <w:szCs w:val="24"/>
        </w:rPr>
        <w:t xml:space="preserve"> Shannon W. Boettcher,</w:t>
      </w:r>
      <w:r>
        <w:rPr>
          <w:rFonts w:ascii="Times New Roman" w:hAnsi="Times New Roman" w:cs="Times New Roman"/>
          <w:sz w:val="24"/>
          <w:szCs w:val="24"/>
          <w:vertAlign w:val="superscript"/>
        </w:rPr>
        <w:t>4</w:t>
      </w:r>
      <w:r>
        <w:rPr>
          <w:rFonts w:ascii="Times New Roman" w:hAnsi="Times New Roman" w:cs="Times New Roman"/>
          <w:sz w:val="24"/>
          <w:szCs w:val="24"/>
        </w:rPr>
        <w:t xml:space="preserve"> David Sinton,</w:t>
      </w:r>
      <w:r>
        <w:rPr>
          <w:rFonts w:ascii="Times New Roman" w:hAnsi="Times New Roman" w:cs="Times New Roman"/>
          <w:sz w:val="24"/>
          <w:szCs w:val="24"/>
          <w:vertAlign w:val="superscript"/>
        </w:rPr>
        <w:t>*2</w:t>
      </w:r>
      <w:r>
        <w:rPr>
          <w:rFonts w:ascii="Times New Roman" w:hAnsi="Times New Roman" w:cs="Times New Roman"/>
          <w:sz w:val="24"/>
          <w:szCs w:val="24"/>
        </w:rPr>
        <w:t xml:space="preserve"> Edward H. Sargent</w:t>
      </w:r>
      <w:r>
        <w:rPr>
          <w:rFonts w:ascii="Times New Roman" w:hAnsi="Times New Roman" w:cs="Times New Roman"/>
          <w:sz w:val="24"/>
          <w:szCs w:val="24"/>
          <w:vertAlign w:val="superscript"/>
        </w:rPr>
        <w:t>*1</w:t>
      </w:r>
    </w:p>
    <w:p w14:paraId="17F866F5" w14:textId="77777777" w:rsidR="00F22376" w:rsidRDefault="00F22376" w:rsidP="00F22376">
      <w:pPr>
        <w:spacing w:afterLines="80" w:after="192" w:line="240" w:lineRule="auto"/>
        <w:rPr>
          <w:rFonts w:ascii="Times New Roman" w:hAnsi="Times New Roman" w:cs="Times New Roman"/>
          <w:sz w:val="24"/>
          <w:szCs w:val="24"/>
          <w:vertAlign w:val="superscript"/>
        </w:rPr>
      </w:pPr>
    </w:p>
    <w:p w14:paraId="2F9275A2" w14:textId="77777777" w:rsidR="00F22376" w:rsidRDefault="00F22376" w:rsidP="00F22376">
      <w:pPr>
        <w:spacing w:afterLines="80" w:after="192" w:line="240" w:lineRule="auto"/>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Department of Electrical and Computer Engineering, University of Toronto, 10 King’s College Road, Toronto, ON M5S 3G4, Canada</w:t>
      </w:r>
    </w:p>
    <w:p w14:paraId="20B79D46" w14:textId="77777777" w:rsidR="00F22376" w:rsidRDefault="00F22376" w:rsidP="00F22376">
      <w:pPr>
        <w:spacing w:afterLines="80" w:after="192" w:line="240" w:lineRule="auto"/>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Department of Mechanical and Industrial Engineering, University of Toronto, 5 King’s College Road, Toronto, ON M5S 3G8, Canada</w:t>
      </w:r>
    </w:p>
    <w:p w14:paraId="3F193C9A" w14:textId="77777777" w:rsidR="00F22376" w:rsidRDefault="00F22376" w:rsidP="00F22376">
      <w:pPr>
        <w:spacing w:afterLines="80" w:after="192" w:line="240" w:lineRule="auto"/>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Department of Chemical Engineering, Queen’s University, 19 Division Street, Kingston, Ontario K7L 3N6, Canada</w:t>
      </w:r>
    </w:p>
    <w:p w14:paraId="4636C64C" w14:textId="77777777" w:rsidR="00F22376" w:rsidRDefault="00F22376" w:rsidP="00F22376">
      <w:pPr>
        <w:spacing w:afterLines="80" w:after="192" w:line="240" w:lineRule="auto"/>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Department of Chemistry</w:t>
      </w:r>
      <w:r>
        <w:t xml:space="preserve"> </w:t>
      </w:r>
      <w:r>
        <w:rPr>
          <w:rFonts w:ascii="Times New Roman" w:hAnsi="Times New Roman" w:cs="Times New Roman"/>
          <w:sz w:val="24"/>
          <w:szCs w:val="24"/>
        </w:rPr>
        <w:t xml:space="preserve">and Biochemistry, University of Oregon, Eugene, OR 97403, USA. </w:t>
      </w:r>
    </w:p>
    <w:p w14:paraId="3E623018" w14:textId="77777777" w:rsidR="00F22376" w:rsidRDefault="00F22376" w:rsidP="00F22376">
      <w:pPr>
        <w:spacing w:afterLines="80" w:after="192" w:line="240" w:lineRule="auto"/>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These authors contributed equally</w:t>
      </w:r>
    </w:p>
    <w:p w14:paraId="57DBE46E" w14:textId="77777777" w:rsidR="00F22376" w:rsidRDefault="00F22376" w:rsidP="00F22376">
      <w:pPr>
        <w:spacing w:afterLines="80" w:after="192" w:line="240" w:lineRule="auto"/>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Correspondence:</w:t>
      </w:r>
    </w:p>
    <w:p w14:paraId="29D73664" w14:textId="77777777" w:rsidR="00F22376" w:rsidRDefault="00F22376" w:rsidP="00F22376">
      <w:pPr>
        <w:spacing w:afterLines="80" w:after="192" w:line="240" w:lineRule="auto"/>
        <w:rPr>
          <w:rFonts w:ascii="Times New Roman" w:hAnsi="Times New Roman" w:cs="Times New Roman"/>
          <w:sz w:val="24"/>
          <w:szCs w:val="24"/>
        </w:rPr>
      </w:pPr>
      <w:r>
        <w:rPr>
          <w:rFonts w:ascii="Times New Roman" w:hAnsi="Times New Roman" w:cs="Times New Roman"/>
          <w:sz w:val="24"/>
          <w:szCs w:val="24"/>
        </w:rPr>
        <w:t>ted.sargent@utoronto.ca (E.H.S.)</w:t>
      </w:r>
    </w:p>
    <w:p w14:paraId="404E596B" w14:textId="77777777" w:rsidR="00F22376" w:rsidRDefault="00F22376" w:rsidP="00F22376">
      <w:pPr>
        <w:spacing w:afterLines="80" w:after="192" w:line="240" w:lineRule="auto"/>
        <w:rPr>
          <w:rFonts w:ascii="Times New Roman" w:hAnsi="Times New Roman" w:cs="Times New Roman"/>
          <w:sz w:val="24"/>
          <w:szCs w:val="24"/>
        </w:rPr>
      </w:pPr>
      <w:r>
        <w:rPr>
          <w:rFonts w:ascii="Times New Roman" w:hAnsi="Times New Roman" w:cs="Times New Roman"/>
          <w:sz w:val="24"/>
          <w:szCs w:val="24"/>
        </w:rPr>
        <w:t>sinton@mie.utoronto.ca (D.S.)</w:t>
      </w:r>
    </w:p>
    <w:p w14:paraId="05607FDE" w14:textId="77777777" w:rsidR="00883E84" w:rsidRPr="00E85E3D" w:rsidRDefault="00883E84">
      <w:pPr>
        <w:rPr>
          <w:rFonts w:ascii="Times New Roman" w:hAnsi="Times New Roman" w:cs="Times New Roman"/>
          <w:sz w:val="24"/>
          <w:szCs w:val="24"/>
        </w:rPr>
      </w:pPr>
      <w:r w:rsidRPr="00E85E3D">
        <w:rPr>
          <w:rFonts w:ascii="Times New Roman" w:hAnsi="Times New Roman" w:cs="Times New Roman"/>
          <w:sz w:val="24"/>
          <w:szCs w:val="24"/>
        </w:rPr>
        <w:br w:type="page"/>
      </w:r>
    </w:p>
    <w:p w14:paraId="263C358E" w14:textId="77777777" w:rsidR="007F4F8B" w:rsidRPr="00E85E3D" w:rsidRDefault="007F4F8B" w:rsidP="007F4F8B">
      <w:pPr>
        <w:spacing w:afterLines="80" w:after="192" w:line="240" w:lineRule="auto"/>
        <w:rPr>
          <w:rFonts w:ascii="Times New Roman" w:hAnsi="Times New Roman" w:cs="Times New Roman"/>
          <w:sz w:val="24"/>
          <w:szCs w:val="24"/>
        </w:rPr>
      </w:pPr>
    </w:p>
    <w:p w14:paraId="44BB83B1" w14:textId="0913AD1A" w:rsidR="00D93ED2" w:rsidRPr="00E85E3D" w:rsidRDefault="00D93ED2" w:rsidP="000A6C0E">
      <w:pPr>
        <w:spacing w:afterLines="80" w:after="192" w:line="240" w:lineRule="auto"/>
        <w:jc w:val="center"/>
        <w:rPr>
          <w:rFonts w:ascii="Times New Roman" w:hAnsi="Times New Roman" w:cs="Times New Roman"/>
          <w:b/>
          <w:bCs/>
          <w:sz w:val="28"/>
          <w:szCs w:val="24"/>
          <w:u w:val="single"/>
        </w:rPr>
      </w:pPr>
      <w:r w:rsidRPr="00E85E3D">
        <w:rPr>
          <w:rFonts w:ascii="Times New Roman" w:hAnsi="Times New Roman" w:cs="Times New Roman"/>
          <w:b/>
          <w:bCs/>
          <w:sz w:val="28"/>
          <w:szCs w:val="24"/>
          <w:u w:val="single"/>
        </w:rPr>
        <w:t xml:space="preserve">Table of </w:t>
      </w:r>
      <w:r w:rsidR="00396E04" w:rsidRPr="00E85E3D">
        <w:rPr>
          <w:rFonts w:ascii="Times New Roman" w:hAnsi="Times New Roman" w:cs="Times New Roman"/>
          <w:b/>
          <w:bCs/>
          <w:sz w:val="28"/>
          <w:szCs w:val="24"/>
          <w:u w:val="single"/>
        </w:rPr>
        <w:t>C</w:t>
      </w:r>
      <w:r w:rsidRPr="00E85E3D">
        <w:rPr>
          <w:rFonts w:ascii="Times New Roman" w:hAnsi="Times New Roman" w:cs="Times New Roman"/>
          <w:b/>
          <w:bCs/>
          <w:sz w:val="28"/>
          <w:szCs w:val="24"/>
          <w:u w:val="single"/>
        </w:rPr>
        <w:t>ontent</w:t>
      </w:r>
      <w:r w:rsidR="00396E04" w:rsidRPr="00E85E3D">
        <w:rPr>
          <w:rFonts w:ascii="Times New Roman" w:hAnsi="Times New Roman" w:cs="Times New Roman"/>
          <w:b/>
          <w:bCs/>
          <w:sz w:val="28"/>
          <w:szCs w:val="24"/>
          <w:u w:val="single"/>
        </w:rPr>
        <w: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2262"/>
      </w:tblGrid>
      <w:tr w:rsidR="00CF41DE" w:rsidRPr="00E85E3D" w14:paraId="3D0E0B24" w14:textId="77777777" w:rsidTr="003D5C91">
        <w:tc>
          <w:tcPr>
            <w:tcW w:w="7088" w:type="dxa"/>
          </w:tcPr>
          <w:p w14:paraId="72CED9D5" w14:textId="77777777" w:rsidR="00CF41DE" w:rsidRPr="00E85E3D" w:rsidRDefault="00CF41DE" w:rsidP="00547D56">
            <w:pPr>
              <w:rPr>
                <w:rFonts w:ascii="Times New Roman" w:hAnsi="Times New Roman" w:cs="Times New Roman"/>
                <w:b/>
                <w:bCs/>
                <w:sz w:val="24"/>
                <w:szCs w:val="24"/>
              </w:rPr>
            </w:pPr>
            <w:r w:rsidRPr="00E85E3D">
              <w:rPr>
                <w:rFonts w:ascii="Times New Roman" w:hAnsi="Times New Roman" w:cs="Times New Roman"/>
                <w:b/>
                <w:bCs/>
                <w:sz w:val="24"/>
                <w:szCs w:val="24"/>
              </w:rPr>
              <w:t>SI1 Analysis and comparison of CO</w:t>
            </w:r>
            <w:r w:rsidRPr="00E85E3D">
              <w:rPr>
                <w:rFonts w:ascii="Times New Roman" w:hAnsi="Times New Roman" w:cs="Times New Roman"/>
                <w:b/>
                <w:bCs/>
                <w:sz w:val="24"/>
                <w:szCs w:val="24"/>
                <w:vertAlign w:val="subscript"/>
              </w:rPr>
              <w:t>2</w:t>
            </w:r>
            <w:r w:rsidRPr="00E85E3D">
              <w:rPr>
                <w:rFonts w:ascii="Times New Roman" w:hAnsi="Times New Roman" w:cs="Times New Roman"/>
                <w:b/>
                <w:bCs/>
                <w:sz w:val="24"/>
                <w:szCs w:val="24"/>
              </w:rPr>
              <w:t xml:space="preserve"> single-pass utilization among state-of-art CO</w:t>
            </w:r>
            <w:r w:rsidRPr="00E85E3D">
              <w:rPr>
                <w:rFonts w:ascii="Times New Roman" w:hAnsi="Times New Roman" w:cs="Times New Roman"/>
                <w:b/>
                <w:bCs/>
                <w:sz w:val="24"/>
                <w:szCs w:val="24"/>
                <w:vertAlign w:val="subscript"/>
              </w:rPr>
              <w:t>2</w:t>
            </w:r>
            <w:r w:rsidRPr="00E85E3D">
              <w:rPr>
                <w:rFonts w:ascii="Times New Roman" w:hAnsi="Times New Roman" w:cs="Times New Roman"/>
                <w:b/>
                <w:bCs/>
                <w:sz w:val="24"/>
                <w:szCs w:val="24"/>
              </w:rPr>
              <w:t>RR electrolyzers.</w:t>
            </w:r>
          </w:p>
          <w:p w14:paraId="6EDF955D" w14:textId="26F07BEC" w:rsidR="00F5463C" w:rsidRPr="00E85E3D" w:rsidRDefault="00F5463C" w:rsidP="00547D56">
            <w:pPr>
              <w:rPr>
                <w:rFonts w:ascii="Times New Roman" w:hAnsi="Times New Roman" w:cs="Times New Roman"/>
                <w:b/>
                <w:bCs/>
                <w:sz w:val="24"/>
                <w:szCs w:val="24"/>
              </w:rPr>
            </w:pPr>
          </w:p>
        </w:tc>
        <w:tc>
          <w:tcPr>
            <w:tcW w:w="2262" w:type="dxa"/>
          </w:tcPr>
          <w:p w14:paraId="1272114A" w14:textId="6BC8DCEA" w:rsidR="00CF41DE" w:rsidRPr="00E85E3D" w:rsidRDefault="005E2461" w:rsidP="00076787">
            <w:pPr>
              <w:jc w:val="right"/>
              <w:rPr>
                <w:rFonts w:ascii="Times New Roman" w:hAnsi="Times New Roman" w:cs="Times New Roman"/>
                <w:b/>
                <w:bCs/>
                <w:sz w:val="24"/>
                <w:szCs w:val="24"/>
              </w:rPr>
            </w:pPr>
            <w:r>
              <w:rPr>
                <w:rFonts w:ascii="Times New Roman" w:hAnsi="Times New Roman" w:cs="Times New Roman"/>
                <w:b/>
                <w:bCs/>
                <w:sz w:val="24"/>
                <w:szCs w:val="24"/>
              </w:rPr>
              <w:t>3</w:t>
            </w:r>
          </w:p>
        </w:tc>
      </w:tr>
      <w:tr w:rsidR="00E571A8" w:rsidRPr="00E85E3D" w14:paraId="6EB03560" w14:textId="77777777" w:rsidTr="003D5C91">
        <w:tc>
          <w:tcPr>
            <w:tcW w:w="7088" w:type="dxa"/>
          </w:tcPr>
          <w:p w14:paraId="6C135B97" w14:textId="77777777" w:rsidR="00E571A8" w:rsidRDefault="00E41B0B" w:rsidP="00E41B0B">
            <w:pPr>
              <w:rPr>
                <w:rFonts w:ascii="Times New Roman" w:hAnsi="Times New Roman" w:cs="Times New Roman"/>
                <w:b/>
                <w:bCs/>
                <w:sz w:val="24"/>
                <w:szCs w:val="24"/>
              </w:rPr>
            </w:pPr>
            <w:r w:rsidRPr="00E85E3D">
              <w:rPr>
                <w:rFonts w:ascii="Times New Roman" w:hAnsi="Times New Roman" w:cs="Times New Roman"/>
                <w:b/>
                <w:bCs/>
                <w:sz w:val="24"/>
                <w:szCs w:val="24"/>
              </w:rPr>
              <w:t>SI</w:t>
            </w:r>
            <w:r>
              <w:rPr>
                <w:rFonts w:ascii="Times New Roman" w:hAnsi="Times New Roman" w:cs="Times New Roman"/>
                <w:b/>
                <w:bCs/>
                <w:sz w:val="24"/>
                <w:szCs w:val="24"/>
              </w:rPr>
              <w:t>2</w:t>
            </w:r>
            <w:r w:rsidRPr="00E85E3D">
              <w:rPr>
                <w:rFonts w:ascii="Times New Roman" w:hAnsi="Times New Roman" w:cs="Times New Roman"/>
                <w:b/>
                <w:bCs/>
                <w:sz w:val="24"/>
                <w:szCs w:val="24"/>
              </w:rPr>
              <w:t xml:space="preserve"> Analysis of BPM functions</w:t>
            </w:r>
          </w:p>
          <w:p w14:paraId="5B43237A" w14:textId="525A44EF" w:rsidR="00906C5B" w:rsidRPr="00E85E3D" w:rsidRDefault="00906C5B" w:rsidP="00E41B0B">
            <w:pPr>
              <w:rPr>
                <w:rFonts w:ascii="Times New Roman" w:hAnsi="Times New Roman" w:cs="Times New Roman"/>
                <w:b/>
                <w:bCs/>
                <w:sz w:val="24"/>
                <w:szCs w:val="24"/>
              </w:rPr>
            </w:pPr>
          </w:p>
        </w:tc>
        <w:tc>
          <w:tcPr>
            <w:tcW w:w="2262" w:type="dxa"/>
          </w:tcPr>
          <w:p w14:paraId="39B4F88E" w14:textId="2C433D06" w:rsidR="00E571A8" w:rsidRPr="00E85E3D" w:rsidRDefault="005E2461" w:rsidP="00076787">
            <w:pPr>
              <w:jc w:val="right"/>
              <w:rPr>
                <w:rFonts w:ascii="Times New Roman" w:hAnsi="Times New Roman" w:cs="Times New Roman"/>
                <w:b/>
                <w:bCs/>
                <w:sz w:val="24"/>
                <w:szCs w:val="24"/>
              </w:rPr>
            </w:pPr>
            <w:r>
              <w:rPr>
                <w:rFonts w:ascii="Times New Roman" w:hAnsi="Times New Roman" w:cs="Times New Roman"/>
                <w:b/>
                <w:bCs/>
                <w:sz w:val="24"/>
                <w:szCs w:val="24"/>
              </w:rPr>
              <w:t>6</w:t>
            </w:r>
          </w:p>
        </w:tc>
      </w:tr>
      <w:tr w:rsidR="00CF41DE" w:rsidRPr="00E85E3D" w14:paraId="0839A5EE" w14:textId="77777777" w:rsidTr="003D5C91">
        <w:tc>
          <w:tcPr>
            <w:tcW w:w="7088" w:type="dxa"/>
          </w:tcPr>
          <w:p w14:paraId="4AEEE521" w14:textId="77777777" w:rsidR="00F5463C" w:rsidRDefault="00035DC0" w:rsidP="00547D56">
            <w:pPr>
              <w:rPr>
                <w:rFonts w:ascii="Times New Roman" w:hAnsi="Times New Roman" w:cs="Times New Roman"/>
                <w:b/>
                <w:bCs/>
                <w:sz w:val="24"/>
                <w:szCs w:val="24"/>
              </w:rPr>
            </w:pPr>
            <w:r w:rsidRPr="009D52EB">
              <w:rPr>
                <w:rFonts w:ascii="Times New Roman" w:hAnsi="Times New Roman" w:cs="Times New Roman"/>
                <w:b/>
                <w:bCs/>
                <w:sz w:val="24"/>
                <w:szCs w:val="24"/>
              </w:rPr>
              <w:t>SI3 Investigating the feasibility of the existing BPM-based MEAs for high carbon utilization in CO</w:t>
            </w:r>
            <w:r w:rsidRPr="009D52EB">
              <w:rPr>
                <w:rFonts w:ascii="Times New Roman" w:hAnsi="Times New Roman" w:cs="Times New Roman"/>
                <w:b/>
                <w:bCs/>
                <w:sz w:val="24"/>
                <w:szCs w:val="24"/>
                <w:vertAlign w:val="subscript"/>
              </w:rPr>
              <w:t>2</w:t>
            </w:r>
            <w:r w:rsidRPr="00805810">
              <w:rPr>
                <w:rFonts w:ascii="Times New Roman" w:hAnsi="Times New Roman" w:cs="Times New Roman"/>
                <w:b/>
                <w:bCs/>
                <w:sz w:val="24"/>
                <w:szCs w:val="24"/>
              </w:rPr>
              <w:t>-to-C</w:t>
            </w:r>
            <w:r w:rsidRPr="009D52EB">
              <w:rPr>
                <w:rFonts w:ascii="Times New Roman" w:hAnsi="Times New Roman" w:cs="Times New Roman"/>
                <w:b/>
                <w:bCs/>
                <w:sz w:val="24"/>
                <w:szCs w:val="24"/>
                <w:vertAlign w:val="subscript"/>
              </w:rPr>
              <w:t>2+</w:t>
            </w:r>
            <w:r w:rsidRPr="00805810">
              <w:rPr>
                <w:rFonts w:ascii="Times New Roman" w:hAnsi="Times New Roman" w:cs="Times New Roman"/>
                <w:b/>
                <w:bCs/>
                <w:sz w:val="24"/>
                <w:szCs w:val="24"/>
              </w:rPr>
              <w:t xml:space="preserve"> </w:t>
            </w:r>
          </w:p>
          <w:p w14:paraId="5ECE33F3" w14:textId="3DADADBC" w:rsidR="00906C5B" w:rsidRPr="00035DC0" w:rsidRDefault="00906C5B" w:rsidP="00547D56">
            <w:pPr>
              <w:rPr>
                <w:rFonts w:ascii="Times New Roman" w:hAnsi="Times New Roman" w:cs="Times New Roman"/>
                <w:b/>
                <w:bCs/>
                <w:sz w:val="24"/>
                <w:szCs w:val="24"/>
              </w:rPr>
            </w:pPr>
          </w:p>
        </w:tc>
        <w:tc>
          <w:tcPr>
            <w:tcW w:w="2262" w:type="dxa"/>
          </w:tcPr>
          <w:p w14:paraId="27ABE33F" w14:textId="4437F0D2" w:rsidR="00CF41DE" w:rsidRPr="00E85E3D" w:rsidRDefault="005E2461" w:rsidP="00076787">
            <w:pPr>
              <w:jc w:val="right"/>
              <w:rPr>
                <w:rFonts w:ascii="Times New Roman" w:hAnsi="Times New Roman" w:cs="Times New Roman"/>
                <w:b/>
                <w:bCs/>
                <w:sz w:val="24"/>
                <w:szCs w:val="24"/>
              </w:rPr>
            </w:pPr>
            <w:r>
              <w:rPr>
                <w:rFonts w:ascii="Times New Roman" w:hAnsi="Times New Roman" w:cs="Times New Roman"/>
                <w:b/>
                <w:bCs/>
                <w:sz w:val="24"/>
                <w:szCs w:val="24"/>
              </w:rPr>
              <w:t>9</w:t>
            </w:r>
          </w:p>
        </w:tc>
      </w:tr>
      <w:tr w:rsidR="003D5C91" w:rsidRPr="00E85E3D" w14:paraId="2F57C6C6" w14:textId="77777777" w:rsidTr="003D5C91">
        <w:tc>
          <w:tcPr>
            <w:tcW w:w="7088" w:type="dxa"/>
          </w:tcPr>
          <w:p w14:paraId="4EF1538A" w14:textId="06AB0DCE" w:rsidR="003D5C91" w:rsidRPr="00E85E3D" w:rsidRDefault="003D5C91" w:rsidP="005F3C44">
            <w:pPr>
              <w:jc w:val="both"/>
              <w:rPr>
                <w:rFonts w:ascii="Times New Roman" w:hAnsi="Times New Roman" w:cs="Times New Roman"/>
                <w:iCs/>
                <w:sz w:val="24"/>
                <w:szCs w:val="24"/>
              </w:rPr>
            </w:pPr>
            <w:r w:rsidRPr="00E85E3D">
              <w:rPr>
                <w:rFonts w:ascii="Times New Roman" w:hAnsi="Times New Roman" w:cs="Times New Roman"/>
                <w:b/>
                <w:bCs/>
                <w:sz w:val="24"/>
                <w:szCs w:val="24"/>
              </w:rPr>
              <w:t>SI</w:t>
            </w:r>
            <w:r>
              <w:rPr>
                <w:rFonts w:ascii="Times New Roman" w:hAnsi="Times New Roman" w:cs="Times New Roman"/>
                <w:b/>
                <w:bCs/>
                <w:sz w:val="24"/>
                <w:szCs w:val="24"/>
              </w:rPr>
              <w:t>4</w:t>
            </w:r>
            <w:r w:rsidRPr="00E85E3D">
              <w:rPr>
                <w:rFonts w:ascii="Times New Roman" w:hAnsi="Times New Roman" w:cs="Times New Roman"/>
                <w:b/>
                <w:bCs/>
                <w:sz w:val="24"/>
                <w:szCs w:val="24"/>
              </w:rPr>
              <w:t xml:space="preserve"> </w:t>
            </w:r>
            <w:r w:rsidR="00761BC1">
              <w:rPr>
                <w:rFonts w:ascii="Times New Roman" w:hAnsi="Times New Roman" w:cs="Times New Roman"/>
                <w:b/>
                <w:bCs/>
                <w:sz w:val="24"/>
                <w:szCs w:val="24"/>
              </w:rPr>
              <w:t>Additional numerical</w:t>
            </w:r>
            <w:r w:rsidRPr="00E85E3D">
              <w:rPr>
                <w:rFonts w:ascii="Times New Roman" w:hAnsi="Times New Roman" w:cs="Times New Roman"/>
                <w:b/>
                <w:bCs/>
                <w:sz w:val="24"/>
                <w:szCs w:val="24"/>
              </w:rPr>
              <w:t xml:space="preserve"> simulation results on non-buffer stationary catholyte layer.</w:t>
            </w:r>
            <w:r w:rsidRPr="00E85E3D">
              <w:rPr>
                <w:rFonts w:ascii="Times New Roman" w:hAnsi="Times New Roman" w:cs="Times New Roman"/>
                <w:sz w:val="24"/>
                <w:szCs w:val="24"/>
              </w:rPr>
              <w:t xml:space="preserve"> </w:t>
            </w:r>
          </w:p>
          <w:p w14:paraId="746F5123" w14:textId="49D9090A" w:rsidR="003D5C91" w:rsidRPr="00E85E3D" w:rsidRDefault="003D5C91" w:rsidP="00035DC0">
            <w:pPr>
              <w:jc w:val="both"/>
              <w:rPr>
                <w:rFonts w:ascii="Times New Roman" w:hAnsi="Times New Roman" w:cs="Times New Roman"/>
                <w:b/>
                <w:bCs/>
                <w:sz w:val="24"/>
                <w:szCs w:val="24"/>
              </w:rPr>
            </w:pPr>
          </w:p>
        </w:tc>
        <w:tc>
          <w:tcPr>
            <w:tcW w:w="2262" w:type="dxa"/>
          </w:tcPr>
          <w:p w14:paraId="6D88ACBD" w14:textId="2B33FA14" w:rsidR="003D5C91" w:rsidRPr="00E85E3D" w:rsidRDefault="003D5C91" w:rsidP="00076787">
            <w:pPr>
              <w:jc w:val="right"/>
              <w:rPr>
                <w:rFonts w:ascii="Times New Roman" w:hAnsi="Times New Roman" w:cs="Times New Roman"/>
                <w:b/>
                <w:bCs/>
                <w:sz w:val="24"/>
                <w:szCs w:val="24"/>
              </w:rPr>
            </w:pPr>
            <w:r>
              <w:rPr>
                <w:rFonts w:ascii="Times New Roman" w:hAnsi="Times New Roman" w:cs="Times New Roman"/>
                <w:b/>
                <w:bCs/>
                <w:sz w:val="24"/>
                <w:szCs w:val="24"/>
              </w:rPr>
              <w:t>1</w:t>
            </w:r>
            <w:r w:rsidR="00761BC1">
              <w:rPr>
                <w:rFonts w:ascii="Times New Roman" w:hAnsi="Times New Roman" w:cs="Times New Roman"/>
                <w:b/>
                <w:bCs/>
                <w:sz w:val="24"/>
                <w:szCs w:val="24"/>
              </w:rPr>
              <w:t>3</w:t>
            </w:r>
          </w:p>
        </w:tc>
      </w:tr>
      <w:tr w:rsidR="003D5C91" w:rsidRPr="00E85E3D" w14:paraId="3B5D1902" w14:textId="77777777" w:rsidTr="003D5C91">
        <w:tc>
          <w:tcPr>
            <w:tcW w:w="7088" w:type="dxa"/>
          </w:tcPr>
          <w:p w14:paraId="1B1EC00F" w14:textId="118E00E5" w:rsidR="003D5C91" w:rsidRPr="00E85E3D" w:rsidRDefault="003D5C91" w:rsidP="0042342E">
            <w:pPr>
              <w:rPr>
                <w:rFonts w:ascii="Times New Roman" w:hAnsi="Times New Roman" w:cs="Times New Roman"/>
                <w:b/>
                <w:bCs/>
                <w:sz w:val="24"/>
                <w:szCs w:val="24"/>
              </w:rPr>
            </w:pPr>
            <w:r w:rsidRPr="00E85E3D">
              <w:rPr>
                <w:rFonts w:ascii="Times New Roman" w:hAnsi="Times New Roman" w:cs="Times New Roman"/>
                <w:b/>
                <w:bCs/>
                <w:sz w:val="24"/>
                <w:szCs w:val="24"/>
              </w:rPr>
              <w:t>SI</w:t>
            </w:r>
            <w:r w:rsidR="00A53FAD">
              <w:rPr>
                <w:rFonts w:ascii="Times New Roman" w:hAnsi="Times New Roman" w:cs="Times New Roman"/>
                <w:b/>
                <w:bCs/>
                <w:sz w:val="24"/>
                <w:szCs w:val="24"/>
              </w:rPr>
              <w:t>5</w:t>
            </w:r>
            <w:r w:rsidRPr="00E85E3D">
              <w:rPr>
                <w:rFonts w:ascii="Times New Roman" w:hAnsi="Times New Roman" w:cs="Times New Roman"/>
                <w:b/>
                <w:bCs/>
                <w:sz w:val="24"/>
                <w:szCs w:val="24"/>
              </w:rPr>
              <w:t xml:space="preserve"> The use of buffer catholyte in the stationary catholyte layer.</w:t>
            </w:r>
          </w:p>
          <w:p w14:paraId="269F5E39" w14:textId="76D651FF" w:rsidR="003D5C91" w:rsidRPr="00E85E3D" w:rsidRDefault="003D5C91" w:rsidP="00547D56">
            <w:pPr>
              <w:rPr>
                <w:rFonts w:ascii="Times New Roman" w:hAnsi="Times New Roman" w:cs="Times New Roman"/>
                <w:b/>
                <w:bCs/>
                <w:sz w:val="24"/>
                <w:szCs w:val="24"/>
              </w:rPr>
            </w:pPr>
          </w:p>
        </w:tc>
        <w:tc>
          <w:tcPr>
            <w:tcW w:w="2262" w:type="dxa"/>
          </w:tcPr>
          <w:p w14:paraId="4AEE847A" w14:textId="197B92BA" w:rsidR="003D5C91" w:rsidRPr="00E85E3D" w:rsidRDefault="003D5C91" w:rsidP="00076787">
            <w:pPr>
              <w:jc w:val="right"/>
              <w:rPr>
                <w:rFonts w:ascii="Times New Roman" w:hAnsi="Times New Roman" w:cs="Times New Roman"/>
                <w:b/>
                <w:bCs/>
                <w:sz w:val="24"/>
                <w:szCs w:val="24"/>
              </w:rPr>
            </w:pPr>
            <w:r>
              <w:rPr>
                <w:rFonts w:ascii="Times New Roman" w:hAnsi="Times New Roman" w:cs="Times New Roman"/>
                <w:b/>
                <w:bCs/>
                <w:sz w:val="24"/>
                <w:szCs w:val="24"/>
              </w:rPr>
              <w:t>1</w:t>
            </w:r>
            <w:r w:rsidR="00761BC1">
              <w:rPr>
                <w:rFonts w:ascii="Times New Roman" w:hAnsi="Times New Roman" w:cs="Times New Roman"/>
                <w:b/>
                <w:bCs/>
                <w:sz w:val="24"/>
                <w:szCs w:val="24"/>
              </w:rPr>
              <w:t>4</w:t>
            </w:r>
          </w:p>
        </w:tc>
      </w:tr>
      <w:tr w:rsidR="003D5C91" w:rsidRPr="00E85E3D" w14:paraId="656D9A2E" w14:textId="77777777" w:rsidTr="003D5C91">
        <w:tc>
          <w:tcPr>
            <w:tcW w:w="7088" w:type="dxa"/>
          </w:tcPr>
          <w:p w14:paraId="05BABAA5" w14:textId="13A74D6D" w:rsidR="003D5C91" w:rsidRPr="00E85E3D" w:rsidRDefault="003D5C91" w:rsidP="00EF7441">
            <w:pPr>
              <w:rPr>
                <w:rFonts w:ascii="Times New Roman" w:hAnsi="Times New Roman" w:cs="Times New Roman"/>
                <w:b/>
                <w:bCs/>
                <w:sz w:val="24"/>
                <w:szCs w:val="24"/>
              </w:rPr>
            </w:pPr>
            <w:r w:rsidRPr="00E85E3D">
              <w:rPr>
                <w:rFonts w:ascii="Times New Roman" w:hAnsi="Times New Roman" w:cs="Times New Roman"/>
                <w:b/>
                <w:bCs/>
                <w:sz w:val="24"/>
                <w:szCs w:val="24"/>
              </w:rPr>
              <w:t>SI</w:t>
            </w:r>
            <w:r w:rsidR="00A53FAD">
              <w:rPr>
                <w:rFonts w:ascii="Times New Roman" w:hAnsi="Times New Roman" w:cs="Times New Roman"/>
                <w:b/>
                <w:bCs/>
                <w:sz w:val="24"/>
                <w:szCs w:val="24"/>
              </w:rPr>
              <w:t>6</w:t>
            </w:r>
            <w:r w:rsidRPr="00E85E3D">
              <w:rPr>
                <w:rFonts w:ascii="Times New Roman" w:hAnsi="Times New Roman" w:cs="Times New Roman"/>
                <w:b/>
                <w:bCs/>
                <w:sz w:val="24"/>
                <w:szCs w:val="24"/>
              </w:rPr>
              <w:t xml:space="preserve"> Exploration of the operating conditions for </w:t>
            </w:r>
            <w:r>
              <w:rPr>
                <w:rFonts w:ascii="Times New Roman" w:hAnsi="Times New Roman" w:cs="Times New Roman"/>
                <w:b/>
                <w:bCs/>
                <w:sz w:val="24"/>
                <w:szCs w:val="24"/>
              </w:rPr>
              <w:t>SC-BPMEA</w:t>
            </w:r>
            <w:r w:rsidRPr="00E85E3D">
              <w:rPr>
                <w:rFonts w:ascii="Times New Roman" w:hAnsi="Times New Roman" w:cs="Times New Roman"/>
                <w:b/>
                <w:bCs/>
                <w:sz w:val="24"/>
                <w:szCs w:val="24"/>
              </w:rPr>
              <w:t xml:space="preserve"> with non-buffer catholyte.</w:t>
            </w:r>
          </w:p>
          <w:p w14:paraId="7D952FA6" w14:textId="0F3CF114" w:rsidR="003D5C91" w:rsidRPr="00E85E3D" w:rsidRDefault="003D5C91" w:rsidP="00547D56">
            <w:pPr>
              <w:rPr>
                <w:rFonts w:ascii="Times New Roman" w:hAnsi="Times New Roman" w:cs="Times New Roman"/>
                <w:b/>
                <w:bCs/>
                <w:sz w:val="24"/>
                <w:szCs w:val="24"/>
              </w:rPr>
            </w:pPr>
          </w:p>
        </w:tc>
        <w:tc>
          <w:tcPr>
            <w:tcW w:w="2262" w:type="dxa"/>
          </w:tcPr>
          <w:p w14:paraId="5F51EFE9" w14:textId="3B58923B" w:rsidR="003D5C91" w:rsidRPr="00E85E3D" w:rsidRDefault="00A53FAD" w:rsidP="00076787">
            <w:pPr>
              <w:jc w:val="right"/>
              <w:rPr>
                <w:rFonts w:ascii="Times New Roman" w:hAnsi="Times New Roman" w:cs="Times New Roman"/>
                <w:b/>
                <w:bCs/>
                <w:sz w:val="24"/>
                <w:szCs w:val="24"/>
              </w:rPr>
            </w:pPr>
            <w:r>
              <w:rPr>
                <w:rFonts w:ascii="Times New Roman" w:hAnsi="Times New Roman" w:cs="Times New Roman"/>
                <w:b/>
                <w:bCs/>
                <w:sz w:val="24"/>
                <w:szCs w:val="24"/>
              </w:rPr>
              <w:t>17</w:t>
            </w:r>
          </w:p>
        </w:tc>
      </w:tr>
      <w:tr w:rsidR="003D5C91" w:rsidRPr="00E85E3D" w14:paraId="11995853" w14:textId="77777777" w:rsidTr="003D5C91">
        <w:tc>
          <w:tcPr>
            <w:tcW w:w="7088" w:type="dxa"/>
          </w:tcPr>
          <w:p w14:paraId="67971272" w14:textId="2B066EFA" w:rsidR="003D5C91" w:rsidRPr="00E85E3D" w:rsidRDefault="003D5C91" w:rsidP="00D51B5F">
            <w:pPr>
              <w:jc w:val="both"/>
              <w:rPr>
                <w:rFonts w:ascii="Times New Roman" w:hAnsi="Times New Roman" w:cs="Times New Roman"/>
                <w:sz w:val="24"/>
                <w:szCs w:val="24"/>
              </w:rPr>
            </w:pPr>
            <w:r w:rsidRPr="00E85E3D">
              <w:rPr>
                <w:rFonts w:ascii="Times New Roman" w:hAnsi="Times New Roman" w:cs="Times New Roman"/>
                <w:b/>
                <w:bCs/>
                <w:sz w:val="24"/>
                <w:szCs w:val="24"/>
              </w:rPr>
              <w:t>SI</w:t>
            </w:r>
            <w:r w:rsidR="00A53FAD">
              <w:rPr>
                <w:rFonts w:ascii="Times New Roman" w:hAnsi="Times New Roman" w:cs="Times New Roman"/>
                <w:b/>
                <w:bCs/>
                <w:sz w:val="24"/>
                <w:szCs w:val="24"/>
              </w:rPr>
              <w:t>7</w:t>
            </w:r>
            <w:r w:rsidRPr="00E85E3D">
              <w:rPr>
                <w:rFonts w:ascii="Times New Roman" w:hAnsi="Times New Roman" w:cs="Times New Roman"/>
                <w:b/>
                <w:bCs/>
                <w:sz w:val="24"/>
                <w:szCs w:val="24"/>
              </w:rPr>
              <w:t xml:space="preserve"> Analysis on the cell voltage of </w:t>
            </w:r>
            <w:r>
              <w:rPr>
                <w:rFonts w:ascii="Times New Roman" w:hAnsi="Times New Roman" w:cs="Times New Roman"/>
                <w:b/>
                <w:bCs/>
                <w:sz w:val="24"/>
                <w:szCs w:val="24"/>
              </w:rPr>
              <w:t>SC-BPMEA</w:t>
            </w:r>
            <w:r w:rsidRPr="00E85E3D">
              <w:rPr>
                <w:rFonts w:ascii="Times New Roman" w:hAnsi="Times New Roman" w:cs="Times New Roman"/>
                <w:b/>
                <w:bCs/>
                <w:sz w:val="24"/>
                <w:szCs w:val="24"/>
              </w:rPr>
              <w:t xml:space="preserve"> operating at 35 </w:t>
            </w:r>
            <w:r w:rsidRPr="00E85E3D">
              <w:rPr>
                <w:rFonts w:ascii="Times New Roman" w:hAnsi="Times New Roman" w:cs="Times New Roman"/>
                <w:b/>
                <w:bCs/>
                <w:sz w:val="24"/>
                <w:szCs w:val="24"/>
                <w:vertAlign w:val="superscript"/>
              </w:rPr>
              <w:t>o</w:t>
            </w:r>
            <w:r w:rsidRPr="00E85E3D">
              <w:rPr>
                <w:rFonts w:ascii="Times New Roman" w:hAnsi="Times New Roman" w:cs="Times New Roman"/>
                <w:b/>
                <w:bCs/>
                <w:sz w:val="24"/>
                <w:szCs w:val="24"/>
              </w:rPr>
              <w:t>C, 200 mA cm</w:t>
            </w:r>
            <w:r w:rsidRPr="00E85E3D">
              <w:rPr>
                <w:rFonts w:ascii="Times New Roman" w:hAnsi="Times New Roman" w:cs="Times New Roman"/>
                <w:b/>
                <w:bCs/>
                <w:sz w:val="24"/>
                <w:szCs w:val="24"/>
                <w:vertAlign w:val="superscript"/>
              </w:rPr>
              <w:t>-2</w:t>
            </w:r>
            <w:r w:rsidRPr="00E85E3D">
              <w:rPr>
                <w:rFonts w:ascii="Times New Roman" w:hAnsi="Times New Roman" w:cs="Times New Roman"/>
                <w:b/>
                <w:bCs/>
                <w:sz w:val="24"/>
                <w:szCs w:val="24"/>
              </w:rPr>
              <w:t>, with KHCO</w:t>
            </w:r>
            <w:r w:rsidRPr="00E85E3D">
              <w:rPr>
                <w:rFonts w:ascii="Times New Roman" w:hAnsi="Times New Roman" w:cs="Times New Roman"/>
                <w:b/>
                <w:bCs/>
                <w:sz w:val="24"/>
                <w:szCs w:val="24"/>
                <w:vertAlign w:val="subscript"/>
              </w:rPr>
              <w:t>3</w:t>
            </w:r>
            <w:r w:rsidRPr="00E85E3D">
              <w:rPr>
                <w:rFonts w:ascii="Times New Roman" w:hAnsi="Times New Roman" w:cs="Times New Roman"/>
                <w:b/>
                <w:bCs/>
                <w:sz w:val="24"/>
                <w:szCs w:val="24"/>
              </w:rPr>
              <w:t xml:space="preserve"> anolyte and 65 μm 0.5M K</w:t>
            </w:r>
            <w:r w:rsidRPr="00E85E3D">
              <w:rPr>
                <w:rFonts w:ascii="Times New Roman" w:hAnsi="Times New Roman" w:cs="Times New Roman"/>
                <w:b/>
                <w:bCs/>
                <w:sz w:val="24"/>
                <w:szCs w:val="24"/>
                <w:vertAlign w:val="subscript"/>
              </w:rPr>
              <w:t>2</w:t>
            </w:r>
            <w:r w:rsidRPr="00E85E3D">
              <w:rPr>
                <w:rFonts w:ascii="Times New Roman" w:hAnsi="Times New Roman" w:cs="Times New Roman"/>
                <w:b/>
                <w:bCs/>
                <w:sz w:val="24"/>
                <w:szCs w:val="24"/>
              </w:rPr>
              <w:t>SO</w:t>
            </w:r>
            <w:r w:rsidRPr="00E85E3D">
              <w:rPr>
                <w:rFonts w:ascii="Times New Roman" w:hAnsi="Times New Roman" w:cs="Times New Roman"/>
                <w:b/>
                <w:bCs/>
                <w:sz w:val="24"/>
                <w:szCs w:val="24"/>
                <w:vertAlign w:val="subscript"/>
              </w:rPr>
              <w:t>4</w:t>
            </w:r>
            <w:r w:rsidRPr="00E85E3D">
              <w:rPr>
                <w:rFonts w:ascii="Times New Roman" w:hAnsi="Times New Roman" w:cs="Times New Roman"/>
                <w:b/>
                <w:bCs/>
                <w:sz w:val="24"/>
                <w:szCs w:val="24"/>
              </w:rPr>
              <w:t xml:space="preserve"> catholyte layer.</w:t>
            </w:r>
          </w:p>
          <w:p w14:paraId="38C0BD10" w14:textId="086E096E" w:rsidR="003D5C91" w:rsidRPr="00E85E3D" w:rsidRDefault="003D5C91" w:rsidP="00547D56">
            <w:pPr>
              <w:rPr>
                <w:rFonts w:ascii="Times New Roman" w:hAnsi="Times New Roman" w:cs="Times New Roman"/>
                <w:b/>
                <w:bCs/>
                <w:sz w:val="24"/>
                <w:szCs w:val="24"/>
              </w:rPr>
            </w:pPr>
          </w:p>
        </w:tc>
        <w:tc>
          <w:tcPr>
            <w:tcW w:w="2262" w:type="dxa"/>
          </w:tcPr>
          <w:p w14:paraId="5521ED4C" w14:textId="293BC6F6" w:rsidR="003D5C91" w:rsidRPr="00E85E3D" w:rsidRDefault="003D5C91" w:rsidP="00076787">
            <w:pPr>
              <w:jc w:val="right"/>
              <w:rPr>
                <w:rFonts w:ascii="Times New Roman" w:hAnsi="Times New Roman" w:cs="Times New Roman"/>
                <w:b/>
                <w:bCs/>
                <w:sz w:val="24"/>
                <w:szCs w:val="24"/>
              </w:rPr>
            </w:pPr>
            <w:r>
              <w:rPr>
                <w:rFonts w:ascii="Times New Roman" w:hAnsi="Times New Roman" w:cs="Times New Roman"/>
                <w:b/>
                <w:bCs/>
                <w:sz w:val="24"/>
                <w:szCs w:val="24"/>
              </w:rPr>
              <w:t>2</w:t>
            </w:r>
            <w:r w:rsidR="00EE15BD">
              <w:rPr>
                <w:rFonts w:ascii="Times New Roman" w:hAnsi="Times New Roman" w:cs="Times New Roman"/>
                <w:b/>
                <w:bCs/>
                <w:sz w:val="24"/>
                <w:szCs w:val="24"/>
              </w:rPr>
              <w:t>0</w:t>
            </w:r>
          </w:p>
        </w:tc>
      </w:tr>
      <w:tr w:rsidR="003D5C91" w:rsidRPr="00E85E3D" w14:paraId="27AF2050" w14:textId="77777777" w:rsidTr="003D5C91">
        <w:tc>
          <w:tcPr>
            <w:tcW w:w="7088" w:type="dxa"/>
          </w:tcPr>
          <w:p w14:paraId="29AB9CB2" w14:textId="0904283A" w:rsidR="003D5C91" w:rsidRPr="00E85E3D" w:rsidRDefault="003D5C91" w:rsidP="00D51B5F">
            <w:pPr>
              <w:jc w:val="both"/>
              <w:rPr>
                <w:rFonts w:ascii="Times New Roman" w:hAnsi="Times New Roman" w:cs="Times New Roman"/>
                <w:sz w:val="24"/>
                <w:szCs w:val="24"/>
              </w:rPr>
            </w:pPr>
            <w:r w:rsidRPr="00E85E3D">
              <w:rPr>
                <w:rFonts w:ascii="Times New Roman" w:hAnsi="Times New Roman" w:cs="Times New Roman"/>
                <w:b/>
                <w:bCs/>
                <w:sz w:val="24"/>
                <w:szCs w:val="24"/>
              </w:rPr>
              <w:t>SI</w:t>
            </w:r>
            <w:r w:rsidR="00A53FAD">
              <w:rPr>
                <w:rFonts w:ascii="Times New Roman" w:hAnsi="Times New Roman" w:cs="Times New Roman"/>
                <w:b/>
                <w:bCs/>
                <w:sz w:val="24"/>
                <w:szCs w:val="24"/>
              </w:rPr>
              <w:t>8</w:t>
            </w:r>
            <w:r w:rsidRPr="00E85E3D">
              <w:rPr>
                <w:rFonts w:ascii="Times New Roman" w:hAnsi="Times New Roman" w:cs="Times New Roman"/>
                <w:b/>
                <w:bCs/>
                <w:sz w:val="24"/>
                <w:szCs w:val="24"/>
              </w:rPr>
              <w:t xml:space="preserve"> The FE distributions of the </w:t>
            </w:r>
            <w:r>
              <w:rPr>
                <w:rFonts w:ascii="Times New Roman" w:hAnsi="Times New Roman" w:cs="Times New Roman"/>
                <w:b/>
                <w:bCs/>
                <w:sz w:val="24"/>
                <w:szCs w:val="24"/>
              </w:rPr>
              <w:t>SC-BPMEA</w:t>
            </w:r>
            <w:r w:rsidRPr="00E85E3D">
              <w:rPr>
                <w:rFonts w:ascii="Times New Roman" w:hAnsi="Times New Roman" w:cs="Times New Roman"/>
                <w:b/>
                <w:bCs/>
                <w:sz w:val="24"/>
                <w:szCs w:val="24"/>
              </w:rPr>
              <w:t xml:space="preserve"> with 16 μm 0.5 M K</w:t>
            </w:r>
            <w:r w:rsidRPr="00E85E3D">
              <w:rPr>
                <w:rFonts w:ascii="Times New Roman" w:hAnsi="Times New Roman" w:cs="Times New Roman"/>
                <w:b/>
                <w:bCs/>
                <w:sz w:val="24"/>
                <w:szCs w:val="24"/>
                <w:vertAlign w:val="subscript"/>
              </w:rPr>
              <w:t>2</w:t>
            </w:r>
            <w:r w:rsidRPr="00E85E3D">
              <w:rPr>
                <w:rFonts w:ascii="Times New Roman" w:hAnsi="Times New Roman" w:cs="Times New Roman"/>
                <w:b/>
                <w:bCs/>
                <w:sz w:val="24"/>
                <w:szCs w:val="24"/>
              </w:rPr>
              <w:t>SO</w:t>
            </w:r>
            <w:r w:rsidRPr="00E85E3D">
              <w:rPr>
                <w:rFonts w:ascii="Times New Roman" w:hAnsi="Times New Roman" w:cs="Times New Roman"/>
                <w:b/>
                <w:bCs/>
                <w:sz w:val="24"/>
                <w:szCs w:val="24"/>
                <w:vertAlign w:val="subscript"/>
              </w:rPr>
              <w:t>4</w:t>
            </w:r>
            <w:r w:rsidR="007A00E9">
              <w:rPr>
                <w:rFonts w:ascii="Times New Roman" w:hAnsi="Times New Roman" w:cs="Times New Roman"/>
                <w:b/>
                <w:bCs/>
                <w:sz w:val="24"/>
                <w:szCs w:val="24"/>
                <w:vertAlign w:val="subscript"/>
              </w:rPr>
              <w:t xml:space="preserve"> </w:t>
            </w:r>
            <w:r w:rsidR="007A00E9" w:rsidRPr="007A00E9">
              <w:rPr>
                <w:rFonts w:ascii="Times New Roman" w:hAnsi="Times New Roman" w:cs="Times New Roman"/>
                <w:b/>
                <w:bCs/>
                <w:sz w:val="24"/>
                <w:szCs w:val="24"/>
              </w:rPr>
              <w:t>SC-layer.</w:t>
            </w:r>
          </w:p>
          <w:p w14:paraId="58A277B2" w14:textId="77777777" w:rsidR="003D5C91" w:rsidRPr="00E85E3D" w:rsidRDefault="003D5C91" w:rsidP="00547D56">
            <w:pPr>
              <w:rPr>
                <w:rFonts w:ascii="Times New Roman" w:hAnsi="Times New Roman" w:cs="Times New Roman"/>
                <w:b/>
                <w:bCs/>
                <w:sz w:val="24"/>
                <w:szCs w:val="24"/>
              </w:rPr>
            </w:pPr>
          </w:p>
        </w:tc>
        <w:tc>
          <w:tcPr>
            <w:tcW w:w="2262" w:type="dxa"/>
          </w:tcPr>
          <w:p w14:paraId="6BD6BA1F" w14:textId="7C3668C0" w:rsidR="003D5C91" w:rsidRPr="00E85E3D" w:rsidRDefault="003D5C91" w:rsidP="00076787">
            <w:pPr>
              <w:jc w:val="right"/>
              <w:rPr>
                <w:rFonts w:ascii="Times New Roman" w:hAnsi="Times New Roman" w:cs="Times New Roman"/>
                <w:b/>
                <w:bCs/>
                <w:sz w:val="24"/>
                <w:szCs w:val="24"/>
              </w:rPr>
            </w:pPr>
            <w:r>
              <w:rPr>
                <w:rFonts w:ascii="Times New Roman" w:hAnsi="Times New Roman" w:cs="Times New Roman"/>
                <w:b/>
                <w:bCs/>
                <w:sz w:val="24"/>
                <w:szCs w:val="24"/>
              </w:rPr>
              <w:t>2</w:t>
            </w:r>
            <w:r w:rsidR="00C35B69">
              <w:rPr>
                <w:rFonts w:ascii="Times New Roman" w:hAnsi="Times New Roman" w:cs="Times New Roman"/>
                <w:b/>
                <w:bCs/>
                <w:sz w:val="24"/>
                <w:szCs w:val="24"/>
              </w:rPr>
              <w:t>3</w:t>
            </w:r>
          </w:p>
        </w:tc>
      </w:tr>
      <w:tr w:rsidR="003D5C91" w:rsidRPr="00E85E3D" w14:paraId="2073469F" w14:textId="77777777" w:rsidTr="003D5C91">
        <w:tc>
          <w:tcPr>
            <w:tcW w:w="7088" w:type="dxa"/>
          </w:tcPr>
          <w:p w14:paraId="37A7271D" w14:textId="5D6D79F8" w:rsidR="003D5C91" w:rsidRPr="00E85E3D" w:rsidRDefault="003D5C91" w:rsidP="00676B6A">
            <w:pPr>
              <w:jc w:val="both"/>
              <w:rPr>
                <w:rFonts w:ascii="Times New Roman" w:hAnsi="Times New Roman" w:cs="Times New Roman"/>
                <w:b/>
                <w:bCs/>
                <w:sz w:val="24"/>
                <w:szCs w:val="24"/>
              </w:rPr>
            </w:pPr>
            <w:r w:rsidRPr="00E85E3D">
              <w:rPr>
                <w:rFonts w:ascii="Times New Roman" w:hAnsi="Times New Roman" w:cs="Times New Roman"/>
                <w:b/>
                <w:bCs/>
                <w:sz w:val="24"/>
                <w:szCs w:val="24"/>
              </w:rPr>
              <w:t>SI</w:t>
            </w:r>
            <w:r w:rsidR="00A53FAD">
              <w:rPr>
                <w:rFonts w:ascii="Times New Roman" w:hAnsi="Times New Roman" w:cs="Times New Roman"/>
                <w:b/>
                <w:bCs/>
                <w:sz w:val="24"/>
                <w:szCs w:val="24"/>
              </w:rPr>
              <w:t>9</w:t>
            </w:r>
            <w:r w:rsidRPr="00E85E3D">
              <w:rPr>
                <w:rFonts w:ascii="Times New Roman" w:hAnsi="Times New Roman" w:cs="Times New Roman"/>
                <w:b/>
                <w:bCs/>
                <w:sz w:val="24"/>
                <w:szCs w:val="24"/>
              </w:rPr>
              <w:t xml:space="preserve"> Additional CO</w:t>
            </w:r>
            <w:r w:rsidRPr="00E85E3D">
              <w:rPr>
                <w:rFonts w:ascii="Times New Roman" w:hAnsi="Times New Roman" w:cs="Times New Roman"/>
                <w:b/>
                <w:bCs/>
                <w:sz w:val="24"/>
                <w:szCs w:val="24"/>
                <w:vertAlign w:val="subscript"/>
              </w:rPr>
              <w:t>2</w:t>
            </w:r>
            <w:r w:rsidRPr="00E85E3D">
              <w:rPr>
                <w:rFonts w:ascii="Times New Roman" w:hAnsi="Times New Roman" w:cs="Times New Roman"/>
                <w:b/>
                <w:bCs/>
                <w:sz w:val="24"/>
                <w:szCs w:val="24"/>
              </w:rPr>
              <w:t xml:space="preserve"> SPU results for </w:t>
            </w:r>
            <w:r>
              <w:rPr>
                <w:rFonts w:ascii="Times New Roman" w:hAnsi="Times New Roman" w:cs="Times New Roman"/>
                <w:b/>
                <w:bCs/>
                <w:sz w:val="24"/>
                <w:szCs w:val="24"/>
              </w:rPr>
              <w:t>SC-BPMEA</w:t>
            </w:r>
            <w:r w:rsidRPr="00E85E3D">
              <w:rPr>
                <w:rFonts w:ascii="Times New Roman" w:hAnsi="Times New Roman" w:cs="Times New Roman"/>
                <w:b/>
                <w:bCs/>
                <w:sz w:val="24"/>
                <w:szCs w:val="24"/>
              </w:rPr>
              <w:t>s with different SC-layer thickness.</w:t>
            </w:r>
          </w:p>
          <w:p w14:paraId="541A76BA" w14:textId="77777777" w:rsidR="003D5C91" w:rsidRPr="00E85E3D" w:rsidRDefault="003D5C91" w:rsidP="00547D56">
            <w:pPr>
              <w:rPr>
                <w:rFonts w:ascii="Times New Roman" w:hAnsi="Times New Roman" w:cs="Times New Roman"/>
                <w:b/>
                <w:bCs/>
                <w:sz w:val="24"/>
                <w:szCs w:val="24"/>
              </w:rPr>
            </w:pPr>
          </w:p>
        </w:tc>
        <w:tc>
          <w:tcPr>
            <w:tcW w:w="2262" w:type="dxa"/>
          </w:tcPr>
          <w:p w14:paraId="164998B0" w14:textId="769455F4" w:rsidR="003D5C91" w:rsidRPr="00E85E3D" w:rsidRDefault="003D5C91" w:rsidP="00076787">
            <w:pPr>
              <w:jc w:val="right"/>
              <w:rPr>
                <w:rFonts w:ascii="Times New Roman" w:hAnsi="Times New Roman" w:cs="Times New Roman"/>
                <w:b/>
                <w:bCs/>
                <w:sz w:val="24"/>
                <w:szCs w:val="24"/>
              </w:rPr>
            </w:pPr>
            <w:r>
              <w:rPr>
                <w:rFonts w:ascii="Times New Roman" w:hAnsi="Times New Roman" w:cs="Times New Roman"/>
                <w:b/>
                <w:bCs/>
                <w:sz w:val="24"/>
                <w:szCs w:val="24"/>
              </w:rPr>
              <w:t>2</w:t>
            </w:r>
            <w:r w:rsidR="00C35B69">
              <w:rPr>
                <w:rFonts w:ascii="Times New Roman" w:hAnsi="Times New Roman" w:cs="Times New Roman"/>
                <w:b/>
                <w:bCs/>
                <w:sz w:val="24"/>
                <w:szCs w:val="24"/>
              </w:rPr>
              <w:t>4</w:t>
            </w:r>
          </w:p>
        </w:tc>
      </w:tr>
      <w:tr w:rsidR="003D5C91" w:rsidRPr="00E85E3D" w14:paraId="3BC45EC3" w14:textId="77777777" w:rsidTr="003D5C91">
        <w:tc>
          <w:tcPr>
            <w:tcW w:w="7088" w:type="dxa"/>
          </w:tcPr>
          <w:p w14:paraId="22946432" w14:textId="5F08041F" w:rsidR="003D5C91" w:rsidRPr="00E85E3D" w:rsidRDefault="003D5C91" w:rsidP="00994AFC">
            <w:pPr>
              <w:jc w:val="both"/>
              <w:rPr>
                <w:rFonts w:ascii="Times New Roman" w:hAnsi="Times New Roman" w:cs="Times New Roman"/>
                <w:b/>
                <w:bCs/>
                <w:sz w:val="24"/>
                <w:szCs w:val="24"/>
              </w:rPr>
            </w:pPr>
            <w:r w:rsidRPr="00E85E3D">
              <w:rPr>
                <w:rFonts w:ascii="Times New Roman" w:hAnsi="Times New Roman" w:cs="Times New Roman"/>
                <w:b/>
                <w:bCs/>
                <w:sz w:val="24"/>
                <w:szCs w:val="24"/>
              </w:rPr>
              <w:t>SI1</w:t>
            </w:r>
            <w:r w:rsidR="00A53FAD">
              <w:rPr>
                <w:rFonts w:ascii="Times New Roman" w:hAnsi="Times New Roman" w:cs="Times New Roman"/>
                <w:b/>
                <w:bCs/>
                <w:sz w:val="24"/>
                <w:szCs w:val="24"/>
              </w:rPr>
              <w:t>0</w:t>
            </w:r>
            <w:r w:rsidRPr="00E85E3D">
              <w:rPr>
                <w:rFonts w:ascii="Times New Roman" w:hAnsi="Times New Roman" w:cs="Times New Roman"/>
                <w:b/>
                <w:bCs/>
                <w:sz w:val="24"/>
                <w:szCs w:val="24"/>
              </w:rPr>
              <w:t xml:space="preserve"> The compatibility of </w:t>
            </w:r>
            <w:r>
              <w:rPr>
                <w:rFonts w:ascii="Times New Roman" w:hAnsi="Times New Roman" w:cs="Times New Roman"/>
                <w:b/>
                <w:bCs/>
                <w:sz w:val="24"/>
                <w:szCs w:val="24"/>
              </w:rPr>
              <w:t>SC-BPMEA</w:t>
            </w:r>
            <w:r w:rsidRPr="00E85E3D">
              <w:rPr>
                <w:rFonts w:ascii="Times New Roman" w:hAnsi="Times New Roman" w:cs="Times New Roman"/>
                <w:b/>
                <w:bCs/>
                <w:sz w:val="24"/>
                <w:szCs w:val="24"/>
              </w:rPr>
              <w:t xml:space="preserve"> with acidic and basic anolytes.</w:t>
            </w:r>
          </w:p>
          <w:p w14:paraId="6B9F8927" w14:textId="77777777" w:rsidR="003D5C91" w:rsidRPr="00E85E3D" w:rsidRDefault="003D5C91" w:rsidP="00D51B5F">
            <w:pPr>
              <w:jc w:val="both"/>
              <w:rPr>
                <w:rFonts w:ascii="Times New Roman" w:hAnsi="Times New Roman" w:cs="Times New Roman"/>
                <w:b/>
                <w:bCs/>
                <w:sz w:val="24"/>
                <w:szCs w:val="24"/>
              </w:rPr>
            </w:pPr>
          </w:p>
        </w:tc>
        <w:tc>
          <w:tcPr>
            <w:tcW w:w="2262" w:type="dxa"/>
          </w:tcPr>
          <w:p w14:paraId="625D9906" w14:textId="71020499" w:rsidR="003D5C91" w:rsidRPr="00E85E3D" w:rsidRDefault="00C35B69" w:rsidP="00076787">
            <w:pPr>
              <w:jc w:val="right"/>
              <w:rPr>
                <w:rFonts w:ascii="Times New Roman" w:hAnsi="Times New Roman" w:cs="Times New Roman"/>
                <w:b/>
                <w:bCs/>
                <w:sz w:val="24"/>
                <w:szCs w:val="24"/>
              </w:rPr>
            </w:pPr>
            <w:r>
              <w:rPr>
                <w:rFonts w:ascii="Times New Roman" w:hAnsi="Times New Roman" w:cs="Times New Roman"/>
                <w:b/>
                <w:bCs/>
                <w:sz w:val="24"/>
                <w:szCs w:val="24"/>
              </w:rPr>
              <w:t>25</w:t>
            </w:r>
          </w:p>
        </w:tc>
      </w:tr>
      <w:tr w:rsidR="003D5C91" w:rsidRPr="00E85E3D" w14:paraId="54F817F5" w14:textId="77777777" w:rsidTr="003D5C91">
        <w:tc>
          <w:tcPr>
            <w:tcW w:w="7088" w:type="dxa"/>
          </w:tcPr>
          <w:p w14:paraId="31D491C8" w14:textId="0FD8035A" w:rsidR="003D5C91" w:rsidRPr="00E85E3D" w:rsidRDefault="003D5C91" w:rsidP="006D486B">
            <w:pPr>
              <w:jc w:val="both"/>
              <w:rPr>
                <w:rFonts w:ascii="Times New Roman" w:hAnsi="Times New Roman" w:cs="Times New Roman"/>
                <w:b/>
                <w:bCs/>
                <w:sz w:val="24"/>
                <w:szCs w:val="24"/>
              </w:rPr>
            </w:pPr>
            <w:r w:rsidRPr="00E85E3D">
              <w:rPr>
                <w:rFonts w:ascii="Times New Roman" w:hAnsi="Times New Roman" w:cs="Times New Roman"/>
                <w:b/>
                <w:bCs/>
                <w:sz w:val="24"/>
                <w:szCs w:val="24"/>
              </w:rPr>
              <w:t>SI1</w:t>
            </w:r>
            <w:r w:rsidR="00A53FAD">
              <w:rPr>
                <w:rFonts w:ascii="Times New Roman" w:hAnsi="Times New Roman" w:cs="Times New Roman"/>
                <w:b/>
                <w:bCs/>
                <w:sz w:val="24"/>
                <w:szCs w:val="24"/>
              </w:rPr>
              <w:t>1</w:t>
            </w:r>
            <w:r w:rsidRPr="00E85E3D">
              <w:rPr>
                <w:rFonts w:ascii="Times New Roman" w:hAnsi="Times New Roman" w:cs="Times New Roman"/>
                <w:b/>
                <w:bCs/>
                <w:sz w:val="24"/>
                <w:szCs w:val="24"/>
              </w:rPr>
              <w:t xml:space="preserve"> Stability of </w:t>
            </w:r>
            <w:r>
              <w:rPr>
                <w:rFonts w:ascii="Times New Roman" w:hAnsi="Times New Roman" w:cs="Times New Roman"/>
                <w:b/>
                <w:bCs/>
                <w:sz w:val="24"/>
                <w:szCs w:val="24"/>
              </w:rPr>
              <w:t>SC-BPMEA</w:t>
            </w:r>
            <w:r w:rsidRPr="00E85E3D">
              <w:rPr>
                <w:rFonts w:ascii="Times New Roman" w:hAnsi="Times New Roman" w:cs="Times New Roman"/>
                <w:b/>
                <w:bCs/>
                <w:sz w:val="24"/>
                <w:szCs w:val="24"/>
              </w:rPr>
              <w:t xml:space="preserve"> with 65 μm 0.5 M K</w:t>
            </w:r>
            <w:r w:rsidRPr="00E85E3D">
              <w:rPr>
                <w:rFonts w:ascii="Times New Roman" w:hAnsi="Times New Roman" w:cs="Times New Roman"/>
                <w:b/>
                <w:bCs/>
                <w:sz w:val="24"/>
                <w:szCs w:val="24"/>
                <w:vertAlign w:val="subscript"/>
              </w:rPr>
              <w:t>2</w:t>
            </w:r>
            <w:r w:rsidRPr="00E85E3D">
              <w:rPr>
                <w:rFonts w:ascii="Times New Roman" w:hAnsi="Times New Roman" w:cs="Times New Roman"/>
                <w:b/>
                <w:bCs/>
                <w:sz w:val="24"/>
                <w:szCs w:val="24"/>
              </w:rPr>
              <w:t>SO</w:t>
            </w:r>
            <w:r w:rsidRPr="00E85E3D">
              <w:rPr>
                <w:rFonts w:ascii="Times New Roman" w:hAnsi="Times New Roman" w:cs="Times New Roman"/>
                <w:b/>
                <w:bCs/>
                <w:sz w:val="24"/>
                <w:szCs w:val="24"/>
                <w:vertAlign w:val="subscript"/>
              </w:rPr>
              <w:t>4</w:t>
            </w:r>
            <w:r w:rsidRPr="00E85E3D">
              <w:rPr>
                <w:rFonts w:ascii="Times New Roman" w:hAnsi="Times New Roman" w:cs="Times New Roman"/>
                <w:b/>
                <w:bCs/>
                <w:sz w:val="24"/>
                <w:szCs w:val="24"/>
              </w:rPr>
              <w:t xml:space="preserve"> and restricted CO</w:t>
            </w:r>
            <w:r w:rsidRPr="00E85E3D">
              <w:rPr>
                <w:rFonts w:ascii="Times New Roman" w:hAnsi="Times New Roman" w:cs="Times New Roman"/>
                <w:b/>
                <w:bCs/>
                <w:sz w:val="24"/>
                <w:szCs w:val="24"/>
                <w:vertAlign w:val="subscript"/>
              </w:rPr>
              <w:t>2</w:t>
            </w:r>
            <w:r w:rsidRPr="00E85E3D">
              <w:rPr>
                <w:rFonts w:ascii="Times New Roman" w:hAnsi="Times New Roman" w:cs="Times New Roman"/>
                <w:b/>
                <w:bCs/>
                <w:sz w:val="24"/>
                <w:szCs w:val="24"/>
              </w:rPr>
              <w:t xml:space="preserve"> flow rate</w:t>
            </w:r>
          </w:p>
          <w:p w14:paraId="33B32F5B" w14:textId="77777777" w:rsidR="003D5C91" w:rsidRPr="00E85E3D" w:rsidRDefault="003D5C91" w:rsidP="00D51B5F">
            <w:pPr>
              <w:jc w:val="both"/>
              <w:rPr>
                <w:rFonts w:ascii="Times New Roman" w:hAnsi="Times New Roman" w:cs="Times New Roman"/>
                <w:b/>
                <w:bCs/>
                <w:sz w:val="24"/>
                <w:szCs w:val="24"/>
              </w:rPr>
            </w:pPr>
          </w:p>
        </w:tc>
        <w:tc>
          <w:tcPr>
            <w:tcW w:w="2262" w:type="dxa"/>
          </w:tcPr>
          <w:p w14:paraId="7C2C925E" w14:textId="33C54A5A" w:rsidR="003D5C91" w:rsidRPr="00E85E3D" w:rsidRDefault="00A54B19" w:rsidP="00076787">
            <w:pPr>
              <w:jc w:val="right"/>
              <w:rPr>
                <w:rFonts w:ascii="Times New Roman" w:hAnsi="Times New Roman" w:cs="Times New Roman"/>
                <w:b/>
                <w:bCs/>
                <w:sz w:val="24"/>
                <w:szCs w:val="24"/>
              </w:rPr>
            </w:pPr>
            <w:r>
              <w:rPr>
                <w:rFonts w:ascii="Times New Roman" w:hAnsi="Times New Roman" w:cs="Times New Roman"/>
                <w:b/>
                <w:bCs/>
                <w:sz w:val="24"/>
                <w:szCs w:val="24"/>
              </w:rPr>
              <w:t>27</w:t>
            </w:r>
          </w:p>
        </w:tc>
      </w:tr>
      <w:tr w:rsidR="003D5C91" w:rsidRPr="00E85E3D" w14:paraId="530D2DEC" w14:textId="77777777" w:rsidTr="003D5C91">
        <w:tc>
          <w:tcPr>
            <w:tcW w:w="7088" w:type="dxa"/>
          </w:tcPr>
          <w:p w14:paraId="42E9614D" w14:textId="7D1B2514" w:rsidR="003D5C91" w:rsidRPr="00E85E3D" w:rsidRDefault="003D5C91" w:rsidP="000B66C7">
            <w:pPr>
              <w:jc w:val="both"/>
              <w:rPr>
                <w:rFonts w:ascii="Times New Roman" w:hAnsi="Times New Roman" w:cs="Times New Roman"/>
                <w:b/>
                <w:bCs/>
                <w:sz w:val="24"/>
                <w:szCs w:val="24"/>
              </w:rPr>
            </w:pPr>
            <w:r w:rsidRPr="00E85E3D">
              <w:rPr>
                <w:rFonts w:ascii="Times New Roman" w:hAnsi="Times New Roman" w:cs="Times New Roman"/>
                <w:b/>
                <w:bCs/>
                <w:sz w:val="24"/>
                <w:szCs w:val="24"/>
              </w:rPr>
              <w:t>SI1</w:t>
            </w:r>
            <w:r w:rsidR="00A53FAD">
              <w:rPr>
                <w:rFonts w:ascii="Times New Roman" w:hAnsi="Times New Roman" w:cs="Times New Roman"/>
                <w:b/>
                <w:bCs/>
                <w:sz w:val="24"/>
                <w:szCs w:val="24"/>
              </w:rPr>
              <w:t>2</w:t>
            </w:r>
            <w:r w:rsidRPr="00E85E3D">
              <w:rPr>
                <w:rFonts w:ascii="Times New Roman" w:hAnsi="Times New Roman" w:cs="Times New Roman"/>
                <w:b/>
                <w:bCs/>
                <w:sz w:val="24"/>
                <w:szCs w:val="24"/>
              </w:rPr>
              <w:t xml:space="preserve"> Energy assessments of the </w:t>
            </w:r>
            <w:r>
              <w:rPr>
                <w:rFonts w:ascii="Times New Roman" w:hAnsi="Times New Roman" w:cs="Times New Roman"/>
                <w:b/>
                <w:bCs/>
                <w:sz w:val="24"/>
                <w:szCs w:val="24"/>
              </w:rPr>
              <w:t>SC-BPMEA</w:t>
            </w:r>
            <w:r w:rsidRPr="00E85E3D">
              <w:rPr>
                <w:rFonts w:ascii="Times New Roman" w:hAnsi="Times New Roman" w:cs="Times New Roman"/>
                <w:b/>
                <w:bCs/>
                <w:sz w:val="24"/>
                <w:szCs w:val="24"/>
              </w:rPr>
              <w:t xml:space="preserve"> operating at different CO</w:t>
            </w:r>
            <w:r w:rsidRPr="00E85E3D">
              <w:rPr>
                <w:rFonts w:ascii="Times New Roman" w:hAnsi="Times New Roman" w:cs="Times New Roman"/>
                <w:b/>
                <w:bCs/>
                <w:sz w:val="24"/>
                <w:szCs w:val="24"/>
                <w:vertAlign w:val="subscript"/>
              </w:rPr>
              <w:t>2</w:t>
            </w:r>
            <w:r w:rsidRPr="00E85E3D">
              <w:rPr>
                <w:rFonts w:ascii="Times New Roman" w:hAnsi="Times New Roman" w:cs="Times New Roman"/>
                <w:b/>
                <w:bCs/>
                <w:sz w:val="24"/>
                <w:szCs w:val="24"/>
              </w:rPr>
              <w:t xml:space="preserve"> input flow rates.</w:t>
            </w:r>
          </w:p>
          <w:p w14:paraId="2C8126EE" w14:textId="77777777" w:rsidR="003D5C91" w:rsidRPr="00E85E3D" w:rsidRDefault="003D5C91" w:rsidP="00547D56">
            <w:pPr>
              <w:rPr>
                <w:rFonts w:ascii="Times New Roman" w:hAnsi="Times New Roman" w:cs="Times New Roman"/>
                <w:b/>
                <w:bCs/>
                <w:sz w:val="24"/>
                <w:szCs w:val="24"/>
              </w:rPr>
            </w:pPr>
          </w:p>
        </w:tc>
        <w:tc>
          <w:tcPr>
            <w:tcW w:w="2262" w:type="dxa"/>
          </w:tcPr>
          <w:p w14:paraId="71BF4D80" w14:textId="5F746365" w:rsidR="003D5C91" w:rsidRPr="00E85E3D" w:rsidRDefault="00A54B19" w:rsidP="00076787">
            <w:pPr>
              <w:jc w:val="right"/>
              <w:rPr>
                <w:rFonts w:ascii="Times New Roman" w:hAnsi="Times New Roman" w:cs="Times New Roman"/>
                <w:b/>
                <w:bCs/>
                <w:sz w:val="24"/>
                <w:szCs w:val="24"/>
              </w:rPr>
            </w:pPr>
            <w:r>
              <w:rPr>
                <w:rFonts w:ascii="Times New Roman" w:hAnsi="Times New Roman" w:cs="Times New Roman"/>
                <w:b/>
                <w:bCs/>
                <w:sz w:val="24"/>
                <w:szCs w:val="24"/>
              </w:rPr>
              <w:t>28</w:t>
            </w:r>
          </w:p>
        </w:tc>
      </w:tr>
      <w:tr w:rsidR="00C85802" w:rsidRPr="00E85E3D" w14:paraId="0E6512F0" w14:textId="77777777" w:rsidTr="003D5C91">
        <w:tc>
          <w:tcPr>
            <w:tcW w:w="7088" w:type="dxa"/>
          </w:tcPr>
          <w:p w14:paraId="5DE13DDA" w14:textId="77777777" w:rsidR="00C85802" w:rsidRDefault="00C85802" w:rsidP="00C85802">
            <w:pPr>
              <w:rPr>
                <w:rFonts w:ascii="Times New Roman" w:hAnsi="Times New Roman" w:cs="Times New Roman"/>
                <w:b/>
                <w:bCs/>
                <w:sz w:val="24"/>
                <w:szCs w:val="24"/>
              </w:rPr>
            </w:pPr>
            <w:r w:rsidRPr="009D52EB">
              <w:rPr>
                <w:rFonts w:ascii="Times New Roman" w:hAnsi="Times New Roman" w:cs="Times New Roman"/>
                <w:b/>
                <w:bCs/>
                <w:sz w:val="24"/>
                <w:szCs w:val="24"/>
              </w:rPr>
              <w:t>SI1</w:t>
            </w:r>
            <w:r>
              <w:rPr>
                <w:rFonts w:ascii="Times New Roman" w:hAnsi="Times New Roman" w:cs="Times New Roman"/>
                <w:b/>
                <w:bCs/>
                <w:sz w:val="24"/>
                <w:szCs w:val="24"/>
              </w:rPr>
              <w:t xml:space="preserve">3 Additional information for </w:t>
            </w:r>
            <w:r w:rsidRPr="00512678">
              <w:rPr>
                <w:rFonts w:ascii="Times New Roman" w:hAnsi="Times New Roman" w:cs="Times New Roman"/>
                <w:b/>
                <w:bCs/>
                <w:sz w:val="24"/>
                <w:szCs w:val="24"/>
              </w:rPr>
              <w:t>COMSOL one-dimensional modeling</w:t>
            </w:r>
          </w:p>
          <w:p w14:paraId="7DCF1632" w14:textId="77777777" w:rsidR="00C85802" w:rsidRPr="00E85E3D" w:rsidRDefault="00C85802" w:rsidP="000B66C7">
            <w:pPr>
              <w:jc w:val="both"/>
              <w:rPr>
                <w:rFonts w:ascii="Times New Roman" w:hAnsi="Times New Roman" w:cs="Times New Roman"/>
                <w:b/>
                <w:bCs/>
                <w:sz w:val="24"/>
                <w:szCs w:val="24"/>
              </w:rPr>
            </w:pPr>
          </w:p>
        </w:tc>
        <w:tc>
          <w:tcPr>
            <w:tcW w:w="2262" w:type="dxa"/>
          </w:tcPr>
          <w:p w14:paraId="0C936A63" w14:textId="3ECD05BA" w:rsidR="00C85802" w:rsidRDefault="00C85802" w:rsidP="00076787">
            <w:pPr>
              <w:jc w:val="right"/>
              <w:rPr>
                <w:rFonts w:ascii="Times New Roman" w:hAnsi="Times New Roman" w:cs="Times New Roman"/>
                <w:b/>
                <w:bCs/>
                <w:sz w:val="24"/>
                <w:szCs w:val="24"/>
              </w:rPr>
            </w:pPr>
            <w:r>
              <w:rPr>
                <w:rFonts w:ascii="Times New Roman" w:hAnsi="Times New Roman" w:cs="Times New Roman"/>
                <w:b/>
                <w:bCs/>
                <w:sz w:val="24"/>
                <w:szCs w:val="24"/>
              </w:rPr>
              <w:t>29</w:t>
            </w:r>
          </w:p>
        </w:tc>
      </w:tr>
      <w:tr w:rsidR="003D5C91" w:rsidRPr="00E85E3D" w14:paraId="25F74313" w14:textId="77777777" w:rsidTr="003D5C91">
        <w:tc>
          <w:tcPr>
            <w:tcW w:w="7088" w:type="dxa"/>
          </w:tcPr>
          <w:p w14:paraId="36A9D23C" w14:textId="0E4690EE" w:rsidR="003D5C91" w:rsidRPr="00E85E3D" w:rsidRDefault="003D5C91" w:rsidP="006D486B">
            <w:pPr>
              <w:jc w:val="both"/>
              <w:rPr>
                <w:rFonts w:ascii="Times New Roman" w:hAnsi="Times New Roman" w:cs="Times New Roman"/>
                <w:b/>
                <w:bCs/>
                <w:sz w:val="24"/>
                <w:szCs w:val="24"/>
              </w:rPr>
            </w:pPr>
            <w:r w:rsidRPr="00E85E3D">
              <w:rPr>
                <w:rFonts w:ascii="Times New Roman" w:hAnsi="Times New Roman" w:cs="Times New Roman"/>
                <w:b/>
                <w:bCs/>
                <w:sz w:val="24"/>
                <w:szCs w:val="24"/>
              </w:rPr>
              <w:t>References</w:t>
            </w:r>
          </w:p>
        </w:tc>
        <w:tc>
          <w:tcPr>
            <w:tcW w:w="2262" w:type="dxa"/>
          </w:tcPr>
          <w:p w14:paraId="2BF30AEF" w14:textId="71B6E264" w:rsidR="003D5C91" w:rsidRPr="00E85E3D" w:rsidRDefault="00C85802" w:rsidP="00076787">
            <w:pPr>
              <w:jc w:val="right"/>
              <w:rPr>
                <w:rFonts w:ascii="Times New Roman" w:hAnsi="Times New Roman" w:cs="Times New Roman"/>
                <w:b/>
                <w:bCs/>
                <w:sz w:val="24"/>
                <w:szCs w:val="24"/>
              </w:rPr>
            </w:pPr>
            <w:r>
              <w:rPr>
                <w:rFonts w:ascii="Times New Roman" w:hAnsi="Times New Roman" w:cs="Times New Roman"/>
                <w:b/>
                <w:bCs/>
                <w:sz w:val="24"/>
                <w:szCs w:val="24"/>
              </w:rPr>
              <w:t>30</w:t>
            </w:r>
          </w:p>
        </w:tc>
      </w:tr>
    </w:tbl>
    <w:p w14:paraId="230960AD" w14:textId="77777777" w:rsidR="00D93ED2" w:rsidRPr="00E85E3D" w:rsidRDefault="00D93ED2">
      <w:pPr>
        <w:rPr>
          <w:rFonts w:ascii="Times New Roman" w:hAnsi="Times New Roman" w:cs="Times New Roman"/>
          <w:b/>
          <w:bCs/>
          <w:sz w:val="24"/>
          <w:szCs w:val="24"/>
        </w:rPr>
      </w:pPr>
      <w:r w:rsidRPr="00E85E3D">
        <w:rPr>
          <w:rFonts w:ascii="Times New Roman" w:hAnsi="Times New Roman" w:cs="Times New Roman"/>
          <w:b/>
          <w:bCs/>
          <w:sz w:val="24"/>
          <w:szCs w:val="24"/>
        </w:rPr>
        <w:br w:type="page"/>
      </w:r>
    </w:p>
    <w:p w14:paraId="40296031" w14:textId="2F4FCA1C" w:rsidR="00ED6F2C" w:rsidRPr="00E85E3D" w:rsidRDefault="00ED6F2C" w:rsidP="00723704">
      <w:pPr>
        <w:jc w:val="both"/>
        <w:rPr>
          <w:rFonts w:ascii="Times New Roman" w:hAnsi="Times New Roman" w:cs="Times New Roman"/>
          <w:b/>
          <w:bCs/>
          <w:sz w:val="24"/>
          <w:szCs w:val="24"/>
        </w:rPr>
      </w:pPr>
      <w:r w:rsidRPr="00E85E3D">
        <w:rPr>
          <w:rFonts w:ascii="Times New Roman" w:hAnsi="Times New Roman" w:cs="Times New Roman"/>
          <w:b/>
          <w:bCs/>
          <w:sz w:val="24"/>
          <w:szCs w:val="24"/>
        </w:rPr>
        <w:lastRenderedPageBreak/>
        <w:t xml:space="preserve">SI1 </w:t>
      </w:r>
      <w:r w:rsidR="007A4881" w:rsidRPr="00E85E3D">
        <w:rPr>
          <w:rFonts w:ascii="Times New Roman" w:hAnsi="Times New Roman" w:cs="Times New Roman"/>
          <w:b/>
          <w:bCs/>
          <w:sz w:val="24"/>
          <w:szCs w:val="24"/>
        </w:rPr>
        <w:t>Analysis and c</w:t>
      </w:r>
      <w:r w:rsidRPr="00E85E3D">
        <w:rPr>
          <w:rFonts w:ascii="Times New Roman" w:hAnsi="Times New Roman" w:cs="Times New Roman"/>
          <w:b/>
          <w:bCs/>
          <w:sz w:val="24"/>
          <w:szCs w:val="24"/>
        </w:rPr>
        <w:t>omparison of CO</w:t>
      </w:r>
      <w:r w:rsidRPr="00E85E3D">
        <w:rPr>
          <w:rFonts w:ascii="Times New Roman" w:hAnsi="Times New Roman" w:cs="Times New Roman"/>
          <w:b/>
          <w:bCs/>
          <w:sz w:val="24"/>
          <w:szCs w:val="24"/>
          <w:vertAlign w:val="subscript"/>
        </w:rPr>
        <w:t>2</w:t>
      </w:r>
      <w:r w:rsidRPr="00E85E3D">
        <w:rPr>
          <w:rFonts w:ascii="Times New Roman" w:hAnsi="Times New Roman" w:cs="Times New Roman"/>
          <w:b/>
          <w:bCs/>
          <w:sz w:val="24"/>
          <w:szCs w:val="24"/>
        </w:rPr>
        <w:t xml:space="preserve"> single-pass utilization among state-of-art </w:t>
      </w:r>
      <w:r w:rsidR="00C75496" w:rsidRPr="00E85E3D">
        <w:rPr>
          <w:rFonts w:ascii="Times New Roman" w:hAnsi="Times New Roman" w:cs="Times New Roman"/>
          <w:b/>
          <w:bCs/>
          <w:sz w:val="24"/>
          <w:szCs w:val="24"/>
        </w:rPr>
        <w:t>CO</w:t>
      </w:r>
      <w:r w:rsidR="00C75496" w:rsidRPr="00E85E3D">
        <w:rPr>
          <w:rFonts w:ascii="Times New Roman" w:hAnsi="Times New Roman" w:cs="Times New Roman"/>
          <w:b/>
          <w:bCs/>
          <w:sz w:val="24"/>
          <w:szCs w:val="24"/>
          <w:vertAlign w:val="subscript"/>
        </w:rPr>
        <w:t>2</w:t>
      </w:r>
      <w:r w:rsidR="00C75496" w:rsidRPr="00E85E3D">
        <w:rPr>
          <w:rFonts w:ascii="Times New Roman" w:hAnsi="Times New Roman" w:cs="Times New Roman"/>
          <w:b/>
          <w:bCs/>
          <w:sz w:val="24"/>
          <w:szCs w:val="24"/>
        </w:rPr>
        <w:t>RR</w:t>
      </w:r>
      <w:r w:rsidRPr="00E85E3D">
        <w:rPr>
          <w:rFonts w:ascii="Times New Roman" w:hAnsi="Times New Roman" w:cs="Times New Roman"/>
          <w:b/>
          <w:bCs/>
          <w:sz w:val="24"/>
          <w:szCs w:val="24"/>
        </w:rPr>
        <w:t xml:space="preserve"> electrolyzers.</w:t>
      </w:r>
    </w:p>
    <w:p w14:paraId="4A1E6AB0" w14:textId="64CFC6F5" w:rsidR="002003DE" w:rsidRPr="00805810" w:rsidRDefault="003B2A49" w:rsidP="002003DE">
      <w:pPr>
        <w:spacing w:afterLines="80" w:after="192" w:line="240" w:lineRule="auto"/>
        <w:jc w:val="both"/>
        <w:rPr>
          <w:rFonts w:ascii="Times New Roman" w:hAnsi="Times New Roman" w:cs="Times New Roman"/>
          <w:sz w:val="24"/>
          <w:szCs w:val="24"/>
        </w:rPr>
      </w:pPr>
      <w:bookmarkStart w:id="1" w:name="_Hlk89888790"/>
      <w:r>
        <w:rPr>
          <w:rFonts w:ascii="Times New Roman" w:hAnsi="Times New Roman" w:cs="Times New Roman"/>
          <w:sz w:val="24"/>
          <w:szCs w:val="24"/>
        </w:rPr>
        <w:t>For CO</w:t>
      </w:r>
      <w:r>
        <w:rPr>
          <w:rFonts w:ascii="Times New Roman" w:hAnsi="Times New Roman" w:cs="Times New Roman"/>
          <w:sz w:val="24"/>
          <w:szCs w:val="24"/>
          <w:vertAlign w:val="subscript"/>
        </w:rPr>
        <w:t>2</w:t>
      </w:r>
      <w:r>
        <w:rPr>
          <w:rFonts w:ascii="Times New Roman" w:hAnsi="Times New Roman" w:cs="Times New Roman"/>
          <w:sz w:val="24"/>
          <w:szCs w:val="24"/>
        </w:rPr>
        <w:t>RR, a high local pH (&gt;11) near the cathode is required to suppress the competing hydrogen evolution reaction (HER) and to enhance the selectivity towards C</w:t>
      </w:r>
      <w:r>
        <w:rPr>
          <w:rFonts w:ascii="Times New Roman" w:hAnsi="Times New Roman" w:cs="Times New Roman"/>
          <w:sz w:val="24"/>
          <w:szCs w:val="24"/>
          <w:vertAlign w:val="subscript"/>
        </w:rPr>
        <w:t>2+</w:t>
      </w:r>
      <w:r>
        <w:rPr>
          <w:rFonts w:ascii="Times New Roman" w:hAnsi="Times New Roman" w:cs="Times New Roman"/>
          <w:sz w:val="24"/>
          <w:szCs w:val="24"/>
        </w:rPr>
        <w:t xml:space="preserve"> products.</w:t>
      </w:r>
      <w:r>
        <w:rPr>
          <w:rFonts w:ascii="Times New Roman" w:hAnsi="Times New Roman" w:cs="Times New Roman"/>
          <w:sz w:val="24"/>
          <w:szCs w:val="24"/>
        </w:rPr>
        <w:fldChar w:fldCharType="begin" w:fldLock="1"/>
      </w:r>
      <w:r w:rsidR="002B6039">
        <w:rPr>
          <w:rFonts w:ascii="Times New Roman" w:hAnsi="Times New Roman" w:cs="Times New Roman"/>
          <w:sz w:val="24"/>
          <w:szCs w:val="24"/>
        </w:rPr>
        <w:instrText>ADDIN CSL_CITATION {"citationItems":[{"id":"ITEM-1","itemData":{"DOI":"10.1126/science.aay4217","ISSN":"10959203","PMID":"32029623","abstract":"Electrolysis offers an attractive route to upgrade greenhouse gases such as carbon dioxide (CO2) to valuable fuels and feedstocks; however, productivity is often limited by gas diffusion through a liquid electrolyte to the surface of the catalyst. Here, we present a catalyst:ionomer bulk heterojunction (CIBH) architecture that decouples gas, ion, and electron transport. The CIBH comprises a metal and a superfine ionomer layer with hydrophobic and hydrophilic functionalities that extend gas and ion transport from tens of nanometers to the micrometer scale. By applying this design strategy, we achieved CO2 electrore</w:instrText>
      </w:r>
      <w:r w:rsidR="002B6039">
        <w:rPr>
          <w:rFonts w:ascii="Times New Roman" w:hAnsi="Times New Roman" w:cs="Times New Roman" w:hint="eastAsia"/>
          <w:sz w:val="24"/>
          <w:szCs w:val="24"/>
        </w:rPr>
        <w:instrText xml:space="preserve">duction on copper in 7 M potassium hydroxide electrolyte (pH </w:instrText>
      </w:r>
      <w:r w:rsidR="002B6039">
        <w:rPr>
          <w:rFonts w:ascii="Times New Roman" w:hAnsi="Times New Roman" w:cs="Times New Roman" w:hint="eastAsia"/>
          <w:sz w:val="24"/>
          <w:szCs w:val="24"/>
        </w:rPr>
        <w:instrText>≈</w:instrText>
      </w:r>
      <w:r w:rsidR="002B6039">
        <w:rPr>
          <w:rFonts w:ascii="Times New Roman" w:hAnsi="Times New Roman" w:cs="Times New Roman" w:hint="eastAsia"/>
          <w:sz w:val="24"/>
          <w:szCs w:val="24"/>
        </w:rPr>
        <w:instrText xml:space="preserve"> 15) with an ethylene partial current density of 1.3 amperes per square centimeter at 45% cathodic energy efficiency.","author":[{"dropping-particle":"","family":"Garc</w:instrText>
      </w:r>
      <w:r w:rsidR="002B6039">
        <w:rPr>
          <w:rFonts w:ascii="Times New Roman" w:hAnsi="Times New Roman" w:cs="Times New Roman" w:hint="eastAsia"/>
          <w:sz w:val="24"/>
          <w:szCs w:val="24"/>
        </w:rPr>
        <w:instrText>í</w:instrText>
      </w:r>
      <w:r w:rsidR="002B6039">
        <w:rPr>
          <w:rFonts w:ascii="Times New Roman" w:hAnsi="Times New Roman" w:cs="Times New Roman" w:hint="eastAsia"/>
          <w:sz w:val="24"/>
          <w:szCs w:val="24"/>
        </w:rPr>
        <w:instrText xml:space="preserve">a de Arquer","given":"F. </w:instrText>
      </w:r>
      <w:r w:rsidR="002B6039">
        <w:rPr>
          <w:rFonts w:ascii="Times New Roman" w:hAnsi="Times New Roman" w:cs="Times New Roman"/>
          <w:sz w:val="24"/>
          <w:szCs w:val="24"/>
        </w:rPr>
        <w:instrText>Pelayo","non-dropping-particle":"","parse-names":false,"suffix":""},{"dropping-particle":"","family":"Dinh","given":"Cao Thang","non-dropping-particle":"","parse-names":false,"suffix":""},{"dropping-particle":"","family":"Ozden","given":"Adnan","non-dropping-particle":"","parse-names":false,"suffix":""},{"dropping-particle":"","family":"Wicks","given":"Joshua","non-dropping-particle":"","parse-names":false,"suffix":""},{"dropping-particle":"","family":"McCallum","given":"Christopher","non-dropping-particle":"","parse-names":false,"suffix":""},{"dropping-particle":"","family":"Kirmani","given":"Ahmad R.","non-dropping-particle":"","parse-names":false,"suffix":""},{"dropping-particle":"","family":"Nam","given":"Dae Hyun","non-dropping-particle":"","parse-names":false,"suffix":""},{"dropping-particle":"","family":"Gabardo","given":"Christine","non-dropping-particle":"","parse-names":false,"suffix":""},{"dropping-particle":"","family":"Seifitokaldani","given":"Ali","non-dropping-particle":"","parse-names":false,"suffix":""},{"dropping-particle":"","family":"Wang","given":"Xue","non-dropping-particle":"","parse-names":false,"suffix":""},{"dropping-particle":"","family":"Li","given":"Yuguang C.","non-dropping-particle":"","parse-names":false,"suffix":""},{"dropping-particle":"","family":"Li","given":"Fengwang","non-dropping-particle":"","parse-names":false,"suffix":""},{"dropping-particle":"","family":"Edwards","given":"Jonathan","non-dropping-particle":"","parse-names":false,"suffix":""},{"dropping-particle":"","family":"Richter","given":"Lee J.","non-dropping-particle":"","parse-names":false,"suffix":""},{"dropping-particle":"","family":"Thorpe","given":"Steven J.","non-dropping-particle":"","parse-names":false,"suffix":""},{"dropping-particle":"","family":"Sinton","given":"David","non-dropping-particle":"","parse-names":false,"suffix":""},{"dropping-particle":"","family":"Sargent","given":"Edward H.","non-dropping-particle":"","parse-names":false,"suffix":""}],"container-title":"Science","id":"ITEM-1","issue":"6478","issued":{"date-parts":[["2020"]]},"page":"661-666","title":"CO2 electrolysis to multicarbon products at activities greater than 1 A cm−2","type":"article-journal","volume":"367"},"uris":["http://www.mendeley.com/documents/?uuid=0ab843ee-5fb3-4a89-bd2f-0e4e27089b1e"]},{"id":"ITEM-2","itemData":{"DOI":"10.1038/s41586-019-1782-2","ISSN":"14764687","PMID":"31747679","abstract":"The electrocatalytic reduction of carbon dioxide, powered by renewable electricity, to produce valuable fuels and feedstocks provides a sustainable and carbon-neutral approach to the storage of energy produced by intermittent renewable sources1. However, the highly selective generation of economically desirable products such as ethylene from the carbon dioxide reduction reaction (CO2RR) remains a challenge2. Tuning the stabilities of intermediates to favour a desired reaction pathway can improve selectivity3–5, and this has recently been explored for the reaction on copper by controlling morphology6, grain boundaries7, facets8, oxidation state9 and dopants10. Unfortunately, the Faradaic efficiency for ethylene is still low in neutral media (60 per cent at a partial current density of 7 milliamperes per square centimetre in the best catalyst reported so far9), resulting in a low energy efficiency. Here we present a molecular tuning strategy—the functionalization of the surface of electrocatalysts with organic molecules—that stabilizes intermediates for more selective CO2RR to ethylene. Using electrochemical, operando/in situ spectroscopic and computational studies, we investigate the influence of a library of molecules, derived by electro-dimerization of arylpyridiniums11, adsorbed on copper. We find that the adhered molecules improve the stabilization of an ‘atop-bound’ CO intermediate (that is, an intermediate bound to a single copper atom), thereby favouring further reduction to ethylene. As a result of this strategy, we report the CO2RR to ethylene with a Faradaic efficiency of 72 per cent at a partial current density of 230 milliamperes per square centimetre in a liquid-electrolyte flow cell in a neutral medium. We report stable ethylene electrosynthesis for 190 hours in a system based on a membrane-electrode assembly that provides a full-cell energy efficiency of 20 per cent. We anticipate that this may be generalized to enable molecular strategies to complement heterogeneous catalysts by stabilizing intermediates through local molecular tuning.","author":[{"dropping-particle":"","family":"Li","given":"Fengwang","non-dropping-particle":"","parse-names":false,"suffix":""},{"dropping-particle":"","family":"Thevenon","given":"Arnaud","non-dropping-particle":"","parse-names":false,"suffix":""},{"dropping-particle":"","family":"Rosas-Hernández","given":"Alonso","non-dropping-particle":"","parse-names":false,"suffix":""},{"dropping-particle":"","family":"Wang","given":"Ziyun","non-dropping-particle":"","parse-names":false,"suffix":""},{"dropping-particle":"","family":"Li","given":"Yilin","non-dropping-particle":"","parse-names":false,"suffix":""},{"dropping-particle":"","family":"Gabardo","given":"Christine M.","non-dropping-particle":"","parse-names":false,"suffix":""},{"dropping-particle":"","family":"Ozden","given":"Adnan","non-dropping-particle":"","parse-names":false,"suffix":""},{"dropping-particle":"","family":"Dinh","given":"Cao Thang","non-dropping-particle":"","parse-names":false,"suffix":""},{"dropping-particle":"","family":"Li","given":"Jun","non-dropping-particle":"","parse-names":false,"suffix":""},{"dropping-particle":"","family":"Wang","given":"Yuhang","non-dropping-particle":"","parse-names":false,"suffix":""},{"dropping-particle":"","family":"Edwards","given":"Jonathan P.","non-dropping-particle":"","parse-names":false,"suffix":""},{"dropping-particle":"","family":"Xu","given":"Yi","non-dropping-particle":"","parse-names":false,"suffix":""},{"dropping-particle":"","family":"McCallum","given":"Christopher","non-dropping-particle":"","parse-names":false,"suffix":""},{"dropping-particle":"","family":"Tao","given":"Lizhi","non-dropping-particle":"","parse-names":false,"suffix":""},{"dropping-particle":"","family":"Liang","given":"Zhi Qin","non-dropping-particle":"","parse-names":false,"suffix":""},{"dropping-particle":"","family":"Luo","given":"Mingchuan","non-dropping-particle":"","parse-names":false,"suffix":""},{"dropping-particle":"","family":"Wang","given":"Xue","non-dropping-particle":"","parse-names":false,"suffix":""},{"dropping-particle":"","family":"Li","given":"Huihui","non-dropping-particle":"","parse-names":false,"suffix":""},{"dropping-particle":"","family":"O’Brien","given":"Colin P.","non-dropping-particle":"","parse-names":false,"suffix":""},{"dropping-particle":"","family":"Tan","given":"Chih Shan","non-dropping-particle":"","parse-names":false,"suffix":""},{"dropping-particle":"","family":"Nam","given":"Dae Hyun","non-dropping-particle":"","parse-names":false,"suffix":""},{"dropping-particle":"","family":"Quintero-Bermudez","given":"Rafael","non-dropping-particle":"","parse-names":false,"suffix":""},{"dropping-particle":"","family":"Zhuang","given":"Tao Tao","non-dropping-particle":"","parse-names":false,"suffix":""},{"dropping-particle":"","family":"Li","given":"Yuguang C.","non-dropping-particle":"","parse-names":false,"suffix":""},{"dropping-particle":"","family":"Han","given":"Zhiji","non-dropping-particle":"","parse-names":false,"suffix":""},{"dropping-particle":"","family":"Britt","given":"R. David","non-dropping-particle":"","parse-names":false,"suffix":""},{"dropping-particle":"","family":"Sinton","given":"David","non-dropping-particle":"","parse-names":false,"suffix":""},{"dropping-particle":"","family":"Agapie","given":"Theodor","non-dropping-particle":"","parse-names":false,"suffix":""},{"dropping-particle":"","family":"Peters","given":"Jonas C.","non-dropping-particle":"","parse-names":false,"suffix":""},{"dropping-particle":"","family":"Sargent","given":"Edward H.","non-dropping-particle":"","parse-names":false,"suffix":""}],"container-title":"Nature","id":"ITEM-2","issue":"7791","issued":{"date-parts":[["2020"]]},"page":"509-513","title":"Molecular tuning of CO2-to-ethylene conversion","type":"article-journal","volume":"577"},"uris":["http://www.mendeley.com/documents/?uuid=1ca9481e-f4ed-4575-bef1-a219788a99b7"]},{"id":"ITEM-3","itemData":{"DOI":"10.1038/s41929-019-0306-7","ISSN":"25201158","abstract":"Electrochemical carbon dioxide recycling provides an attractive approach to synthesizing fuels and chemical feedstocks using renewable energy. On the path to deploying this technology, basic and applied scientific hurdles remain. Integrating catalytic design with mechanistic understanding yields scientific insights and progresses the technology towards industrial relevance. Catalysts must be able to generate valuable carbon-based products with better selectivity, lower overpotentials and improved current densities with extended operation. Here, we describe progress and identify mechanistic questions and performance metrics for catalysts that can enable carbon-neutral renewable energy storage and utilization.","author":[{"dropping-particle":"","family":"Ross","given":"Michael B.","non-dropping-particle":"","parse-names":false,"suffix":""},{"dropping-particle":"","family":"Luna","given":"Phil","non-dropping-particle":"De","parse-names":false,"suffix":""},{"dropping-particle":"","family":"Li","given":"Yifan","non-dropping-particle":"","parse-names":false,"suffix":""},{"dropping-particle":"","family":"Dinh","given":"Cao Thang","non-dropping-particle":"","parse-names":false,"suffix":""},{"dropping-particle":"","family":"Kim","given":"Dohyung","non-dropping-particle":"","parse-names":false,"suffix":""},{"dropping-particle":"","family":"Yang","given":"Peidong","non-dropping-particle":"","parse-names":false,"suffix":""},{"dropping-particle":"","family":"Sargent","given":"Edward H.","non-dropping-particle":"","parse-names":false,"suffix":""}],"container-title":"Nature Catalysis","id":"ITEM-3","issue":"8","issued":{"date-parts":[["2019"]]},"page":"648-658","publisher":"Springer US","title":"Designing materials for electrochemical carbon dioxide recycling","type":"article-journal","volume":"2"},"uris":["http://www.mendeley.com/documents/?uuid=05ec8604-4429-42fa-9588-e94a3ccdcf00"]},{"id":"ITEM-4","itemData":{"DOI":"10.1038/s41929-019-0383-7","ISSN":"25201158","abstract":"Electrochemical conversion of CO2 into liquid fuels, powered by renewable electricity, offers one means to address the need for the storage of intermittent renewable energy. Here we present a cooperative catalyst design of molecule–metal catalyst interfaces with the goal of producing a reaction-intermediate-rich local environment, which improves the electrosynthesis of ethanol from CO2 and H2O. We implement the strategy by functionalizing the copper surface with a family of porphyrin-based metallic complexes that catalyse CO2 to CO. Using density functional theory calculations, and in situ Raman and operando X-ray absorption spectroscopies, we find that the high concentration of local CO facilitates carbon–carbon coupling and steers the reaction pathway towards ethanol. We report a CO2-to-ethanol Faradaic efficiency of 41% and a partial current density of 124 mA cm−2 at −0.82 V versus the reversible hydrogen electrode. We integrate the catalyst into a membrane electrode assembly-based system and achieve an overall energy efficiency of 13%.","author":[{"dropping-particle":"","family":"Li","given":"Fengwang","non-dropping-particle":"","parse-names":false,"suffix":""},{"dropping-particle":"","family":"Li","given":"Yuguang C.","non-dropping-particle":"","parse-names":false,"suffix":""},{"dropping-particle":"","family":"Wang","given":"Ziyun","non-dropping-particle":"","parse-names":false,"suffix":""},{"dropping-particle":"","family":"Li","given":"Jun","non-dropping-particle":"","parse-names":false,"suffix":""},{"dropping-particle":"","family":"Nam","given":"Dae Hyun","non-dropping-particle":"","parse-names":false,"suffix":""},{"dropping-particle":"","family":"Lum","given":"Yanwei","non-dropping-particle":"","parse-names":false,"suffix":""},{"dropping-particle":"","family":"Luo","given":"Mingchuan","non-dropping-particle":"","parse-names":false,"suffix":""},{"dropping-particle":"","family":"Wang","given":"Xue","non-dropping-particle":"","parse-names":false,"suffix":""},{"dropping-particle":"","family":"Ozden","given":"Adnan","non-dropping-particle":"","parse-names":false,"suffix":""},{"dropping-particle":"","family":"Hung","given":"Sung Fu","non-dropping-particle":"","parse-names":false,"suffix":""},{"dropping-particle":"","family":"Chen","given":"Bin","non-dropping-particle":"","parse-names":false,"suffix":""},{"dropping-particle":"","family":"Wang","given":"Yuhang","non-dropping-particle":"","parse-names":false,"suffix":""},{"dropping-particle":"","family":"Wicks","given":"Joshua","non-dropping-particle":"","parse-names":false,"suffix":""},{"dropping-particle":"","family":"Xu","given":"Yi","non-dropping-particle":"","parse-names":false,"suffix":""},{"dropping-particle":"","family":"Li","given":"Yilin","non-dropping-particle":"","parse-names":false,"suffix":""},{"dropping-particle":"","family":"Gabardo","given":"Christine M.","non-dropping-particle":"","parse-names":false,"suffix":""},{"dropping-particle":"","family":"Dinh","given":"Cao Thang","non-dropping-particle":"","parse-names":false,"suffix":""},{"dropping-particle":"","family":"Wang","given":"Ying","non-dropping-particle":"","parse-names":false,"suffix":""},{"dropping-particle":"","family":"Zhuang","given":"Tao Tao","non-dropping-particle":"","parse-names":false,"suffix":""},{"dropping-particle":"","family":"Sinton","given":"David","non-dropping-particle":"","parse-names":false,"suffix":""},{"dropping-particle":"","family":"Sargent","given":"Edward H.","non-dropping-particle":"","parse-names":false,"suffix":""}],"container-title":"Nature Catalysis","id":"ITEM-4","issue":"1","issued":{"date-parts":[["2020"]]},"page":"75-82","title":"Cooperative CO2-to-ethanol conversion via enriched intermediates at molecule–metal catalyst interfaces","type":"article-journal","volume":"3"},"uris":["http://www.mendeley.com/documents/?uuid=dd7f2ec1-ee02-47a9-b88f-4683ada3b5c5"]},{"id":"ITEM-5","itemData":{"DOI":"10.1038/s41929-019-0397-1","ISSN":"25201158","abstract":"The electrosynthesis of C2+ hydrocarbons from CO2 has attracted recent attention in light of the relatively high market price per unit energy input. Today’s low selectivities and stabilities towards C2+ products at high current densities curtail system energy efficiency, which limits their prospects for economic competitiveness. Here we present a materials processing strategy based on in situ electrodeposition of copper under CO2 reduction conditions that preferentially expose and maintain Cu(100) facets, which favour the formation of C2+ products. We observe capping of facets during catalyst synthesis and achieve control over faceting to obtain a 70% increase in the ratio of Cu(100) facets to total facet area. We report a 90% Faradaic efficiency for C2+ products at a partial current density of 520 mA cm−2 and a full-cell C2+ power conversion efficiency of 37%. We achieve nearly constant C2H4 selectivity over 65 h operation at 350 mA cm−2 in a membrane electrode assembly electrolyser.","author":[{"dropping-particle":"","family":"Wang","given":"Yuhang","non-dropping-particle":"","parse-names":false,"suffix":""},{"dropping-particle":"","family":"Wang","given":"Ziyun","non-dropping-particle":"","parse-names":false,"suffix":""},{"dropping-particle":"","family":"Dinh","given":"Cao Thang","non-dropping-particle":"","parse-names":false,"suffix":""},{"dropping-particle":"","family":"Li","given":"Jun","non-dropping-particle":"","parse-names":false,"suffix":""},{"dropping-particle":"","family":"Ozden","given":"Adnan","non-dropping-particle":"","parse-names":false,"suffix":""},{"dropping-particle":"","family":"Golam Kibria","given":"Md","non-dropping-particle":"","parse-names":false,"suffix":""},{"dropping-particle":"","family":"Seifitokaldani","given":"Ali","non-dropping-particle":"","parse-names":false,"suffix":""},{"dropping-particle":"","family":"Tan","given":"Chih Shan","non-dropping-particle":"","parse-names":false,"suffix":""},{"dropping-particle":"","family":"Gabardo","given":"Christine M.","non-dropping-particle":"","parse-names":false,"suffix":""},{"dropping-particle":"","family":"Luo","given":"Mingchuan","non-dropping-particle":"","parse-names":false,"suffix":""},{"dropping-particle":"","family":"Zhou","given":"Hua","non-dropping-particle":"","parse-names":false,"suffix":""},{"dropping-particle":"","family":"Li","given":"Fengwang","non-dropping-particle":"","parse-names":false,"suffix":""},{"dropping-particle":"","family":"Lum","given":"Yanwei","non-dropping-particle":"","parse-names":false,"suffix":""},{"dropping-particle":"","family":"McCallum","given":"Christopher","non-dropping-particle":"","parse-names":false,"suffix":""},{"dropping-particle":"","family":"Xu","given":"Yi","non-dropping-particle":"","parse-names":false,"suffix":""},{"dropping-particle":"","family":"Liu","given":"Mengxia","non-dropping-particle":"","parse-names":false,"suffix":""},{"dropping-particle":"","family":"Proppe","given":"Andrew","non-dropping-particle":"","parse-names":false,"suffix":""},{"dropping-particle":"","family":"Johnston","given":"Andrew","non-dropping-particle":"","parse-names":false,"suffix":""},{"dropping-particle":"","family":"Todorovic","given":"Petar","non-dropping-particle":"","parse-names":false,"suffix":""},{"dropping-particle":"","family":"Zhuang","given":"Tao Tao","non-dropping-particle":"","parse-names":false,"suffix":""},{"dropping-particle":"","family":"Sinton","given":"David","non-dropping-particle":"","parse-names":false,"suffix":""},{"dropping-particle":"","family":"Kelley","given":"Shana O.","non-dropping-particle":"","parse-names":false,"suffix":""},{"dropping-particle":"","family":"Sargent","given":"Edward H.","non-dropping-particle":"","parse-names":false,"suffix":""}],"container-title":"Nature Catalysis","id":"ITEM-5","issue":"100","issued":{"date-parts":[["2019"]]},"title":"Catalyst synthesis under CO2 electroreduction favours faceting and promotes renewable fuels electrosynthesis","type":"article-journal"},"uris":["http://www.mendeley.com/documents/?uuid=9913187e-87ea-4b0f-a0ad-911f9f36fa1a"]},{"id":"ITEM-6","itemData":{"abstract":"Carbon dioxide electroreduction (CO 2 R) is being actively studied as a promising route to convert carbon emissions to valuable chemicals and fuels. However, the fraction of input CO 2 that is productively reduced has typically been very low, &lt;2% for multicarbon products; the balance reacts with hydroxide to form carbonate in both alkaline and neutral reactors. Acidic electrolytes would overcome this limitation, but hydrogen evolution has hitherto dominated under those conditions. We report that concentrating potassium cations in the vicinity of electrochemically active sites accelerates CO 2 activation to enable efficient CO 2 R in acid. We achieve CO 2 R on copper at pH &lt;1 with a single-pass CO 2 utilization of 77%, including a conversion efficiency of 50% toward multicarbon products (ethylene, ethanol, and 1-propanol) at a current density of 1.2 amperes per square centimeter and a full-cell voltage of 4.2 volts.","author":[{"dropping-particle":"","family":"Huang","given":"Jianan Erick","non-dropping-particle":"","parse-names":false,"suffix":""},{"dropping-particle":"","family":"Li","given":"Fengwang","non-dropping-particle":"","parse-names":false,"suffix":""},{"dropping-particle":"","family":"Ozden","given":"Adnan","non-dropping-particle":"","parse-names":false,"suffix":""},{"dropping-particle":"","family":"Rasouli","given":"Armin Sedighian","non-dropping-particle":"","parse-names":false,"suffix":""},{"dropping-particle":"","family":"Pelayo","given":"F","non-dropping-particle":"","parse-names":false,"suffix":""},{"dropping-particle":"De","family":"Arquer","given":"García","non-dropping-particle":"","parse-names":false,"suffix":""},{"dropping-particle":"","family":"Liu","given":"Shijie","non-dropping-particle":"","parse-names":false,"suffix":""},{"dropping-particle":"","family":"Zhang","given":"Shuzhen","non-dropping-particle":"","parse-names":false,"suffix":""},{"dropping-particle":"","family":"Luo","given":"Mingchuan","non-dropping-particle":"","parse-names":false,"suffix":""},{"dropping-particle":"","family":"Xu","given":"Yi","non-dropping-particle":"","parse-names":false,"suffix":""},{"dropping-particle":"","family":"Bertens","given":"Koen","non-dropping-particle":"","parse-names":false,"suffix":""}],"container-title":"Science","id":"ITEM-6","issue":"June","issued":{"date-parts":[["2021"]]},"page":"1074-1078","title":"CO 2 electrolysis to multi-carbon products in strong acid","type":"article-journal","volume":"372"},"uris":["http://www.mendeley.com/documents/?uuid=40838bc2-1742-486f-b643-67a41a39ec68"]}],"mendeley":{"formattedCitation":"&lt;sup&gt;1–6&lt;/sup&gt;","plainTextFormattedCitation":"1–6","previouslyFormattedCitation":"&lt;sup&gt;1–6&lt;/sup&gt;"},"properties":{"noteIndex":0},"schema":"https://github.com/citation-style-language/schema/raw/master/csl-citation.json"}</w:instrText>
      </w:r>
      <w:r>
        <w:rPr>
          <w:rFonts w:ascii="Times New Roman" w:hAnsi="Times New Roman" w:cs="Times New Roman"/>
          <w:sz w:val="24"/>
          <w:szCs w:val="24"/>
        </w:rPr>
        <w:fldChar w:fldCharType="separate"/>
      </w:r>
      <w:r w:rsidR="007F7E70" w:rsidRPr="007F7E70">
        <w:rPr>
          <w:rFonts w:ascii="Times New Roman" w:hAnsi="Times New Roman" w:cs="Times New Roman"/>
          <w:noProof/>
          <w:sz w:val="24"/>
          <w:szCs w:val="24"/>
          <w:vertAlign w:val="superscript"/>
        </w:rPr>
        <w:t>1–6</w:t>
      </w:r>
      <w:r>
        <w:rPr>
          <w:rFonts w:ascii="Times New Roman" w:hAnsi="Times New Roman" w:cs="Times New Roman"/>
          <w:sz w:val="24"/>
          <w:szCs w:val="24"/>
        </w:rPr>
        <w:fldChar w:fldCharType="end"/>
      </w:r>
      <w:bookmarkEnd w:id="1"/>
      <w:r>
        <w:rPr>
          <w:rFonts w:ascii="Times New Roman" w:hAnsi="Times New Roman" w:cs="Times New Roman"/>
          <w:sz w:val="24"/>
          <w:szCs w:val="24"/>
        </w:rPr>
        <w:t xml:space="preserve"> To maintain such a high local pH, present-day CO</w:t>
      </w:r>
      <w:r>
        <w:rPr>
          <w:rFonts w:ascii="Times New Roman" w:hAnsi="Times New Roman" w:cs="Times New Roman"/>
          <w:sz w:val="24"/>
          <w:szCs w:val="24"/>
          <w:vertAlign w:val="subscript"/>
        </w:rPr>
        <w:t>2</w:t>
      </w:r>
      <w:r>
        <w:rPr>
          <w:rFonts w:ascii="Times New Roman" w:hAnsi="Times New Roman" w:cs="Times New Roman"/>
          <w:sz w:val="24"/>
          <w:szCs w:val="24"/>
        </w:rPr>
        <w:t>RR electrolyzers typically use a flowing alkaline electrolyte reservoir.</w:t>
      </w:r>
      <w:r>
        <w:rPr>
          <w:rFonts w:ascii="Times New Roman" w:hAnsi="Times New Roman" w:cs="Times New Roman"/>
          <w:sz w:val="24"/>
          <w:szCs w:val="24"/>
        </w:rPr>
        <w:fldChar w:fldCharType="begin" w:fldLock="1"/>
      </w:r>
      <w:r w:rsidR="002B6039">
        <w:rPr>
          <w:rFonts w:ascii="Times New Roman" w:hAnsi="Times New Roman" w:cs="Times New Roman"/>
          <w:sz w:val="24"/>
          <w:szCs w:val="24"/>
        </w:rPr>
        <w:instrText>ADDIN CSL_CITATION {"citationItems":[{"id":"ITEM-1","itemData":{"DOI":"10.1038/s41586-019-1782-2","ISSN":"14764687","PMID":"31747679","abstract":"The electrocatalytic reduction of carbon dioxide, powered by renewable electricity, to produce valuable fuels and feedstocks provides a sustainable and carbon-neutral approach to the storage of energy produced by intermittent renewable sources1. However, the highly selective generation of economically desirable products such as ethylene from the carbon dioxide reduction reaction (CO2RR) remains a challenge2. Tuning the stabilities of intermediates to favour a desired reaction pathway can improve selectivity3–5, and this has recently been explored for the reaction on copper by controlling morphology6, grain boundaries7, facets8, oxidation state9 and dopants10. Unfortunately, the Faradaic efficiency for ethylene is still low in neutral media (60 per cent at a partial current density of 7 milliamperes per square centimetre in the best catalyst reported so far9), resulting in a low energy efficiency. Here we present a molecular tuning strategy—the functionalization of the surface of electrocatalysts with organic molecules—that stabilizes intermediates for more selective CO2RR to ethylene. Using electrochemical, operando/in situ spectroscopic and computational studies, we investigate the influence of a library of molecules, derived by electro-dimerization of arylpyridiniums11, adsorbed on copper. We find that the adhered molecules improve the stabilization of an ‘atop-bound’ CO intermediate (that is, an intermediate bound to a single copper atom), thereby favouring further reduction to ethylene. As a result of this strategy, we report the CO2RR to ethylene with a Faradaic efficiency of 72 per cent at a partial current density of 230 milliamperes per square centimetre in a liquid-electrolyte flow cell in a neutral medium. We report stable ethylene electrosynthesis for 190 hours in a system based on a membrane-electrode assembly that provides a full-cell energy efficiency of 20 per cent. We anticipate that this may be generalized to enable molecular strategies to complement heterogeneous catalysts by stabilizing intermediates through local molecular tuning.","author":[{"dropping-particle":"","family":"Li","given":"Fengwang","non-dropping-particle":"","parse-names":false,"suffix":""},{"dropping-particle":"","family":"Thevenon","given":"Arnaud","non-dropping-particle":"","parse-names":false,"suffix":""},{"dropping-particle":"","family":"Rosas-Hernández","given":"Alonso","non-dropping-particle":"","parse-names":false,"suffix":""},{"dropping-particle":"","family":"Wang","given":"Ziyun","non-dropping-particle":"","parse-names":false,"suffix":""},{"dropping-particle":"","family":"Li","given":"Yilin","non-dropping-particle":"","parse-names":false,"suffix":""},{"dropping-particle":"","family":"Gabardo","given":"Christine M.","non-dropping-particle":"","parse-names":false,"suffix":""},{"dropping-particle":"","family":"Ozden","given":"Adnan","non-dropping-particle":"","parse-names":false,"suffix":""},{"dropping-particle":"","family":"Dinh","given":"Cao Thang","non-dropping-particle":"","parse-names":false,"suffix":""},{"dropping-particle":"","family":"Li","given":"Jun","non-dropping-particle":"","parse-names":false,"suffix":""},{"dropping-particle":"","family":"Wang","given":"Yuhang","non-dropping-particle":"","parse-names":false,"suffix":""},{"dropping-particle":"","family":"Edwards","given":"Jonathan P.","non-dropping-particle":"","parse-names":false,"suffix":""},{"dropping-particle":"","family":"Xu","given":"Yi","non-dropping-particle":"","parse-names":false,"suffix":""},{"dropping-particle":"","family":"McCallum","given":"Christopher","non-dropping-particle":"","parse-names":false,"suffix":""},{"dropping-particle":"","family":"Tao","given":"Lizhi","non-dropping-particle":"","parse-names":false,"suffix":""},{"dropping-particle":"","family":"Liang","given":"Zhi Qin","non-dropping-particle":"","parse-names":false,"suffix":""},{"dropping-particle":"","family":"Luo","given":"Mingchuan","non-dropping-particle":"","parse-names":false,"suffix":""},{"dropping-particle":"","family":"Wang","given":"Xue","non-dropping-particle":"","parse-names":false,"suffix":""},{"dropping-particle":"","family":"Li","given":"Huihui","non-dropping-particle":"","parse-names":false,"suffix":""},{"dropping-particle":"","family":"O’Brien","given":"Colin P.","non-dropping-particle":"","parse-names":false,"suffix":""},{"dropping-particle":"","family":"Tan","given":"Chih Shan","non-dropping-particle":"","parse-names":false,"suffix":""},{"dropping-particle":"","family":"Nam","given":"Dae Hyun","non-dropping-particle":"","parse-names":false,"suffix":""},{"dropping-particle":"","family":"Quintero-Bermudez","given":"Rafael","non-dropping-particle":"","parse-names":false,"suffix":""},{"dropping-particle":"","family":"Zhuang","given":"Tao Tao","non-dropping-particle":"","parse-names":false,"suffix":""},{"dropping-particle":"","family":"Li","given":"Yuguang C.","non-dropping-particle":"","parse-names":false,"suffix":""},{"dropping-particle":"","family":"Han","given":"Zhiji","non-dropping-particle":"","parse-names":false,"suffix":""},{"dropping-particle":"","family":"Britt","given":"R. David","non-dropping-particle":"","parse-names":false,"suffix":""},{"dropping-particle":"","family":"Sinton","given":"David","non-dropping-particle":"","parse-names":false,"suffix":""},{"dropping-particle":"","family":"Agapie","given":"Theodor","non-dropping-particle":"","parse-names":false,"suffix":""},{"dropping-particle":"","family":"Peters","given":"Jonas C.","non-dropping-particle":"","parse-names":false,"suffix":""},{"dropping-particle":"","family":"Sargent","given":"Edward H.","non-dropping-particle":"","parse-names":false,"suffix":""}],"container-title":"Nature","id":"ITEM-1","issue":"7791","issued":{"date-parts":[["2020"]]},"page":"509-513","title":"Molecular tuning of CO2-to-ethylene conversion","type":"article-journal","volume":"577"},"uris":["http://www.mendeley.com/documents/?uuid=1ca9481e-f4ed-4575-bef1-a219788a99b7"]},{"id":"ITEM-2","itemData":{"DOI":"10.1126/science.aay4217","ISSN":"10959203","PMID":"32029623","abstract":"Electrolysis offers an attractive route to upgrade greenhouse gases such as carbon dioxide (CO2) to valuable fuels and feedstocks; however, productivity is often limited by gas diffusion through a liquid electrolyte to the surface of the catalyst. Here, we present a catalyst:ionomer bulk heterojunction (CIBH) architecture that decouples gas, ion, and electron transport. The CIBH comprises a metal and a superfine ionomer layer with hydrophobic and hydrophilic functionalities that extend gas and ion transport from tens of nanometers to the micrometer scale. By applying this design strategy, we achieved CO2 electroreduction on copper in 7 M potassium hydro</w:instrText>
      </w:r>
      <w:r w:rsidR="002B6039">
        <w:rPr>
          <w:rFonts w:ascii="Times New Roman" w:hAnsi="Times New Roman" w:cs="Times New Roman" w:hint="eastAsia"/>
          <w:sz w:val="24"/>
          <w:szCs w:val="24"/>
        </w:rPr>
        <w:instrText xml:space="preserve">xide electrolyte (pH </w:instrText>
      </w:r>
      <w:r w:rsidR="002B6039">
        <w:rPr>
          <w:rFonts w:ascii="Times New Roman" w:hAnsi="Times New Roman" w:cs="Times New Roman" w:hint="eastAsia"/>
          <w:sz w:val="24"/>
          <w:szCs w:val="24"/>
        </w:rPr>
        <w:instrText>≈</w:instrText>
      </w:r>
      <w:r w:rsidR="002B6039">
        <w:rPr>
          <w:rFonts w:ascii="Times New Roman" w:hAnsi="Times New Roman" w:cs="Times New Roman" w:hint="eastAsia"/>
          <w:sz w:val="24"/>
          <w:szCs w:val="24"/>
        </w:rPr>
        <w:instrText xml:space="preserve"> 15) with an ethylene partial current density of 1.3 amperes per square centimeter at 45% cathodic energy efficiency.","author":[{"dropping-particle":"","family":"Garc</w:instrText>
      </w:r>
      <w:r w:rsidR="002B6039">
        <w:rPr>
          <w:rFonts w:ascii="Times New Roman" w:hAnsi="Times New Roman" w:cs="Times New Roman" w:hint="eastAsia"/>
          <w:sz w:val="24"/>
          <w:szCs w:val="24"/>
        </w:rPr>
        <w:instrText>í</w:instrText>
      </w:r>
      <w:r w:rsidR="002B6039">
        <w:rPr>
          <w:rFonts w:ascii="Times New Roman" w:hAnsi="Times New Roman" w:cs="Times New Roman" w:hint="eastAsia"/>
          <w:sz w:val="24"/>
          <w:szCs w:val="24"/>
        </w:rPr>
        <w:instrText>a de Arquer","given":"F. Pelayo","non-dropping-particle":"","pars</w:instrText>
      </w:r>
      <w:r w:rsidR="002B6039">
        <w:rPr>
          <w:rFonts w:ascii="Times New Roman" w:hAnsi="Times New Roman" w:cs="Times New Roman"/>
          <w:sz w:val="24"/>
          <w:szCs w:val="24"/>
        </w:rPr>
        <w:instrText>e-names":false,"suffix":""},{"dropping-particle":"","family":"Dinh","given":"Cao Thang","non-dropping-particle":"","parse-names":false,"suffix":""},{"dropping-particle":"","family":"Ozden","given":"Adnan","non-dropping-particle":"","parse-names":false,"suffix":""},{"dropping-particle":"","family":"Wicks","given":"Joshua","non-dropping-particle":"","parse-names":false,"suffix":""},{"dropping-particle":"","family":"McCallum","given":"Christopher","non-dropping-particle":"","parse-names":false,"suffix":""},{"dropping-particle":"","family":"Kirmani","given":"Ahmad R.","non-dropping-particle":"","parse-names":false,"suffix":""},{"dropping-particle":"","family":"Nam","given":"Dae Hyun","non-dropping-particle":"","parse-names":false,"suffix":""},{"dropping-particle":"","family":"Gabardo","given":"Christine","non-dropping-particle":"","parse-names":false,"suffix":""},{"dropping-particle":"","family":"Seifitokaldani","given":"Ali","non-dropping-particle":"","parse-names":false,"suffix":""},{"dropping-particle":"","family":"Wang","given":"Xue","non-dropping-particle":"","parse-names":false,"suffix":""},{"dropping-particle":"","family":"Li","given":"Yuguang C.","non-dropping-particle":"","parse-names":false,"suffix":""},{"dropping-particle":"","family":"Li","given":"Fengwang","non-dropping-particle":"","parse-names":false,"suffix":""},{"dropping-particle":"","family":"Edwards","given":"Jonathan","non-dropping-particle":"","parse-names":false,"suffix":""},{"dropping-particle":"","family":"Richter","given":"Lee J.","non-dropping-particle":"","parse-names":false,"suffix":""},{"dropping-particle":"","family":"Thorpe","given":"Steven J.","non-dropping-particle":"","parse-names":false,"suffix":""},{"dropping-particle":"","family":"Sinton","given":"David","non-dropping-particle":"","parse-names":false,"suffix":""},{"dropping-particle":"","family":"Sargent","given":"Edward H.","non-dropping-particle":"","parse-names":false,"suffix":""}],"container-title":"Science","id":"ITEM-2","issue":"6478","issued":{"date-parts":[["2020"]]},"page":"661-666","title":"CO2 electrolysis to multicarbon products at activities greater than 1 A cm−2","type":"article-journal","volume":"367"},"uris":["http://www.mendeley.com/documents/?uuid=0ab843ee-5fb3-4a89-bd2f-0e4e27089b1e"]},{"id":"ITEM-3","itemData":{"DOI":"10.1126/science.aas9100","ISSN":"10959203","abstract":"Carbon dioxide (CO2) electroreduction could provide a useful source of ethylene, but low conversion efficiency, low production rates, and low catalyst stability limit current systems. Here we report that a copper electrocatalyst at an abrupt reaction interface in an alkaline electrolyte reduces CO2 to ethylene with 70% faradaic efficiency at a potential of -0.55 volts versus a reversible hydrogen electrode (RHE). Hydroxide ions on or near the copper surface lower the CO2 reduction and carbon monoxide (CO)-CO coupling activation energy barriers; as a result, onset of ethylene evolution at -0.165 volts versus an RHE in 10 molar potassium hydroxide occurs almost simultaneously with CO production. Operational stability was enhanced via the introduction of a polymer-based gas diffusion layer that sandwiches the reaction interface between separate hydrophobic and conductive supports, providing constant ethylene selectivity for an initial 150 operating hours.","author":[{"dropping-particle":"","family":"Dinh","given":"Cao Thang","non-dropping-particle":"","parse-names":false,"suffix":""},{"dropping-particle":"","family":"Burdyny","given":"Thomas","non-dropping-particle":"","parse-names":false,"suffix":""},{"dropping-particle":"","family":"Kibria","given":"Golam","non-dropping-particle":"","parse-names":false,"suffix":""},{"dropping-particle":"","family":"Seifitokaldani","given":"Ali","non-dropping-particle":"","parse-names":false,"suffix":""},{"dropping-particle":"","family":"Gabardo","given":"Christine M.","non-dropping-particle":"","parse-names":false,"suffix":""},{"dropping-particle":"","family":"Pelayo García De Arquer","given":"F.","non-dropping-particle":"","parse-names":false,"suffix":""},{"dropping-particle":"","family":"Kiani","given":"Amirreza","non-dropping-particle":"","parse-names":false,"suffix":""},{"dropping-particle":"","family":"Edwards","given":"Jonathan P.","non-dropping-particle":"","parse-names":false,"suffix":""},{"dropping-particle":"","family":"Luna","given":"Phil","non-dropping-particle":"De","parse-names":false,"suffix":""},{"dropping-particle":"","family":"Bushuyev","given":"Oleksandr S.","non-dropping-particle":"","parse-names":false,"suffix":""},{"dropping-particle":"","family":"Zou","given":"Chengqin","non-dropping-particle":"","parse-names":false,"suffix":""},{"dropping-particle":"","family":"Quintero-Bermudez","given":"Rafael","non-dropping-particle":"","parse-names":false,"suffix":""},{"dropping-particle":"","family":"Pang","given":"Yuanjie","non-dropping-particle":"","parse-names":false,"suffix":""},{"dropping-particle":"","family":"Sinton","given":"David","non-dropping-particle":"","parse-names":false,"suffix":""},{"dropping-particle":"","family":"Sargent","given":"Edward H.","non-dropping-particle":"","parse-names":false,"suffix":""}],"container-title":"Science","id":"ITEM-3","issue":"6390","issued":{"date-parts":[["2018"]]},"page":"783-787","title":"CO2 electroreduction to ethylene via hydroxide-mediated copper catalysis at an abrupt interface","type":"article-journal","volume":"360"},"uris":["http://www.mendeley.com/documents/?uuid=b9968fbd-c2bf-4af0-b0ff-3bfae4368944"]}],"mendeley":{"formattedCitation":"&lt;sup&gt;1,2,7&lt;/sup&gt;","plainTextFormattedCitation":"1,2,7","previouslyFormattedCitation":"&lt;sup&gt;1,2,7&lt;/sup&gt;"},"properties":{"noteIndex":0},"schema":"https://github.com/citation-style-language/schema/raw/master/csl-citation.json"}</w:instrText>
      </w:r>
      <w:r>
        <w:rPr>
          <w:rFonts w:ascii="Times New Roman" w:hAnsi="Times New Roman" w:cs="Times New Roman"/>
          <w:sz w:val="24"/>
          <w:szCs w:val="24"/>
        </w:rPr>
        <w:fldChar w:fldCharType="separate"/>
      </w:r>
      <w:r w:rsidR="007F7E70" w:rsidRPr="007F7E70">
        <w:rPr>
          <w:rFonts w:ascii="Times New Roman" w:hAnsi="Times New Roman" w:cs="Times New Roman"/>
          <w:noProof/>
          <w:sz w:val="24"/>
          <w:szCs w:val="24"/>
          <w:vertAlign w:val="superscript"/>
        </w:rPr>
        <w:t>1,2,7</w:t>
      </w:r>
      <w:r>
        <w:rPr>
          <w:rFonts w:ascii="Times New Roman" w:hAnsi="Times New Roman" w:cs="Times New Roman"/>
          <w:sz w:val="24"/>
          <w:szCs w:val="24"/>
        </w:rPr>
        <w:fldChar w:fldCharType="end"/>
      </w:r>
      <w:r>
        <w:rPr>
          <w:rFonts w:ascii="Times New Roman" w:hAnsi="Times New Roman" w:cs="Times New Roman"/>
          <w:sz w:val="24"/>
          <w:szCs w:val="24"/>
        </w:rPr>
        <w:t xml:space="preserve"> For the same reason, MEAs typically use alkaline anion-exchange membranes (AEMs) and anolytes.</w:t>
      </w:r>
      <w:r>
        <w:rPr>
          <w:rFonts w:ascii="Times New Roman" w:hAnsi="Times New Roman" w:cs="Times New Roman"/>
          <w:sz w:val="24"/>
          <w:szCs w:val="24"/>
        </w:rPr>
        <w:fldChar w:fldCharType="begin" w:fldLock="1"/>
      </w:r>
      <w:r w:rsidR="002B6039">
        <w:rPr>
          <w:rFonts w:ascii="Times New Roman" w:hAnsi="Times New Roman" w:cs="Times New Roman"/>
          <w:sz w:val="24"/>
          <w:szCs w:val="24"/>
        </w:rPr>
        <w:instrText>ADDIN CSL_CITATION {"citationItems":[{"id":"ITEM-1","itemData":{"DOI":"10.1021/acsenergylett.6b00557","ISSN":"23808195","abstract":"The electrochemical conversion of CO2 and water to value-added products still suffers from low efficiency, high costs, and high sensitivity to electrolyte, pH, and contaminants. Here, we present a strategy for this reaction using a silver catalyst for CO2 reduction in a neutral catholyte, separated by a bipolar membrane from a nickel iron hydroxide oxygen evolution catalyst in a basic anolyte. This combination of electrolytes provides a favorable environment for both catalysts and shows the effective use of bicarbonate and KOH to obtain low cell voltages. This architecture brings down the total cell voltage by more than 1 V compared to that with conventional use of a Pt counter electrode and monopolar membranes, and at the same time, it reduces contamination and improves stability at the cathode.","author":[{"dropping-particle":"","family":"Vermaas","given":"David A.","non-dropping-particle":"","parse-names":false,"suffix":""},{"dropping-particle":"","family":"Smith","given":"Wilson A.","non-dropping-particle":"","parse-names":false,"suffix":""}],"container-title":"ACS Energy Letters","id":"ITEM-1","issue":"6","issued":{"date-parts":[["2016"]]},"page":"1143-1148","title":"Synergistic Electrochemical CO2 Reduction and Water Oxidation with a Bipolar Membrane","type":"article-journal","volume":"1"},"uris":["http://www.mendeley.com/documents/?uuid=62d3e3c9-c296-4510-bae3-bc91ab1836c1"]},{"id":"ITEM-2","itemData":{"DOI":"10.1002/adma.201807166","ISSN":"15214095","abstract":"The electrochemical reduction of CO2 is a promising route to convert intermittent renewable energy to storable fuels and valuable chemical feedstocks. To scale this technology for industrial implementation, a deepened understanding of how the CO2 reduction reaction (CO2RR) proceeds will help converge on optimal operating parameters. Here, a techno-economic analysis is presented with the goal of identifying maximally profitable products and the performance targets that must be met to ensure economic viability—metrics that include current density, Faradaic efficiency, energy efficiency, and stability. The latest computational understanding of the CO2RR is discussed along with how this can contribute to the rational design of efficient, selective, and stable electrocatalysts. Catalyst materials are classified according to their selectivity for products of interest and their potential to achieve performance targets is assessed. The recent progress and opportunities in system design for CO2 electroreduction are described. To conclude, the remaining technological challenges are highlighted, suggesting full-cell energy efficiency as a guiding performance metric for industrial impact.","author":[{"dropping-particle":"","family":"Kibria","given":"Md Golam","non-dropping-particle":"","parse-names":false,"suffix":""},{"dropping-particle":"","family":"Edwards","given":"Jonathan P.","non-dropping-particle":"","parse-names":false,"suffix":""},{"dropping-particle":"","family":"Gabardo","given":"Christine M.","non-dropping-particle":"","parse-names":false,"suffix":""},{"dropping-particle":"","family":"Dinh","given":"Cao Thang","non-dropping-particle":"","parse-names":false,"suffix":""},{"dropping-particle":"","family":"Seifitokaldani","given":"Ali","non-dropping-particle":"","parse-names":false,"suffix":""},{"dropping-particle":"","family":"Sinton","given":"David","non-dropping-particle":"","parse-names":false,"suffix":""},{"dropping-particle":"","family":"Sargent","given":"Edward H.","non-dropping-particle":"","parse-names":false,"suffix":""}],"container-title":"Advanced Materials","id":"ITEM-2","issue":"31","issued":{"date-parts":[["2019"]]},"page":"1-24","title":"Electrochemical CO2 Reduction into Chemical Feedstocks: From Mechanistic Electrocatalysis Models to System Design","type":"article-journal","volume":"31"},"uris":["http://www.mendeley.com/documents/?uuid=677c8e3d-ed74-4e1e-9d25-7307c4c9ab30"]}],"mendeley":{"formattedCitation":"&lt;sup&gt;8,9&lt;/sup&gt;","manualFormatting":"18","plainTextFormattedCitation":"8,9","previouslyFormattedCitation":"&lt;sup&gt;8,9&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18</w:t>
      </w:r>
      <w:r>
        <w:rPr>
          <w:rFonts w:ascii="Times New Roman" w:hAnsi="Times New Roman" w:cs="Times New Roman"/>
          <w:sz w:val="24"/>
          <w:szCs w:val="24"/>
        </w:rPr>
        <w:fldChar w:fldCharType="end"/>
      </w:r>
      <w:r>
        <w:rPr>
          <w:rFonts w:ascii="Times New Roman" w:hAnsi="Times New Roman" w:cs="Times New Roman"/>
          <w:sz w:val="24"/>
          <w:szCs w:val="24"/>
        </w:rPr>
        <w:t xml:space="preserve"> However, locally alkaline conditions absorb CO</w:t>
      </w:r>
      <w:r>
        <w:rPr>
          <w:rFonts w:ascii="Times New Roman" w:hAnsi="Times New Roman" w:cs="Times New Roman"/>
          <w:sz w:val="24"/>
          <w:szCs w:val="24"/>
          <w:vertAlign w:val="subscript"/>
        </w:rPr>
        <w:t>2</w:t>
      </w:r>
      <w:r>
        <w:rPr>
          <w:rFonts w:ascii="Times New Roman" w:hAnsi="Times New Roman" w:cs="Times New Roman"/>
          <w:sz w:val="24"/>
          <w:szCs w:val="24"/>
        </w:rPr>
        <w:t>:</w:t>
      </w:r>
      <w:r w:rsidR="003B165D" w:rsidRPr="00805810">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833"/>
      </w:tblGrid>
      <w:tr w:rsidR="002003DE" w:rsidRPr="00E85E3D" w14:paraId="41029A56" w14:textId="77777777" w:rsidTr="009548B4">
        <w:tc>
          <w:tcPr>
            <w:tcW w:w="4675" w:type="dxa"/>
          </w:tcPr>
          <w:p w14:paraId="0BEFB6D6" w14:textId="77777777" w:rsidR="002003DE" w:rsidRPr="00E85E3D" w:rsidRDefault="002003DE" w:rsidP="009548B4">
            <w:pPr>
              <w:spacing w:afterLines="80" w:after="192"/>
              <w:rPr>
                <w:rFonts w:ascii="Times New Roman" w:hAnsi="Times New Roman" w:cs="Times New Roman"/>
                <w:sz w:val="24"/>
                <w:szCs w:val="24"/>
              </w:rPr>
            </w:pPr>
            <w:r w:rsidRPr="00E85E3D">
              <w:rPr>
                <w:rFonts w:ascii="Times New Roman" w:hAnsi="Times New Roman" w:cs="Times New Roman"/>
                <w:sz w:val="24"/>
                <w:szCs w:val="24"/>
              </w:rPr>
              <w:t>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+ 2OH</w:t>
            </w:r>
            <w:r w:rsidRPr="00E85E3D">
              <w:rPr>
                <w:rFonts w:ascii="Times New Roman" w:hAnsi="Times New Roman" w:cs="Times New Roman"/>
                <w:sz w:val="24"/>
                <w:szCs w:val="24"/>
                <w:vertAlign w:val="superscript"/>
              </w:rPr>
              <w:t>-</w:t>
            </w:r>
            <w:r w:rsidRPr="00E85E3D">
              <w:rPr>
                <w:rFonts w:ascii="Times New Roman" w:hAnsi="Times New Roman" w:cs="Times New Roman"/>
                <w:sz w:val="24"/>
                <w:szCs w:val="24"/>
              </w:rPr>
              <w:t xml:space="preserve"> → CO</w:t>
            </w:r>
            <w:r w:rsidRPr="00E85E3D">
              <w:rPr>
                <w:rFonts w:ascii="Times New Roman" w:hAnsi="Times New Roman" w:cs="Times New Roman"/>
                <w:sz w:val="24"/>
                <w:szCs w:val="24"/>
                <w:vertAlign w:val="subscript"/>
              </w:rPr>
              <w:t>3</w:t>
            </w:r>
            <w:r w:rsidRPr="00E85E3D">
              <w:rPr>
                <w:rFonts w:ascii="Times New Roman" w:hAnsi="Times New Roman" w:cs="Times New Roman"/>
                <w:sz w:val="24"/>
                <w:szCs w:val="24"/>
                <w:vertAlign w:val="superscript"/>
              </w:rPr>
              <w:t>2-</w:t>
            </w:r>
            <w:r w:rsidRPr="00E85E3D">
              <w:rPr>
                <w:rFonts w:ascii="Times New Roman" w:hAnsi="Times New Roman" w:cs="Times New Roman"/>
                <w:sz w:val="24"/>
                <w:szCs w:val="24"/>
              </w:rPr>
              <w:t xml:space="preserve"> + H</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O</w:t>
            </w:r>
          </w:p>
        </w:tc>
        <w:tc>
          <w:tcPr>
            <w:tcW w:w="2833" w:type="dxa"/>
          </w:tcPr>
          <w:p w14:paraId="0645DB81" w14:textId="77777777" w:rsidR="002003DE" w:rsidRPr="00E85E3D" w:rsidRDefault="002003DE"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[1]</w:t>
            </w:r>
          </w:p>
        </w:tc>
      </w:tr>
      <w:tr w:rsidR="002003DE" w:rsidRPr="00E85E3D" w14:paraId="7617B068" w14:textId="77777777" w:rsidTr="009548B4">
        <w:tc>
          <w:tcPr>
            <w:tcW w:w="4675" w:type="dxa"/>
          </w:tcPr>
          <w:p w14:paraId="1BE7B11B" w14:textId="77777777" w:rsidR="002003DE" w:rsidRPr="00E85E3D" w:rsidRDefault="002003DE" w:rsidP="009548B4">
            <w:pPr>
              <w:spacing w:afterLines="80" w:after="192"/>
              <w:rPr>
                <w:rFonts w:ascii="Times New Roman" w:hAnsi="Times New Roman" w:cs="Times New Roman"/>
                <w:sz w:val="24"/>
                <w:szCs w:val="24"/>
              </w:rPr>
            </w:pPr>
            <w:r w:rsidRPr="00E85E3D">
              <w:rPr>
                <w:rFonts w:ascii="Times New Roman" w:hAnsi="Times New Roman" w:cs="Times New Roman"/>
                <w:sz w:val="24"/>
                <w:szCs w:val="24"/>
              </w:rPr>
              <w:t>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 OH</w:t>
            </w:r>
            <w:r w:rsidRPr="00E85E3D">
              <w:rPr>
                <w:rFonts w:ascii="Times New Roman" w:hAnsi="Times New Roman" w:cs="Times New Roman"/>
                <w:sz w:val="24"/>
                <w:szCs w:val="24"/>
                <w:vertAlign w:val="superscript"/>
              </w:rPr>
              <w:t>-</w:t>
            </w:r>
            <w:r w:rsidRPr="00E85E3D">
              <w:rPr>
                <w:rFonts w:ascii="Times New Roman" w:hAnsi="Times New Roman" w:cs="Times New Roman"/>
                <w:sz w:val="24"/>
                <w:szCs w:val="24"/>
              </w:rPr>
              <w:t xml:space="preserve"> → HCO</w:t>
            </w:r>
            <w:r w:rsidRPr="00E85E3D">
              <w:rPr>
                <w:rFonts w:ascii="Times New Roman" w:hAnsi="Times New Roman" w:cs="Times New Roman"/>
                <w:sz w:val="24"/>
                <w:szCs w:val="24"/>
                <w:vertAlign w:val="subscript"/>
              </w:rPr>
              <w:t>3</w:t>
            </w:r>
            <w:r w:rsidRPr="00E85E3D">
              <w:rPr>
                <w:rFonts w:ascii="Times New Roman" w:hAnsi="Times New Roman" w:cs="Times New Roman"/>
                <w:sz w:val="24"/>
                <w:szCs w:val="24"/>
                <w:vertAlign w:val="superscript"/>
              </w:rPr>
              <w:t xml:space="preserve">- </w:t>
            </w:r>
          </w:p>
        </w:tc>
        <w:tc>
          <w:tcPr>
            <w:tcW w:w="2833" w:type="dxa"/>
          </w:tcPr>
          <w:p w14:paraId="228226D0" w14:textId="77777777" w:rsidR="002003DE" w:rsidRPr="00E85E3D" w:rsidRDefault="002003DE"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[2]</w:t>
            </w:r>
          </w:p>
        </w:tc>
      </w:tr>
    </w:tbl>
    <w:p w14:paraId="54D515B8" w14:textId="5CAA8A69" w:rsidR="007A4881" w:rsidRPr="00E85E3D" w:rsidRDefault="00B93825" w:rsidP="007A4881">
      <w:pPr>
        <w:spacing w:afterLines="80" w:after="192" w:line="240" w:lineRule="auto"/>
        <w:jc w:val="both"/>
        <w:rPr>
          <w:rFonts w:ascii="Times New Roman" w:hAnsi="Times New Roman" w:cs="Times New Roman"/>
          <w:sz w:val="24"/>
          <w:szCs w:val="24"/>
        </w:rPr>
      </w:pPr>
      <w:r w:rsidRPr="00E85E3D">
        <w:rPr>
          <w:rFonts w:ascii="Times New Roman" w:hAnsi="Times New Roman" w:cs="Times New Roman"/>
          <w:sz w:val="24"/>
          <w:szCs w:val="24"/>
        </w:rPr>
        <w:t>Meanwhile, t</w:t>
      </w:r>
      <w:r w:rsidR="007A4881" w:rsidRPr="00E85E3D">
        <w:rPr>
          <w:rFonts w:ascii="Times New Roman" w:hAnsi="Times New Roman" w:cs="Times New Roman"/>
          <w:sz w:val="24"/>
          <w:szCs w:val="24"/>
        </w:rPr>
        <w:t>he major cathode reactions in neutral or alka</w:t>
      </w:r>
      <w:r w:rsidR="007A4881" w:rsidRPr="00E85E3D">
        <w:rPr>
          <w:rFonts w:ascii="Times New Roman" w:hAnsi="Times New Roman" w:cs="Times New Roman" w:hint="eastAsia"/>
          <w:sz w:val="24"/>
          <w:szCs w:val="24"/>
        </w:rPr>
        <w:t>line</w:t>
      </w:r>
      <w:r w:rsidR="007A4881" w:rsidRPr="00E85E3D">
        <w:rPr>
          <w:rFonts w:ascii="Times New Roman" w:hAnsi="Times New Roman" w:cs="Times New Roman"/>
          <w:sz w:val="24"/>
          <w:szCs w:val="24"/>
        </w:rPr>
        <w:t xml:space="preserve"> media 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833"/>
      </w:tblGrid>
      <w:tr w:rsidR="007A4881" w:rsidRPr="00E85E3D" w14:paraId="2B0B25D7" w14:textId="77777777" w:rsidTr="009548B4">
        <w:tc>
          <w:tcPr>
            <w:tcW w:w="4675" w:type="dxa"/>
          </w:tcPr>
          <w:p w14:paraId="0DAF0DFC" w14:textId="77777777" w:rsidR="007A4881" w:rsidRPr="00E85E3D" w:rsidRDefault="007A4881" w:rsidP="009548B4">
            <w:pPr>
              <w:spacing w:afterLines="80" w:after="192"/>
              <w:rPr>
                <w:rFonts w:ascii="Times New Roman" w:hAnsi="Times New Roman" w:cs="Times New Roman"/>
                <w:sz w:val="24"/>
                <w:szCs w:val="24"/>
                <w:vertAlign w:val="superscript"/>
              </w:rPr>
            </w:pPr>
            <w:r w:rsidRPr="00E85E3D">
              <w:rPr>
                <w:rFonts w:ascii="Times New Roman" w:hAnsi="Times New Roman" w:cs="Times New Roman"/>
                <w:sz w:val="24"/>
                <w:szCs w:val="24"/>
              </w:rPr>
              <w:t>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 H</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O + 2e</w:t>
            </w:r>
            <w:r w:rsidRPr="00E85E3D">
              <w:rPr>
                <w:rFonts w:ascii="Times New Roman" w:hAnsi="Times New Roman" w:cs="Times New Roman"/>
                <w:sz w:val="24"/>
                <w:szCs w:val="24"/>
                <w:vertAlign w:val="superscript"/>
              </w:rPr>
              <w:t>-</w:t>
            </w:r>
            <w:r w:rsidRPr="00E85E3D">
              <w:rPr>
                <w:rFonts w:ascii="Times New Roman" w:hAnsi="Times New Roman" w:cs="Times New Roman"/>
                <w:sz w:val="24"/>
                <w:szCs w:val="24"/>
              </w:rPr>
              <w:t xml:space="preserve"> → CO</w:t>
            </w:r>
            <w:r w:rsidRPr="00E85E3D">
              <w:rPr>
                <w:rFonts w:ascii="Times New Roman" w:hAnsi="Times New Roman" w:cs="Times New Roman"/>
                <w:sz w:val="24"/>
                <w:szCs w:val="24"/>
                <w:vertAlign w:val="subscript"/>
              </w:rPr>
              <w:t xml:space="preserve"> </w:t>
            </w:r>
            <w:r w:rsidRPr="00E85E3D">
              <w:rPr>
                <w:rFonts w:ascii="Times New Roman" w:hAnsi="Times New Roman" w:cs="Times New Roman"/>
                <w:sz w:val="24"/>
                <w:szCs w:val="24"/>
              </w:rPr>
              <w:t>+ 2OH</w:t>
            </w:r>
            <w:r w:rsidRPr="00E85E3D">
              <w:rPr>
                <w:rFonts w:ascii="Times New Roman" w:hAnsi="Times New Roman" w:cs="Times New Roman"/>
                <w:sz w:val="24"/>
                <w:szCs w:val="24"/>
                <w:vertAlign w:val="superscript"/>
              </w:rPr>
              <w:t>-</w:t>
            </w:r>
          </w:p>
        </w:tc>
        <w:tc>
          <w:tcPr>
            <w:tcW w:w="2833" w:type="dxa"/>
          </w:tcPr>
          <w:p w14:paraId="0FB843BB" w14:textId="77777777" w:rsidR="007A4881" w:rsidRPr="00E85E3D" w:rsidRDefault="007A4881"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[3]</w:t>
            </w:r>
          </w:p>
        </w:tc>
      </w:tr>
      <w:tr w:rsidR="007A4881" w:rsidRPr="00E85E3D" w14:paraId="74032FA4" w14:textId="77777777" w:rsidTr="009548B4">
        <w:tc>
          <w:tcPr>
            <w:tcW w:w="4675" w:type="dxa"/>
          </w:tcPr>
          <w:p w14:paraId="65B778D4" w14:textId="77777777" w:rsidR="007A4881" w:rsidRPr="00E85E3D" w:rsidRDefault="007A4881" w:rsidP="009548B4">
            <w:pPr>
              <w:spacing w:afterLines="80" w:after="192"/>
              <w:rPr>
                <w:rFonts w:ascii="Times New Roman" w:hAnsi="Times New Roman" w:cs="Times New Roman"/>
                <w:sz w:val="24"/>
                <w:szCs w:val="24"/>
              </w:rPr>
            </w:pPr>
            <w:r w:rsidRPr="00E85E3D">
              <w:rPr>
                <w:rFonts w:ascii="Times New Roman" w:hAnsi="Times New Roman" w:cs="Times New Roman"/>
                <w:sz w:val="24"/>
                <w:szCs w:val="24"/>
              </w:rPr>
              <w:t>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 H</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O + 2e</w:t>
            </w:r>
            <w:r w:rsidRPr="00E85E3D">
              <w:rPr>
                <w:rFonts w:ascii="Times New Roman" w:hAnsi="Times New Roman" w:cs="Times New Roman"/>
                <w:sz w:val="24"/>
                <w:szCs w:val="24"/>
                <w:vertAlign w:val="superscript"/>
              </w:rPr>
              <w:t>-</w:t>
            </w:r>
            <w:r w:rsidRPr="00E85E3D">
              <w:rPr>
                <w:rFonts w:ascii="Times New Roman" w:hAnsi="Times New Roman" w:cs="Times New Roman"/>
                <w:sz w:val="24"/>
                <w:szCs w:val="24"/>
              </w:rPr>
              <w:t xml:space="preserve"> → HCOO</w:t>
            </w:r>
            <w:r w:rsidRPr="00E85E3D">
              <w:rPr>
                <w:rFonts w:ascii="Times New Roman" w:hAnsi="Times New Roman" w:cs="Times New Roman"/>
                <w:sz w:val="24"/>
                <w:szCs w:val="24"/>
                <w:vertAlign w:val="superscript"/>
              </w:rPr>
              <w:t>-</w:t>
            </w:r>
            <w:r w:rsidRPr="00E85E3D">
              <w:rPr>
                <w:rFonts w:ascii="Times New Roman" w:hAnsi="Times New Roman" w:cs="Times New Roman"/>
                <w:sz w:val="24"/>
                <w:szCs w:val="24"/>
                <w:vertAlign w:val="subscript"/>
              </w:rPr>
              <w:t xml:space="preserve"> </w:t>
            </w:r>
            <w:r w:rsidRPr="00E85E3D">
              <w:rPr>
                <w:rFonts w:ascii="Times New Roman" w:hAnsi="Times New Roman" w:cs="Times New Roman"/>
                <w:sz w:val="24"/>
                <w:szCs w:val="24"/>
              </w:rPr>
              <w:t>+ OH</w:t>
            </w:r>
            <w:r w:rsidRPr="00E85E3D">
              <w:rPr>
                <w:rFonts w:ascii="Times New Roman" w:hAnsi="Times New Roman" w:cs="Times New Roman"/>
                <w:sz w:val="24"/>
                <w:szCs w:val="24"/>
                <w:vertAlign w:val="superscript"/>
              </w:rPr>
              <w:t>-</w:t>
            </w:r>
          </w:p>
        </w:tc>
        <w:tc>
          <w:tcPr>
            <w:tcW w:w="2833" w:type="dxa"/>
          </w:tcPr>
          <w:p w14:paraId="4AA3410B" w14:textId="77777777" w:rsidR="007A4881" w:rsidRPr="00E85E3D" w:rsidRDefault="007A4881"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[4]</w:t>
            </w:r>
          </w:p>
        </w:tc>
      </w:tr>
      <w:tr w:rsidR="007A4881" w:rsidRPr="00E85E3D" w14:paraId="10FB7E8C" w14:textId="77777777" w:rsidTr="009548B4">
        <w:tc>
          <w:tcPr>
            <w:tcW w:w="4675" w:type="dxa"/>
          </w:tcPr>
          <w:p w14:paraId="39478EF4" w14:textId="77777777" w:rsidR="007A4881" w:rsidRPr="00E85E3D" w:rsidRDefault="007A4881" w:rsidP="009548B4">
            <w:pPr>
              <w:spacing w:afterLines="80" w:after="192"/>
              <w:rPr>
                <w:rFonts w:ascii="Times New Roman" w:hAnsi="Times New Roman" w:cs="Times New Roman"/>
                <w:sz w:val="24"/>
                <w:szCs w:val="24"/>
              </w:rPr>
            </w:pPr>
            <w:r w:rsidRPr="00E85E3D">
              <w:rPr>
                <w:rFonts w:ascii="Times New Roman" w:hAnsi="Times New Roman" w:cs="Times New Roman"/>
                <w:sz w:val="24"/>
                <w:szCs w:val="24"/>
              </w:rPr>
              <w:t>2CO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+ 5H</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O + 8e</w:t>
            </w:r>
            <w:r w:rsidRPr="00E85E3D">
              <w:rPr>
                <w:rFonts w:ascii="Times New Roman" w:hAnsi="Times New Roman" w:cs="Times New Roman"/>
                <w:sz w:val="24"/>
                <w:szCs w:val="24"/>
                <w:vertAlign w:val="superscript"/>
              </w:rPr>
              <w:t>-</w:t>
            </w:r>
            <w:r w:rsidRPr="00E85E3D">
              <w:rPr>
                <w:rFonts w:ascii="Times New Roman" w:hAnsi="Times New Roman" w:cs="Times New Roman"/>
                <w:sz w:val="24"/>
                <w:szCs w:val="24"/>
              </w:rPr>
              <w:t xml:space="preserve"> → CH</w:t>
            </w:r>
            <w:r w:rsidRPr="00E85E3D">
              <w:rPr>
                <w:rFonts w:ascii="Times New Roman" w:hAnsi="Times New Roman" w:cs="Times New Roman"/>
                <w:sz w:val="24"/>
                <w:szCs w:val="24"/>
                <w:vertAlign w:val="subscript"/>
              </w:rPr>
              <w:t>3</w:t>
            </w:r>
            <w:r w:rsidRPr="00E85E3D">
              <w:rPr>
                <w:rFonts w:ascii="Times New Roman" w:hAnsi="Times New Roman" w:cs="Times New Roman"/>
                <w:sz w:val="24"/>
                <w:szCs w:val="24"/>
              </w:rPr>
              <w:t>COO</w:t>
            </w:r>
            <w:r w:rsidRPr="00E85E3D">
              <w:rPr>
                <w:rFonts w:ascii="Times New Roman" w:hAnsi="Times New Roman" w:cs="Times New Roman"/>
                <w:sz w:val="24"/>
                <w:szCs w:val="24"/>
                <w:vertAlign w:val="superscript"/>
              </w:rPr>
              <w:t>-</w:t>
            </w:r>
            <w:r w:rsidRPr="00E85E3D">
              <w:rPr>
                <w:rFonts w:ascii="Times New Roman" w:hAnsi="Times New Roman" w:cs="Times New Roman"/>
                <w:sz w:val="24"/>
                <w:szCs w:val="24"/>
                <w:vertAlign w:val="subscript"/>
              </w:rPr>
              <w:t xml:space="preserve"> </w:t>
            </w:r>
            <w:r w:rsidRPr="00E85E3D">
              <w:rPr>
                <w:rFonts w:ascii="Times New Roman" w:hAnsi="Times New Roman" w:cs="Times New Roman"/>
                <w:sz w:val="24"/>
                <w:szCs w:val="24"/>
              </w:rPr>
              <w:t>+ 7OH</w:t>
            </w:r>
            <w:r w:rsidRPr="00E85E3D">
              <w:rPr>
                <w:rFonts w:ascii="Times New Roman" w:hAnsi="Times New Roman" w:cs="Times New Roman"/>
                <w:sz w:val="24"/>
                <w:szCs w:val="24"/>
                <w:vertAlign w:val="superscript"/>
              </w:rPr>
              <w:t>-</w:t>
            </w:r>
          </w:p>
        </w:tc>
        <w:tc>
          <w:tcPr>
            <w:tcW w:w="2833" w:type="dxa"/>
          </w:tcPr>
          <w:p w14:paraId="09440188" w14:textId="77777777" w:rsidR="007A4881" w:rsidRPr="00E85E3D" w:rsidRDefault="007A4881"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[5]</w:t>
            </w:r>
          </w:p>
        </w:tc>
      </w:tr>
      <w:tr w:rsidR="007A4881" w:rsidRPr="00E85E3D" w14:paraId="3EB5F748" w14:textId="77777777" w:rsidTr="009548B4">
        <w:tc>
          <w:tcPr>
            <w:tcW w:w="4675" w:type="dxa"/>
          </w:tcPr>
          <w:p w14:paraId="1B3286EB" w14:textId="77777777" w:rsidR="007A4881" w:rsidRPr="00E85E3D" w:rsidRDefault="007A4881" w:rsidP="009548B4">
            <w:pPr>
              <w:spacing w:afterLines="80" w:after="192"/>
              <w:rPr>
                <w:rFonts w:ascii="Times New Roman" w:hAnsi="Times New Roman" w:cs="Times New Roman"/>
                <w:sz w:val="24"/>
                <w:szCs w:val="24"/>
              </w:rPr>
            </w:pPr>
            <w:r w:rsidRPr="00E85E3D">
              <w:rPr>
                <w:rFonts w:ascii="Times New Roman" w:hAnsi="Times New Roman" w:cs="Times New Roman"/>
                <w:sz w:val="24"/>
                <w:szCs w:val="24"/>
              </w:rPr>
              <w:t>2CO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+ 8H</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O + 12e</w:t>
            </w:r>
            <w:r w:rsidRPr="00E85E3D">
              <w:rPr>
                <w:rFonts w:ascii="Times New Roman" w:hAnsi="Times New Roman" w:cs="Times New Roman"/>
                <w:sz w:val="24"/>
                <w:szCs w:val="24"/>
                <w:vertAlign w:val="superscript"/>
              </w:rPr>
              <w:t>-</w:t>
            </w:r>
            <w:r w:rsidRPr="00E85E3D">
              <w:rPr>
                <w:rFonts w:ascii="Times New Roman" w:hAnsi="Times New Roman" w:cs="Times New Roman"/>
                <w:sz w:val="24"/>
                <w:szCs w:val="24"/>
              </w:rPr>
              <w:t xml:space="preserve"> → C</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H</w:t>
            </w:r>
            <w:r w:rsidRPr="00E85E3D">
              <w:rPr>
                <w:rFonts w:ascii="Times New Roman" w:hAnsi="Times New Roman" w:cs="Times New Roman"/>
                <w:sz w:val="24"/>
                <w:szCs w:val="24"/>
                <w:vertAlign w:val="subscript"/>
              </w:rPr>
              <w:t xml:space="preserve">4 </w:t>
            </w:r>
            <w:r w:rsidRPr="00E85E3D">
              <w:rPr>
                <w:rFonts w:ascii="Times New Roman" w:hAnsi="Times New Roman" w:cs="Times New Roman"/>
                <w:sz w:val="24"/>
                <w:szCs w:val="24"/>
              </w:rPr>
              <w:t>+ 12OH</w:t>
            </w:r>
            <w:r w:rsidRPr="00E85E3D">
              <w:rPr>
                <w:rFonts w:ascii="Times New Roman" w:hAnsi="Times New Roman" w:cs="Times New Roman"/>
                <w:sz w:val="24"/>
                <w:szCs w:val="24"/>
                <w:vertAlign w:val="superscript"/>
              </w:rPr>
              <w:t>-</w:t>
            </w:r>
          </w:p>
        </w:tc>
        <w:tc>
          <w:tcPr>
            <w:tcW w:w="2833" w:type="dxa"/>
          </w:tcPr>
          <w:p w14:paraId="7C6EB8D6" w14:textId="77777777" w:rsidR="007A4881" w:rsidRPr="00E85E3D" w:rsidRDefault="007A4881"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[6]</w:t>
            </w:r>
          </w:p>
        </w:tc>
      </w:tr>
      <w:tr w:rsidR="007A4881" w:rsidRPr="00E85E3D" w14:paraId="124C0B50" w14:textId="77777777" w:rsidTr="009548B4">
        <w:tc>
          <w:tcPr>
            <w:tcW w:w="4675" w:type="dxa"/>
          </w:tcPr>
          <w:p w14:paraId="65DC63A4" w14:textId="77777777" w:rsidR="007A4881" w:rsidRPr="00E85E3D" w:rsidRDefault="007A4881" w:rsidP="009548B4">
            <w:pPr>
              <w:spacing w:afterLines="80" w:after="192"/>
              <w:rPr>
                <w:rFonts w:ascii="Times New Roman" w:hAnsi="Times New Roman" w:cs="Times New Roman"/>
                <w:sz w:val="24"/>
                <w:szCs w:val="24"/>
                <w:vertAlign w:val="superscript"/>
              </w:rPr>
            </w:pPr>
            <w:r w:rsidRPr="00E85E3D">
              <w:rPr>
                <w:rFonts w:ascii="Times New Roman" w:hAnsi="Times New Roman" w:cs="Times New Roman"/>
                <w:sz w:val="24"/>
                <w:szCs w:val="24"/>
              </w:rPr>
              <w:t>2CO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+ 9H</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O + 12e</w:t>
            </w:r>
            <w:r w:rsidRPr="00E85E3D">
              <w:rPr>
                <w:rFonts w:ascii="Times New Roman" w:hAnsi="Times New Roman" w:cs="Times New Roman"/>
                <w:sz w:val="24"/>
                <w:szCs w:val="24"/>
                <w:vertAlign w:val="superscript"/>
              </w:rPr>
              <w:t>-</w:t>
            </w:r>
            <w:r w:rsidRPr="00E85E3D">
              <w:rPr>
                <w:rFonts w:ascii="Times New Roman" w:hAnsi="Times New Roman" w:cs="Times New Roman"/>
                <w:sz w:val="24"/>
                <w:szCs w:val="24"/>
              </w:rPr>
              <w:t xml:space="preserve"> → C</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H</w:t>
            </w:r>
            <w:r w:rsidRPr="00E85E3D">
              <w:rPr>
                <w:rFonts w:ascii="Times New Roman" w:hAnsi="Times New Roman" w:cs="Times New Roman"/>
                <w:sz w:val="24"/>
                <w:szCs w:val="24"/>
                <w:vertAlign w:val="subscript"/>
              </w:rPr>
              <w:t>5</w:t>
            </w:r>
            <w:r w:rsidRPr="00E85E3D">
              <w:rPr>
                <w:rFonts w:ascii="Times New Roman" w:hAnsi="Times New Roman" w:cs="Times New Roman"/>
                <w:sz w:val="24"/>
                <w:szCs w:val="24"/>
              </w:rPr>
              <w:t>OH</w:t>
            </w:r>
            <w:r w:rsidRPr="00E85E3D">
              <w:rPr>
                <w:rFonts w:ascii="Times New Roman" w:hAnsi="Times New Roman" w:cs="Times New Roman"/>
                <w:sz w:val="24"/>
                <w:szCs w:val="24"/>
                <w:vertAlign w:val="subscript"/>
              </w:rPr>
              <w:t xml:space="preserve"> </w:t>
            </w:r>
            <w:r w:rsidRPr="00E85E3D">
              <w:rPr>
                <w:rFonts w:ascii="Times New Roman" w:hAnsi="Times New Roman" w:cs="Times New Roman"/>
                <w:sz w:val="24"/>
                <w:szCs w:val="24"/>
              </w:rPr>
              <w:t>+ 12OH</w:t>
            </w:r>
            <w:r w:rsidRPr="00E85E3D">
              <w:rPr>
                <w:rFonts w:ascii="Times New Roman" w:hAnsi="Times New Roman" w:cs="Times New Roman"/>
                <w:sz w:val="24"/>
                <w:szCs w:val="24"/>
                <w:vertAlign w:val="superscript"/>
              </w:rPr>
              <w:t>-</w:t>
            </w:r>
          </w:p>
        </w:tc>
        <w:tc>
          <w:tcPr>
            <w:tcW w:w="2833" w:type="dxa"/>
          </w:tcPr>
          <w:p w14:paraId="52E7664A" w14:textId="77777777" w:rsidR="007A4881" w:rsidRPr="00E85E3D" w:rsidRDefault="007A4881"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[7]</w:t>
            </w:r>
          </w:p>
        </w:tc>
      </w:tr>
      <w:tr w:rsidR="007A4881" w:rsidRPr="00E85E3D" w14:paraId="59395F47" w14:textId="77777777" w:rsidTr="009548B4">
        <w:tc>
          <w:tcPr>
            <w:tcW w:w="4675" w:type="dxa"/>
          </w:tcPr>
          <w:p w14:paraId="0A5ABB28" w14:textId="77777777" w:rsidR="007A4881" w:rsidRPr="00E85E3D" w:rsidRDefault="007A4881" w:rsidP="009548B4">
            <w:pPr>
              <w:spacing w:afterLines="80" w:after="192"/>
              <w:rPr>
                <w:rFonts w:ascii="Times New Roman" w:hAnsi="Times New Roman" w:cs="Times New Roman"/>
                <w:sz w:val="24"/>
                <w:szCs w:val="24"/>
                <w:vertAlign w:val="superscript"/>
              </w:rPr>
            </w:pPr>
            <w:r w:rsidRPr="00E85E3D">
              <w:rPr>
                <w:rFonts w:ascii="Times New Roman" w:hAnsi="Times New Roman" w:cs="Times New Roman"/>
                <w:sz w:val="24"/>
                <w:szCs w:val="24"/>
              </w:rPr>
              <w:t>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+ 6H</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O + 8e</w:t>
            </w:r>
            <w:r w:rsidRPr="00E85E3D">
              <w:rPr>
                <w:rFonts w:ascii="Times New Roman" w:hAnsi="Times New Roman" w:cs="Times New Roman"/>
                <w:sz w:val="24"/>
                <w:szCs w:val="24"/>
                <w:vertAlign w:val="superscript"/>
              </w:rPr>
              <w:t>-</w:t>
            </w:r>
            <w:r w:rsidRPr="00E85E3D">
              <w:rPr>
                <w:rFonts w:ascii="Times New Roman" w:hAnsi="Times New Roman" w:cs="Times New Roman"/>
                <w:sz w:val="24"/>
                <w:szCs w:val="24"/>
              </w:rPr>
              <w:t xml:space="preserve"> → CH</w:t>
            </w:r>
            <w:r w:rsidRPr="00E85E3D">
              <w:rPr>
                <w:rFonts w:ascii="Times New Roman" w:hAnsi="Times New Roman" w:cs="Times New Roman"/>
                <w:sz w:val="24"/>
                <w:szCs w:val="24"/>
                <w:vertAlign w:val="subscript"/>
              </w:rPr>
              <w:t xml:space="preserve">4 </w:t>
            </w:r>
            <w:r w:rsidRPr="00E85E3D">
              <w:rPr>
                <w:rFonts w:ascii="Times New Roman" w:hAnsi="Times New Roman" w:cs="Times New Roman"/>
                <w:sz w:val="24"/>
                <w:szCs w:val="24"/>
              </w:rPr>
              <w:t>+ 8OH</w:t>
            </w:r>
            <w:r w:rsidRPr="00E85E3D">
              <w:rPr>
                <w:rFonts w:ascii="Times New Roman" w:hAnsi="Times New Roman" w:cs="Times New Roman"/>
                <w:sz w:val="24"/>
                <w:szCs w:val="24"/>
                <w:vertAlign w:val="superscript"/>
              </w:rPr>
              <w:t>-</w:t>
            </w:r>
          </w:p>
        </w:tc>
        <w:tc>
          <w:tcPr>
            <w:tcW w:w="2833" w:type="dxa"/>
          </w:tcPr>
          <w:p w14:paraId="55CA9EC2" w14:textId="77777777" w:rsidR="007A4881" w:rsidRPr="00E85E3D" w:rsidRDefault="007A4881"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[8]</w:t>
            </w:r>
          </w:p>
        </w:tc>
      </w:tr>
      <w:tr w:rsidR="007A4881" w:rsidRPr="00E85E3D" w14:paraId="3BF05243" w14:textId="77777777" w:rsidTr="009548B4">
        <w:tc>
          <w:tcPr>
            <w:tcW w:w="4675" w:type="dxa"/>
          </w:tcPr>
          <w:p w14:paraId="090908BA" w14:textId="77777777" w:rsidR="007A4881" w:rsidRPr="00E85E3D" w:rsidRDefault="007A4881" w:rsidP="009548B4">
            <w:pPr>
              <w:spacing w:afterLines="80" w:after="192"/>
              <w:rPr>
                <w:rFonts w:ascii="Times New Roman" w:hAnsi="Times New Roman" w:cs="Times New Roman"/>
                <w:sz w:val="24"/>
                <w:szCs w:val="24"/>
              </w:rPr>
            </w:pPr>
            <w:r w:rsidRPr="00E85E3D">
              <w:rPr>
                <w:rFonts w:ascii="Times New Roman" w:hAnsi="Times New Roman" w:cs="Times New Roman"/>
                <w:sz w:val="24"/>
                <w:szCs w:val="24"/>
              </w:rPr>
              <w:t>3CO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+ 13H</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O + 18e</w:t>
            </w:r>
            <w:r w:rsidRPr="00E85E3D">
              <w:rPr>
                <w:rFonts w:ascii="Times New Roman" w:hAnsi="Times New Roman" w:cs="Times New Roman"/>
                <w:sz w:val="24"/>
                <w:szCs w:val="24"/>
                <w:vertAlign w:val="superscript"/>
              </w:rPr>
              <w:t>-</w:t>
            </w:r>
            <w:r w:rsidRPr="00E85E3D">
              <w:rPr>
                <w:rFonts w:ascii="Times New Roman" w:hAnsi="Times New Roman" w:cs="Times New Roman"/>
                <w:sz w:val="24"/>
                <w:szCs w:val="24"/>
              </w:rPr>
              <w:t xml:space="preserve"> → C</w:t>
            </w:r>
            <w:r w:rsidRPr="00E85E3D">
              <w:rPr>
                <w:rFonts w:ascii="Times New Roman" w:hAnsi="Times New Roman" w:cs="Times New Roman"/>
                <w:sz w:val="24"/>
                <w:szCs w:val="24"/>
                <w:vertAlign w:val="subscript"/>
              </w:rPr>
              <w:t>3</w:t>
            </w:r>
            <w:r w:rsidRPr="00E85E3D">
              <w:rPr>
                <w:rFonts w:ascii="Times New Roman" w:hAnsi="Times New Roman" w:cs="Times New Roman"/>
                <w:sz w:val="24"/>
                <w:szCs w:val="24"/>
              </w:rPr>
              <w:t>H</w:t>
            </w:r>
            <w:r w:rsidRPr="00E85E3D">
              <w:rPr>
                <w:rFonts w:ascii="Times New Roman" w:hAnsi="Times New Roman" w:cs="Times New Roman"/>
                <w:sz w:val="24"/>
                <w:szCs w:val="24"/>
                <w:vertAlign w:val="subscript"/>
              </w:rPr>
              <w:t>7</w:t>
            </w:r>
            <w:r w:rsidRPr="00E85E3D">
              <w:rPr>
                <w:rFonts w:ascii="Times New Roman" w:hAnsi="Times New Roman" w:cs="Times New Roman"/>
                <w:sz w:val="24"/>
                <w:szCs w:val="24"/>
              </w:rPr>
              <w:t>OH</w:t>
            </w:r>
            <w:r w:rsidRPr="00E85E3D">
              <w:rPr>
                <w:rFonts w:ascii="Times New Roman" w:hAnsi="Times New Roman" w:cs="Times New Roman"/>
                <w:sz w:val="24"/>
                <w:szCs w:val="24"/>
                <w:vertAlign w:val="subscript"/>
              </w:rPr>
              <w:t xml:space="preserve"> </w:t>
            </w:r>
            <w:r w:rsidRPr="00E85E3D">
              <w:rPr>
                <w:rFonts w:ascii="Times New Roman" w:hAnsi="Times New Roman" w:cs="Times New Roman"/>
                <w:sz w:val="24"/>
                <w:szCs w:val="24"/>
              </w:rPr>
              <w:t>+ 18OH</w:t>
            </w:r>
            <w:r w:rsidRPr="00E85E3D">
              <w:rPr>
                <w:rFonts w:ascii="Times New Roman" w:hAnsi="Times New Roman" w:cs="Times New Roman"/>
                <w:sz w:val="24"/>
                <w:szCs w:val="24"/>
                <w:vertAlign w:val="superscript"/>
              </w:rPr>
              <w:t>-</w:t>
            </w:r>
          </w:p>
        </w:tc>
        <w:tc>
          <w:tcPr>
            <w:tcW w:w="2833" w:type="dxa"/>
          </w:tcPr>
          <w:p w14:paraId="3AA08A8F" w14:textId="77777777" w:rsidR="007A4881" w:rsidRPr="00E85E3D" w:rsidRDefault="007A4881"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[9]</w:t>
            </w:r>
          </w:p>
        </w:tc>
      </w:tr>
      <w:tr w:rsidR="007A4881" w:rsidRPr="00E85E3D" w14:paraId="7268BCE0" w14:textId="77777777" w:rsidTr="009548B4">
        <w:tc>
          <w:tcPr>
            <w:tcW w:w="4675" w:type="dxa"/>
          </w:tcPr>
          <w:p w14:paraId="0D90A4AB" w14:textId="77777777" w:rsidR="007A4881" w:rsidRPr="00E85E3D" w:rsidRDefault="007A4881" w:rsidP="009548B4">
            <w:pPr>
              <w:spacing w:afterLines="80" w:after="192"/>
              <w:rPr>
                <w:rFonts w:ascii="Times New Roman" w:hAnsi="Times New Roman" w:cs="Times New Roman"/>
                <w:sz w:val="24"/>
                <w:szCs w:val="24"/>
                <w:vertAlign w:val="superscript"/>
              </w:rPr>
            </w:pPr>
            <w:r w:rsidRPr="00E85E3D">
              <w:rPr>
                <w:rFonts w:ascii="Times New Roman" w:hAnsi="Times New Roman" w:cs="Times New Roman"/>
                <w:sz w:val="24"/>
                <w:szCs w:val="24"/>
              </w:rPr>
              <w:t>2H</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O + 2e</w:t>
            </w:r>
            <w:r w:rsidRPr="00E85E3D">
              <w:rPr>
                <w:rFonts w:ascii="Times New Roman" w:hAnsi="Times New Roman" w:cs="Times New Roman"/>
                <w:sz w:val="24"/>
                <w:szCs w:val="24"/>
                <w:vertAlign w:val="superscript"/>
              </w:rPr>
              <w:t>-</w:t>
            </w:r>
            <w:r w:rsidRPr="00E85E3D">
              <w:rPr>
                <w:rFonts w:ascii="Times New Roman" w:hAnsi="Times New Roman" w:cs="Times New Roman"/>
                <w:sz w:val="24"/>
                <w:szCs w:val="24"/>
              </w:rPr>
              <w:t xml:space="preserve"> → H</w:t>
            </w:r>
            <w:r w:rsidRPr="00E85E3D">
              <w:rPr>
                <w:rFonts w:ascii="Times New Roman" w:hAnsi="Times New Roman" w:cs="Times New Roman"/>
                <w:sz w:val="24"/>
                <w:szCs w:val="24"/>
                <w:vertAlign w:val="subscript"/>
              </w:rPr>
              <w:t xml:space="preserve">2 </w:t>
            </w:r>
            <w:r w:rsidRPr="00E85E3D">
              <w:rPr>
                <w:rFonts w:ascii="Times New Roman" w:hAnsi="Times New Roman" w:cs="Times New Roman"/>
                <w:sz w:val="24"/>
                <w:szCs w:val="24"/>
              </w:rPr>
              <w:t>+ 2OH</w:t>
            </w:r>
            <w:r w:rsidRPr="00E85E3D">
              <w:rPr>
                <w:rFonts w:ascii="Times New Roman" w:hAnsi="Times New Roman" w:cs="Times New Roman"/>
                <w:sz w:val="24"/>
                <w:szCs w:val="24"/>
                <w:vertAlign w:val="superscript"/>
              </w:rPr>
              <w:t>-</w:t>
            </w:r>
          </w:p>
        </w:tc>
        <w:tc>
          <w:tcPr>
            <w:tcW w:w="2833" w:type="dxa"/>
          </w:tcPr>
          <w:p w14:paraId="0109DCD0" w14:textId="77777777" w:rsidR="007A4881" w:rsidRPr="00E85E3D" w:rsidRDefault="007A4881"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[10]</w:t>
            </w:r>
          </w:p>
        </w:tc>
      </w:tr>
    </w:tbl>
    <w:p w14:paraId="3722C8C0" w14:textId="77777777" w:rsidR="007A4881" w:rsidRPr="00E85E3D" w:rsidRDefault="007A4881" w:rsidP="007A4881">
      <w:pPr>
        <w:spacing w:afterLines="80" w:after="192" w:line="240" w:lineRule="auto"/>
        <w:rPr>
          <w:rFonts w:ascii="Times New Roman" w:hAnsi="Times New Roman" w:cs="Times New Roman"/>
          <w:sz w:val="24"/>
          <w:szCs w:val="24"/>
        </w:rPr>
      </w:pPr>
      <w:r w:rsidRPr="00E85E3D">
        <w:rPr>
          <w:rFonts w:ascii="Times New Roman" w:hAnsi="Times New Roman" w:cs="Times New Roman"/>
          <w:sz w:val="24"/>
          <w:szCs w:val="24"/>
        </w:rPr>
        <w:t xml:space="preserve">All these reactions generate hydroxide, of which the rate (in mole per second, </w:t>
      </w:r>
      <w:r w:rsidRPr="00E85E3D">
        <w:rPr>
          <w:rFonts w:ascii="Times New Roman" w:hAnsi="Times New Roman" w:cs="Times New Roman"/>
          <w:i/>
          <w:iCs/>
          <w:sz w:val="24"/>
          <w:szCs w:val="24"/>
        </w:rPr>
        <w:t>M</w:t>
      </w:r>
      <w:r w:rsidRPr="00E85E3D">
        <w:rPr>
          <w:rFonts w:ascii="Times New Roman" w:hAnsi="Times New Roman" w:cs="Times New Roman"/>
          <w:i/>
          <w:iCs/>
          <w:sz w:val="24"/>
          <w:szCs w:val="24"/>
          <w:vertAlign w:val="subscript"/>
        </w:rPr>
        <w:t>OH</w:t>
      </w:r>
      <w:r w:rsidRPr="00E85E3D">
        <w:rPr>
          <w:rFonts w:ascii="Times New Roman" w:hAnsi="Times New Roman" w:cs="Times New Roman"/>
          <w:sz w:val="24"/>
          <w:szCs w:val="24"/>
        </w:rPr>
        <w:t>)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833"/>
      </w:tblGrid>
      <w:tr w:rsidR="007A4881" w:rsidRPr="00E85E3D" w14:paraId="67B6342C" w14:textId="77777777" w:rsidTr="009548B4">
        <w:tc>
          <w:tcPr>
            <w:tcW w:w="4675" w:type="dxa"/>
          </w:tcPr>
          <w:p w14:paraId="4C7C3801" w14:textId="77777777" w:rsidR="007A4881" w:rsidRPr="00805810" w:rsidRDefault="00D37A04" w:rsidP="009548B4">
            <w:pPr>
              <w:spacing w:afterLines="80" w:after="192"/>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OH</m:t>
                    </m:r>
                  </m:sub>
                </m:sSub>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sub>
                  <m:sup>
                    <m:r>
                      <w:rPr>
                        <w:rFonts w:ascii="Cambria Math" w:hAnsi="Cambria Math" w:cs="Times New Roman"/>
                        <w:sz w:val="24"/>
                        <w:szCs w:val="24"/>
                      </w:rPr>
                      <m:t>n</m:t>
                    </m:r>
                  </m:sup>
                  <m:e>
                    <m:f>
                      <m:fPr>
                        <m:ctrlPr>
                          <w:rPr>
                            <w:rFonts w:ascii="Cambria Math" w:hAnsi="Cambria Math" w:cs="Times New Roman"/>
                            <w:i/>
                            <w:sz w:val="24"/>
                            <w:szCs w:val="24"/>
                          </w:rPr>
                        </m:ctrlPr>
                      </m:fPr>
                      <m:num>
                        <m:r>
                          <w:rPr>
                            <w:rFonts w:ascii="Cambria Math" w:hAnsi="Cambria Math" w:cs="Times New Roman"/>
                            <w:sz w:val="24"/>
                            <w:szCs w:val="24"/>
                          </w:rPr>
                          <m:t>J×</m:t>
                        </m:r>
                        <m:sSub>
                          <m:sSubPr>
                            <m:ctrlPr>
                              <w:rPr>
                                <w:rFonts w:ascii="Cambria Math" w:hAnsi="Cambria Math" w:cs="Times New Roman"/>
                                <w:i/>
                                <w:sz w:val="24"/>
                                <w:szCs w:val="24"/>
                              </w:rPr>
                            </m:ctrlPr>
                          </m:sSubPr>
                          <m:e>
                            <m:r>
                              <w:rPr>
                                <w:rFonts w:ascii="Cambria Math" w:hAnsi="Cambria Math" w:cs="Times New Roman"/>
                                <w:sz w:val="24"/>
                                <w:szCs w:val="24"/>
                              </w:rPr>
                              <m:t>FE</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m:t>
                            </m:r>
                          </m:sub>
                        </m:sSub>
                      </m:num>
                      <m:den>
                        <m:r>
                          <w:rPr>
                            <w:rFonts w:ascii="Cambria Math" w:hAnsi="Cambria Math" w:cs="Times New Roman"/>
                            <w:sz w:val="24"/>
                            <w:szCs w:val="24"/>
                          </w:rPr>
                          <m:t>F</m:t>
                        </m:r>
                      </m:den>
                    </m:f>
                  </m:e>
                </m:nary>
              </m:oMath>
            </m:oMathPara>
          </w:p>
        </w:tc>
        <w:tc>
          <w:tcPr>
            <w:tcW w:w="2833" w:type="dxa"/>
            <w:vAlign w:val="center"/>
          </w:tcPr>
          <w:p w14:paraId="547D586D" w14:textId="77777777" w:rsidR="007A4881" w:rsidRPr="00E85E3D" w:rsidRDefault="007A4881"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(1)</w:t>
            </w:r>
          </w:p>
        </w:tc>
      </w:tr>
    </w:tbl>
    <w:p w14:paraId="53FC6F60" w14:textId="7AEC9398" w:rsidR="007A4881" w:rsidRPr="00E85E3D" w:rsidRDefault="00510181" w:rsidP="007A4881">
      <w:pPr>
        <w:spacing w:afterLines="80" w:after="192" w:line="240" w:lineRule="auto"/>
        <w:jc w:val="both"/>
        <w:rPr>
          <w:rFonts w:ascii="Times New Roman" w:hAnsi="Times New Roman" w:cs="Times New Roman"/>
          <w:sz w:val="24"/>
          <w:szCs w:val="24"/>
        </w:rPr>
      </w:pPr>
      <w:r w:rsidRPr="00E85E3D">
        <w:rPr>
          <w:rFonts w:ascii="Times New Roman" w:hAnsi="Times New Roman" w:cs="Times New Roman"/>
          <w:sz w:val="24"/>
          <w:szCs w:val="24"/>
        </w:rPr>
        <w:t>w</w:t>
      </w:r>
      <w:r w:rsidR="007A4881" w:rsidRPr="00E85E3D">
        <w:rPr>
          <w:rFonts w:ascii="Times New Roman" w:hAnsi="Times New Roman" w:cs="Times New Roman"/>
          <w:sz w:val="24"/>
          <w:szCs w:val="24"/>
        </w:rPr>
        <w:t xml:space="preserve">here </w:t>
      </w:r>
      <w:r w:rsidR="007A4881" w:rsidRPr="00E85E3D">
        <w:rPr>
          <w:rFonts w:ascii="Times New Roman" w:hAnsi="Times New Roman" w:cs="Times New Roman"/>
          <w:i/>
          <w:iCs/>
          <w:sz w:val="24"/>
          <w:szCs w:val="24"/>
        </w:rPr>
        <w:t>J</w:t>
      </w:r>
      <w:r w:rsidR="007A4881" w:rsidRPr="00E85E3D">
        <w:rPr>
          <w:rFonts w:ascii="Times New Roman" w:hAnsi="Times New Roman" w:cs="Times New Roman"/>
          <w:sz w:val="24"/>
          <w:szCs w:val="24"/>
        </w:rPr>
        <w:t xml:space="preserve"> is the current in amp</w:t>
      </w:r>
      <w:r w:rsidR="00516EBB" w:rsidRPr="00E85E3D">
        <w:rPr>
          <w:rFonts w:ascii="Times New Roman" w:hAnsi="Times New Roman" w:cs="Times New Roman"/>
          <w:sz w:val="24"/>
          <w:szCs w:val="24"/>
        </w:rPr>
        <w:t>s</w:t>
      </w:r>
      <w:r w:rsidR="007A4881" w:rsidRPr="00E85E3D">
        <w:rPr>
          <w:rFonts w:ascii="Times New Roman" w:hAnsi="Times New Roman" w:cs="Times New Roman"/>
          <w:sz w:val="24"/>
          <w:szCs w:val="24"/>
        </w:rPr>
        <w:t xml:space="preserve">, </w:t>
      </w:r>
      <w:r w:rsidR="007A4881" w:rsidRPr="00E85E3D">
        <w:rPr>
          <w:rFonts w:ascii="Times New Roman" w:hAnsi="Times New Roman" w:cs="Times New Roman"/>
          <w:i/>
          <w:iCs/>
          <w:sz w:val="24"/>
          <w:szCs w:val="24"/>
        </w:rPr>
        <w:t>FE</w:t>
      </w:r>
      <w:r w:rsidR="007A4881" w:rsidRPr="00E85E3D">
        <w:rPr>
          <w:rFonts w:ascii="Times New Roman" w:hAnsi="Times New Roman" w:cs="Times New Roman"/>
          <w:i/>
          <w:iCs/>
          <w:sz w:val="24"/>
          <w:szCs w:val="24"/>
          <w:vertAlign w:val="subscript"/>
        </w:rPr>
        <w:t>[i]</w:t>
      </w:r>
      <w:r w:rsidR="007A4881" w:rsidRPr="00E85E3D">
        <w:rPr>
          <w:rFonts w:ascii="Times New Roman" w:hAnsi="Times New Roman" w:cs="Times New Roman"/>
          <w:sz w:val="24"/>
          <w:szCs w:val="24"/>
        </w:rPr>
        <w:t xml:space="preserve"> is the faradaic efficiency of the specific reaction [3-10],</w:t>
      </w:r>
      <w:r w:rsidR="007A4881" w:rsidRPr="00E85E3D">
        <w:rPr>
          <w:rFonts w:ascii="Times New Roman" w:hAnsi="Times New Roman" w:cs="Times New Roman"/>
          <w:i/>
          <w:iCs/>
          <w:sz w:val="24"/>
          <w:szCs w:val="24"/>
        </w:rPr>
        <w:t xml:space="preserve"> F</w:t>
      </w:r>
      <w:r w:rsidR="007A4881" w:rsidRPr="00E85E3D">
        <w:rPr>
          <w:rFonts w:ascii="Times New Roman" w:hAnsi="Times New Roman" w:cs="Times New Roman"/>
          <w:sz w:val="24"/>
          <w:szCs w:val="24"/>
        </w:rPr>
        <w:t xml:space="preserve"> is the Faraday constant, and </w:t>
      </w:r>
      <w:r w:rsidR="007A4881" w:rsidRPr="00E85E3D">
        <w:rPr>
          <w:rFonts w:ascii="Times New Roman" w:hAnsi="Times New Roman" w:cs="Times New Roman"/>
          <w:i/>
          <w:iCs/>
          <w:sz w:val="24"/>
          <w:szCs w:val="24"/>
        </w:rPr>
        <w:t>k</w:t>
      </w:r>
      <w:r w:rsidR="007A4881" w:rsidRPr="00E85E3D">
        <w:rPr>
          <w:rFonts w:ascii="Times New Roman" w:hAnsi="Times New Roman" w:cs="Times New Roman"/>
          <w:i/>
          <w:iCs/>
          <w:sz w:val="24"/>
          <w:szCs w:val="24"/>
          <w:vertAlign w:val="subscript"/>
        </w:rPr>
        <w:t>[i]</w:t>
      </w:r>
      <w:r w:rsidR="007A4881" w:rsidRPr="00E85E3D">
        <w:rPr>
          <w:rFonts w:ascii="Times New Roman" w:hAnsi="Times New Roman" w:cs="Times New Roman"/>
          <w:sz w:val="24"/>
          <w:szCs w:val="24"/>
        </w:rPr>
        <w:t xml:space="preserve"> is the number of OH</w:t>
      </w:r>
      <w:r w:rsidR="007A4881" w:rsidRPr="00E85E3D">
        <w:rPr>
          <w:rFonts w:ascii="Times New Roman" w:hAnsi="Times New Roman" w:cs="Times New Roman"/>
          <w:sz w:val="24"/>
          <w:szCs w:val="24"/>
          <w:vertAlign w:val="superscript"/>
        </w:rPr>
        <w:t>-</w:t>
      </w:r>
      <w:r w:rsidR="007A4881" w:rsidRPr="00E85E3D">
        <w:rPr>
          <w:rFonts w:ascii="Times New Roman" w:hAnsi="Times New Roman" w:cs="Times New Roman"/>
          <w:sz w:val="24"/>
          <w:szCs w:val="24"/>
        </w:rPr>
        <w:t xml:space="preserve"> generated per electron transferred in the specific reaction [3-10]. For the cathode reactions [4] and [5], the </w:t>
      </w:r>
      <w:r w:rsidR="007A4881" w:rsidRPr="00E85E3D">
        <w:rPr>
          <w:rFonts w:ascii="Times New Roman" w:hAnsi="Times New Roman" w:cs="Times New Roman"/>
          <w:i/>
          <w:iCs/>
          <w:sz w:val="24"/>
          <w:szCs w:val="24"/>
        </w:rPr>
        <w:t>k</w:t>
      </w:r>
      <w:r w:rsidR="007A4881" w:rsidRPr="00E85E3D">
        <w:rPr>
          <w:rFonts w:ascii="Times New Roman" w:hAnsi="Times New Roman" w:cs="Times New Roman"/>
          <w:i/>
          <w:iCs/>
          <w:sz w:val="24"/>
          <w:szCs w:val="24"/>
          <w:vertAlign w:val="subscript"/>
        </w:rPr>
        <w:t>[i]</w:t>
      </w:r>
      <w:r w:rsidR="007A4881" w:rsidRPr="00E85E3D">
        <w:rPr>
          <w:rFonts w:ascii="Times New Roman" w:hAnsi="Times New Roman" w:cs="Times New Roman"/>
          <w:sz w:val="24"/>
          <w:szCs w:val="24"/>
          <w:vertAlign w:val="subscript"/>
        </w:rPr>
        <w:t xml:space="preserve"> </w:t>
      </w:r>
      <w:r w:rsidR="007A4881" w:rsidRPr="00E85E3D">
        <w:rPr>
          <w:rFonts w:ascii="Times New Roman" w:hAnsi="Times New Roman" w:cs="Times New Roman"/>
          <w:sz w:val="24"/>
          <w:szCs w:val="24"/>
        </w:rPr>
        <w:t xml:space="preserve">values are 0.5 and 0.875, respectively; for the other cathode reactions the </w:t>
      </w:r>
      <w:r w:rsidR="007A4881" w:rsidRPr="00E85E3D">
        <w:rPr>
          <w:rFonts w:ascii="Times New Roman" w:hAnsi="Times New Roman" w:cs="Times New Roman"/>
          <w:i/>
          <w:iCs/>
          <w:sz w:val="24"/>
          <w:szCs w:val="24"/>
        </w:rPr>
        <w:t>k</w:t>
      </w:r>
      <w:r w:rsidR="007A4881" w:rsidRPr="00E85E3D">
        <w:rPr>
          <w:rFonts w:ascii="Times New Roman" w:hAnsi="Times New Roman" w:cs="Times New Roman"/>
          <w:i/>
          <w:iCs/>
          <w:sz w:val="24"/>
          <w:szCs w:val="24"/>
          <w:vertAlign w:val="subscript"/>
        </w:rPr>
        <w:t>[i]</w:t>
      </w:r>
      <w:r w:rsidR="007A4881" w:rsidRPr="00E85E3D">
        <w:rPr>
          <w:rFonts w:ascii="Times New Roman" w:hAnsi="Times New Roman" w:cs="Times New Roman"/>
          <w:sz w:val="24"/>
          <w:szCs w:val="24"/>
          <w:vertAlign w:val="subscript"/>
        </w:rPr>
        <w:t xml:space="preserve"> </w:t>
      </w:r>
      <w:r w:rsidR="007A4881" w:rsidRPr="00E85E3D">
        <w:rPr>
          <w:rFonts w:ascii="Times New Roman" w:hAnsi="Times New Roman" w:cs="Times New Roman"/>
          <w:sz w:val="24"/>
          <w:szCs w:val="24"/>
        </w:rPr>
        <w:t xml:space="preserve">values are 1. </w:t>
      </w:r>
      <w:r w:rsidR="00151997">
        <w:rPr>
          <w:rFonts w:ascii="Times New Roman" w:hAnsi="Times New Roman" w:cs="Times New Roman"/>
          <w:sz w:val="24"/>
          <w:szCs w:val="24"/>
        </w:rPr>
        <w:t>The configuration A and B of Table 1</w:t>
      </w:r>
      <w:r w:rsidR="00210A25" w:rsidRPr="00E85E3D">
        <w:rPr>
          <w:rFonts w:ascii="Times New Roman" w:hAnsi="Times New Roman" w:cs="Times New Roman"/>
          <w:sz w:val="24"/>
          <w:szCs w:val="24"/>
        </w:rPr>
        <w:t xml:space="preserve"> in </w:t>
      </w:r>
      <w:r w:rsidR="00531543" w:rsidRPr="00E85E3D">
        <w:rPr>
          <w:rFonts w:ascii="Times New Roman" w:hAnsi="Times New Roman" w:cs="Times New Roman"/>
          <w:sz w:val="24"/>
          <w:szCs w:val="24"/>
        </w:rPr>
        <w:t xml:space="preserve">the </w:t>
      </w:r>
      <w:r w:rsidR="00210A25" w:rsidRPr="00E85E3D">
        <w:rPr>
          <w:rFonts w:ascii="Times New Roman" w:hAnsi="Times New Roman" w:cs="Times New Roman"/>
          <w:sz w:val="24"/>
          <w:szCs w:val="24"/>
        </w:rPr>
        <w:t>main text</w:t>
      </w:r>
      <w:r w:rsidR="00E81F02" w:rsidRPr="00E85E3D">
        <w:rPr>
          <w:rFonts w:ascii="Times New Roman" w:hAnsi="Times New Roman" w:cs="Times New Roman"/>
          <w:sz w:val="24"/>
          <w:szCs w:val="24"/>
        </w:rPr>
        <w:t xml:space="preserve"> show that</w:t>
      </w:r>
      <w:r w:rsidR="007A4881" w:rsidRPr="00E85E3D">
        <w:rPr>
          <w:rFonts w:ascii="Times New Roman" w:hAnsi="Times New Roman" w:cs="Times New Roman"/>
          <w:sz w:val="24"/>
          <w:szCs w:val="24"/>
        </w:rPr>
        <w:t xml:space="preserve">, </w:t>
      </w:r>
      <w:r w:rsidR="00687C22" w:rsidRPr="00E85E3D">
        <w:rPr>
          <w:rFonts w:ascii="Times New Roman" w:hAnsi="Times New Roman" w:cs="Times New Roman"/>
          <w:sz w:val="24"/>
          <w:szCs w:val="24"/>
        </w:rPr>
        <w:t xml:space="preserve">in neutral media, </w:t>
      </w:r>
      <w:r w:rsidR="007A4881" w:rsidRPr="00E85E3D">
        <w:rPr>
          <w:rFonts w:ascii="Times New Roman" w:hAnsi="Times New Roman" w:cs="Times New Roman"/>
          <w:sz w:val="24"/>
          <w:szCs w:val="24"/>
        </w:rPr>
        <w:t>the in-situ generated hydroxide reacts with CO</w:t>
      </w:r>
      <w:r w:rsidR="007A4881" w:rsidRPr="00E85E3D">
        <w:rPr>
          <w:rFonts w:ascii="Times New Roman" w:hAnsi="Times New Roman" w:cs="Times New Roman"/>
          <w:sz w:val="24"/>
          <w:szCs w:val="24"/>
          <w:vertAlign w:val="subscript"/>
        </w:rPr>
        <w:t>2</w:t>
      </w:r>
      <w:r w:rsidR="007A4881" w:rsidRPr="00E85E3D">
        <w:rPr>
          <w:rFonts w:ascii="Times New Roman" w:hAnsi="Times New Roman" w:cs="Times New Roman"/>
          <w:sz w:val="24"/>
          <w:szCs w:val="24"/>
        </w:rPr>
        <w:t xml:space="preserve"> to form carbonate and bicarbonate, which migrate to anode, combine with protons (generated by </w:t>
      </w:r>
      <w:r w:rsidR="00516EBB" w:rsidRPr="00E85E3D">
        <w:rPr>
          <w:rFonts w:ascii="Times New Roman" w:hAnsi="Times New Roman" w:cs="Times New Roman"/>
          <w:sz w:val="24"/>
          <w:szCs w:val="24"/>
        </w:rPr>
        <w:t xml:space="preserve">the </w:t>
      </w:r>
      <w:r w:rsidR="007A4881" w:rsidRPr="00E85E3D">
        <w:rPr>
          <w:rFonts w:ascii="Times New Roman" w:hAnsi="Times New Roman" w:cs="Times New Roman"/>
          <w:sz w:val="24"/>
          <w:szCs w:val="24"/>
        </w:rPr>
        <w:t>oxygen evolution reaction)</w:t>
      </w:r>
      <w:r w:rsidR="00531543" w:rsidRPr="00E85E3D">
        <w:rPr>
          <w:rFonts w:ascii="Times New Roman" w:hAnsi="Times New Roman" w:cs="Times New Roman"/>
          <w:sz w:val="24"/>
          <w:szCs w:val="24"/>
        </w:rPr>
        <w:t>,</w:t>
      </w:r>
      <w:r w:rsidR="007A4881" w:rsidRPr="00E85E3D">
        <w:rPr>
          <w:rFonts w:ascii="Times New Roman" w:hAnsi="Times New Roman" w:cs="Times New Roman"/>
          <w:sz w:val="24"/>
          <w:szCs w:val="24"/>
        </w:rPr>
        <w:t xml:space="preserve"> and release CO</w:t>
      </w:r>
      <w:r w:rsidR="007A4881" w:rsidRPr="00E85E3D">
        <w:rPr>
          <w:rFonts w:ascii="Times New Roman" w:hAnsi="Times New Roman" w:cs="Times New Roman"/>
          <w:sz w:val="24"/>
          <w:szCs w:val="24"/>
          <w:vertAlign w:val="subscript"/>
        </w:rPr>
        <w:t>2</w:t>
      </w:r>
      <w:r w:rsidR="007A4881" w:rsidRPr="00E85E3D">
        <w:rPr>
          <w:rFonts w:ascii="Times New Roman" w:hAnsi="Times New Roman" w:cs="Times New Roman"/>
          <w:sz w:val="24"/>
          <w:szCs w:val="24"/>
        </w:rPr>
        <w:t xml:space="preserve"> into anode gas stream. This phenomenon is known as CO</w:t>
      </w:r>
      <w:r w:rsidR="007A4881" w:rsidRPr="00E85E3D">
        <w:rPr>
          <w:rFonts w:ascii="Times New Roman" w:hAnsi="Times New Roman" w:cs="Times New Roman"/>
          <w:sz w:val="24"/>
          <w:szCs w:val="24"/>
          <w:vertAlign w:val="subscript"/>
        </w:rPr>
        <w:t>2</w:t>
      </w:r>
      <w:r w:rsidR="007A4881" w:rsidRPr="00E85E3D">
        <w:rPr>
          <w:rFonts w:ascii="Times New Roman" w:hAnsi="Times New Roman" w:cs="Times New Roman"/>
          <w:sz w:val="24"/>
          <w:szCs w:val="24"/>
        </w:rPr>
        <w:t xml:space="preserve"> crossover.</w:t>
      </w:r>
      <w:r w:rsidR="007A4881" w:rsidRPr="00E85E3D">
        <w:rPr>
          <w:rFonts w:ascii="Times New Roman" w:hAnsi="Times New Roman" w:cs="Times New Roman"/>
          <w:sz w:val="24"/>
          <w:szCs w:val="24"/>
        </w:rPr>
        <w:fldChar w:fldCharType="begin" w:fldLock="1"/>
      </w:r>
      <w:r w:rsidR="002B6039">
        <w:rPr>
          <w:rFonts w:ascii="Times New Roman" w:hAnsi="Times New Roman" w:cs="Times New Roman"/>
          <w:sz w:val="24"/>
          <w:szCs w:val="24"/>
        </w:rPr>
        <w:instrText>ADDIN CSL_CITATION {"citationItems":[{"id":"ITEM-1","itemData":{"DOI":"10.1038/s41467-020-19135-8","ISSN":"20411723","PMID":"33067444","author":[{"dropping-particle":"","family":"Rabinowitz","given":"Joshua A.","non-dropping-particle":"","parse-names":false,"suffix":""},{"dropping-particle":"","family":"Kanan","given":"Matthew W.","non-dropping-particle":"","parse-names":false,"suffix":""}],"container-title":"Nature Communications","id":"ITEM-1","issue":"1","issued":{"date-parts":[["2020"]]},"page":"10-12","publisher":"Springer US","title":"The future of low-temperature carbon dioxide electrolysis depends on solving one basic problem","type":"article-journal","volume":"11"},"uris":["http://www.mendeley.com/documents/?uuid=5bc844a2-ec8f-4ca9-a22a-f76581d6a03e"]},{"id":"ITEM-2","itemData":{"DOI":"10.1039/x0xx00000x","ISBN":"9780816911127","abstract":"Iron deficiency, a leading cause of anemia, is one of the globe's top nutritional disorders according to the World Health Organization. Hemochromatosis, on the other hand, is associated to excess iron, and is usually diagnosed late in the stages of irreversible organ damage. Since abnormally low or high blood iron levels are common worldwide and can be of serious detriment to human health, a ubiquitously available technique for measurement of blood iron could represent a substantial improvement in point-of-care medical technology for monitoring iron-related blood disorders and could potentially spark a trend toward proper early prevention of diseases and health maintenance throughout the life span. Here, we introduce a smartphone-based colorimetric detection system for iron measurement in human serum. The system is designed for point-of-care screening and iron monitoring, and was optimized to be low-cost while still allowing for accurate, rapid iron assessment. It employs a dry sensor strip with optimized chemistry in which iron ions are stripped from blood transport proteins, reduced from Fe(III) to Fe(II), and subsequently chelated with ferene, developing a visible color change for smartphone detection of total iron. We compare the common laboratory iron detection assay of human serum to that of our dry sensor strip. The prototype smartphone assay was sensitive to iron detection with a dynamic range of 50 - 300 µg/dL, sensitivity of 0.00047 a.u/µg/dL and coefficient of variation of 10.5% versus the standard lab approach with sensitivity of 0.00091 a.u/µg/dL and coefficients of variation of 2.2%. Further, a detection limit near 15 µg/dL provided by the smartphone system indicated the system's potential capability for detection of iron deficiencies.,Finally, drawn human venous blood sample processed for serum and measured for total iron were simultaneously sent to a commercial testing facility (LabCorp) and processed by the smartphone system, averaging errors of less than 3% around the true value of 231 µg/dL. In addition, spectrophotometric validation of the iron detection kinetics for the test conditions were investigated, rendering a more complete insight of the detection reaction. The new mobile-app based colorimetric assay agreed with the standard spectrophotometric method, and provides promising features of mobility and low-cost manufacturing for global healthcare settings.","author":[{"dropping-particle":"","family":"Ma","given":"Ming","non-dropping-particle":"","parse-names":false,"suffix":""},{"dropping-particle":"","family":"Clark","given":"Ezra L.","non-dropping-particle":"","parse-names":false,"suffix":""},{"dropping-particle":"","family":"Chorkendorff","given":"Kasper T. Therkildsen Sebastian Dalsgaard","non-dropping-particle":"","parse-names":false,"suffix":""},{"dropping-particle":"","family":"Seger","given":"Brian","non-dropping-particle":"","parse-names":false,"suffix":""}],"container-title":"Energy &amp; Environmental Science","id":"ITEM-2","issue":"3","issued":{"date-parts":[["2020"]]},"page":"977-985","title":"Insights into the carbon balance for CO2 electroreduction on Cu using gas diffusion electrode reactor designs","type":"article-journal","volume":"13"},"uris":["http://www.mendeley.com/documents/?uuid=98059852-c1ef-4e0d-840e-d87e9a1e0139"]},{"id":"ITEM-3","itemData":{"DOI":"10.1016/j.joule.2021.01.007","ISSN":"25424351","abstract":"CO 2 electroreduction to chemical feedstocks has suffered from CO 2 reactant loss and a severe energy consumption/production penalty associated with carbonate formation. We divided the process into two cascading steps-CO 2 reduction to CO in a solid-oxide electrolysis cell (SOEC) and CO reduction to multi-carbon products in a membrane electrode assembly (MEA) electrolyser. In the full SOEC-MEA cascade approach, we achieve CO 2-to-C 2 H 4 with no loss of CO 2 to carbonate and a ~48% reduction in energy intensity compared with the direct route. SUMMARY CO 2 electroreduction provides a route to convert waste emissions into chemicals such as ethylene (C 2 H 4). However, the direct transformation of CO 2-to-C 2 H 4 suffers from CO 2 loss to carbonate, consuming up to 72% of energy input. A cascade approach-coupling a solid-oxide CO 2-to-CO electrochemical cell (SOEC) with a CO-to-C 2 H 4 membrane electrode assembly (MEA)-would eliminate CO 2 loss to carbonate. However, this approach requires a CO-to-C 2 H 4 MEA with energy efficiency well beyond demonstrations to date. Focusing on the MEA, we find that an N-tolyl substituted tetrahydro-bipyridine film improves the stabilization of key reaction intermediates, while an SSC ionomer enhances CO transport to the Cu surface, enabling a C 2 H 4 faradaic efficiency of 65% at 150 mA cm À2 for 110 h. Demonstrating a cascade SOEC-MEA approach, we achieve CO 2-to-C 2 H 4 with a ~48% reduction in energy intensity compared with the direct route. We further reduce the energy intensity by coupling CO electroreduction (CORR) with glucose electrooxidation.","author":[{"dropping-particle":"","family":"Ozden","given":"Adnan","non-dropping-particle":"","parse-names":false,"suffix":""},{"dropping-particle":"","family":"Wang","given":"Yuhang","non-dropping-particle":"","parse-names":false,"suffix":""},{"dropping-particle":"","family":"Li","given":"Fengwang","non-dropping-particle":"","parse-names":false,"suffix":""},{"dropping-particle":"","family":"Luo","given":"Mingchuan","non-dropping-particle":"","parse-names":false,"suffix":""},{"dropping-particle":"","family":"Sisler","given":"Jared","non-dropping-particle":"","parse-names":false,"suffix":""},{"dropping-particle":"","family":"Thevenon","given":"Arnaud","non-dropping-particle":"","parse-names":false,"suffix":""},{"dropping-particle":"","family":"Rosas-Hernández","given":"Alonso","non-dropping-particle":"","parse-names":false,"suffix":""},{"dropping-particle":"","family":"Burdyny","given":"Thomas","non-dropping-particle":"","parse-names":false,"suffix":""},{"dropping-particle":"","family":"Lum","given":"Yanwei","non-dropping-particle":"","parse-names":false,"suffix":""},{"dropping-particle":"","family":"Yadegari","given":"Hossein","non-dropping-particle":"","parse-names":false,"suffix":""},{"dropping-particle":"","family":"Agapie","given":"Theodor","non-dropping-particle":"","parse-names":false,"suffix":""},{"dropping-particle":"","family":"Peters","given":"Jonas C.","non-dropping-particle":"","parse-names":false,"suffix":""},{"dropping-particle":"","family":"Sargent","given":"Edward H.","non-dropping-particle":"","parse-names":false,"suffix":""},{"dropping-particle":"","family":"Sinton","given":"David","non-dropping-particle":"","parse-names":false,"suffix":""}],"container-title":"Joule","id":"ITEM-3","issued":{"date-parts":[["2021"]]},"page":"1-14","title":"Cascade CO2 electroreduction enables efficient carbonate-free production of ethylene","type":"article-journal"},"uris":["http://www.mendeley.com/documents/?uuid=6591edb5-4899-4ec7-ae44-934893045d3f"]}],"mendeley":{"formattedCitation":"&lt;sup&gt;10–12&lt;/sup&gt;","plainTextFormattedCitation":"10–12","previouslyFormattedCitation":"&lt;sup&gt;10–12&lt;/sup&gt;"},"properties":{"noteIndex":0},"schema":"https://github.com/citation-style-language/schema/raw/master/csl-citation.json"}</w:instrText>
      </w:r>
      <w:r w:rsidR="007A4881" w:rsidRPr="00E85E3D">
        <w:rPr>
          <w:rFonts w:ascii="Times New Roman" w:hAnsi="Times New Roman" w:cs="Times New Roman"/>
          <w:sz w:val="24"/>
          <w:szCs w:val="24"/>
        </w:rPr>
        <w:fldChar w:fldCharType="separate"/>
      </w:r>
      <w:r w:rsidR="007F7E70" w:rsidRPr="007F7E70">
        <w:rPr>
          <w:rFonts w:ascii="Times New Roman" w:hAnsi="Times New Roman" w:cs="Times New Roman"/>
          <w:noProof/>
          <w:sz w:val="24"/>
          <w:szCs w:val="24"/>
          <w:vertAlign w:val="superscript"/>
        </w:rPr>
        <w:t>10–12</w:t>
      </w:r>
      <w:r w:rsidR="007A4881" w:rsidRPr="00E85E3D">
        <w:rPr>
          <w:rFonts w:ascii="Times New Roman" w:hAnsi="Times New Roman" w:cs="Times New Roman"/>
          <w:sz w:val="24"/>
          <w:szCs w:val="24"/>
        </w:rPr>
        <w:fldChar w:fldCharType="end"/>
      </w:r>
      <w:r w:rsidR="00635B78" w:rsidRPr="00805810">
        <w:rPr>
          <w:rFonts w:ascii="Times New Roman" w:hAnsi="Times New Roman" w:cs="Times New Roman"/>
          <w:sz w:val="24"/>
          <w:szCs w:val="24"/>
        </w:rPr>
        <w:t xml:space="preserve"> Therefore, the CO</w:t>
      </w:r>
      <w:r w:rsidR="00635B78" w:rsidRPr="00E85E3D">
        <w:rPr>
          <w:rFonts w:ascii="Times New Roman" w:hAnsi="Times New Roman" w:cs="Times New Roman"/>
          <w:sz w:val="24"/>
          <w:szCs w:val="24"/>
          <w:vertAlign w:val="subscript"/>
        </w:rPr>
        <w:t>2</w:t>
      </w:r>
      <w:r w:rsidR="00635B78" w:rsidRPr="00E85E3D">
        <w:rPr>
          <w:rFonts w:ascii="Times New Roman" w:hAnsi="Times New Roman" w:cs="Times New Roman"/>
          <w:sz w:val="24"/>
          <w:szCs w:val="24"/>
        </w:rPr>
        <w:t>/O</w:t>
      </w:r>
      <w:r w:rsidR="00635B78" w:rsidRPr="00E85E3D">
        <w:rPr>
          <w:rFonts w:ascii="Times New Roman" w:hAnsi="Times New Roman" w:cs="Times New Roman"/>
          <w:sz w:val="24"/>
          <w:szCs w:val="24"/>
          <w:vertAlign w:val="subscript"/>
        </w:rPr>
        <w:t>2</w:t>
      </w:r>
      <w:r w:rsidR="00635B78" w:rsidRPr="00E85E3D">
        <w:rPr>
          <w:rFonts w:ascii="Times New Roman" w:hAnsi="Times New Roman" w:cs="Times New Roman"/>
          <w:sz w:val="24"/>
          <w:szCs w:val="24"/>
        </w:rPr>
        <w:t xml:space="preserve"> ratio in anode gas provides insight into the</w:t>
      </w:r>
      <w:r w:rsidR="00516EBB" w:rsidRPr="00E85E3D">
        <w:rPr>
          <w:rFonts w:ascii="Times New Roman" w:hAnsi="Times New Roman" w:cs="Times New Roman"/>
          <w:sz w:val="24"/>
          <w:szCs w:val="24"/>
        </w:rPr>
        <w:t xml:space="preserve"> identity of the</w:t>
      </w:r>
      <w:r w:rsidR="00635B78" w:rsidRPr="00E85E3D">
        <w:rPr>
          <w:rFonts w:ascii="Times New Roman" w:hAnsi="Times New Roman" w:cs="Times New Roman"/>
          <w:sz w:val="24"/>
          <w:szCs w:val="24"/>
        </w:rPr>
        <w:t xml:space="preserve"> anionic charge carrier</w:t>
      </w:r>
      <w:r w:rsidR="00516EBB" w:rsidRPr="00E85E3D">
        <w:rPr>
          <w:rFonts w:ascii="Times New Roman" w:hAnsi="Times New Roman" w:cs="Times New Roman"/>
          <w:sz w:val="24"/>
          <w:szCs w:val="24"/>
        </w:rPr>
        <w:t>(s)</w:t>
      </w:r>
      <w:r w:rsidR="00635B78" w:rsidRPr="00E85E3D">
        <w:rPr>
          <w:rFonts w:ascii="Times New Roman" w:hAnsi="Times New Roman" w:cs="Times New Roman"/>
          <w:sz w:val="24"/>
          <w:szCs w:val="24"/>
        </w:rPr>
        <w:t xml:space="preserve"> that combine with the H</w:t>
      </w:r>
      <w:r w:rsidR="00635B78" w:rsidRPr="00E85E3D">
        <w:rPr>
          <w:rFonts w:ascii="Times New Roman" w:hAnsi="Times New Roman" w:cs="Times New Roman"/>
          <w:sz w:val="24"/>
          <w:szCs w:val="24"/>
          <w:vertAlign w:val="superscript"/>
        </w:rPr>
        <w:t>+</w:t>
      </w:r>
      <w:r w:rsidR="00635B78" w:rsidRPr="00E85E3D">
        <w:rPr>
          <w:rFonts w:ascii="Times New Roman" w:hAnsi="Times New Roman" w:cs="Times New Roman"/>
          <w:sz w:val="24"/>
          <w:szCs w:val="24"/>
        </w:rPr>
        <w:t xml:space="preserve"> generated on the anode.</w:t>
      </w:r>
      <w:r w:rsidR="00635B78" w:rsidRPr="00E85E3D">
        <w:rPr>
          <w:rFonts w:ascii="Times New Roman" w:hAnsi="Times New Roman" w:cs="Times New Roman"/>
          <w:sz w:val="24"/>
          <w:szCs w:val="24"/>
        </w:rPr>
        <w:fldChar w:fldCharType="begin" w:fldLock="1"/>
      </w:r>
      <w:r w:rsidR="002B6039">
        <w:rPr>
          <w:rFonts w:ascii="Times New Roman" w:hAnsi="Times New Roman" w:cs="Times New Roman"/>
          <w:sz w:val="24"/>
          <w:szCs w:val="24"/>
        </w:rPr>
        <w:instrText>ADDIN CSL_CITATION {"citationItems":[{"id":"ITEM-1","itemData":{"DOI":"10.1039/d0sc03047c","ISSN":"20416539","abstract":"In this work, the effect of ion-selective membranes on the detailed carbon balance was systematically analyzed for high-rate CO2 reduction in GDE-type flow electrolyzers. By using different ion-selective membranes, we show nearly identical catalytic selectivity for CO2 reduction, which is primarily due to a similar local reaction environment created at the cathode/electrolyte interface via the introduction of a catholyte layer. In addition, based on a systematic exploration of gases released from electrolytes and the dynamic change of electrolyte speciation, we demonstrate the explicit discrepancy in carbon balance paths for the captured CO2 at the cathode/catholyte interface via reaction with OH- when using different ion-selective membranes: (i) the captured CO2 could be transported through an anion exchange membrane in the form of CO32-, subsequently releasing CO2 along with O2 in the anolyte, and (ii) with a cation exchange membrane, the captured CO2 would be accumulated in the catholyte in the form of CO32-, while (iii) with the use of a bipolar membrane, the captured CO2 could be released at the catholyte/membrane interface in the form of gaseous CO2. The unique carbon balance path for each type of membrane is linked to ion species transported through the membranes. This journal is","author":[{"dropping-particle":"","family":"Ma","given":"Ming","non-dropping-particle":"","parse-names":false,"suffix":""},{"dropping-particle":"","family":"Kim","given":"Sangkuk","non-dropping-particle":"","parse-names":false,"suffix":""},{"dropping-particle":"","family":"Chorkendorff","given":"Ib","non-dropping-particle":"","parse-names":false,"suffix":""},{"dropping-particle":"","family":"Seger","given":"Brian","non-dropping-particle":"","parse-names":false,"suffix":""}],"container-title":"Chemical Science","id":"ITEM-1","issue":"33","issued":{"date-parts":[["2020"]]},"page":"8854-8861","title":"Role of ion-selective membranes in the carbon balance for CO2electroreduction: Via gas diffusion electrode reactor designs","type":"article-journal","volume":"11"},"uris":["http://www.mendeley.com/documents/?uuid=f338b45c-0db3-4cec-9b24-13bc9560212c"]}],"mendeley":{"formattedCitation":"&lt;sup&gt;13&lt;/sup&gt;","plainTextFormattedCitation":"13","previouslyFormattedCitation":"&lt;sup&gt;13&lt;/sup&gt;"},"properties":{"noteIndex":0},"schema":"https://github.com/citation-style-language/schema/raw/master/csl-citation.json"}</w:instrText>
      </w:r>
      <w:r w:rsidR="00635B78" w:rsidRPr="00E85E3D">
        <w:rPr>
          <w:rFonts w:ascii="Times New Roman" w:hAnsi="Times New Roman" w:cs="Times New Roman"/>
          <w:sz w:val="24"/>
          <w:szCs w:val="24"/>
        </w:rPr>
        <w:fldChar w:fldCharType="separate"/>
      </w:r>
      <w:r w:rsidR="007F7E70" w:rsidRPr="007F7E70">
        <w:rPr>
          <w:rFonts w:ascii="Times New Roman" w:hAnsi="Times New Roman" w:cs="Times New Roman"/>
          <w:noProof/>
          <w:sz w:val="24"/>
          <w:szCs w:val="24"/>
          <w:vertAlign w:val="superscript"/>
        </w:rPr>
        <w:t>13</w:t>
      </w:r>
      <w:r w:rsidR="00635B78" w:rsidRPr="00E85E3D">
        <w:rPr>
          <w:rFonts w:ascii="Times New Roman" w:hAnsi="Times New Roman" w:cs="Times New Roman"/>
          <w:sz w:val="24"/>
          <w:szCs w:val="24"/>
        </w:rPr>
        <w:fldChar w:fldCharType="end"/>
      </w:r>
      <w:r w:rsidR="00635B78" w:rsidRPr="00805810">
        <w:rPr>
          <w:rFonts w:ascii="Times New Roman" w:hAnsi="Times New Roman" w:cs="Times New Roman"/>
          <w:sz w:val="24"/>
          <w:szCs w:val="24"/>
        </w:rPr>
        <w:t xml:space="preserve"> Ideally, if the charge carrier is HCO</w:t>
      </w:r>
      <w:r w:rsidR="00635B78" w:rsidRPr="00E85E3D">
        <w:rPr>
          <w:rFonts w:ascii="Times New Roman" w:hAnsi="Times New Roman" w:cs="Times New Roman"/>
          <w:sz w:val="24"/>
          <w:szCs w:val="24"/>
          <w:vertAlign w:val="subscript"/>
        </w:rPr>
        <w:t>3</w:t>
      </w:r>
      <w:r w:rsidR="00635B78" w:rsidRPr="00E85E3D">
        <w:rPr>
          <w:rFonts w:ascii="Times New Roman" w:hAnsi="Times New Roman" w:cs="Times New Roman"/>
          <w:sz w:val="24"/>
          <w:szCs w:val="24"/>
          <w:vertAlign w:val="superscript"/>
        </w:rPr>
        <w:t>-</w:t>
      </w:r>
      <w:r w:rsidR="00635B78" w:rsidRPr="00E85E3D">
        <w:rPr>
          <w:rFonts w:ascii="Times New Roman" w:hAnsi="Times New Roman" w:cs="Times New Roman"/>
          <w:sz w:val="24"/>
          <w:szCs w:val="24"/>
        </w:rPr>
        <w:t xml:space="preserve"> or CO</w:t>
      </w:r>
      <w:r w:rsidR="00635B78" w:rsidRPr="00E85E3D">
        <w:rPr>
          <w:rFonts w:ascii="Times New Roman" w:hAnsi="Times New Roman" w:cs="Times New Roman"/>
          <w:sz w:val="24"/>
          <w:szCs w:val="24"/>
          <w:vertAlign w:val="subscript"/>
        </w:rPr>
        <w:t>3</w:t>
      </w:r>
      <w:r w:rsidR="00635B78" w:rsidRPr="00E85E3D">
        <w:rPr>
          <w:rFonts w:ascii="Times New Roman" w:hAnsi="Times New Roman" w:cs="Times New Roman"/>
          <w:sz w:val="24"/>
          <w:szCs w:val="24"/>
          <w:vertAlign w:val="superscript"/>
        </w:rPr>
        <w:t>2-</w:t>
      </w:r>
      <w:r w:rsidR="00635B78" w:rsidRPr="00E85E3D">
        <w:rPr>
          <w:rFonts w:ascii="Times New Roman" w:hAnsi="Times New Roman" w:cs="Times New Roman"/>
          <w:sz w:val="24"/>
          <w:szCs w:val="24"/>
        </w:rPr>
        <w:t>,</w:t>
      </w:r>
      <w:r w:rsidR="00635B78" w:rsidRPr="00E85E3D">
        <w:rPr>
          <w:rFonts w:ascii="Times New Roman" w:hAnsi="Times New Roman" w:cs="Times New Roman"/>
          <w:sz w:val="24"/>
          <w:szCs w:val="24"/>
          <w:vertAlign w:val="superscript"/>
        </w:rPr>
        <w:t xml:space="preserve"> </w:t>
      </w:r>
      <w:r w:rsidR="00635B78" w:rsidRPr="00E85E3D">
        <w:rPr>
          <w:rFonts w:ascii="Times New Roman" w:hAnsi="Times New Roman" w:cs="Times New Roman"/>
          <w:sz w:val="24"/>
          <w:szCs w:val="24"/>
        </w:rPr>
        <w:t>the CO</w:t>
      </w:r>
      <w:r w:rsidR="00635B78" w:rsidRPr="00E85E3D">
        <w:rPr>
          <w:rFonts w:ascii="Times New Roman" w:hAnsi="Times New Roman" w:cs="Times New Roman"/>
          <w:sz w:val="24"/>
          <w:szCs w:val="24"/>
          <w:vertAlign w:val="subscript"/>
        </w:rPr>
        <w:t>2</w:t>
      </w:r>
      <w:r w:rsidR="00635B78" w:rsidRPr="00E85E3D">
        <w:rPr>
          <w:rFonts w:ascii="Times New Roman" w:hAnsi="Times New Roman" w:cs="Times New Roman"/>
          <w:sz w:val="24"/>
          <w:szCs w:val="24"/>
        </w:rPr>
        <w:t>/O</w:t>
      </w:r>
      <w:r w:rsidR="00635B78" w:rsidRPr="00E85E3D">
        <w:rPr>
          <w:rFonts w:ascii="Times New Roman" w:hAnsi="Times New Roman" w:cs="Times New Roman"/>
          <w:sz w:val="24"/>
          <w:szCs w:val="24"/>
          <w:vertAlign w:val="subscript"/>
        </w:rPr>
        <w:t>2</w:t>
      </w:r>
      <w:r w:rsidR="00635B78" w:rsidRPr="00E85E3D">
        <w:rPr>
          <w:rFonts w:ascii="Times New Roman" w:hAnsi="Times New Roman" w:cs="Times New Roman"/>
          <w:sz w:val="24"/>
          <w:szCs w:val="24"/>
        </w:rPr>
        <w:t xml:space="preserve"> ratio in the anode gas stream is 4 or 2, respectively.</w:t>
      </w:r>
      <w:r w:rsidR="00635B78" w:rsidRPr="00E85E3D">
        <w:rPr>
          <w:rFonts w:ascii="Times New Roman" w:hAnsi="Times New Roman" w:cs="Times New Roman"/>
          <w:sz w:val="24"/>
          <w:szCs w:val="24"/>
        </w:rPr>
        <w:fldChar w:fldCharType="begin" w:fldLock="1"/>
      </w:r>
      <w:r w:rsidR="002B6039">
        <w:rPr>
          <w:rFonts w:ascii="Times New Roman" w:hAnsi="Times New Roman" w:cs="Times New Roman"/>
          <w:sz w:val="24"/>
          <w:szCs w:val="24"/>
        </w:rPr>
        <w:instrText>ADDIN CSL_CITATION {"citationItems":[{"id":"ITEM-1","itemData":{"DOI":"10.1039/d0sc03047c","ISSN":"20416539","abstract":"In this work, the effect of ion-selective membranes on the detailed carbon balance was systematically analyzed for high-rate CO2 reduction in GDE-type flow electrolyzers. By using different ion-selective membranes, we show nearly identical catalytic selectivity for CO2 reduction, which is primarily due to a similar local reaction environment created at the cathode/electrolyte interface via the introduction of a catholyte layer. In addition, based on a systematic exploration of gases released from electrolytes and the dynamic change of electrolyte speciation, we demonstrate the explicit discrepancy in carbon balance paths for the captured CO2 at the cathode/catholyte interface via reaction with OH- when using different ion-selective membranes: (i) the captured CO2 could be transported through an anion exchange membrane in the form of CO32-, subsequently releasing CO2 along with O2 in the anolyte, and (ii) with a cation exchange membrane, the captured CO2 would be accumulated in the catholyte in the form of CO32-, while (iii) with the use of a bipolar membrane, the captured CO2 could be released at the catholyte/membrane interface in the form of gaseous CO2. The unique carbon balance path for each type of membrane is linked to ion species transported through the membranes. This journal is","author":[{"dropping-particle":"","family":"Ma","given":"Ming","non-dropping-particle":"","parse-names":false,"suffix":""},{"dropping-particle":"","family":"Kim","given":"Sangkuk","non-dropping-particle":"","parse-names":false,"suffix":""},{"dropping-particle":"","family":"Chorkendorff","given":"Ib","non-dropping-particle":"","parse-names":false,"suffix":""},{"dropping-particle":"","family":"Seger","given":"Brian","non-dropping-particle":"","parse-names":false,"suffix":""}],"container-title":"Chemical Science","id":"ITEM-1","issue":"33","issued":{"date-parts":[["2020"]]},"page":"8854-8861","title":"Role of ion-selective membranes in the carbon balance for CO2electroreduction: Via gas diffusion electrode reactor designs","type":"article-journal","volume":"11"},"uris":["http://www.mendeley.com/documents/?uuid=f338b45c-0db3-4cec-9b24-13bc9560212c"]}],"mendeley":{"formattedCitation":"&lt;sup&gt;13&lt;/sup&gt;","plainTextFormattedCitation":"13","previouslyFormattedCitation":"&lt;sup&gt;13&lt;/sup&gt;"},"properties":{"noteIndex":0},"schema":"https://github.com/citation-style-language/schema/raw/master/csl-citation.json"}</w:instrText>
      </w:r>
      <w:r w:rsidR="00635B78" w:rsidRPr="00E85E3D">
        <w:rPr>
          <w:rFonts w:ascii="Times New Roman" w:hAnsi="Times New Roman" w:cs="Times New Roman"/>
          <w:sz w:val="24"/>
          <w:szCs w:val="24"/>
        </w:rPr>
        <w:fldChar w:fldCharType="separate"/>
      </w:r>
      <w:r w:rsidR="007F7E70" w:rsidRPr="007F7E70">
        <w:rPr>
          <w:rFonts w:ascii="Times New Roman" w:hAnsi="Times New Roman" w:cs="Times New Roman"/>
          <w:noProof/>
          <w:sz w:val="24"/>
          <w:szCs w:val="24"/>
          <w:vertAlign w:val="superscript"/>
        </w:rPr>
        <w:t>13</w:t>
      </w:r>
      <w:r w:rsidR="00635B78" w:rsidRPr="00E85E3D">
        <w:rPr>
          <w:rFonts w:ascii="Times New Roman" w:hAnsi="Times New Roman" w:cs="Times New Roman"/>
          <w:sz w:val="24"/>
          <w:szCs w:val="24"/>
        </w:rPr>
        <w:fldChar w:fldCharType="end"/>
      </w:r>
      <w:r w:rsidR="00635B78" w:rsidRPr="00805810">
        <w:rPr>
          <w:rFonts w:ascii="Times New Roman" w:hAnsi="Times New Roman" w:cs="Times New Roman"/>
          <w:sz w:val="24"/>
          <w:szCs w:val="24"/>
        </w:rPr>
        <w:t xml:space="preserve"> While the other charge carriers like OH</w:t>
      </w:r>
      <w:r w:rsidR="00635B78" w:rsidRPr="00E85E3D">
        <w:rPr>
          <w:rFonts w:ascii="Times New Roman" w:hAnsi="Times New Roman" w:cs="Times New Roman"/>
          <w:sz w:val="24"/>
          <w:szCs w:val="24"/>
          <w:vertAlign w:val="superscript"/>
        </w:rPr>
        <w:t>-</w:t>
      </w:r>
      <w:r w:rsidR="00635B78" w:rsidRPr="00E85E3D">
        <w:rPr>
          <w:rFonts w:ascii="Times New Roman" w:hAnsi="Times New Roman" w:cs="Times New Roman"/>
          <w:sz w:val="24"/>
          <w:szCs w:val="24"/>
        </w:rPr>
        <w:t>, HCOO</w:t>
      </w:r>
      <w:r w:rsidR="00635B78" w:rsidRPr="00E85E3D">
        <w:rPr>
          <w:rFonts w:ascii="Times New Roman" w:hAnsi="Times New Roman" w:cs="Times New Roman"/>
          <w:sz w:val="24"/>
          <w:szCs w:val="24"/>
          <w:vertAlign w:val="superscript"/>
        </w:rPr>
        <w:t>-</w:t>
      </w:r>
      <w:r w:rsidR="00635B78" w:rsidRPr="00E85E3D">
        <w:rPr>
          <w:rFonts w:ascii="Times New Roman" w:hAnsi="Times New Roman" w:cs="Times New Roman"/>
          <w:sz w:val="24"/>
          <w:szCs w:val="24"/>
        </w:rPr>
        <w:t xml:space="preserve"> or CH</w:t>
      </w:r>
      <w:r w:rsidR="00635B78" w:rsidRPr="00E85E3D">
        <w:rPr>
          <w:rFonts w:ascii="Times New Roman" w:hAnsi="Times New Roman" w:cs="Times New Roman"/>
          <w:sz w:val="24"/>
          <w:szCs w:val="24"/>
          <w:vertAlign w:val="subscript"/>
        </w:rPr>
        <w:t>3</w:t>
      </w:r>
      <w:r w:rsidR="00635B78" w:rsidRPr="00E85E3D">
        <w:rPr>
          <w:rFonts w:ascii="Times New Roman" w:hAnsi="Times New Roman" w:cs="Times New Roman"/>
          <w:sz w:val="24"/>
          <w:szCs w:val="24"/>
        </w:rPr>
        <w:t>COO</w:t>
      </w:r>
      <w:r w:rsidR="00635B78" w:rsidRPr="00E85E3D">
        <w:rPr>
          <w:rFonts w:ascii="Times New Roman" w:hAnsi="Times New Roman" w:cs="Times New Roman"/>
          <w:sz w:val="24"/>
          <w:szCs w:val="24"/>
          <w:vertAlign w:val="superscript"/>
        </w:rPr>
        <w:t>-</w:t>
      </w:r>
      <w:r w:rsidR="00635B78" w:rsidRPr="00E85E3D">
        <w:rPr>
          <w:rFonts w:ascii="Times New Roman" w:hAnsi="Times New Roman" w:cs="Times New Roman"/>
          <w:sz w:val="24"/>
          <w:szCs w:val="24"/>
        </w:rPr>
        <w:t xml:space="preserve"> do not release CO</w:t>
      </w:r>
      <w:r w:rsidR="00635B78" w:rsidRPr="00E85E3D">
        <w:rPr>
          <w:rFonts w:ascii="Times New Roman" w:hAnsi="Times New Roman" w:cs="Times New Roman"/>
          <w:sz w:val="24"/>
          <w:szCs w:val="24"/>
          <w:vertAlign w:val="subscript"/>
        </w:rPr>
        <w:t>2</w:t>
      </w:r>
      <w:r w:rsidR="00635B78" w:rsidRPr="00E85E3D">
        <w:rPr>
          <w:rFonts w:ascii="Times New Roman" w:hAnsi="Times New Roman" w:cs="Times New Roman"/>
          <w:sz w:val="24"/>
          <w:szCs w:val="24"/>
        </w:rPr>
        <w:t xml:space="preserve"> by acidification </w:t>
      </w:r>
      <w:r w:rsidR="00516EBB" w:rsidRPr="00E85E3D">
        <w:rPr>
          <w:rFonts w:ascii="Times New Roman" w:hAnsi="Times New Roman" w:cs="Times New Roman"/>
          <w:sz w:val="24"/>
          <w:szCs w:val="24"/>
        </w:rPr>
        <w:t xml:space="preserve">at </w:t>
      </w:r>
      <w:r w:rsidR="00635B78" w:rsidRPr="00E85E3D">
        <w:rPr>
          <w:rFonts w:ascii="Times New Roman" w:hAnsi="Times New Roman" w:cs="Times New Roman"/>
          <w:sz w:val="24"/>
          <w:szCs w:val="24"/>
        </w:rPr>
        <w:t>the anode</w:t>
      </w:r>
      <w:r w:rsidR="00A063CC" w:rsidRPr="00E85E3D">
        <w:rPr>
          <w:rFonts w:ascii="Times New Roman" w:hAnsi="Times New Roman" w:cs="Times New Roman"/>
          <w:sz w:val="24"/>
          <w:szCs w:val="24"/>
        </w:rPr>
        <w:t>, but do lead to loss of product.</w:t>
      </w:r>
    </w:p>
    <w:p w14:paraId="1649853A" w14:textId="42E24CBB" w:rsidR="007A4881" w:rsidRPr="00E85E3D" w:rsidRDefault="007A4881" w:rsidP="007A4881">
      <w:pPr>
        <w:spacing w:afterLines="80" w:after="192" w:line="240" w:lineRule="auto"/>
        <w:jc w:val="both"/>
        <w:rPr>
          <w:rFonts w:ascii="Times New Roman" w:hAnsi="Times New Roman" w:cs="Times New Roman"/>
          <w:sz w:val="24"/>
          <w:szCs w:val="24"/>
        </w:rPr>
      </w:pPr>
      <w:r w:rsidRPr="00E85E3D">
        <w:rPr>
          <w:rFonts w:ascii="Times New Roman" w:hAnsi="Times New Roman" w:cs="Times New Roman"/>
          <w:sz w:val="24"/>
          <w:szCs w:val="24"/>
        </w:rPr>
        <w:lastRenderedPageBreak/>
        <w:t>Based on the analysis above, the inlet 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w:t>
      </w:r>
      <w:r w:rsidRPr="00E85E3D">
        <w:rPr>
          <w:rFonts w:ascii="Times New Roman" w:hAnsi="Times New Roman" w:cs="Times New Roman"/>
          <w:i/>
          <w:iCs/>
          <w:sz w:val="24"/>
          <w:szCs w:val="24"/>
        </w:rPr>
        <w:t>C</w:t>
      </w:r>
      <w:r w:rsidRPr="00E85E3D">
        <w:rPr>
          <w:rFonts w:ascii="Times New Roman" w:hAnsi="Times New Roman" w:cs="Times New Roman"/>
          <w:i/>
          <w:iCs/>
          <w:sz w:val="24"/>
          <w:szCs w:val="24"/>
          <w:vertAlign w:val="subscript"/>
        </w:rPr>
        <w:t>in</w:t>
      </w:r>
      <w:r w:rsidRPr="00E85E3D">
        <w:rPr>
          <w:rFonts w:ascii="Times New Roman" w:hAnsi="Times New Roman" w:cs="Times New Roman"/>
          <w:sz w:val="24"/>
          <w:szCs w:val="24"/>
        </w:rPr>
        <w:t>) is balanced by four parts: the 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in outstream (</w:t>
      </w:r>
      <w:r w:rsidRPr="00E85E3D">
        <w:rPr>
          <w:rFonts w:ascii="Times New Roman" w:hAnsi="Times New Roman" w:cs="Times New Roman"/>
          <w:i/>
          <w:iCs/>
          <w:sz w:val="24"/>
          <w:szCs w:val="24"/>
        </w:rPr>
        <w:t>C</w:t>
      </w:r>
      <w:r w:rsidRPr="00E85E3D">
        <w:rPr>
          <w:rFonts w:ascii="Times New Roman" w:hAnsi="Times New Roman" w:cs="Times New Roman"/>
          <w:i/>
          <w:iCs/>
          <w:sz w:val="24"/>
          <w:szCs w:val="24"/>
          <w:vertAlign w:val="subscript"/>
        </w:rPr>
        <w:t>1</w:t>
      </w:r>
      <w:r w:rsidRPr="00E85E3D">
        <w:rPr>
          <w:rFonts w:ascii="Times New Roman" w:hAnsi="Times New Roman" w:cs="Times New Roman"/>
          <w:sz w:val="24"/>
          <w:szCs w:val="24"/>
        </w:rPr>
        <w:t xml:space="preserve">), the electrochemically reduced </w:t>
      </w:r>
      <w:r w:rsidR="000737DC" w:rsidRPr="00E85E3D">
        <w:rPr>
          <w:rFonts w:ascii="Times New Roman" w:hAnsi="Times New Roman" w:cs="Times New Roman"/>
          <w:sz w:val="24"/>
          <w:szCs w:val="24"/>
        </w:rPr>
        <w:t>CO</w:t>
      </w:r>
      <w:r w:rsidR="000737DC" w:rsidRPr="00E85E3D">
        <w:rPr>
          <w:rFonts w:ascii="Times New Roman" w:hAnsi="Times New Roman" w:cs="Times New Roman"/>
          <w:sz w:val="24"/>
          <w:szCs w:val="24"/>
          <w:vertAlign w:val="subscript"/>
        </w:rPr>
        <w:t>2</w:t>
      </w:r>
      <w:r w:rsidR="000737DC" w:rsidRPr="00E85E3D">
        <w:rPr>
          <w:rFonts w:ascii="Times New Roman" w:hAnsi="Times New Roman" w:cs="Times New Roman"/>
          <w:sz w:val="24"/>
          <w:szCs w:val="24"/>
        </w:rPr>
        <w:t xml:space="preserve"> </w:t>
      </w:r>
      <w:r w:rsidRPr="00E85E3D">
        <w:rPr>
          <w:rFonts w:ascii="Times New Roman" w:hAnsi="Times New Roman" w:cs="Times New Roman"/>
          <w:sz w:val="24"/>
          <w:szCs w:val="24"/>
        </w:rPr>
        <w:t>(</w:t>
      </w:r>
      <w:r w:rsidRPr="00E85E3D">
        <w:rPr>
          <w:rFonts w:ascii="Times New Roman" w:hAnsi="Times New Roman" w:cs="Times New Roman"/>
          <w:i/>
          <w:iCs/>
          <w:sz w:val="24"/>
          <w:szCs w:val="24"/>
        </w:rPr>
        <w:t>C</w:t>
      </w:r>
      <w:r w:rsidRPr="00E85E3D">
        <w:rPr>
          <w:rFonts w:ascii="Times New Roman" w:hAnsi="Times New Roman" w:cs="Times New Roman"/>
          <w:i/>
          <w:iCs/>
          <w:sz w:val="24"/>
          <w:szCs w:val="24"/>
          <w:vertAlign w:val="subscript"/>
        </w:rPr>
        <w:t>2</w:t>
      </w:r>
      <w:r w:rsidRPr="00E85E3D">
        <w:rPr>
          <w:rFonts w:ascii="Times New Roman" w:hAnsi="Times New Roman" w:cs="Times New Roman"/>
          <w:i/>
          <w:iCs/>
          <w:sz w:val="24"/>
          <w:szCs w:val="24"/>
          <w:vertAlign w:val="subscript"/>
        </w:rPr>
        <w:softHyphen/>
      </w:r>
      <w:r w:rsidRPr="00E85E3D">
        <w:rPr>
          <w:rFonts w:ascii="Times New Roman" w:hAnsi="Times New Roman" w:cs="Times New Roman"/>
          <w:sz w:val="24"/>
          <w:szCs w:val="24"/>
        </w:rPr>
        <w:t>), the absorbed 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w:t>
      </w:r>
      <w:r w:rsidRPr="00E85E3D">
        <w:rPr>
          <w:rFonts w:ascii="Times New Roman" w:hAnsi="Times New Roman" w:cs="Times New Roman"/>
          <w:i/>
          <w:iCs/>
          <w:sz w:val="24"/>
          <w:szCs w:val="24"/>
        </w:rPr>
        <w:t>C</w:t>
      </w:r>
      <w:r w:rsidRPr="00E85E3D">
        <w:rPr>
          <w:rFonts w:ascii="Times New Roman" w:hAnsi="Times New Roman" w:cs="Times New Roman"/>
          <w:i/>
          <w:iCs/>
          <w:sz w:val="24"/>
          <w:szCs w:val="24"/>
          <w:vertAlign w:val="subscript"/>
        </w:rPr>
        <w:t>3</w:t>
      </w:r>
      <w:r w:rsidRPr="00E85E3D">
        <w:rPr>
          <w:rFonts w:ascii="Times New Roman" w:hAnsi="Times New Roman" w:cs="Times New Roman"/>
          <w:sz w:val="24"/>
          <w:szCs w:val="24"/>
        </w:rPr>
        <w:t>)</w:t>
      </w:r>
      <w:r w:rsidR="00531543" w:rsidRPr="00E85E3D">
        <w:rPr>
          <w:rFonts w:ascii="Times New Roman" w:hAnsi="Times New Roman" w:cs="Times New Roman"/>
          <w:sz w:val="24"/>
          <w:szCs w:val="24"/>
        </w:rPr>
        <w:t>,</w:t>
      </w:r>
      <w:r w:rsidRPr="00E85E3D">
        <w:rPr>
          <w:rFonts w:ascii="Times New Roman" w:hAnsi="Times New Roman" w:cs="Times New Roman"/>
          <w:sz w:val="24"/>
          <w:szCs w:val="24"/>
        </w:rPr>
        <w:t xml:space="preserve"> and the crossover 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w:t>
      </w:r>
      <w:r w:rsidRPr="00E85E3D">
        <w:rPr>
          <w:rFonts w:ascii="Times New Roman" w:hAnsi="Times New Roman" w:cs="Times New Roman"/>
          <w:i/>
          <w:iCs/>
          <w:sz w:val="24"/>
          <w:szCs w:val="24"/>
        </w:rPr>
        <w:t>C</w:t>
      </w:r>
      <w:r w:rsidRPr="00E85E3D">
        <w:rPr>
          <w:rFonts w:ascii="Times New Roman" w:hAnsi="Times New Roman" w:cs="Times New Roman"/>
          <w:i/>
          <w:iCs/>
          <w:sz w:val="24"/>
          <w:szCs w:val="24"/>
          <w:vertAlign w:val="subscript"/>
        </w:rPr>
        <w:t>4</w:t>
      </w:r>
      <w:r w:rsidRPr="00E85E3D">
        <w:rPr>
          <w:rFonts w:ascii="Times New Roman" w:hAnsi="Times New Roman" w:cs="Times New Roman"/>
          <w:sz w:val="24"/>
          <w:szCs w:val="24"/>
        </w:rPr>
        <w:t>). In other words, the mass balance of 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(in mole per second)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833"/>
      </w:tblGrid>
      <w:tr w:rsidR="007A4881" w:rsidRPr="00E85E3D" w14:paraId="77FD25C9" w14:textId="77777777" w:rsidTr="009548B4">
        <w:tc>
          <w:tcPr>
            <w:tcW w:w="4675" w:type="dxa"/>
          </w:tcPr>
          <w:p w14:paraId="1D88C343" w14:textId="77777777" w:rsidR="007A4881" w:rsidRPr="00805810" w:rsidRDefault="00D37A04" w:rsidP="009548B4">
            <w:pPr>
              <w:spacing w:afterLines="80" w:after="192"/>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4</m:t>
                    </m:r>
                  </m:sub>
                </m:sSub>
              </m:oMath>
            </m:oMathPara>
          </w:p>
        </w:tc>
        <w:tc>
          <w:tcPr>
            <w:tcW w:w="2833" w:type="dxa"/>
          </w:tcPr>
          <w:p w14:paraId="22B795DE" w14:textId="77777777" w:rsidR="007A4881" w:rsidRPr="00E85E3D" w:rsidRDefault="007A4881"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(2)</w:t>
            </w:r>
          </w:p>
        </w:tc>
      </w:tr>
    </w:tbl>
    <w:p w14:paraId="459F7C71" w14:textId="77777777" w:rsidR="007A4881" w:rsidRPr="00E85E3D" w:rsidRDefault="007A4881" w:rsidP="007A4881">
      <w:pPr>
        <w:spacing w:afterLines="80" w:after="192" w:line="240" w:lineRule="auto"/>
        <w:rPr>
          <w:rFonts w:ascii="Times New Roman" w:hAnsi="Times New Roman" w:cs="Times New Roman"/>
          <w:sz w:val="24"/>
          <w:szCs w:val="24"/>
        </w:rPr>
      </w:pPr>
      <w:r w:rsidRPr="00E85E3D">
        <w:rPr>
          <w:rFonts w:ascii="Times New Roman" w:hAnsi="Times New Roman" w:cs="Times New Roman"/>
          <w:sz w:val="24"/>
          <w:szCs w:val="24"/>
        </w:rPr>
        <w:t>The carbon utilization efficiency is evaluated by single-pass utilization (SPU):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833"/>
      </w:tblGrid>
      <w:tr w:rsidR="007A4881" w:rsidRPr="00E85E3D" w14:paraId="6D864912" w14:textId="77777777" w:rsidTr="009548B4">
        <w:tc>
          <w:tcPr>
            <w:tcW w:w="4675" w:type="dxa"/>
          </w:tcPr>
          <w:p w14:paraId="1275CE99" w14:textId="77777777" w:rsidR="007A4881" w:rsidRPr="00805810" w:rsidRDefault="007A4881" w:rsidP="009548B4">
            <w:pPr>
              <w:spacing w:afterLines="80" w:after="192"/>
              <w:rPr>
                <w:rFonts w:ascii="Times New Roman" w:hAnsi="Times New Roman" w:cs="Times New Roman"/>
                <w:sz w:val="24"/>
                <w:szCs w:val="24"/>
              </w:rPr>
            </w:pPr>
            <m:oMathPara>
              <m:oMathParaPr>
                <m:jc m:val="left"/>
              </m:oMathParaPr>
              <m:oMath>
                <m:r>
                  <w:rPr>
                    <w:rFonts w:ascii="Cambria Math" w:hAnsi="Cambria Math" w:cs="Times New Roman"/>
                    <w:sz w:val="24"/>
                    <w:szCs w:val="24"/>
                  </w:rPr>
                  <m:t>SPU=</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in</m:t>
                        </m:r>
                      </m:sub>
                    </m:sSub>
                  </m:den>
                </m:f>
              </m:oMath>
            </m:oMathPara>
          </w:p>
        </w:tc>
        <w:tc>
          <w:tcPr>
            <w:tcW w:w="2833" w:type="dxa"/>
            <w:vAlign w:val="center"/>
          </w:tcPr>
          <w:p w14:paraId="4C838B5D" w14:textId="77777777" w:rsidR="007A4881" w:rsidRPr="00E85E3D" w:rsidRDefault="007A4881"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(3)</w:t>
            </w:r>
          </w:p>
        </w:tc>
      </w:tr>
    </w:tbl>
    <w:p w14:paraId="53AE3305" w14:textId="6FB2E0F2" w:rsidR="007A4881" w:rsidRPr="00E85E3D" w:rsidRDefault="007A4881" w:rsidP="007A4881">
      <w:pPr>
        <w:spacing w:afterLines="80" w:after="192" w:line="240" w:lineRule="auto"/>
        <w:rPr>
          <w:rFonts w:ascii="Times New Roman" w:hAnsi="Times New Roman" w:cs="Times New Roman"/>
          <w:sz w:val="24"/>
          <w:szCs w:val="24"/>
        </w:rPr>
      </w:pPr>
      <w:r w:rsidRPr="00E85E3D">
        <w:rPr>
          <w:rFonts w:ascii="Times New Roman" w:hAnsi="Times New Roman" w:cs="Times New Roman"/>
          <w:sz w:val="24"/>
          <w:szCs w:val="24"/>
        </w:rPr>
        <w:t xml:space="preserve">In </w:t>
      </w:r>
      <w:r w:rsidR="004B4462" w:rsidRPr="00E85E3D">
        <w:rPr>
          <w:rFonts w:ascii="Times New Roman" w:hAnsi="Times New Roman" w:cs="Times New Roman"/>
          <w:sz w:val="24"/>
          <w:szCs w:val="24"/>
        </w:rPr>
        <w:t xml:space="preserve">conventional </w:t>
      </w:r>
      <w:r w:rsidRPr="00E85E3D">
        <w:rPr>
          <w:rFonts w:ascii="Times New Roman" w:hAnsi="Times New Roman" w:cs="Times New Roman"/>
          <w:sz w:val="24"/>
          <w:szCs w:val="24"/>
        </w:rPr>
        <w:t xml:space="preserve">flow cells and MEAs, some </w:t>
      </w:r>
      <w:r w:rsidR="004B4462" w:rsidRPr="00E85E3D">
        <w:rPr>
          <w:rFonts w:ascii="Times New Roman" w:hAnsi="Times New Roman" w:cs="Times New Roman"/>
          <w:sz w:val="24"/>
          <w:szCs w:val="24"/>
        </w:rPr>
        <w:t xml:space="preserve">studies </w:t>
      </w:r>
      <w:r w:rsidRPr="00E85E3D">
        <w:rPr>
          <w:rFonts w:ascii="Times New Roman" w:hAnsi="Times New Roman" w:cs="Times New Roman"/>
          <w:sz w:val="24"/>
          <w:szCs w:val="24"/>
        </w:rPr>
        <w:t xml:space="preserve">have demonstrated that </w:t>
      </w:r>
      <w:r w:rsidRPr="00E85E3D">
        <w:rPr>
          <w:rFonts w:ascii="Times New Roman" w:hAnsi="Times New Roman" w:cs="Times New Roman"/>
          <w:i/>
          <w:iCs/>
          <w:sz w:val="24"/>
          <w:szCs w:val="24"/>
        </w:rPr>
        <w:t>C</w:t>
      </w:r>
      <w:r w:rsidRPr="00E85E3D">
        <w:rPr>
          <w:rFonts w:ascii="Times New Roman" w:hAnsi="Times New Roman" w:cs="Times New Roman"/>
          <w:i/>
          <w:iCs/>
          <w:sz w:val="24"/>
          <w:szCs w:val="24"/>
          <w:vertAlign w:val="subscript"/>
        </w:rPr>
        <w:t>1</w:t>
      </w:r>
      <w:r w:rsidRPr="00E85E3D">
        <w:rPr>
          <w:rFonts w:ascii="Times New Roman" w:hAnsi="Times New Roman" w:cs="Times New Roman"/>
          <w:sz w:val="24"/>
          <w:szCs w:val="24"/>
        </w:rPr>
        <w:t xml:space="preserve"> can be negligible </w:t>
      </w:r>
      <w:r w:rsidR="004B4462" w:rsidRPr="00E85E3D">
        <w:rPr>
          <w:rFonts w:ascii="Times New Roman" w:hAnsi="Times New Roman" w:cs="Times New Roman"/>
          <w:sz w:val="24"/>
          <w:szCs w:val="24"/>
        </w:rPr>
        <w:t xml:space="preserve">compared </w:t>
      </w:r>
      <w:r w:rsidRPr="00E85E3D">
        <w:rPr>
          <w:rFonts w:ascii="Times New Roman" w:hAnsi="Times New Roman" w:cs="Times New Roman"/>
          <w:sz w:val="24"/>
          <w:szCs w:val="24"/>
        </w:rPr>
        <w:t xml:space="preserve">to </w:t>
      </w:r>
      <w:r w:rsidRPr="00E85E3D">
        <w:rPr>
          <w:rFonts w:ascii="Times New Roman" w:hAnsi="Times New Roman" w:cs="Times New Roman"/>
          <w:i/>
          <w:iCs/>
          <w:sz w:val="24"/>
          <w:szCs w:val="24"/>
        </w:rPr>
        <w:t>C</w:t>
      </w:r>
      <w:r w:rsidRPr="00E85E3D">
        <w:rPr>
          <w:rFonts w:ascii="Times New Roman" w:hAnsi="Times New Roman" w:cs="Times New Roman"/>
          <w:i/>
          <w:iCs/>
          <w:sz w:val="24"/>
          <w:szCs w:val="24"/>
          <w:vertAlign w:val="subscript"/>
        </w:rPr>
        <w:t>2</w:t>
      </w:r>
      <w:r w:rsidRPr="00E85E3D">
        <w:rPr>
          <w:rFonts w:ascii="Times New Roman" w:hAnsi="Times New Roman" w:cs="Times New Roman"/>
          <w:sz w:val="24"/>
          <w:szCs w:val="24"/>
        </w:rPr>
        <w:t xml:space="preserve"> and </w:t>
      </w:r>
      <w:r w:rsidRPr="00E85E3D">
        <w:rPr>
          <w:rFonts w:ascii="Times New Roman" w:hAnsi="Times New Roman" w:cs="Times New Roman"/>
          <w:i/>
          <w:iCs/>
          <w:sz w:val="24"/>
          <w:szCs w:val="24"/>
        </w:rPr>
        <w:t>C</w:t>
      </w:r>
      <w:r w:rsidR="00A45206" w:rsidRPr="00E85E3D">
        <w:rPr>
          <w:rFonts w:ascii="Times New Roman" w:hAnsi="Times New Roman" w:cs="Times New Roman"/>
          <w:i/>
          <w:iCs/>
          <w:sz w:val="24"/>
          <w:szCs w:val="24"/>
          <w:vertAlign w:val="subscript"/>
        </w:rPr>
        <w:t>4</w:t>
      </w:r>
      <w:r w:rsidRPr="00E85E3D">
        <w:rPr>
          <w:rFonts w:ascii="Times New Roman" w:hAnsi="Times New Roman" w:cs="Times New Roman"/>
          <w:sz w:val="24"/>
          <w:szCs w:val="24"/>
        </w:rPr>
        <w:t xml:space="preserve"> by carefully tuning </w:t>
      </w:r>
      <w:r w:rsidRPr="00E85E3D">
        <w:rPr>
          <w:rFonts w:ascii="Times New Roman" w:hAnsi="Times New Roman" w:cs="Times New Roman"/>
          <w:i/>
          <w:iCs/>
          <w:sz w:val="24"/>
          <w:szCs w:val="24"/>
        </w:rPr>
        <w:t>C</w:t>
      </w:r>
      <w:r w:rsidRPr="00E85E3D">
        <w:rPr>
          <w:rFonts w:ascii="Times New Roman" w:hAnsi="Times New Roman" w:cs="Times New Roman"/>
          <w:i/>
          <w:iCs/>
          <w:sz w:val="24"/>
          <w:szCs w:val="24"/>
          <w:vertAlign w:val="subscript"/>
        </w:rPr>
        <w:t>in</w:t>
      </w:r>
      <w:r w:rsidRPr="00E85E3D">
        <w:rPr>
          <w:rFonts w:ascii="Times New Roman" w:hAnsi="Times New Roman" w:cs="Times New Roman"/>
          <w:sz w:val="24"/>
          <w:szCs w:val="24"/>
        </w:rPr>
        <w:t>. When the 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absorption in the system reaches a steady-state, </w:t>
      </w:r>
      <w:r w:rsidRPr="00E85E3D">
        <w:rPr>
          <w:rFonts w:ascii="Times New Roman" w:hAnsi="Times New Roman" w:cs="Times New Roman"/>
          <w:i/>
          <w:iCs/>
          <w:sz w:val="24"/>
          <w:szCs w:val="24"/>
        </w:rPr>
        <w:t>C</w:t>
      </w:r>
      <w:r w:rsidRPr="00E85E3D">
        <w:rPr>
          <w:rFonts w:ascii="Times New Roman" w:hAnsi="Times New Roman" w:cs="Times New Roman"/>
          <w:i/>
          <w:iCs/>
          <w:sz w:val="24"/>
          <w:szCs w:val="24"/>
          <w:vertAlign w:val="subscript"/>
        </w:rPr>
        <w:t>3</w:t>
      </w:r>
      <w:r w:rsidRPr="00E85E3D">
        <w:rPr>
          <w:rFonts w:ascii="Times New Roman" w:hAnsi="Times New Roman" w:cs="Times New Roman"/>
          <w:sz w:val="24"/>
          <w:szCs w:val="24"/>
        </w:rPr>
        <w:t xml:space="preserve"> is almost zero. Therefore, the upper limit of SPU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833"/>
      </w:tblGrid>
      <w:tr w:rsidR="007A4881" w:rsidRPr="00E85E3D" w14:paraId="1DF3058A" w14:textId="77777777" w:rsidTr="009548B4">
        <w:tc>
          <w:tcPr>
            <w:tcW w:w="4675" w:type="dxa"/>
          </w:tcPr>
          <w:p w14:paraId="5CE82DD7" w14:textId="77777777" w:rsidR="007A4881" w:rsidRPr="00805810" w:rsidRDefault="007A4881" w:rsidP="009548B4">
            <w:pPr>
              <w:spacing w:afterLines="80" w:after="192"/>
              <w:rPr>
                <w:rFonts w:ascii="Times New Roman" w:hAnsi="Times New Roman" w:cs="Times New Roman"/>
                <w:sz w:val="24"/>
                <w:szCs w:val="24"/>
              </w:rPr>
            </w:pPr>
            <m:oMathPara>
              <m:oMathParaPr>
                <m:jc m:val="left"/>
              </m:oMathParaPr>
              <m:oMath>
                <m:r>
                  <w:rPr>
                    <w:rFonts w:ascii="Cambria Math" w:hAnsi="Cambria Math" w:cs="Times New Roman"/>
                    <w:sz w:val="24"/>
                    <w:szCs w:val="24"/>
                  </w:rPr>
                  <m:t>SP</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limit</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4</m:t>
                        </m:r>
                      </m:sub>
                    </m:sSub>
                  </m:den>
                </m:f>
              </m:oMath>
            </m:oMathPara>
          </w:p>
        </w:tc>
        <w:tc>
          <w:tcPr>
            <w:tcW w:w="2833" w:type="dxa"/>
            <w:vAlign w:val="center"/>
          </w:tcPr>
          <w:p w14:paraId="523387F1" w14:textId="77777777" w:rsidR="007A4881" w:rsidRPr="00E85E3D" w:rsidRDefault="007A4881"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(4)</w:t>
            </w:r>
          </w:p>
        </w:tc>
      </w:tr>
      <w:tr w:rsidR="007A4881" w:rsidRPr="00E85E3D" w14:paraId="78BB9011" w14:textId="77777777" w:rsidTr="009548B4">
        <w:tc>
          <w:tcPr>
            <w:tcW w:w="4675" w:type="dxa"/>
          </w:tcPr>
          <w:p w14:paraId="0F284292" w14:textId="77777777" w:rsidR="007A4881" w:rsidRPr="00805810" w:rsidRDefault="00D37A04" w:rsidP="009548B4">
            <w:pPr>
              <w:spacing w:afterLines="80" w:after="192"/>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sub>
                  <m:sup>
                    <m:r>
                      <w:rPr>
                        <w:rFonts w:ascii="Cambria Math" w:hAnsi="Cambria Math" w:cs="Times New Roman"/>
                        <w:sz w:val="24"/>
                        <w:szCs w:val="24"/>
                      </w:rPr>
                      <m:t>n</m:t>
                    </m:r>
                  </m:sup>
                  <m:e>
                    <m:f>
                      <m:fPr>
                        <m:ctrlPr>
                          <w:rPr>
                            <w:rFonts w:ascii="Cambria Math" w:hAnsi="Cambria Math" w:cs="Times New Roman"/>
                            <w:i/>
                            <w:sz w:val="24"/>
                            <w:szCs w:val="24"/>
                          </w:rPr>
                        </m:ctrlPr>
                      </m:fPr>
                      <m:num>
                        <m:r>
                          <w:rPr>
                            <w:rFonts w:ascii="Cambria Math" w:hAnsi="Cambria Math" w:cs="Times New Roman"/>
                            <w:sz w:val="24"/>
                            <w:szCs w:val="24"/>
                          </w:rPr>
                          <m:t>J×</m:t>
                        </m:r>
                        <m:sSub>
                          <m:sSubPr>
                            <m:ctrlPr>
                              <w:rPr>
                                <w:rFonts w:ascii="Cambria Math" w:hAnsi="Cambria Math" w:cs="Times New Roman"/>
                                <w:i/>
                                <w:sz w:val="24"/>
                                <w:szCs w:val="24"/>
                              </w:rPr>
                            </m:ctrlPr>
                          </m:sSubPr>
                          <m:e>
                            <m:r>
                              <w:rPr>
                                <w:rFonts w:ascii="Cambria Math" w:hAnsi="Cambria Math" w:cs="Times New Roman"/>
                                <w:sz w:val="24"/>
                                <w:szCs w:val="24"/>
                              </w:rPr>
                              <m:t>FE</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r>
                          <w:rPr>
                            <w:rFonts w:ascii="Cambria Math" w:hAnsi="Cambria Math" w:cs="Times New Roman"/>
                            <w:sz w:val="24"/>
                            <w:szCs w:val="24"/>
                          </w:rPr>
                          <m:t>F</m:t>
                        </m:r>
                      </m:den>
                    </m:f>
                  </m:e>
                </m:nary>
              </m:oMath>
            </m:oMathPara>
          </w:p>
        </w:tc>
        <w:tc>
          <w:tcPr>
            <w:tcW w:w="2833" w:type="dxa"/>
            <w:vAlign w:val="center"/>
          </w:tcPr>
          <w:p w14:paraId="168EA0CD" w14:textId="77777777" w:rsidR="007A4881" w:rsidRPr="00E85E3D" w:rsidRDefault="007A4881"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(5)</w:t>
            </w:r>
          </w:p>
        </w:tc>
      </w:tr>
    </w:tbl>
    <w:p w14:paraId="4E92D3D6" w14:textId="74D2D55F" w:rsidR="007A4881" w:rsidRPr="00E85E3D" w:rsidRDefault="00C37C8D" w:rsidP="007A4881">
      <w:pPr>
        <w:spacing w:afterLines="80" w:after="192" w:line="240" w:lineRule="auto"/>
        <w:jc w:val="both"/>
        <w:rPr>
          <w:rFonts w:ascii="Times New Roman" w:hAnsi="Times New Roman" w:cs="Times New Roman"/>
          <w:sz w:val="24"/>
          <w:szCs w:val="24"/>
        </w:rPr>
      </w:pPr>
      <w:r w:rsidRPr="00E85E3D">
        <w:rPr>
          <w:rFonts w:ascii="Times New Roman" w:hAnsi="Times New Roman" w:cs="Times New Roman"/>
          <w:sz w:val="24"/>
          <w:szCs w:val="24"/>
        </w:rPr>
        <w:t xml:space="preserve">where </w:t>
      </w:r>
      <w:r w:rsidR="007A4881" w:rsidRPr="00E85E3D">
        <w:rPr>
          <w:rFonts w:ascii="Times New Roman" w:hAnsi="Times New Roman" w:cs="Times New Roman"/>
          <w:i/>
          <w:iCs/>
          <w:sz w:val="24"/>
          <w:szCs w:val="24"/>
        </w:rPr>
        <w:t>J</w:t>
      </w:r>
      <w:r w:rsidR="007A4881" w:rsidRPr="00E85E3D">
        <w:rPr>
          <w:rFonts w:ascii="Times New Roman" w:hAnsi="Times New Roman" w:cs="Times New Roman"/>
          <w:sz w:val="24"/>
          <w:szCs w:val="24"/>
        </w:rPr>
        <w:t xml:space="preserve"> is the current in amp</w:t>
      </w:r>
      <w:r w:rsidR="00A063CC" w:rsidRPr="00E85E3D">
        <w:rPr>
          <w:rFonts w:ascii="Times New Roman" w:hAnsi="Times New Roman" w:cs="Times New Roman"/>
          <w:sz w:val="24"/>
          <w:szCs w:val="24"/>
        </w:rPr>
        <w:t>s</w:t>
      </w:r>
      <w:r w:rsidR="007A4881" w:rsidRPr="00E85E3D">
        <w:rPr>
          <w:rFonts w:ascii="Times New Roman" w:hAnsi="Times New Roman" w:cs="Times New Roman"/>
          <w:sz w:val="24"/>
          <w:szCs w:val="24"/>
        </w:rPr>
        <w:t xml:space="preserve">, </w:t>
      </w:r>
      <w:r w:rsidR="007A4881" w:rsidRPr="00E85E3D">
        <w:rPr>
          <w:rFonts w:ascii="Times New Roman" w:hAnsi="Times New Roman" w:cs="Times New Roman"/>
          <w:i/>
          <w:iCs/>
          <w:sz w:val="24"/>
          <w:szCs w:val="24"/>
        </w:rPr>
        <w:t>FE</w:t>
      </w:r>
      <w:r w:rsidR="007A4881" w:rsidRPr="00E85E3D">
        <w:rPr>
          <w:rFonts w:ascii="Times New Roman" w:hAnsi="Times New Roman" w:cs="Times New Roman"/>
          <w:i/>
          <w:iCs/>
          <w:sz w:val="24"/>
          <w:szCs w:val="24"/>
          <w:vertAlign w:val="subscript"/>
        </w:rPr>
        <w:t>[i]</w:t>
      </w:r>
      <w:r w:rsidR="007A4881" w:rsidRPr="00E85E3D">
        <w:rPr>
          <w:rFonts w:ascii="Times New Roman" w:hAnsi="Times New Roman" w:cs="Times New Roman"/>
          <w:sz w:val="24"/>
          <w:szCs w:val="24"/>
        </w:rPr>
        <w:t xml:space="preserve"> is the faradaic efficiency of the specific reaction [3-9], </w:t>
      </w:r>
      <w:r w:rsidR="007A4881" w:rsidRPr="00E85E3D">
        <w:rPr>
          <w:rFonts w:ascii="Times New Roman" w:hAnsi="Times New Roman" w:cs="Times New Roman"/>
          <w:i/>
          <w:iCs/>
          <w:sz w:val="24"/>
          <w:szCs w:val="24"/>
        </w:rPr>
        <w:t>n</w:t>
      </w:r>
      <w:r w:rsidR="007A4881" w:rsidRPr="00E85E3D">
        <w:rPr>
          <w:rFonts w:ascii="Times New Roman" w:hAnsi="Times New Roman" w:cs="Times New Roman"/>
          <w:i/>
          <w:iCs/>
          <w:sz w:val="24"/>
          <w:szCs w:val="24"/>
          <w:vertAlign w:val="subscript"/>
        </w:rPr>
        <w:t>[i]</w:t>
      </w:r>
      <w:r w:rsidR="007A4881" w:rsidRPr="00E85E3D">
        <w:rPr>
          <w:rFonts w:ascii="Times New Roman" w:hAnsi="Times New Roman" w:cs="Times New Roman"/>
          <w:sz w:val="24"/>
          <w:szCs w:val="24"/>
        </w:rPr>
        <w:t xml:space="preserve"> is the number of electrons transferred per consumed CO</w:t>
      </w:r>
      <w:r w:rsidR="007A4881" w:rsidRPr="00E85E3D">
        <w:rPr>
          <w:rFonts w:ascii="Times New Roman" w:hAnsi="Times New Roman" w:cs="Times New Roman"/>
          <w:sz w:val="24"/>
          <w:szCs w:val="24"/>
          <w:vertAlign w:val="subscript"/>
        </w:rPr>
        <w:t>2</w:t>
      </w:r>
      <w:r w:rsidR="007A4881" w:rsidRPr="00E85E3D">
        <w:rPr>
          <w:rFonts w:ascii="Times New Roman" w:hAnsi="Times New Roman" w:cs="Times New Roman"/>
          <w:sz w:val="24"/>
          <w:szCs w:val="24"/>
        </w:rPr>
        <w:t xml:space="preserve"> in the specific reaction [3-9], and </w:t>
      </w:r>
      <w:r w:rsidR="007A4881" w:rsidRPr="00E85E3D">
        <w:rPr>
          <w:rFonts w:ascii="Times New Roman" w:hAnsi="Times New Roman" w:cs="Times New Roman"/>
          <w:i/>
          <w:iCs/>
          <w:sz w:val="24"/>
          <w:szCs w:val="24"/>
        </w:rPr>
        <w:t>F</w:t>
      </w:r>
      <w:r w:rsidR="007A4881" w:rsidRPr="00E85E3D">
        <w:rPr>
          <w:rFonts w:ascii="Times New Roman" w:hAnsi="Times New Roman" w:cs="Times New Roman"/>
          <w:sz w:val="24"/>
          <w:szCs w:val="24"/>
        </w:rPr>
        <w:t xml:space="preserve"> is the Faraday constant. In neutral media, </w:t>
      </w:r>
      <w:r w:rsidR="007A4881" w:rsidRPr="00E85E3D">
        <w:rPr>
          <w:rFonts w:ascii="Times New Roman" w:hAnsi="Times New Roman" w:cs="Times New Roman"/>
          <w:i/>
          <w:iCs/>
          <w:sz w:val="24"/>
          <w:szCs w:val="24"/>
        </w:rPr>
        <w:t>C</w:t>
      </w:r>
      <w:r w:rsidR="007A4881" w:rsidRPr="00E85E3D">
        <w:rPr>
          <w:rFonts w:ascii="Times New Roman" w:hAnsi="Times New Roman" w:cs="Times New Roman"/>
          <w:i/>
          <w:iCs/>
          <w:sz w:val="24"/>
          <w:szCs w:val="24"/>
          <w:vertAlign w:val="subscript"/>
        </w:rPr>
        <w:t>4</w:t>
      </w:r>
      <w:r w:rsidR="007A4881" w:rsidRPr="00E85E3D">
        <w:rPr>
          <w:rFonts w:ascii="Times New Roman" w:hAnsi="Times New Roman" w:cs="Times New Roman"/>
          <w:sz w:val="24"/>
          <w:szCs w:val="24"/>
          <w:vertAlign w:val="subscript"/>
        </w:rPr>
        <w:t xml:space="preserve"> </w:t>
      </w:r>
      <w:r w:rsidR="007A4881" w:rsidRPr="00E85E3D">
        <w:rPr>
          <w:rFonts w:ascii="Times New Roman" w:hAnsi="Times New Roman" w:cs="Times New Roman"/>
          <w:sz w:val="24"/>
          <w:szCs w:val="24"/>
        </w:rPr>
        <w:t>range</w:t>
      </w:r>
      <w:r w:rsidR="004B4462" w:rsidRPr="00E85E3D">
        <w:rPr>
          <w:rFonts w:ascii="Times New Roman" w:hAnsi="Times New Roman" w:cs="Times New Roman"/>
          <w:sz w:val="24"/>
          <w:szCs w:val="24"/>
        </w:rPr>
        <w:t>s</w:t>
      </w:r>
      <w:r w:rsidR="007A4881" w:rsidRPr="00E85E3D">
        <w:rPr>
          <w:rFonts w:ascii="Times New Roman" w:hAnsi="Times New Roman" w:cs="Times New Roman"/>
          <w:sz w:val="24"/>
          <w:szCs w:val="24"/>
        </w:rPr>
        <w:t xml:space="preserve"> </w:t>
      </w:r>
      <w:r w:rsidR="004B4462" w:rsidRPr="00E85E3D">
        <w:rPr>
          <w:rFonts w:ascii="Times New Roman" w:hAnsi="Times New Roman" w:cs="Times New Roman"/>
          <w:sz w:val="24"/>
          <w:szCs w:val="24"/>
        </w:rPr>
        <w:t xml:space="preserve">from </w:t>
      </w:r>
      <w:r w:rsidR="007A4881" w:rsidRPr="00E85E3D">
        <w:rPr>
          <w:rFonts w:ascii="Times New Roman" w:hAnsi="Times New Roman" w:cs="Times New Roman"/>
          <w:sz w:val="24"/>
          <w:szCs w:val="24"/>
        </w:rPr>
        <w:t>0.5 to 1 time</w:t>
      </w:r>
      <w:r w:rsidR="004B4462" w:rsidRPr="00E85E3D">
        <w:rPr>
          <w:rFonts w:ascii="Times New Roman" w:hAnsi="Times New Roman" w:cs="Times New Roman"/>
          <w:sz w:val="24"/>
          <w:szCs w:val="24"/>
        </w:rPr>
        <w:t>s</w:t>
      </w:r>
      <w:r w:rsidR="007A4881" w:rsidRPr="00E85E3D">
        <w:rPr>
          <w:rFonts w:ascii="Times New Roman" w:hAnsi="Times New Roman" w:cs="Times New Roman"/>
          <w:sz w:val="24"/>
          <w:szCs w:val="24"/>
        </w:rPr>
        <w:t xml:space="preserve"> </w:t>
      </w:r>
      <w:r w:rsidR="007A4881" w:rsidRPr="00E85E3D">
        <w:rPr>
          <w:rFonts w:ascii="Times New Roman" w:hAnsi="Times New Roman" w:cs="Times New Roman"/>
          <w:i/>
          <w:iCs/>
          <w:sz w:val="24"/>
          <w:szCs w:val="24"/>
        </w:rPr>
        <w:t>M</w:t>
      </w:r>
      <w:r w:rsidR="007A4881" w:rsidRPr="00E85E3D">
        <w:rPr>
          <w:rFonts w:ascii="Times New Roman" w:hAnsi="Times New Roman" w:cs="Times New Roman"/>
          <w:i/>
          <w:iCs/>
          <w:sz w:val="24"/>
          <w:szCs w:val="24"/>
          <w:vertAlign w:val="subscript"/>
        </w:rPr>
        <w:t>OH</w:t>
      </w:r>
      <w:r w:rsidR="004B4462" w:rsidRPr="00E85E3D">
        <w:rPr>
          <w:rFonts w:ascii="Times New Roman" w:hAnsi="Times New Roman" w:cs="Times New Roman"/>
          <w:sz w:val="24"/>
          <w:szCs w:val="24"/>
        </w:rPr>
        <w:t xml:space="preserve">, </w:t>
      </w:r>
      <w:r w:rsidR="007A4881" w:rsidRPr="00E85E3D">
        <w:rPr>
          <w:rFonts w:ascii="Times New Roman" w:hAnsi="Times New Roman" w:cs="Times New Roman"/>
          <w:sz w:val="24"/>
          <w:szCs w:val="24"/>
        </w:rPr>
        <w:t>depending on the species of charge carrier cross</w:t>
      </w:r>
      <w:r w:rsidRPr="00E85E3D">
        <w:rPr>
          <w:rFonts w:ascii="Times New Roman" w:hAnsi="Times New Roman" w:cs="Times New Roman"/>
          <w:sz w:val="24"/>
          <w:szCs w:val="24"/>
        </w:rPr>
        <w:t>ing</w:t>
      </w:r>
      <w:r w:rsidR="009C45FC" w:rsidRPr="00E85E3D">
        <w:rPr>
          <w:rFonts w:ascii="Times New Roman" w:hAnsi="Times New Roman" w:cs="Times New Roman"/>
          <w:sz w:val="24"/>
          <w:szCs w:val="24"/>
        </w:rPr>
        <w:t xml:space="preserve"> </w:t>
      </w:r>
      <w:r w:rsidRPr="00E85E3D">
        <w:rPr>
          <w:rFonts w:ascii="Times New Roman" w:hAnsi="Times New Roman" w:cs="Times New Roman"/>
          <w:sz w:val="24"/>
          <w:szCs w:val="24"/>
        </w:rPr>
        <w:t>over</w:t>
      </w:r>
      <w:r w:rsidR="007A4881" w:rsidRPr="00E85E3D">
        <w:rPr>
          <w:rFonts w:ascii="Times New Roman" w:hAnsi="Times New Roman" w:cs="Times New Roman"/>
          <w:sz w:val="24"/>
          <w:szCs w:val="24"/>
        </w:rPr>
        <w:t xml:space="preserve"> the AEM. To evaluate the upper limit of </w:t>
      </w:r>
      <w:r w:rsidR="004B4462" w:rsidRPr="00E85E3D">
        <w:rPr>
          <w:rFonts w:ascii="Times New Roman" w:hAnsi="Times New Roman" w:cs="Times New Roman"/>
          <w:sz w:val="24"/>
          <w:szCs w:val="24"/>
        </w:rPr>
        <w:t xml:space="preserve">the </w:t>
      </w:r>
      <w:r w:rsidR="007A4881" w:rsidRPr="00E85E3D">
        <w:rPr>
          <w:rFonts w:ascii="Times New Roman" w:hAnsi="Times New Roman" w:cs="Times New Roman"/>
          <w:sz w:val="24"/>
          <w:szCs w:val="24"/>
        </w:rPr>
        <w:t xml:space="preserve">SPU, </w:t>
      </w:r>
      <w:r w:rsidR="007A4881" w:rsidRPr="00E85E3D">
        <w:rPr>
          <w:rFonts w:ascii="Times New Roman" w:hAnsi="Times New Roman" w:cs="Times New Roman"/>
          <w:i/>
          <w:iCs/>
          <w:sz w:val="24"/>
          <w:szCs w:val="24"/>
        </w:rPr>
        <w:t>C</w:t>
      </w:r>
      <w:r w:rsidR="007A4881" w:rsidRPr="00E85E3D">
        <w:rPr>
          <w:rFonts w:ascii="Times New Roman" w:hAnsi="Times New Roman" w:cs="Times New Roman"/>
          <w:i/>
          <w:iCs/>
          <w:sz w:val="24"/>
          <w:szCs w:val="24"/>
          <w:vertAlign w:val="subscript"/>
        </w:rPr>
        <w:t>4</w:t>
      </w:r>
      <w:r w:rsidR="007A4881" w:rsidRPr="00E85E3D">
        <w:rPr>
          <w:rFonts w:ascii="Times New Roman" w:hAnsi="Times New Roman" w:cs="Times New Roman"/>
          <w:i/>
          <w:iCs/>
          <w:sz w:val="24"/>
          <w:szCs w:val="24"/>
        </w:rPr>
        <w:t xml:space="preserve"> = 0.5 M</w:t>
      </w:r>
      <w:r w:rsidR="007A4881" w:rsidRPr="00E85E3D">
        <w:rPr>
          <w:rFonts w:ascii="Times New Roman" w:hAnsi="Times New Roman" w:cs="Times New Roman"/>
          <w:i/>
          <w:iCs/>
          <w:sz w:val="24"/>
          <w:szCs w:val="24"/>
          <w:vertAlign w:val="subscript"/>
        </w:rPr>
        <w:t>OH</w:t>
      </w:r>
      <w:r w:rsidR="007A4881" w:rsidRPr="00E85E3D">
        <w:rPr>
          <w:rFonts w:ascii="Times New Roman" w:hAnsi="Times New Roman" w:cs="Times New Roman"/>
          <w:sz w:val="24"/>
          <w:szCs w:val="24"/>
        </w:rPr>
        <w:t>. Substituting (1) and (5) into (4) gives: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833"/>
      </w:tblGrid>
      <w:tr w:rsidR="007A4881" w:rsidRPr="00E85E3D" w14:paraId="41750445" w14:textId="77777777" w:rsidTr="009548B4">
        <w:tc>
          <w:tcPr>
            <w:tcW w:w="4675" w:type="dxa"/>
          </w:tcPr>
          <w:p w14:paraId="71D595BA" w14:textId="77777777" w:rsidR="007A4881" w:rsidRPr="00805810" w:rsidRDefault="007A4881" w:rsidP="009548B4">
            <w:pPr>
              <w:spacing w:afterLines="80" w:after="192"/>
              <w:rPr>
                <w:rFonts w:ascii="Times New Roman" w:hAnsi="Times New Roman" w:cs="Times New Roman"/>
                <w:sz w:val="24"/>
                <w:szCs w:val="24"/>
              </w:rPr>
            </w:pPr>
            <m:oMathPara>
              <m:oMathParaPr>
                <m:jc m:val="left"/>
              </m:oMathParaPr>
              <m:oMath>
                <m:r>
                  <w:rPr>
                    <w:rFonts w:ascii="Cambria Math" w:hAnsi="Cambria Math" w:cs="Times New Roman"/>
                    <w:sz w:val="24"/>
                    <w:szCs w:val="24"/>
                  </w:rPr>
                  <m:t>SP</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limit</m:t>
                    </m:r>
                  </m:sub>
                </m:sSub>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sub>
                      <m:sup>
                        <m:r>
                          <w:rPr>
                            <w:rFonts w:ascii="Cambria Math" w:hAnsi="Cambria Math" w:cs="Times New Roman"/>
                            <w:sz w:val="24"/>
                            <w:szCs w:val="24"/>
                          </w:rPr>
                          <m:t>n</m:t>
                        </m:r>
                      </m:sup>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FE</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den>
                        </m:f>
                      </m:e>
                    </m:nary>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FE</m:t>
                            </m:r>
                          </m:e>
                          <m:sub>
                            <m:r>
                              <w:rPr>
                                <w:rFonts w:ascii="Cambria Math" w:hAnsi="Cambria Math" w:cs="Times New Roman"/>
                                <w:sz w:val="24"/>
                                <w:szCs w:val="24"/>
                              </w:rPr>
                              <m:t>[i]</m:t>
                            </m:r>
                          </m:sub>
                        </m:sSub>
                      </m:e>
                    </m:nary>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n</m:t>
                            </m:r>
                          </m:e>
                          <m:sub>
                            <m:d>
                              <m:dPr>
                                <m:begChr m:val="["/>
                                <m:endChr m:val="]"/>
                                <m:ctrlPr>
                                  <w:rPr>
                                    <w:rFonts w:ascii="Cambria Math" w:hAnsi="Cambria Math" w:cs="Times New Roman"/>
                                    <w:i/>
                                    <w:sz w:val="24"/>
                                    <w:szCs w:val="24"/>
                                  </w:rPr>
                                </m:ctrlPr>
                              </m:dPr>
                              <m:e>
                                <m:r>
                                  <w:rPr>
                                    <w:rFonts w:ascii="Cambria Math" w:hAnsi="Cambria Math" w:cs="Times New Roman"/>
                                    <w:sz w:val="24"/>
                                    <w:szCs w:val="24"/>
                                  </w:rPr>
                                  <m:t>i</m:t>
                                </m:r>
                              </m:e>
                            </m:d>
                          </m:sub>
                        </m:sSub>
                      </m:den>
                    </m:f>
                    <m:r>
                      <w:rPr>
                        <w:rFonts w:ascii="Cambria Math" w:hAnsi="Cambria Math" w:cs="Times New Roman"/>
                        <w:sz w:val="24"/>
                        <w:szCs w:val="24"/>
                      </w:rPr>
                      <m:t>+0.5</m:t>
                    </m:r>
                    <m:sSub>
                      <m:sSubPr>
                        <m:ctrlPr>
                          <w:rPr>
                            <w:rFonts w:ascii="Cambria Math" w:hAnsi="Cambria Math" w:cs="Times New Roman"/>
                            <w:i/>
                            <w:sz w:val="24"/>
                            <w:szCs w:val="24"/>
                          </w:rPr>
                        </m:ctrlPr>
                      </m:sSubPr>
                      <m:e>
                        <m:r>
                          <w:rPr>
                            <w:rFonts w:ascii="Cambria Math" w:hAnsi="Cambria Math" w:cs="Times New Roman"/>
                            <w:sz w:val="24"/>
                            <w:szCs w:val="24"/>
                          </w:rPr>
                          <m:t>k</m:t>
                        </m:r>
                      </m:e>
                      <m:sub>
                        <m:d>
                          <m:dPr>
                            <m:begChr m:val="["/>
                            <m:endChr m:val="]"/>
                            <m:ctrlPr>
                              <w:rPr>
                                <w:rFonts w:ascii="Cambria Math" w:hAnsi="Cambria Math" w:cs="Times New Roman"/>
                                <w:i/>
                                <w:sz w:val="24"/>
                                <w:szCs w:val="24"/>
                              </w:rPr>
                            </m:ctrlPr>
                          </m:dPr>
                          <m:e>
                            <m:r>
                              <w:rPr>
                                <w:rFonts w:ascii="Cambria Math" w:hAnsi="Cambria Math" w:cs="Times New Roman"/>
                                <w:sz w:val="24"/>
                                <w:szCs w:val="24"/>
                              </w:rPr>
                              <m:t>i</m:t>
                            </m:r>
                          </m:e>
                        </m:d>
                      </m:sub>
                    </m:sSub>
                    <m:r>
                      <w:rPr>
                        <w:rFonts w:ascii="Cambria Math" w:hAnsi="Cambria Math" w:cs="Times New Roman"/>
                        <w:sz w:val="24"/>
                        <w:szCs w:val="24"/>
                      </w:rPr>
                      <m:t>)</m:t>
                    </m:r>
                  </m:den>
                </m:f>
              </m:oMath>
            </m:oMathPara>
          </w:p>
        </w:tc>
        <w:tc>
          <w:tcPr>
            <w:tcW w:w="2833" w:type="dxa"/>
            <w:vAlign w:val="center"/>
          </w:tcPr>
          <w:p w14:paraId="29DDEA5F" w14:textId="77777777" w:rsidR="007A4881" w:rsidRPr="00E85E3D" w:rsidRDefault="007A4881" w:rsidP="009548B4">
            <w:pPr>
              <w:spacing w:afterLines="80" w:after="192"/>
              <w:jc w:val="right"/>
              <w:rPr>
                <w:rFonts w:ascii="Times New Roman" w:hAnsi="Times New Roman" w:cs="Times New Roman"/>
                <w:sz w:val="24"/>
                <w:szCs w:val="24"/>
              </w:rPr>
            </w:pPr>
            <w:r w:rsidRPr="00E85E3D">
              <w:rPr>
                <w:rFonts w:ascii="Times New Roman" w:hAnsi="Times New Roman" w:cs="Times New Roman"/>
                <w:sz w:val="24"/>
                <w:szCs w:val="24"/>
              </w:rPr>
              <w:t>(6)</w:t>
            </w:r>
          </w:p>
        </w:tc>
      </w:tr>
    </w:tbl>
    <w:p w14:paraId="18B76C94" w14:textId="3D84A2BD" w:rsidR="00780D88" w:rsidRPr="00E85E3D" w:rsidRDefault="007A4881" w:rsidP="004F7ADC">
      <w:pPr>
        <w:jc w:val="both"/>
        <w:rPr>
          <w:rFonts w:ascii="Times New Roman" w:hAnsi="Times New Roman" w:cs="Times New Roman"/>
          <w:sz w:val="24"/>
          <w:szCs w:val="24"/>
        </w:rPr>
      </w:pPr>
      <w:r w:rsidRPr="00E85E3D">
        <w:rPr>
          <w:rFonts w:ascii="Times New Roman" w:hAnsi="Times New Roman" w:cs="Times New Roman"/>
          <w:sz w:val="24"/>
          <w:szCs w:val="24"/>
        </w:rPr>
        <w:t xml:space="preserve">Therefore, in the </w:t>
      </w:r>
      <w:r w:rsidR="004B4462" w:rsidRPr="00E85E3D">
        <w:rPr>
          <w:rFonts w:ascii="Times New Roman" w:hAnsi="Times New Roman" w:cs="Times New Roman"/>
          <w:sz w:val="24"/>
          <w:szCs w:val="24"/>
        </w:rPr>
        <w:t xml:space="preserve">conventional </w:t>
      </w:r>
      <w:r w:rsidRPr="00E85E3D">
        <w:rPr>
          <w:rFonts w:ascii="Times New Roman" w:hAnsi="Times New Roman" w:cs="Times New Roman"/>
          <w:sz w:val="24"/>
          <w:szCs w:val="24"/>
        </w:rPr>
        <w:t>flow cells and MEAs operating in neutral media, the upper limits of SPU depend on their product distributions. For example, the SPU upper limits of the systems that produce 100% FE of CO (</w:t>
      </w:r>
      <w:r w:rsidRPr="00E85E3D">
        <w:rPr>
          <w:rFonts w:ascii="Times New Roman" w:hAnsi="Times New Roman" w:cs="Times New Roman"/>
          <w:i/>
          <w:iCs/>
          <w:sz w:val="24"/>
          <w:szCs w:val="24"/>
        </w:rPr>
        <w:t>n</w:t>
      </w:r>
      <w:r w:rsidRPr="00E85E3D">
        <w:rPr>
          <w:rFonts w:ascii="Times New Roman" w:hAnsi="Times New Roman" w:cs="Times New Roman"/>
          <w:i/>
          <w:iCs/>
          <w:sz w:val="24"/>
          <w:szCs w:val="24"/>
          <w:vertAlign w:val="subscript"/>
        </w:rPr>
        <w:t>[i]</w:t>
      </w:r>
      <w:r w:rsidRPr="00E85E3D">
        <w:rPr>
          <w:rFonts w:ascii="Times New Roman" w:hAnsi="Times New Roman" w:cs="Times New Roman"/>
          <w:sz w:val="24"/>
          <w:szCs w:val="24"/>
        </w:rPr>
        <w:t xml:space="preserve"> = 2; </w:t>
      </w:r>
      <w:r w:rsidRPr="00E85E3D">
        <w:rPr>
          <w:rFonts w:ascii="Times New Roman" w:hAnsi="Times New Roman" w:cs="Times New Roman"/>
          <w:i/>
          <w:iCs/>
          <w:sz w:val="24"/>
          <w:szCs w:val="24"/>
        </w:rPr>
        <w:t>k</w:t>
      </w:r>
      <w:r w:rsidRPr="00E85E3D">
        <w:rPr>
          <w:rFonts w:ascii="Times New Roman" w:hAnsi="Times New Roman" w:cs="Times New Roman"/>
          <w:i/>
          <w:iCs/>
          <w:sz w:val="24"/>
          <w:szCs w:val="24"/>
          <w:vertAlign w:val="subscript"/>
        </w:rPr>
        <w:t>[i]</w:t>
      </w:r>
      <w:r w:rsidRPr="00E85E3D">
        <w:rPr>
          <w:rFonts w:ascii="Times New Roman" w:hAnsi="Times New Roman" w:cs="Times New Roman"/>
          <w:sz w:val="24"/>
          <w:szCs w:val="24"/>
        </w:rPr>
        <w:t xml:space="preserve"> = 1) or 100% FE of ethylene (</w:t>
      </w:r>
      <w:r w:rsidRPr="00E85E3D">
        <w:rPr>
          <w:rFonts w:ascii="Times New Roman" w:hAnsi="Times New Roman" w:cs="Times New Roman"/>
          <w:i/>
          <w:iCs/>
          <w:sz w:val="24"/>
          <w:szCs w:val="24"/>
        </w:rPr>
        <w:t>n</w:t>
      </w:r>
      <w:r w:rsidRPr="00E85E3D">
        <w:rPr>
          <w:rFonts w:ascii="Times New Roman" w:hAnsi="Times New Roman" w:cs="Times New Roman"/>
          <w:i/>
          <w:iCs/>
          <w:sz w:val="24"/>
          <w:szCs w:val="24"/>
          <w:vertAlign w:val="subscript"/>
        </w:rPr>
        <w:t>[i]</w:t>
      </w:r>
      <w:r w:rsidRPr="00E85E3D">
        <w:rPr>
          <w:rFonts w:ascii="Times New Roman" w:hAnsi="Times New Roman" w:cs="Times New Roman"/>
          <w:sz w:val="24"/>
          <w:szCs w:val="24"/>
        </w:rPr>
        <w:t xml:space="preserve"> = 6; </w:t>
      </w:r>
      <w:r w:rsidRPr="00E85E3D">
        <w:rPr>
          <w:rFonts w:ascii="Times New Roman" w:hAnsi="Times New Roman" w:cs="Times New Roman"/>
          <w:i/>
          <w:iCs/>
          <w:sz w:val="24"/>
          <w:szCs w:val="24"/>
        </w:rPr>
        <w:t>k</w:t>
      </w:r>
      <w:r w:rsidRPr="00E85E3D">
        <w:rPr>
          <w:rFonts w:ascii="Times New Roman" w:hAnsi="Times New Roman" w:cs="Times New Roman"/>
          <w:i/>
          <w:iCs/>
          <w:sz w:val="24"/>
          <w:szCs w:val="24"/>
          <w:vertAlign w:val="subscript"/>
        </w:rPr>
        <w:t>[i]</w:t>
      </w:r>
      <w:r w:rsidRPr="00E85E3D">
        <w:rPr>
          <w:rFonts w:ascii="Times New Roman" w:hAnsi="Times New Roman" w:cs="Times New Roman"/>
          <w:sz w:val="24"/>
          <w:szCs w:val="24"/>
        </w:rPr>
        <w:t xml:space="preserve"> = 1) are 50% or 25%, respectively.</w:t>
      </w:r>
      <w:r w:rsidRPr="00E85E3D">
        <w:rPr>
          <w:rFonts w:ascii="Times New Roman" w:hAnsi="Times New Roman" w:cs="Times New Roman"/>
          <w:sz w:val="24"/>
          <w:szCs w:val="24"/>
        </w:rPr>
        <w:fldChar w:fldCharType="begin" w:fldLock="1"/>
      </w:r>
      <w:r w:rsidR="0041357F">
        <w:rPr>
          <w:rFonts w:ascii="Times New Roman" w:hAnsi="Times New Roman" w:cs="Times New Roman"/>
          <w:sz w:val="24"/>
          <w:szCs w:val="24"/>
        </w:rPr>
        <w:instrText>ADDIN CSL_CITATION {"citationItems":[{"id":"ITEM-1","itemData":{"DOI":"10.1038/s41467-020-19135-8","ISSN":"20411723","PMID":"33067444","author":[{"dropping-particle":"","family":"Rabinowitz","given":"Joshua A.","non-dropping-particle":"","parse-names":false,"suffix":""},{"dropping-particle":"","family":"Kanan","given":"Matthew W.","non-dropping-particle":"","parse-names":false,"suffix":""}],"container-title":"Nature Communications","id":"ITEM-1","issue":"1","issued":{"date-parts":[["2020"]]},"page":"10-12","publisher":"Springer US","title":"The future of low-temperature carbon dioxide electrolysis depends on solving one basic problem","type":"article-journal","volume":"11"},"uris":["http://www.mendeley.com/documents/?uuid=5bc844a2-ec8f-4ca9-a22a-f76581d6a03e"]}],"mendeley":{"formattedCitation":"&lt;sup&gt;10&lt;/sup&gt;","plainTextFormattedCitation":"10","previouslyFormattedCitation":"&lt;sup&gt;10&lt;/sup&gt;"},"properties":{"noteIndex":0},"schema":"https://github.com/citation-style-language/schema/raw/master/csl-citation.json"}</w:instrText>
      </w:r>
      <w:r w:rsidRPr="00E85E3D">
        <w:rPr>
          <w:rFonts w:ascii="Times New Roman" w:hAnsi="Times New Roman" w:cs="Times New Roman"/>
          <w:sz w:val="24"/>
          <w:szCs w:val="24"/>
        </w:rPr>
        <w:fldChar w:fldCharType="separate"/>
      </w:r>
      <w:r w:rsidR="0041357F" w:rsidRPr="0041357F">
        <w:rPr>
          <w:rFonts w:ascii="Times New Roman" w:hAnsi="Times New Roman" w:cs="Times New Roman"/>
          <w:noProof/>
          <w:sz w:val="24"/>
          <w:szCs w:val="24"/>
          <w:vertAlign w:val="superscript"/>
        </w:rPr>
        <w:t>10</w:t>
      </w:r>
      <w:r w:rsidRPr="00E85E3D">
        <w:rPr>
          <w:rFonts w:ascii="Times New Roman" w:hAnsi="Times New Roman" w:cs="Times New Roman"/>
          <w:sz w:val="24"/>
          <w:szCs w:val="24"/>
        </w:rPr>
        <w:fldChar w:fldCharType="end"/>
      </w:r>
      <w:r w:rsidRPr="00805810">
        <w:rPr>
          <w:rFonts w:ascii="Times New Roman" w:hAnsi="Times New Roman" w:cs="Times New Roman"/>
          <w:sz w:val="24"/>
          <w:szCs w:val="24"/>
        </w:rPr>
        <w:t xml:space="preserve"> Notably, HER does not contribute to </w:t>
      </w:r>
      <w:r w:rsidRPr="00E85E3D">
        <w:rPr>
          <w:rFonts w:ascii="Times New Roman" w:hAnsi="Times New Roman" w:cs="Times New Roman"/>
          <w:i/>
          <w:iCs/>
          <w:sz w:val="24"/>
          <w:szCs w:val="24"/>
        </w:rPr>
        <w:t>C</w:t>
      </w:r>
      <w:r w:rsidRPr="00E85E3D">
        <w:rPr>
          <w:rFonts w:ascii="Times New Roman" w:hAnsi="Times New Roman" w:cs="Times New Roman"/>
          <w:i/>
          <w:iCs/>
          <w:sz w:val="24"/>
          <w:szCs w:val="24"/>
          <w:vertAlign w:val="subscript"/>
        </w:rPr>
        <w:t>2</w:t>
      </w:r>
      <w:r w:rsidRPr="00E85E3D">
        <w:rPr>
          <w:rFonts w:ascii="Times New Roman" w:hAnsi="Times New Roman" w:cs="Times New Roman"/>
          <w:sz w:val="24"/>
          <w:szCs w:val="24"/>
        </w:rPr>
        <w:t xml:space="preserve"> but still generates hydroxide that </w:t>
      </w:r>
      <w:r w:rsidR="004B4462" w:rsidRPr="00E85E3D">
        <w:rPr>
          <w:rFonts w:ascii="Times New Roman" w:hAnsi="Times New Roman" w:cs="Times New Roman"/>
          <w:sz w:val="24"/>
          <w:szCs w:val="24"/>
        </w:rPr>
        <w:t xml:space="preserve">can drive </w:t>
      </w:r>
      <w:r w:rsidRPr="00E85E3D">
        <w:rPr>
          <w:rFonts w:ascii="Times New Roman" w:hAnsi="Times New Roman" w:cs="Times New Roman"/>
          <w:sz w:val="24"/>
          <w:szCs w:val="24"/>
        </w:rPr>
        <w:t>CO</w:t>
      </w:r>
      <w:r w:rsidRPr="00E85E3D">
        <w:rPr>
          <w:rFonts w:ascii="Times New Roman" w:hAnsi="Times New Roman" w:cs="Times New Roman"/>
          <w:sz w:val="24"/>
          <w:szCs w:val="24"/>
          <w:vertAlign w:val="subscript"/>
        </w:rPr>
        <w:t>2</w:t>
      </w:r>
      <w:r w:rsidRPr="00E85E3D">
        <w:rPr>
          <w:rFonts w:ascii="Times New Roman" w:hAnsi="Times New Roman" w:cs="Times New Roman"/>
          <w:sz w:val="24"/>
          <w:szCs w:val="24"/>
        </w:rPr>
        <w:t xml:space="preserve"> crossover. </w:t>
      </w:r>
      <w:r w:rsidR="00780D88" w:rsidRPr="00E85E3D">
        <w:rPr>
          <w:rFonts w:ascii="Times New Roman" w:hAnsi="Times New Roman" w:cs="Times New Roman"/>
          <w:sz w:val="24"/>
          <w:szCs w:val="24"/>
        </w:rPr>
        <w:t xml:space="preserve">Accordingly, we </w:t>
      </w:r>
      <w:r w:rsidR="004B4462" w:rsidRPr="00E85E3D">
        <w:rPr>
          <w:rFonts w:ascii="Times New Roman" w:hAnsi="Times New Roman" w:cs="Times New Roman"/>
          <w:sz w:val="24"/>
          <w:szCs w:val="24"/>
        </w:rPr>
        <w:t>identify</w:t>
      </w:r>
      <w:r w:rsidR="00780D88" w:rsidRPr="00E85E3D">
        <w:rPr>
          <w:rFonts w:ascii="Times New Roman" w:hAnsi="Times New Roman" w:cs="Times New Roman"/>
          <w:sz w:val="24"/>
          <w:szCs w:val="24"/>
        </w:rPr>
        <w:t xml:space="preserve"> the </w:t>
      </w:r>
      <w:r w:rsidR="00C75496" w:rsidRPr="00E85E3D">
        <w:rPr>
          <w:rFonts w:ascii="Times New Roman" w:hAnsi="Times New Roman" w:cs="Times New Roman"/>
          <w:sz w:val="24"/>
          <w:szCs w:val="24"/>
        </w:rPr>
        <w:t>CO</w:t>
      </w:r>
      <w:r w:rsidR="00C75496" w:rsidRPr="00E85E3D">
        <w:rPr>
          <w:rFonts w:ascii="Times New Roman" w:hAnsi="Times New Roman" w:cs="Times New Roman"/>
          <w:sz w:val="24"/>
          <w:szCs w:val="24"/>
          <w:vertAlign w:val="subscript"/>
        </w:rPr>
        <w:t>2</w:t>
      </w:r>
      <w:r w:rsidR="00C75496" w:rsidRPr="00E85E3D">
        <w:rPr>
          <w:rFonts w:ascii="Times New Roman" w:hAnsi="Times New Roman" w:cs="Times New Roman"/>
          <w:sz w:val="24"/>
          <w:szCs w:val="24"/>
        </w:rPr>
        <w:t>RR</w:t>
      </w:r>
      <w:r w:rsidR="00780D88" w:rsidRPr="00E85E3D">
        <w:rPr>
          <w:rFonts w:ascii="Times New Roman" w:hAnsi="Times New Roman" w:cs="Times New Roman"/>
          <w:sz w:val="24"/>
          <w:szCs w:val="24"/>
        </w:rPr>
        <w:t xml:space="preserve"> performance of the electrolyzers </w:t>
      </w:r>
      <w:r w:rsidR="00F0502E" w:rsidRPr="00E85E3D">
        <w:rPr>
          <w:rFonts w:ascii="Times New Roman" w:hAnsi="Times New Roman" w:cs="Times New Roman"/>
          <w:sz w:val="24"/>
          <w:szCs w:val="24"/>
        </w:rPr>
        <w:t xml:space="preserve">operating in neutral electrolyte </w:t>
      </w:r>
      <w:r w:rsidR="00780D88" w:rsidRPr="00E85E3D">
        <w:rPr>
          <w:rFonts w:ascii="Times New Roman" w:hAnsi="Times New Roman" w:cs="Times New Roman"/>
          <w:sz w:val="24"/>
          <w:szCs w:val="24"/>
        </w:rPr>
        <w:t xml:space="preserve">that show state-of-art SPU in the references and summarized them in </w:t>
      </w:r>
      <w:r w:rsidR="005D5F31">
        <w:rPr>
          <w:rFonts w:ascii="Times New Roman" w:hAnsi="Times New Roman" w:cs="Times New Roman"/>
          <w:sz w:val="24"/>
          <w:szCs w:val="24"/>
        </w:rPr>
        <w:t xml:space="preserve">Supplementary </w:t>
      </w:r>
      <w:r w:rsidR="00780D88" w:rsidRPr="00E85E3D">
        <w:rPr>
          <w:rFonts w:ascii="Times New Roman" w:hAnsi="Times New Roman" w:cs="Times New Roman"/>
          <w:sz w:val="24"/>
          <w:szCs w:val="24"/>
        </w:rPr>
        <w:t xml:space="preserve">Table 1. None of the reported electrolyzers </w:t>
      </w:r>
      <w:r w:rsidR="004500C5" w:rsidRPr="00E85E3D">
        <w:rPr>
          <w:rFonts w:ascii="Times New Roman" w:hAnsi="Times New Roman" w:cs="Times New Roman"/>
          <w:sz w:val="24"/>
          <w:szCs w:val="24"/>
        </w:rPr>
        <w:t xml:space="preserve">operating in neutral electrolyte </w:t>
      </w:r>
      <w:r w:rsidR="00780D88" w:rsidRPr="00E85E3D">
        <w:rPr>
          <w:rFonts w:ascii="Times New Roman" w:hAnsi="Times New Roman" w:cs="Times New Roman"/>
          <w:sz w:val="24"/>
          <w:szCs w:val="24"/>
        </w:rPr>
        <w:t xml:space="preserve">can achieve an SPU exceeding </w:t>
      </w:r>
      <w:r w:rsidR="000202AF" w:rsidRPr="00E85E3D">
        <w:rPr>
          <w:rFonts w:ascii="Times New Roman" w:hAnsi="Times New Roman" w:cs="Times New Roman"/>
          <w:sz w:val="24"/>
          <w:szCs w:val="24"/>
        </w:rPr>
        <w:t>30%</w:t>
      </w:r>
      <w:r w:rsidR="00E960E8" w:rsidRPr="00E85E3D">
        <w:rPr>
          <w:rFonts w:ascii="Times New Roman" w:hAnsi="Times New Roman" w:cs="Times New Roman"/>
          <w:sz w:val="24"/>
          <w:szCs w:val="24"/>
        </w:rPr>
        <w:t xml:space="preserve"> for</w:t>
      </w:r>
      <w:r w:rsidR="000202AF" w:rsidRPr="00E85E3D">
        <w:rPr>
          <w:rFonts w:ascii="Times New Roman" w:hAnsi="Times New Roman" w:cs="Times New Roman"/>
          <w:sz w:val="24"/>
          <w:szCs w:val="24"/>
        </w:rPr>
        <w:t xml:space="preserve"> </w:t>
      </w:r>
      <w:r w:rsidR="009C45FC" w:rsidRPr="00E85E3D">
        <w:rPr>
          <w:rFonts w:ascii="Times New Roman" w:hAnsi="Times New Roman" w:cs="Times New Roman"/>
          <w:sz w:val="24"/>
          <w:szCs w:val="24"/>
        </w:rPr>
        <w:t>C</w:t>
      </w:r>
      <w:r w:rsidR="009C45FC" w:rsidRPr="00E85E3D">
        <w:rPr>
          <w:rFonts w:ascii="Times New Roman" w:hAnsi="Times New Roman" w:cs="Times New Roman"/>
          <w:sz w:val="24"/>
          <w:szCs w:val="24"/>
          <w:vertAlign w:val="subscript"/>
        </w:rPr>
        <w:t>2+</w:t>
      </w:r>
      <w:r w:rsidR="009C45FC" w:rsidRPr="00E85E3D">
        <w:rPr>
          <w:rFonts w:ascii="Times New Roman" w:hAnsi="Times New Roman" w:cs="Times New Roman"/>
          <w:sz w:val="24"/>
          <w:szCs w:val="24"/>
        </w:rPr>
        <w:t xml:space="preserve"> production and 44%</w:t>
      </w:r>
      <w:r w:rsidR="00E960E8" w:rsidRPr="00E85E3D">
        <w:rPr>
          <w:rFonts w:ascii="Times New Roman" w:hAnsi="Times New Roman" w:cs="Times New Roman"/>
          <w:sz w:val="24"/>
          <w:szCs w:val="24"/>
        </w:rPr>
        <w:t xml:space="preserve"> for</w:t>
      </w:r>
      <w:r w:rsidR="000202AF" w:rsidRPr="00E85E3D">
        <w:rPr>
          <w:rFonts w:ascii="Times New Roman" w:hAnsi="Times New Roman" w:cs="Times New Roman"/>
          <w:sz w:val="24"/>
          <w:szCs w:val="24"/>
        </w:rPr>
        <w:t xml:space="preserve"> CO production.</w:t>
      </w:r>
      <w:r w:rsidR="00B152DD">
        <w:rPr>
          <w:rFonts w:ascii="Times New Roman" w:hAnsi="Times New Roman" w:cs="Times New Roman"/>
          <w:sz w:val="24"/>
          <w:szCs w:val="24"/>
        </w:rPr>
        <w:t xml:space="preserve"> The theoretical SPU limitations </w:t>
      </w:r>
      <w:r w:rsidR="00187C4C">
        <w:rPr>
          <w:rFonts w:ascii="Times New Roman" w:hAnsi="Times New Roman" w:cs="Times New Roman"/>
          <w:sz w:val="24"/>
          <w:szCs w:val="24"/>
        </w:rPr>
        <w:t xml:space="preserve">(100% selectivity to a specific product) </w:t>
      </w:r>
      <w:r w:rsidR="00B152DD">
        <w:rPr>
          <w:rFonts w:ascii="Times New Roman" w:hAnsi="Times New Roman" w:cs="Times New Roman"/>
          <w:sz w:val="24"/>
          <w:szCs w:val="24"/>
        </w:rPr>
        <w:t>are listed below.</w:t>
      </w:r>
    </w:p>
    <w:tbl>
      <w:tblPr>
        <w:tblStyle w:val="TableGrid"/>
        <w:tblW w:w="0" w:type="auto"/>
        <w:tblLook w:val="04A0" w:firstRow="1" w:lastRow="0" w:firstColumn="1" w:lastColumn="0" w:noHBand="0" w:noVBand="1"/>
      </w:tblPr>
      <w:tblGrid>
        <w:gridCol w:w="1124"/>
        <w:gridCol w:w="823"/>
        <w:gridCol w:w="1096"/>
        <w:gridCol w:w="989"/>
        <w:gridCol w:w="873"/>
        <w:gridCol w:w="1110"/>
        <w:gridCol w:w="801"/>
        <w:gridCol w:w="1110"/>
      </w:tblGrid>
      <w:tr w:rsidR="00CF464A" w14:paraId="0E43B91A" w14:textId="77777777" w:rsidTr="00054942">
        <w:tc>
          <w:tcPr>
            <w:tcW w:w="1124" w:type="dxa"/>
            <w:vAlign w:val="center"/>
          </w:tcPr>
          <w:p w14:paraId="0391315D" w14:textId="005C1B17" w:rsidR="00CF464A" w:rsidRDefault="00FD7DAD" w:rsidP="00054942">
            <w:pPr>
              <w:jc w:val="center"/>
              <w:rPr>
                <w:rFonts w:ascii="Times New Roman" w:hAnsi="Times New Roman" w:cs="Times New Roman"/>
                <w:b/>
                <w:bCs/>
                <w:sz w:val="24"/>
                <w:szCs w:val="24"/>
              </w:rPr>
            </w:pPr>
            <w:r>
              <w:rPr>
                <w:rFonts w:ascii="Times New Roman" w:hAnsi="Times New Roman" w:cs="Times New Roman"/>
                <w:b/>
                <w:bCs/>
                <w:sz w:val="24"/>
                <w:szCs w:val="24"/>
              </w:rPr>
              <w:t>Product</w:t>
            </w:r>
          </w:p>
        </w:tc>
        <w:tc>
          <w:tcPr>
            <w:tcW w:w="823" w:type="dxa"/>
            <w:vAlign w:val="center"/>
          </w:tcPr>
          <w:p w14:paraId="741F5EE0" w14:textId="3F2AE8E7" w:rsidR="00CF464A" w:rsidRDefault="00CF464A" w:rsidP="00054942">
            <w:pPr>
              <w:jc w:val="center"/>
              <w:rPr>
                <w:rFonts w:ascii="Times New Roman" w:hAnsi="Times New Roman" w:cs="Times New Roman"/>
                <w:b/>
                <w:bCs/>
                <w:sz w:val="24"/>
                <w:szCs w:val="24"/>
              </w:rPr>
            </w:pPr>
            <w:r>
              <w:rPr>
                <w:rFonts w:ascii="Times New Roman" w:hAnsi="Times New Roman" w:cs="Times New Roman"/>
                <w:b/>
                <w:bCs/>
                <w:sz w:val="24"/>
                <w:szCs w:val="24"/>
              </w:rPr>
              <w:t>CO</w:t>
            </w:r>
          </w:p>
        </w:tc>
        <w:tc>
          <w:tcPr>
            <w:tcW w:w="1096" w:type="dxa"/>
            <w:vAlign w:val="center"/>
          </w:tcPr>
          <w:p w14:paraId="7287AA03" w14:textId="01DCB2EE" w:rsidR="00CF464A" w:rsidRDefault="00CF464A" w:rsidP="00054942">
            <w:pPr>
              <w:jc w:val="center"/>
              <w:rPr>
                <w:rFonts w:ascii="Times New Roman" w:hAnsi="Times New Roman" w:cs="Times New Roman"/>
                <w:b/>
                <w:bCs/>
                <w:sz w:val="24"/>
                <w:szCs w:val="24"/>
              </w:rPr>
            </w:pPr>
            <w:r>
              <w:rPr>
                <w:rFonts w:ascii="Times New Roman" w:hAnsi="Times New Roman" w:cs="Times New Roman"/>
                <w:b/>
                <w:bCs/>
                <w:sz w:val="24"/>
                <w:szCs w:val="24"/>
              </w:rPr>
              <w:t>Formate</w:t>
            </w:r>
          </w:p>
        </w:tc>
        <w:tc>
          <w:tcPr>
            <w:tcW w:w="989" w:type="dxa"/>
            <w:vAlign w:val="center"/>
          </w:tcPr>
          <w:p w14:paraId="599231FE" w14:textId="12ED81FB" w:rsidR="00CF464A" w:rsidRDefault="00CF464A" w:rsidP="00054942">
            <w:pPr>
              <w:jc w:val="center"/>
              <w:rPr>
                <w:rFonts w:ascii="Times New Roman" w:hAnsi="Times New Roman" w:cs="Times New Roman"/>
                <w:b/>
                <w:bCs/>
                <w:sz w:val="24"/>
                <w:szCs w:val="24"/>
              </w:rPr>
            </w:pPr>
            <w:r>
              <w:rPr>
                <w:rFonts w:ascii="Times New Roman" w:hAnsi="Times New Roman" w:cs="Times New Roman"/>
                <w:b/>
                <w:bCs/>
                <w:sz w:val="24"/>
                <w:szCs w:val="24"/>
              </w:rPr>
              <w:t>Acetate</w:t>
            </w:r>
          </w:p>
        </w:tc>
        <w:tc>
          <w:tcPr>
            <w:tcW w:w="873" w:type="dxa"/>
            <w:vAlign w:val="center"/>
          </w:tcPr>
          <w:p w14:paraId="5894D5AF" w14:textId="2F1375D1" w:rsidR="00CF464A" w:rsidRDefault="00CF464A" w:rsidP="00054942">
            <w:pPr>
              <w:jc w:val="center"/>
              <w:rPr>
                <w:rFonts w:ascii="Times New Roman" w:hAnsi="Times New Roman" w:cs="Times New Roman"/>
                <w:b/>
                <w:bCs/>
                <w:sz w:val="24"/>
                <w:szCs w:val="24"/>
              </w:rPr>
            </w:pPr>
            <w:r>
              <w:rPr>
                <w:rFonts w:ascii="Times New Roman" w:hAnsi="Times New Roman" w:cs="Times New Roman"/>
                <w:b/>
                <w:bCs/>
                <w:sz w:val="24"/>
                <w:szCs w:val="24"/>
              </w:rPr>
              <w:t>C</w:t>
            </w:r>
            <w:r w:rsidRPr="003D3AD2">
              <w:rPr>
                <w:rFonts w:ascii="Times New Roman" w:hAnsi="Times New Roman" w:cs="Times New Roman"/>
                <w:b/>
                <w:bCs/>
                <w:sz w:val="24"/>
                <w:szCs w:val="24"/>
                <w:vertAlign w:val="subscript"/>
              </w:rPr>
              <w:t>2</w:t>
            </w:r>
            <w:r>
              <w:rPr>
                <w:rFonts w:ascii="Times New Roman" w:hAnsi="Times New Roman" w:cs="Times New Roman"/>
                <w:b/>
                <w:bCs/>
                <w:sz w:val="24"/>
                <w:szCs w:val="24"/>
              </w:rPr>
              <w:t>H</w:t>
            </w:r>
            <w:r w:rsidRPr="003D3AD2">
              <w:rPr>
                <w:rFonts w:ascii="Times New Roman" w:hAnsi="Times New Roman" w:cs="Times New Roman"/>
                <w:b/>
                <w:bCs/>
                <w:sz w:val="24"/>
                <w:szCs w:val="24"/>
                <w:vertAlign w:val="subscript"/>
              </w:rPr>
              <w:t>4</w:t>
            </w:r>
          </w:p>
        </w:tc>
        <w:tc>
          <w:tcPr>
            <w:tcW w:w="1110" w:type="dxa"/>
            <w:vAlign w:val="center"/>
          </w:tcPr>
          <w:p w14:paraId="60D67071" w14:textId="55FF7D44" w:rsidR="00CF464A" w:rsidRDefault="00CF464A" w:rsidP="00054942">
            <w:pPr>
              <w:jc w:val="center"/>
              <w:rPr>
                <w:rFonts w:ascii="Times New Roman" w:hAnsi="Times New Roman" w:cs="Times New Roman"/>
                <w:b/>
                <w:bCs/>
                <w:sz w:val="24"/>
                <w:szCs w:val="24"/>
              </w:rPr>
            </w:pPr>
            <w:r>
              <w:rPr>
                <w:rFonts w:ascii="Times New Roman" w:hAnsi="Times New Roman" w:cs="Times New Roman"/>
                <w:b/>
                <w:bCs/>
                <w:sz w:val="24"/>
                <w:szCs w:val="24"/>
              </w:rPr>
              <w:t>C</w:t>
            </w:r>
            <w:r w:rsidRPr="00CF464A">
              <w:rPr>
                <w:rFonts w:ascii="Times New Roman" w:hAnsi="Times New Roman" w:cs="Times New Roman"/>
                <w:b/>
                <w:bCs/>
                <w:sz w:val="24"/>
                <w:szCs w:val="24"/>
                <w:vertAlign w:val="subscript"/>
              </w:rPr>
              <w:t>2</w:t>
            </w:r>
            <w:r>
              <w:rPr>
                <w:rFonts w:ascii="Times New Roman" w:hAnsi="Times New Roman" w:cs="Times New Roman"/>
                <w:b/>
                <w:bCs/>
                <w:sz w:val="24"/>
                <w:szCs w:val="24"/>
              </w:rPr>
              <w:t>H</w:t>
            </w:r>
            <w:r w:rsidRPr="00CF464A">
              <w:rPr>
                <w:rFonts w:ascii="Times New Roman" w:hAnsi="Times New Roman" w:cs="Times New Roman"/>
                <w:b/>
                <w:bCs/>
                <w:sz w:val="24"/>
                <w:szCs w:val="24"/>
                <w:vertAlign w:val="subscript"/>
              </w:rPr>
              <w:t>5</w:t>
            </w:r>
            <w:r>
              <w:rPr>
                <w:rFonts w:ascii="Times New Roman" w:hAnsi="Times New Roman" w:cs="Times New Roman"/>
                <w:b/>
                <w:bCs/>
                <w:sz w:val="24"/>
                <w:szCs w:val="24"/>
              </w:rPr>
              <w:t>OH</w:t>
            </w:r>
          </w:p>
        </w:tc>
        <w:tc>
          <w:tcPr>
            <w:tcW w:w="801" w:type="dxa"/>
            <w:vAlign w:val="center"/>
          </w:tcPr>
          <w:p w14:paraId="1DA47F09" w14:textId="37318F3E" w:rsidR="00CF464A" w:rsidRDefault="00CF464A" w:rsidP="00054942">
            <w:pPr>
              <w:jc w:val="center"/>
              <w:rPr>
                <w:rFonts w:ascii="Times New Roman" w:hAnsi="Times New Roman" w:cs="Times New Roman"/>
                <w:b/>
                <w:bCs/>
                <w:sz w:val="24"/>
                <w:szCs w:val="24"/>
              </w:rPr>
            </w:pPr>
            <w:r>
              <w:rPr>
                <w:rFonts w:ascii="Times New Roman" w:hAnsi="Times New Roman" w:cs="Times New Roman"/>
                <w:b/>
                <w:bCs/>
                <w:sz w:val="24"/>
                <w:szCs w:val="24"/>
              </w:rPr>
              <w:t>CH</w:t>
            </w:r>
            <w:r w:rsidRPr="003D3AD2">
              <w:rPr>
                <w:rFonts w:ascii="Times New Roman" w:hAnsi="Times New Roman" w:cs="Times New Roman"/>
                <w:b/>
                <w:bCs/>
                <w:sz w:val="24"/>
                <w:szCs w:val="24"/>
                <w:vertAlign w:val="subscript"/>
              </w:rPr>
              <w:t>4</w:t>
            </w:r>
          </w:p>
        </w:tc>
        <w:tc>
          <w:tcPr>
            <w:tcW w:w="1110" w:type="dxa"/>
            <w:vAlign w:val="center"/>
          </w:tcPr>
          <w:p w14:paraId="4AAA49E5" w14:textId="18428B5E" w:rsidR="00CF464A" w:rsidRDefault="00CF464A" w:rsidP="00054942">
            <w:pPr>
              <w:jc w:val="center"/>
              <w:rPr>
                <w:rFonts w:ascii="Times New Roman" w:hAnsi="Times New Roman" w:cs="Times New Roman"/>
                <w:b/>
                <w:bCs/>
                <w:sz w:val="24"/>
                <w:szCs w:val="24"/>
              </w:rPr>
            </w:pPr>
            <w:r>
              <w:rPr>
                <w:rFonts w:ascii="Times New Roman" w:hAnsi="Times New Roman" w:cs="Times New Roman"/>
                <w:b/>
                <w:bCs/>
                <w:sz w:val="24"/>
                <w:szCs w:val="24"/>
              </w:rPr>
              <w:t>C</w:t>
            </w:r>
            <w:r w:rsidRPr="001208E3">
              <w:rPr>
                <w:rFonts w:ascii="Times New Roman" w:hAnsi="Times New Roman" w:cs="Times New Roman"/>
                <w:b/>
                <w:bCs/>
                <w:sz w:val="24"/>
                <w:szCs w:val="24"/>
                <w:vertAlign w:val="subscript"/>
              </w:rPr>
              <w:t>3</w:t>
            </w:r>
            <w:r>
              <w:rPr>
                <w:rFonts w:ascii="Times New Roman" w:hAnsi="Times New Roman" w:cs="Times New Roman"/>
                <w:b/>
                <w:bCs/>
                <w:sz w:val="24"/>
                <w:szCs w:val="24"/>
              </w:rPr>
              <w:t>H</w:t>
            </w:r>
            <w:r w:rsidRPr="001208E3">
              <w:rPr>
                <w:rFonts w:ascii="Times New Roman" w:hAnsi="Times New Roman" w:cs="Times New Roman"/>
                <w:b/>
                <w:bCs/>
                <w:sz w:val="24"/>
                <w:szCs w:val="24"/>
                <w:vertAlign w:val="subscript"/>
              </w:rPr>
              <w:t>7</w:t>
            </w:r>
            <w:r>
              <w:rPr>
                <w:rFonts w:ascii="Times New Roman" w:hAnsi="Times New Roman" w:cs="Times New Roman"/>
                <w:b/>
                <w:bCs/>
                <w:sz w:val="24"/>
                <w:szCs w:val="24"/>
              </w:rPr>
              <w:t>OH</w:t>
            </w:r>
          </w:p>
        </w:tc>
      </w:tr>
      <w:tr w:rsidR="00CF464A" w14:paraId="04BD8940" w14:textId="77777777" w:rsidTr="00054942">
        <w:tc>
          <w:tcPr>
            <w:tcW w:w="1124" w:type="dxa"/>
            <w:vAlign w:val="center"/>
          </w:tcPr>
          <w:p w14:paraId="5720D56A" w14:textId="7445EDA0" w:rsidR="00CF464A" w:rsidRDefault="00CF464A" w:rsidP="00054942">
            <w:pPr>
              <w:jc w:val="center"/>
              <w:rPr>
                <w:rFonts w:ascii="Times New Roman" w:hAnsi="Times New Roman" w:cs="Times New Roman"/>
                <w:b/>
                <w:bCs/>
                <w:sz w:val="24"/>
                <w:szCs w:val="24"/>
              </w:rPr>
            </w:pPr>
            <w:r>
              <w:rPr>
                <w:rFonts w:ascii="Times New Roman" w:hAnsi="Times New Roman" w:cs="Times New Roman"/>
                <w:b/>
                <w:bCs/>
                <w:sz w:val="24"/>
                <w:szCs w:val="24"/>
              </w:rPr>
              <w:t>n</w:t>
            </w:r>
          </w:p>
        </w:tc>
        <w:tc>
          <w:tcPr>
            <w:tcW w:w="823" w:type="dxa"/>
            <w:vAlign w:val="center"/>
          </w:tcPr>
          <w:p w14:paraId="21A81B7A" w14:textId="6B711C29" w:rsidR="00CF464A" w:rsidRPr="00156336" w:rsidRDefault="00CF464A" w:rsidP="00054942">
            <w:pPr>
              <w:jc w:val="center"/>
              <w:rPr>
                <w:rFonts w:ascii="Times New Roman" w:hAnsi="Times New Roman" w:cs="Times New Roman"/>
                <w:sz w:val="24"/>
                <w:szCs w:val="24"/>
              </w:rPr>
            </w:pPr>
            <w:r w:rsidRPr="00156336">
              <w:rPr>
                <w:rFonts w:ascii="Times New Roman" w:hAnsi="Times New Roman" w:cs="Times New Roman"/>
                <w:sz w:val="24"/>
                <w:szCs w:val="24"/>
              </w:rPr>
              <w:t>2</w:t>
            </w:r>
          </w:p>
        </w:tc>
        <w:tc>
          <w:tcPr>
            <w:tcW w:w="1096" w:type="dxa"/>
            <w:vAlign w:val="center"/>
          </w:tcPr>
          <w:p w14:paraId="4932D43D" w14:textId="6D523466" w:rsidR="00CF464A" w:rsidRPr="00156336" w:rsidRDefault="00CF464A" w:rsidP="00054942">
            <w:pPr>
              <w:jc w:val="center"/>
              <w:rPr>
                <w:rFonts w:ascii="Times New Roman" w:hAnsi="Times New Roman" w:cs="Times New Roman"/>
                <w:sz w:val="24"/>
                <w:szCs w:val="24"/>
              </w:rPr>
            </w:pPr>
            <w:r w:rsidRPr="00156336">
              <w:rPr>
                <w:rFonts w:ascii="Times New Roman" w:hAnsi="Times New Roman" w:cs="Times New Roman"/>
                <w:sz w:val="24"/>
                <w:szCs w:val="24"/>
              </w:rPr>
              <w:t>2</w:t>
            </w:r>
          </w:p>
        </w:tc>
        <w:tc>
          <w:tcPr>
            <w:tcW w:w="989" w:type="dxa"/>
            <w:vAlign w:val="center"/>
          </w:tcPr>
          <w:p w14:paraId="3E04F57D" w14:textId="3CA03CDF" w:rsidR="00CF464A" w:rsidRPr="00156336" w:rsidRDefault="00CF464A" w:rsidP="00054942">
            <w:pPr>
              <w:jc w:val="center"/>
              <w:rPr>
                <w:rFonts w:ascii="Times New Roman" w:hAnsi="Times New Roman" w:cs="Times New Roman"/>
                <w:sz w:val="24"/>
                <w:szCs w:val="24"/>
              </w:rPr>
            </w:pPr>
            <w:r w:rsidRPr="00156336">
              <w:rPr>
                <w:rFonts w:ascii="Times New Roman" w:hAnsi="Times New Roman" w:cs="Times New Roman"/>
                <w:sz w:val="24"/>
                <w:szCs w:val="24"/>
              </w:rPr>
              <w:t>4</w:t>
            </w:r>
          </w:p>
        </w:tc>
        <w:tc>
          <w:tcPr>
            <w:tcW w:w="873" w:type="dxa"/>
            <w:vAlign w:val="center"/>
          </w:tcPr>
          <w:p w14:paraId="5F4A8145" w14:textId="74A44273" w:rsidR="00CF464A" w:rsidRPr="00156336" w:rsidRDefault="00CF464A" w:rsidP="00054942">
            <w:pPr>
              <w:jc w:val="center"/>
              <w:rPr>
                <w:rFonts w:ascii="Times New Roman" w:hAnsi="Times New Roman" w:cs="Times New Roman"/>
                <w:sz w:val="24"/>
                <w:szCs w:val="24"/>
              </w:rPr>
            </w:pPr>
            <w:r w:rsidRPr="00156336">
              <w:rPr>
                <w:rFonts w:ascii="Times New Roman" w:hAnsi="Times New Roman" w:cs="Times New Roman"/>
                <w:sz w:val="24"/>
                <w:szCs w:val="24"/>
              </w:rPr>
              <w:t>6</w:t>
            </w:r>
          </w:p>
        </w:tc>
        <w:tc>
          <w:tcPr>
            <w:tcW w:w="1110" w:type="dxa"/>
            <w:vAlign w:val="center"/>
          </w:tcPr>
          <w:p w14:paraId="484E0B22" w14:textId="5338896F" w:rsidR="00CF464A" w:rsidRPr="00156336" w:rsidRDefault="00CF464A" w:rsidP="00054942">
            <w:pPr>
              <w:jc w:val="center"/>
              <w:rPr>
                <w:rFonts w:ascii="Times New Roman" w:hAnsi="Times New Roman" w:cs="Times New Roman"/>
                <w:sz w:val="24"/>
                <w:szCs w:val="24"/>
              </w:rPr>
            </w:pPr>
            <w:r>
              <w:rPr>
                <w:rFonts w:ascii="Times New Roman" w:hAnsi="Times New Roman" w:cs="Times New Roman"/>
                <w:sz w:val="24"/>
                <w:szCs w:val="24"/>
              </w:rPr>
              <w:t>6</w:t>
            </w:r>
          </w:p>
        </w:tc>
        <w:tc>
          <w:tcPr>
            <w:tcW w:w="801" w:type="dxa"/>
            <w:vAlign w:val="center"/>
          </w:tcPr>
          <w:p w14:paraId="750DF3BC" w14:textId="035101F0" w:rsidR="00CF464A" w:rsidRPr="00156336" w:rsidRDefault="00CF464A" w:rsidP="00054942">
            <w:pPr>
              <w:jc w:val="center"/>
              <w:rPr>
                <w:rFonts w:ascii="Times New Roman" w:hAnsi="Times New Roman" w:cs="Times New Roman"/>
                <w:sz w:val="24"/>
                <w:szCs w:val="24"/>
              </w:rPr>
            </w:pPr>
            <w:r w:rsidRPr="00156336">
              <w:rPr>
                <w:rFonts w:ascii="Times New Roman" w:hAnsi="Times New Roman" w:cs="Times New Roman"/>
                <w:sz w:val="24"/>
                <w:szCs w:val="24"/>
              </w:rPr>
              <w:t>8</w:t>
            </w:r>
          </w:p>
        </w:tc>
        <w:tc>
          <w:tcPr>
            <w:tcW w:w="1110" w:type="dxa"/>
            <w:vAlign w:val="center"/>
          </w:tcPr>
          <w:p w14:paraId="334C7214" w14:textId="3E9ECF8D" w:rsidR="00CF464A" w:rsidRPr="00156336" w:rsidRDefault="00CF464A" w:rsidP="00054942">
            <w:pPr>
              <w:jc w:val="center"/>
              <w:rPr>
                <w:rFonts w:ascii="Times New Roman" w:hAnsi="Times New Roman" w:cs="Times New Roman"/>
                <w:sz w:val="24"/>
                <w:szCs w:val="24"/>
              </w:rPr>
            </w:pPr>
            <w:r>
              <w:rPr>
                <w:rFonts w:ascii="Times New Roman" w:hAnsi="Times New Roman" w:cs="Times New Roman"/>
                <w:sz w:val="24"/>
                <w:szCs w:val="24"/>
              </w:rPr>
              <w:t>6</w:t>
            </w:r>
          </w:p>
        </w:tc>
      </w:tr>
      <w:tr w:rsidR="00CF464A" w14:paraId="4639631D" w14:textId="77777777" w:rsidTr="00054942">
        <w:tc>
          <w:tcPr>
            <w:tcW w:w="1124" w:type="dxa"/>
            <w:vAlign w:val="center"/>
          </w:tcPr>
          <w:p w14:paraId="76471E2F" w14:textId="311CFF81" w:rsidR="00CF464A" w:rsidRDefault="00CF464A" w:rsidP="00054942">
            <w:pPr>
              <w:jc w:val="center"/>
              <w:rPr>
                <w:rFonts w:ascii="Times New Roman" w:hAnsi="Times New Roman" w:cs="Times New Roman"/>
                <w:b/>
                <w:bCs/>
                <w:sz w:val="24"/>
                <w:szCs w:val="24"/>
              </w:rPr>
            </w:pPr>
            <w:r>
              <w:rPr>
                <w:rFonts w:ascii="Times New Roman" w:hAnsi="Times New Roman" w:cs="Times New Roman"/>
                <w:b/>
                <w:bCs/>
                <w:sz w:val="24"/>
                <w:szCs w:val="24"/>
              </w:rPr>
              <w:t>k</w:t>
            </w:r>
          </w:p>
        </w:tc>
        <w:tc>
          <w:tcPr>
            <w:tcW w:w="823" w:type="dxa"/>
            <w:vAlign w:val="center"/>
          </w:tcPr>
          <w:p w14:paraId="215DEB49" w14:textId="3F6D2471" w:rsidR="00CF464A" w:rsidRPr="00156336" w:rsidRDefault="00CF464A" w:rsidP="00054942">
            <w:pPr>
              <w:jc w:val="center"/>
              <w:rPr>
                <w:rFonts w:ascii="Times New Roman" w:hAnsi="Times New Roman" w:cs="Times New Roman"/>
                <w:sz w:val="24"/>
                <w:szCs w:val="24"/>
              </w:rPr>
            </w:pPr>
            <w:r>
              <w:rPr>
                <w:rFonts w:ascii="Times New Roman" w:hAnsi="Times New Roman" w:cs="Times New Roman"/>
                <w:sz w:val="24"/>
                <w:szCs w:val="24"/>
              </w:rPr>
              <w:t>1</w:t>
            </w:r>
          </w:p>
        </w:tc>
        <w:tc>
          <w:tcPr>
            <w:tcW w:w="1096" w:type="dxa"/>
            <w:vAlign w:val="center"/>
          </w:tcPr>
          <w:p w14:paraId="2B180CE3" w14:textId="21238A1B" w:rsidR="00CF464A" w:rsidRPr="00156336" w:rsidRDefault="00CF464A" w:rsidP="00054942">
            <w:pPr>
              <w:jc w:val="center"/>
              <w:rPr>
                <w:rFonts w:ascii="Times New Roman" w:hAnsi="Times New Roman" w:cs="Times New Roman"/>
                <w:sz w:val="24"/>
                <w:szCs w:val="24"/>
              </w:rPr>
            </w:pPr>
            <w:r>
              <w:rPr>
                <w:rFonts w:ascii="Times New Roman" w:hAnsi="Times New Roman" w:cs="Times New Roman"/>
                <w:sz w:val="24"/>
                <w:szCs w:val="24"/>
              </w:rPr>
              <w:t>0.5</w:t>
            </w:r>
          </w:p>
        </w:tc>
        <w:tc>
          <w:tcPr>
            <w:tcW w:w="989" w:type="dxa"/>
            <w:vAlign w:val="center"/>
          </w:tcPr>
          <w:p w14:paraId="54B3313D" w14:textId="40F22624" w:rsidR="00CF464A" w:rsidRPr="00156336" w:rsidRDefault="00CF464A" w:rsidP="00054942">
            <w:pPr>
              <w:jc w:val="center"/>
              <w:rPr>
                <w:rFonts w:ascii="Times New Roman" w:hAnsi="Times New Roman" w:cs="Times New Roman"/>
                <w:sz w:val="24"/>
                <w:szCs w:val="24"/>
              </w:rPr>
            </w:pPr>
            <w:r>
              <w:rPr>
                <w:rFonts w:ascii="Times New Roman" w:hAnsi="Times New Roman" w:cs="Times New Roman"/>
                <w:sz w:val="24"/>
                <w:szCs w:val="24"/>
              </w:rPr>
              <w:t>0.875</w:t>
            </w:r>
          </w:p>
        </w:tc>
        <w:tc>
          <w:tcPr>
            <w:tcW w:w="873" w:type="dxa"/>
            <w:vAlign w:val="center"/>
          </w:tcPr>
          <w:p w14:paraId="7974C3A7" w14:textId="6B75F1B1" w:rsidR="00CF464A" w:rsidRPr="00156336" w:rsidRDefault="00CF464A" w:rsidP="00054942">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14:paraId="0F82DD59" w14:textId="387644C7" w:rsidR="00CF464A" w:rsidRPr="00156336" w:rsidRDefault="00CF464A" w:rsidP="00054942">
            <w:pPr>
              <w:jc w:val="center"/>
              <w:rPr>
                <w:rFonts w:ascii="Times New Roman" w:hAnsi="Times New Roman" w:cs="Times New Roman"/>
                <w:sz w:val="24"/>
                <w:szCs w:val="24"/>
              </w:rPr>
            </w:pPr>
            <w:r>
              <w:rPr>
                <w:rFonts w:ascii="Times New Roman" w:hAnsi="Times New Roman" w:cs="Times New Roman"/>
                <w:sz w:val="24"/>
                <w:szCs w:val="24"/>
              </w:rPr>
              <w:t>1</w:t>
            </w:r>
          </w:p>
        </w:tc>
        <w:tc>
          <w:tcPr>
            <w:tcW w:w="801" w:type="dxa"/>
            <w:vAlign w:val="center"/>
          </w:tcPr>
          <w:p w14:paraId="2A726697" w14:textId="5B78412A" w:rsidR="00CF464A" w:rsidRPr="00156336" w:rsidRDefault="00CF464A" w:rsidP="00054942">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vAlign w:val="center"/>
          </w:tcPr>
          <w:p w14:paraId="01D67EBC" w14:textId="6D8D3627" w:rsidR="00CF464A" w:rsidRPr="00156336" w:rsidRDefault="00CF464A" w:rsidP="00054942">
            <w:pPr>
              <w:jc w:val="center"/>
              <w:rPr>
                <w:rFonts w:ascii="Times New Roman" w:hAnsi="Times New Roman" w:cs="Times New Roman"/>
                <w:sz w:val="24"/>
                <w:szCs w:val="24"/>
              </w:rPr>
            </w:pPr>
            <w:r>
              <w:rPr>
                <w:rFonts w:ascii="Times New Roman" w:hAnsi="Times New Roman" w:cs="Times New Roman"/>
                <w:sz w:val="24"/>
                <w:szCs w:val="24"/>
              </w:rPr>
              <w:t>1</w:t>
            </w:r>
          </w:p>
        </w:tc>
      </w:tr>
      <w:tr w:rsidR="00CF464A" w14:paraId="0FBE782D" w14:textId="77777777" w:rsidTr="00054942">
        <w:tc>
          <w:tcPr>
            <w:tcW w:w="1124" w:type="dxa"/>
            <w:vAlign w:val="center"/>
          </w:tcPr>
          <w:p w14:paraId="229C1A3E" w14:textId="2CA0F0D0" w:rsidR="00CF464A" w:rsidRPr="00CF464A" w:rsidRDefault="00CF464A" w:rsidP="00054942">
            <w:pPr>
              <w:jc w:val="center"/>
              <w:rPr>
                <w:rFonts w:ascii="Times New Roman" w:hAnsi="Times New Roman" w:cs="Times New Roman"/>
                <w:b/>
                <w:bCs/>
                <w:sz w:val="24"/>
                <w:szCs w:val="24"/>
              </w:rPr>
            </w:pPr>
            <w:r>
              <w:rPr>
                <w:rFonts w:ascii="Times New Roman" w:hAnsi="Times New Roman" w:cs="Times New Roman"/>
                <w:b/>
                <w:bCs/>
                <w:sz w:val="24"/>
                <w:szCs w:val="24"/>
              </w:rPr>
              <w:t>SPU</w:t>
            </w:r>
            <w:r w:rsidRPr="00C92283">
              <w:rPr>
                <w:rFonts w:ascii="Times New Roman" w:hAnsi="Times New Roman" w:cs="Times New Roman"/>
                <w:b/>
                <w:bCs/>
                <w:sz w:val="24"/>
                <w:szCs w:val="24"/>
                <w:vertAlign w:val="subscript"/>
              </w:rPr>
              <w:t>limit</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rPr>
              <w:t>(%)</w:t>
            </w:r>
          </w:p>
        </w:tc>
        <w:tc>
          <w:tcPr>
            <w:tcW w:w="823" w:type="dxa"/>
            <w:vAlign w:val="center"/>
          </w:tcPr>
          <w:p w14:paraId="59A773AB" w14:textId="49DA17BD" w:rsidR="00CF464A" w:rsidRPr="00156336" w:rsidRDefault="00CF464A" w:rsidP="00054942">
            <w:pPr>
              <w:jc w:val="center"/>
              <w:rPr>
                <w:rFonts w:ascii="Times New Roman" w:hAnsi="Times New Roman" w:cs="Times New Roman"/>
                <w:sz w:val="24"/>
                <w:szCs w:val="24"/>
              </w:rPr>
            </w:pPr>
            <w:r>
              <w:rPr>
                <w:rFonts w:ascii="Times New Roman" w:hAnsi="Times New Roman" w:cs="Times New Roman"/>
                <w:sz w:val="24"/>
                <w:szCs w:val="24"/>
              </w:rPr>
              <w:t>50</w:t>
            </w:r>
          </w:p>
        </w:tc>
        <w:tc>
          <w:tcPr>
            <w:tcW w:w="1096" w:type="dxa"/>
            <w:vAlign w:val="center"/>
          </w:tcPr>
          <w:p w14:paraId="080D5B57" w14:textId="50576983" w:rsidR="00CF464A" w:rsidRPr="00156336" w:rsidRDefault="00E928D9" w:rsidP="00054942">
            <w:pPr>
              <w:jc w:val="center"/>
              <w:rPr>
                <w:rFonts w:ascii="Times New Roman" w:hAnsi="Times New Roman" w:cs="Times New Roman"/>
                <w:sz w:val="24"/>
                <w:szCs w:val="24"/>
              </w:rPr>
            </w:pPr>
            <w:r>
              <w:rPr>
                <w:rFonts w:ascii="Times New Roman" w:hAnsi="Times New Roman" w:cs="Times New Roman"/>
                <w:sz w:val="24"/>
                <w:szCs w:val="24"/>
              </w:rPr>
              <w:t>66</w:t>
            </w:r>
          </w:p>
        </w:tc>
        <w:tc>
          <w:tcPr>
            <w:tcW w:w="989" w:type="dxa"/>
            <w:vAlign w:val="center"/>
          </w:tcPr>
          <w:p w14:paraId="0375C185" w14:textId="6337B377" w:rsidR="00CF464A" w:rsidRPr="00156336" w:rsidRDefault="009E122C" w:rsidP="00054942">
            <w:pPr>
              <w:jc w:val="center"/>
              <w:rPr>
                <w:rFonts w:ascii="Times New Roman" w:hAnsi="Times New Roman" w:cs="Times New Roman"/>
                <w:sz w:val="24"/>
                <w:szCs w:val="24"/>
              </w:rPr>
            </w:pPr>
            <w:r>
              <w:rPr>
                <w:rFonts w:ascii="Times New Roman" w:hAnsi="Times New Roman" w:cs="Times New Roman"/>
                <w:sz w:val="24"/>
                <w:szCs w:val="24"/>
              </w:rPr>
              <w:t>36</w:t>
            </w:r>
          </w:p>
        </w:tc>
        <w:tc>
          <w:tcPr>
            <w:tcW w:w="873" w:type="dxa"/>
            <w:vAlign w:val="center"/>
          </w:tcPr>
          <w:p w14:paraId="578DC589" w14:textId="16ACDB3B" w:rsidR="00CF464A" w:rsidRPr="00156336" w:rsidRDefault="009E122C" w:rsidP="00054942">
            <w:pPr>
              <w:jc w:val="center"/>
              <w:rPr>
                <w:rFonts w:ascii="Times New Roman" w:hAnsi="Times New Roman" w:cs="Times New Roman"/>
                <w:sz w:val="24"/>
                <w:szCs w:val="24"/>
              </w:rPr>
            </w:pPr>
            <w:r>
              <w:rPr>
                <w:rFonts w:ascii="Times New Roman" w:hAnsi="Times New Roman" w:cs="Times New Roman"/>
                <w:sz w:val="24"/>
                <w:szCs w:val="24"/>
              </w:rPr>
              <w:t>25</w:t>
            </w:r>
          </w:p>
        </w:tc>
        <w:tc>
          <w:tcPr>
            <w:tcW w:w="1110" w:type="dxa"/>
            <w:vAlign w:val="center"/>
          </w:tcPr>
          <w:p w14:paraId="74DFF7C7" w14:textId="75F9C4E6" w:rsidR="00CF464A" w:rsidRPr="00156336" w:rsidRDefault="009E122C" w:rsidP="00054942">
            <w:pPr>
              <w:jc w:val="center"/>
              <w:rPr>
                <w:rFonts w:ascii="Times New Roman" w:hAnsi="Times New Roman" w:cs="Times New Roman"/>
                <w:sz w:val="24"/>
                <w:szCs w:val="24"/>
              </w:rPr>
            </w:pPr>
            <w:r>
              <w:rPr>
                <w:rFonts w:ascii="Times New Roman" w:hAnsi="Times New Roman" w:cs="Times New Roman"/>
                <w:sz w:val="24"/>
                <w:szCs w:val="24"/>
              </w:rPr>
              <w:t>25</w:t>
            </w:r>
          </w:p>
        </w:tc>
        <w:tc>
          <w:tcPr>
            <w:tcW w:w="801" w:type="dxa"/>
            <w:vAlign w:val="center"/>
          </w:tcPr>
          <w:p w14:paraId="4F31736B" w14:textId="4803E714" w:rsidR="00CF464A" w:rsidRPr="00156336" w:rsidRDefault="009E122C" w:rsidP="00054942">
            <w:pPr>
              <w:jc w:val="center"/>
              <w:rPr>
                <w:rFonts w:ascii="Times New Roman" w:hAnsi="Times New Roman" w:cs="Times New Roman"/>
                <w:sz w:val="24"/>
                <w:szCs w:val="24"/>
              </w:rPr>
            </w:pPr>
            <w:r>
              <w:rPr>
                <w:rFonts w:ascii="Times New Roman" w:hAnsi="Times New Roman" w:cs="Times New Roman"/>
                <w:sz w:val="24"/>
                <w:szCs w:val="24"/>
              </w:rPr>
              <w:t>20</w:t>
            </w:r>
          </w:p>
        </w:tc>
        <w:tc>
          <w:tcPr>
            <w:tcW w:w="1110" w:type="dxa"/>
            <w:vAlign w:val="center"/>
          </w:tcPr>
          <w:p w14:paraId="3725BFE4" w14:textId="0EEEF9A2" w:rsidR="00CF464A" w:rsidRPr="00156336" w:rsidRDefault="009E122C" w:rsidP="00054942">
            <w:pPr>
              <w:jc w:val="center"/>
              <w:rPr>
                <w:rFonts w:ascii="Times New Roman" w:hAnsi="Times New Roman" w:cs="Times New Roman"/>
                <w:sz w:val="24"/>
                <w:szCs w:val="24"/>
              </w:rPr>
            </w:pPr>
            <w:r>
              <w:rPr>
                <w:rFonts w:ascii="Times New Roman" w:hAnsi="Times New Roman" w:cs="Times New Roman"/>
                <w:sz w:val="24"/>
                <w:szCs w:val="24"/>
              </w:rPr>
              <w:t>25</w:t>
            </w:r>
          </w:p>
        </w:tc>
      </w:tr>
    </w:tbl>
    <w:p w14:paraId="03C8C02E" w14:textId="4781DD7C" w:rsidR="004C774E" w:rsidRPr="00E85E3D" w:rsidRDefault="005D5F31" w:rsidP="00723704">
      <w:pPr>
        <w:jc w:val="both"/>
        <w:rPr>
          <w:rFonts w:ascii="Times New Roman" w:hAnsi="Times New Roman" w:cs="Times New Roman"/>
          <w:b/>
          <w:bCs/>
          <w:sz w:val="20"/>
          <w:szCs w:val="20"/>
        </w:rPr>
      </w:pPr>
      <w:r w:rsidRPr="005D5F31">
        <w:rPr>
          <w:rFonts w:ascii="Times New Roman" w:hAnsi="Times New Roman" w:cs="Times New Roman"/>
          <w:b/>
          <w:bCs/>
          <w:sz w:val="20"/>
          <w:szCs w:val="20"/>
        </w:rPr>
        <w:lastRenderedPageBreak/>
        <w:t xml:space="preserve">Supplementary </w:t>
      </w:r>
      <w:r w:rsidR="004C774E" w:rsidRPr="00E85E3D">
        <w:rPr>
          <w:rFonts w:ascii="Times New Roman" w:hAnsi="Times New Roman" w:cs="Times New Roman"/>
          <w:b/>
          <w:bCs/>
          <w:sz w:val="20"/>
          <w:szCs w:val="20"/>
        </w:rPr>
        <w:t xml:space="preserve">Table 1 </w:t>
      </w:r>
      <w:r w:rsidR="0021536A" w:rsidRPr="00E85E3D">
        <w:rPr>
          <w:rFonts w:ascii="Times New Roman" w:hAnsi="Times New Roman" w:cs="Times New Roman"/>
          <w:sz w:val="20"/>
          <w:szCs w:val="20"/>
        </w:rPr>
        <w:t>Summary of the CO</w:t>
      </w:r>
      <w:r w:rsidR="0021536A" w:rsidRPr="00E85E3D">
        <w:rPr>
          <w:rFonts w:ascii="Times New Roman" w:hAnsi="Times New Roman" w:cs="Times New Roman"/>
          <w:sz w:val="20"/>
          <w:szCs w:val="20"/>
          <w:vertAlign w:val="subscript"/>
        </w:rPr>
        <w:t>2</w:t>
      </w:r>
      <w:r w:rsidR="0021536A" w:rsidRPr="00E85E3D">
        <w:rPr>
          <w:rFonts w:ascii="Times New Roman" w:hAnsi="Times New Roman" w:cs="Times New Roman"/>
          <w:sz w:val="20"/>
          <w:szCs w:val="20"/>
        </w:rPr>
        <w:t xml:space="preserve"> single-pass utilization (SPU) of the flow cells (FC)</w:t>
      </w:r>
      <w:r w:rsidR="00ED65BC" w:rsidRPr="00E85E3D">
        <w:rPr>
          <w:rFonts w:ascii="Times New Roman" w:hAnsi="Times New Roman" w:cs="Times New Roman"/>
          <w:sz w:val="20"/>
          <w:szCs w:val="20"/>
        </w:rPr>
        <w:t xml:space="preserve"> and</w:t>
      </w:r>
      <w:r w:rsidR="0021536A" w:rsidRPr="00E85E3D">
        <w:rPr>
          <w:rFonts w:ascii="Times New Roman" w:hAnsi="Times New Roman" w:cs="Times New Roman"/>
          <w:sz w:val="20"/>
          <w:szCs w:val="20"/>
        </w:rPr>
        <w:t xml:space="preserve"> membrane electrode assembly (MEA)</w:t>
      </w:r>
      <w:r w:rsidR="00ED65BC" w:rsidRPr="00E85E3D">
        <w:rPr>
          <w:rFonts w:ascii="Times New Roman" w:hAnsi="Times New Roman" w:cs="Times New Roman"/>
          <w:sz w:val="20"/>
          <w:szCs w:val="20"/>
        </w:rPr>
        <w:t xml:space="preserve"> in </w:t>
      </w:r>
      <w:r w:rsidR="009C45FC" w:rsidRPr="00E85E3D">
        <w:rPr>
          <w:rFonts w:ascii="Times New Roman" w:hAnsi="Times New Roman" w:cs="Times New Roman"/>
          <w:sz w:val="20"/>
          <w:szCs w:val="20"/>
        </w:rPr>
        <w:t xml:space="preserve">the </w:t>
      </w:r>
      <w:r w:rsidR="00ED65BC" w:rsidRPr="00E85E3D">
        <w:rPr>
          <w:rFonts w:ascii="Times New Roman" w:hAnsi="Times New Roman" w:cs="Times New Roman"/>
          <w:sz w:val="20"/>
          <w:szCs w:val="20"/>
        </w:rPr>
        <w:t>literature</w:t>
      </w:r>
      <w:r w:rsidR="00D4243D" w:rsidRPr="00E85E3D">
        <w:rPr>
          <w:rFonts w:ascii="Times New Roman" w:hAnsi="Times New Roman" w:cs="Times New Roman"/>
          <w:sz w:val="20"/>
          <w:szCs w:val="20"/>
        </w:rPr>
        <w:t xml:space="preserve"> using alkaline or neutral electrolytes and</w:t>
      </w:r>
      <w:r w:rsidR="00ED65BC" w:rsidRPr="00E85E3D">
        <w:rPr>
          <w:rFonts w:ascii="Times New Roman" w:hAnsi="Times New Roman" w:cs="Times New Roman"/>
          <w:sz w:val="20"/>
          <w:szCs w:val="20"/>
        </w:rPr>
        <w:t xml:space="preserve"> operating at the current densities over 100 mA cm</w:t>
      </w:r>
      <w:r w:rsidR="00ED65BC" w:rsidRPr="00E85E3D">
        <w:rPr>
          <w:rFonts w:ascii="Times New Roman" w:hAnsi="Times New Roman" w:cs="Times New Roman"/>
          <w:sz w:val="20"/>
          <w:szCs w:val="20"/>
          <w:vertAlign w:val="superscript"/>
        </w:rPr>
        <w:t>-2</w:t>
      </w:r>
      <w:r w:rsidR="00ED65BC" w:rsidRPr="00E85E3D">
        <w:rPr>
          <w:rFonts w:ascii="Times New Roman" w:hAnsi="Times New Roman" w:cs="Times New Roman"/>
          <w:sz w:val="20"/>
          <w:szCs w:val="20"/>
        </w:rPr>
        <w:t>.</w:t>
      </w:r>
      <w:r w:rsidR="0021536A" w:rsidRPr="00E85E3D">
        <w:rPr>
          <w:rFonts w:ascii="Times New Roman" w:hAnsi="Times New Roman" w:cs="Times New Roman"/>
          <w:sz w:val="20"/>
          <w:szCs w:val="20"/>
        </w:rPr>
        <w:t xml:space="preserve"> </w:t>
      </w:r>
      <w:r w:rsidR="00B60C61" w:rsidRPr="00E85E3D">
        <w:rPr>
          <w:rFonts w:ascii="Times New Roman" w:hAnsi="Times New Roman" w:cs="Times New Roman"/>
          <w:sz w:val="20"/>
          <w:szCs w:val="20"/>
        </w:rPr>
        <w:t>The</w:t>
      </w:r>
      <w:r w:rsidR="0021536A" w:rsidRPr="00E85E3D">
        <w:rPr>
          <w:rFonts w:ascii="Times New Roman" w:hAnsi="Times New Roman" w:cs="Times New Roman"/>
          <w:sz w:val="20"/>
          <w:szCs w:val="20"/>
        </w:rPr>
        <w:t xml:space="preserve"> stationary catholyte MEA (</w:t>
      </w:r>
      <w:r w:rsidR="004A7ADC">
        <w:rPr>
          <w:rFonts w:ascii="Times New Roman" w:hAnsi="Times New Roman" w:cs="Times New Roman"/>
          <w:sz w:val="20"/>
          <w:szCs w:val="20"/>
        </w:rPr>
        <w:t>SC-BPMEA</w:t>
      </w:r>
      <w:r w:rsidR="0021536A" w:rsidRPr="00E85E3D">
        <w:rPr>
          <w:rFonts w:ascii="Times New Roman" w:hAnsi="Times New Roman" w:cs="Times New Roman"/>
          <w:sz w:val="20"/>
          <w:szCs w:val="20"/>
        </w:rPr>
        <w:t xml:space="preserve">) </w:t>
      </w:r>
      <w:r w:rsidR="00ED65BC" w:rsidRPr="00E85E3D">
        <w:rPr>
          <w:rFonts w:ascii="Times New Roman" w:hAnsi="Times New Roman" w:cs="Times New Roman"/>
          <w:sz w:val="20"/>
          <w:szCs w:val="20"/>
        </w:rPr>
        <w:t>operating under different conditions are listed for comparison</w:t>
      </w:r>
      <w:r w:rsidR="0021536A" w:rsidRPr="00E85E3D">
        <w:rPr>
          <w:rFonts w:ascii="Times New Roman" w:hAnsi="Times New Roman" w:cs="Times New Roman"/>
          <w:sz w:val="20"/>
          <w:szCs w:val="20"/>
        </w:rPr>
        <w:t xml:space="preserve">. The upper limit SPU is simulated by substituting the FE distribution into Equation </w:t>
      </w:r>
      <w:r w:rsidR="00184F4B" w:rsidRPr="00E85E3D">
        <w:rPr>
          <w:rFonts w:ascii="Times New Roman" w:hAnsi="Times New Roman" w:cs="Times New Roman"/>
          <w:sz w:val="20"/>
          <w:szCs w:val="20"/>
        </w:rPr>
        <w:t>(6).</w:t>
      </w:r>
      <w:r w:rsidR="00EF13D7" w:rsidRPr="00E85E3D">
        <w:rPr>
          <w:rFonts w:ascii="Times New Roman" w:hAnsi="Times New Roman" w:cs="Times New Roman"/>
          <w:sz w:val="20"/>
          <w:szCs w:val="20"/>
        </w:rPr>
        <w:t xml:space="preserve"> </w:t>
      </w:r>
      <w:r w:rsidR="00AA6AA8" w:rsidRPr="00E85E3D">
        <w:rPr>
          <w:rFonts w:ascii="Times New Roman" w:hAnsi="Times New Roman" w:cs="Times New Roman"/>
          <w:sz w:val="20"/>
          <w:szCs w:val="20"/>
        </w:rPr>
        <w:t>The experimental SPU is calculated from Equation (3).</w:t>
      </w:r>
      <w:r w:rsidR="00AB069C" w:rsidRPr="00E85E3D">
        <w:rPr>
          <w:rFonts w:ascii="Times New Roman" w:hAnsi="Times New Roman" w:cs="Times New Roman"/>
          <w:sz w:val="20"/>
          <w:szCs w:val="20"/>
        </w:rPr>
        <w:t xml:space="preserve"> The electrolyzers producing C</w:t>
      </w:r>
      <w:r w:rsidR="00AB069C" w:rsidRPr="00E85E3D">
        <w:rPr>
          <w:rFonts w:ascii="Times New Roman" w:hAnsi="Times New Roman" w:cs="Times New Roman"/>
          <w:sz w:val="20"/>
          <w:szCs w:val="20"/>
          <w:vertAlign w:val="subscript"/>
        </w:rPr>
        <w:t>2+</w:t>
      </w:r>
      <w:r w:rsidR="00AB069C" w:rsidRPr="00E85E3D">
        <w:rPr>
          <w:rFonts w:ascii="Times New Roman" w:hAnsi="Times New Roman" w:cs="Times New Roman"/>
          <w:sz w:val="20"/>
          <w:szCs w:val="20"/>
        </w:rPr>
        <w:t xml:space="preserve"> </w:t>
      </w:r>
      <w:r w:rsidR="00874710" w:rsidRPr="00E85E3D">
        <w:rPr>
          <w:rFonts w:ascii="Times New Roman" w:hAnsi="Times New Roman" w:cs="Times New Roman"/>
          <w:sz w:val="20"/>
          <w:szCs w:val="20"/>
        </w:rPr>
        <w:t xml:space="preserve">are indicated by </w:t>
      </w:r>
      <w:r w:rsidR="00AB069C" w:rsidRPr="00E85E3D">
        <w:rPr>
          <w:rFonts w:ascii="Times New Roman" w:hAnsi="Times New Roman" w:cs="Times New Roman"/>
          <w:sz w:val="20"/>
          <w:szCs w:val="20"/>
        </w:rPr>
        <w:t>references are b</w:t>
      </w:r>
      <w:r w:rsidR="00531543" w:rsidRPr="00E85E3D">
        <w:rPr>
          <w:rFonts w:ascii="Times New Roman" w:hAnsi="Times New Roman" w:cs="Times New Roman"/>
          <w:sz w:val="20"/>
          <w:szCs w:val="20"/>
        </w:rPr>
        <w:t>lue</w:t>
      </w:r>
      <w:r w:rsidR="00AB069C" w:rsidRPr="00E85E3D">
        <w:rPr>
          <w:rFonts w:ascii="Times New Roman" w:hAnsi="Times New Roman" w:cs="Times New Roman"/>
          <w:sz w:val="20"/>
          <w:szCs w:val="20"/>
        </w:rPr>
        <w:t>.</w:t>
      </w:r>
    </w:p>
    <w:tbl>
      <w:tblPr>
        <w:tblW w:w="11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621"/>
        <w:gridCol w:w="621"/>
        <w:gridCol w:w="621"/>
        <w:gridCol w:w="723"/>
        <w:gridCol w:w="636"/>
        <w:gridCol w:w="766"/>
        <w:gridCol w:w="816"/>
        <w:gridCol w:w="877"/>
        <w:gridCol w:w="950"/>
        <w:gridCol w:w="863"/>
        <w:gridCol w:w="971"/>
        <w:gridCol w:w="1394"/>
      </w:tblGrid>
      <w:tr w:rsidR="002E5116" w:rsidRPr="009D52EB" w14:paraId="793E6EAA" w14:textId="77777777" w:rsidTr="004A7ADC">
        <w:trPr>
          <w:trHeight w:val="192"/>
          <w:jc w:val="center"/>
        </w:trPr>
        <w:tc>
          <w:tcPr>
            <w:tcW w:w="1172" w:type="dxa"/>
            <w:vMerge w:val="restart"/>
            <w:tcBorders>
              <w:top w:val="single" w:sz="8" w:space="0" w:color="auto"/>
              <w:left w:val="nil"/>
              <w:bottom w:val="nil"/>
              <w:right w:val="nil"/>
            </w:tcBorders>
            <w:shd w:val="clear" w:color="auto" w:fill="auto"/>
            <w:noWrap/>
            <w:vAlign w:val="center"/>
            <w:hideMark/>
          </w:tcPr>
          <w:p w14:paraId="149EC629" w14:textId="0E03B713" w:rsidR="002E5116" w:rsidRPr="009D52EB" w:rsidRDefault="002E5116" w:rsidP="009548B4">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CO</w:t>
            </w:r>
            <w:r w:rsidRPr="009D52EB">
              <w:rPr>
                <w:rFonts w:ascii="Times New Roman" w:eastAsia="Times New Roman" w:hAnsi="Times New Roman" w:cs="Times New Roman"/>
                <w:sz w:val="18"/>
                <w:szCs w:val="18"/>
                <w:vertAlign w:val="subscript"/>
              </w:rPr>
              <w:t>2</w:t>
            </w:r>
            <w:r w:rsidRPr="009D52EB">
              <w:rPr>
                <w:rFonts w:ascii="Times New Roman" w:eastAsia="Times New Roman" w:hAnsi="Times New Roman" w:cs="Times New Roman"/>
                <w:sz w:val="18"/>
                <w:szCs w:val="18"/>
              </w:rPr>
              <w:t xml:space="preserve"> flow (sccm</w:t>
            </w:r>
            <w:r w:rsidR="00A6345B" w:rsidRPr="009D52EB">
              <w:rPr>
                <w:rFonts w:ascii="Times New Roman" w:eastAsia="Times New Roman" w:hAnsi="Times New Roman" w:cs="Times New Roman"/>
                <w:sz w:val="18"/>
                <w:szCs w:val="18"/>
              </w:rPr>
              <w:t xml:space="preserve"> cm</w:t>
            </w:r>
            <w:r w:rsidR="00A6345B" w:rsidRPr="009D52EB">
              <w:rPr>
                <w:rFonts w:ascii="Times New Roman" w:eastAsia="Times New Roman" w:hAnsi="Times New Roman" w:cs="Times New Roman"/>
                <w:sz w:val="18"/>
                <w:szCs w:val="18"/>
                <w:vertAlign w:val="superscript"/>
              </w:rPr>
              <w:t>-2</w:t>
            </w:r>
            <w:r w:rsidRPr="009D52EB">
              <w:rPr>
                <w:rFonts w:ascii="Times New Roman" w:eastAsia="Times New Roman" w:hAnsi="Times New Roman" w:cs="Times New Roman"/>
                <w:sz w:val="18"/>
                <w:szCs w:val="18"/>
              </w:rPr>
              <w:t>)</w:t>
            </w:r>
          </w:p>
        </w:tc>
        <w:tc>
          <w:tcPr>
            <w:tcW w:w="5681" w:type="dxa"/>
            <w:gridSpan w:val="8"/>
            <w:tcBorders>
              <w:top w:val="single" w:sz="8" w:space="0" w:color="auto"/>
              <w:left w:val="nil"/>
              <w:bottom w:val="single" w:sz="8" w:space="0" w:color="auto"/>
              <w:right w:val="nil"/>
            </w:tcBorders>
            <w:shd w:val="clear" w:color="auto" w:fill="auto"/>
            <w:noWrap/>
            <w:vAlign w:val="center"/>
          </w:tcPr>
          <w:p w14:paraId="2A24D489" w14:textId="24B0BB79" w:rsidR="002E5116" w:rsidRPr="009D52EB" w:rsidRDefault="002E5116" w:rsidP="009548B4">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FE distribution</w:t>
            </w:r>
          </w:p>
        </w:tc>
        <w:tc>
          <w:tcPr>
            <w:tcW w:w="950" w:type="dxa"/>
            <w:vMerge w:val="restart"/>
            <w:tcBorders>
              <w:top w:val="single" w:sz="8" w:space="0" w:color="auto"/>
              <w:left w:val="nil"/>
              <w:bottom w:val="nil"/>
              <w:right w:val="nil"/>
            </w:tcBorders>
            <w:shd w:val="clear" w:color="auto" w:fill="auto"/>
            <w:noWrap/>
            <w:vAlign w:val="center"/>
            <w:hideMark/>
          </w:tcPr>
          <w:p w14:paraId="61FA43BD" w14:textId="77777777" w:rsidR="002E5116" w:rsidRPr="009D52EB" w:rsidRDefault="002E5116" w:rsidP="00C12650">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SPU</w:t>
            </w:r>
          </w:p>
          <w:p w14:paraId="59059DCC" w14:textId="37968DFA" w:rsidR="002E5116" w:rsidRPr="009D52EB" w:rsidRDefault="002E5116" w:rsidP="00C12650">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vertAlign w:val="subscript"/>
              </w:rPr>
              <w:t>Upper Limit</w:t>
            </w:r>
          </w:p>
        </w:tc>
        <w:tc>
          <w:tcPr>
            <w:tcW w:w="863" w:type="dxa"/>
            <w:vMerge w:val="restart"/>
            <w:tcBorders>
              <w:top w:val="single" w:sz="8" w:space="0" w:color="auto"/>
              <w:left w:val="nil"/>
              <w:bottom w:val="nil"/>
              <w:right w:val="nil"/>
            </w:tcBorders>
            <w:shd w:val="clear" w:color="auto" w:fill="auto"/>
            <w:noWrap/>
            <w:vAlign w:val="center"/>
            <w:hideMark/>
          </w:tcPr>
          <w:p w14:paraId="478389C7" w14:textId="77777777" w:rsidR="002E5116" w:rsidRPr="009D52EB" w:rsidRDefault="002E5116" w:rsidP="00C12650">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 xml:space="preserve">SPU </w:t>
            </w:r>
            <w:r w:rsidRPr="009D52EB">
              <w:rPr>
                <w:rFonts w:ascii="Times New Roman" w:eastAsia="Times New Roman" w:hAnsi="Times New Roman" w:cs="Times New Roman"/>
                <w:sz w:val="18"/>
                <w:szCs w:val="18"/>
                <w:vertAlign w:val="subscript"/>
              </w:rPr>
              <w:t>Experimental</w:t>
            </w:r>
          </w:p>
        </w:tc>
        <w:tc>
          <w:tcPr>
            <w:tcW w:w="971" w:type="dxa"/>
            <w:vMerge w:val="restart"/>
            <w:tcBorders>
              <w:top w:val="single" w:sz="8" w:space="0" w:color="auto"/>
              <w:left w:val="nil"/>
              <w:bottom w:val="nil"/>
              <w:right w:val="nil"/>
            </w:tcBorders>
            <w:shd w:val="clear" w:color="auto" w:fill="auto"/>
            <w:noWrap/>
            <w:vAlign w:val="center"/>
          </w:tcPr>
          <w:p w14:paraId="1C497C00" w14:textId="77777777" w:rsidR="002E5116" w:rsidRPr="009D52EB" w:rsidRDefault="002E5116" w:rsidP="00C12650">
            <w:pPr>
              <w:spacing w:after="0" w:line="240" w:lineRule="auto"/>
              <w:jc w:val="center"/>
              <w:rPr>
                <w:rFonts w:ascii="Times New Roman" w:eastAsia="Times New Roman" w:hAnsi="Times New Roman" w:cs="Times New Roman"/>
                <w:sz w:val="14"/>
                <w:szCs w:val="14"/>
              </w:rPr>
            </w:pPr>
            <w:r w:rsidRPr="009D52EB">
              <w:rPr>
                <w:rFonts w:ascii="Times New Roman" w:eastAsia="Times New Roman" w:hAnsi="Times New Roman" w:cs="Times New Roman"/>
                <w:sz w:val="14"/>
                <w:szCs w:val="14"/>
              </w:rPr>
              <w:t>Experimental</w:t>
            </w:r>
          </w:p>
          <w:p w14:paraId="4A26C445" w14:textId="19260059" w:rsidR="002E5116" w:rsidRPr="009D52EB" w:rsidRDefault="002E5116" w:rsidP="00C12650">
            <w:pPr>
              <w:spacing w:after="0" w:line="240" w:lineRule="auto"/>
              <w:jc w:val="center"/>
              <w:rPr>
                <w:rFonts w:ascii="Times New Roman" w:eastAsia="Times New Roman" w:hAnsi="Times New Roman" w:cs="Times New Roman"/>
                <w:sz w:val="14"/>
                <w:szCs w:val="14"/>
              </w:rPr>
            </w:pPr>
            <w:r w:rsidRPr="009D52EB">
              <w:rPr>
                <w:rFonts w:ascii="Times New Roman" w:eastAsia="Times New Roman" w:hAnsi="Times New Roman" w:cs="Times New Roman"/>
                <w:sz w:val="14"/>
                <w:szCs w:val="14"/>
              </w:rPr>
              <w:t>: Upper Limit SPU</w:t>
            </w:r>
          </w:p>
        </w:tc>
        <w:tc>
          <w:tcPr>
            <w:tcW w:w="1394" w:type="dxa"/>
            <w:vMerge w:val="restart"/>
            <w:tcBorders>
              <w:top w:val="single" w:sz="8" w:space="0" w:color="auto"/>
              <w:left w:val="nil"/>
              <w:bottom w:val="nil"/>
              <w:right w:val="nil"/>
            </w:tcBorders>
            <w:shd w:val="clear" w:color="auto" w:fill="auto"/>
            <w:vAlign w:val="center"/>
          </w:tcPr>
          <w:p w14:paraId="4C4474B7" w14:textId="634964CE" w:rsidR="002E5116" w:rsidRPr="009D52EB" w:rsidRDefault="002E5116" w:rsidP="00C12650">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Cell type/ references</w:t>
            </w:r>
          </w:p>
        </w:tc>
      </w:tr>
      <w:tr w:rsidR="002E5116" w:rsidRPr="009D52EB" w14:paraId="1C1C33D1" w14:textId="77777777" w:rsidTr="004A7ADC">
        <w:trPr>
          <w:trHeight w:val="216"/>
          <w:jc w:val="center"/>
        </w:trPr>
        <w:tc>
          <w:tcPr>
            <w:tcW w:w="1172" w:type="dxa"/>
            <w:vMerge/>
            <w:tcBorders>
              <w:top w:val="nil"/>
              <w:left w:val="nil"/>
              <w:bottom w:val="single" w:sz="24" w:space="0" w:color="auto"/>
              <w:right w:val="nil"/>
            </w:tcBorders>
            <w:shd w:val="clear" w:color="auto" w:fill="auto"/>
            <w:noWrap/>
            <w:vAlign w:val="center"/>
          </w:tcPr>
          <w:p w14:paraId="05768EEB" w14:textId="77777777" w:rsidR="002E5116" w:rsidRPr="009D52EB" w:rsidRDefault="002E5116" w:rsidP="009548B4">
            <w:pPr>
              <w:spacing w:after="0" w:line="240" w:lineRule="auto"/>
              <w:jc w:val="center"/>
              <w:rPr>
                <w:rFonts w:ascii="Times New Roman" w:eastAsia="Times New Roman" w:hAnsi="Times New Roman" w:cs="Times New Roman"/>
                <w:sz w:val="18"/>
                <w:szCs w:val="18"/>
              </w:rPr>
            </w:pPr>
          </w:p>
        </w:tc>
        <w:tc>
          <w:tcPr>
            <w:tcW w:w="621" w:type="dxa"/>
            <w:tcBorders>
              <w:top w:val="single" w:sz="8" w:space="0" w:color="auto"/>
              <w:left w:val="nil"/>
              <w:bottom w:val="single" w:sz="24" w:space="0" w:color="auto"/>
              <w:right w:val="nil"/>
            </w:tcBorders>
            <w:shd w:val="clear" w:color="auto" w:fill="auto"/>
            <w:noWrap/>
            <w:vAlign w:val="center"/>
          </w:tcPr>
          <w:p w14:paraId="30558B0A" w14:textId="77777777" w:rsidR="002E5116" w:rsidRPr="009D52EB" w:rsidRDefault="002E5116" w:rsidP="009548B4">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H</w:t>
            </w:r>
            <w:r w:rsidRPr="009D52EB">
              <w:rPr>
                <w:rFonts w:ascii="Times New Roman" w:eastAsia="Times New Roman" w:hAnsi="Times New Roman" w:cs="Times New Roman"/>
                <w:sz w:val="18"/>
                <w:szCs w:val="18"/>
                <w:vertAlign w:val="subscript"/>
              </w:rPr>
              <w:t>2</w:t>
            </w:r>
          </w:p>
        </w:tc>
        <w:tc>
          <w:tcPr>
            <w:tcW w:w="621" w:type="dxa"/>
            <w:tcBorders>
              <w:top w:val="single" w:sz="8" w:space="0" w:color="auto"/>
              <w:left w:val="nil"/>
              <w:bottom w:val="single" w:sz="24" w:space="0" w:color="auto"/>
              <w:right w:val="nil"/>
            </w:tcBorders>
            <w:shd w:val="clear" w:color="auto" w:fill="auto"/>
            <w:noWrap/>
            <w:vAlign w:val="center"/>
          </w:tcPr>
          <w:p w14:paraId="5CC3C4EA" w14:textId="77777777" w:rsidR="002E5116" w:rsidRPr="009D52EB" w:rsidRDefault="002E5116" w:rsidP="009548B4">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CO</w:t>
            </w:r>
          </w:p>
        </w:tc>
        <w:tc>
          <w:tcPr>
            <w:tcW w:w="621" w:type="dxa"/>
            <w:tcBorders>
              <w:top w:val="single" w:sz="8" w:space="0" w:color="auto"/>
              <w:left w:val="nil"/>
              <w:bottom w:val="single" w:sz="24" w:space="0" w:color="auto"/>
              <w:right w:val="nil"/>
            </w:tcBorders>
            <w:shd w:val="clear" w:color="auto" w:fill="auto"/>
            <w:noWrap/>
            <w:vAlign w:val="center"/>
          </w:tcPr>
          <w:p w14:paraId="5D662D62" w14:textId="77777777" w:rsidR="002E5116" w:rsidRPr="009D52EB" w:rsidRDefault="002E5116" w:rsidP="009548B4">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C</w:t>
            </w:r>
            <w:r w:rsidRPr="009D52EB">
              <w:rPr>
                <w:rFonts w:ascii="Times New Roman" w:eastAsia="Times New Roman" w:hAnsi="Times New Roman" w:cs="Times New Roman"/>
                <w:sz w:val="18"/>
                <w:szCs w:val="18"/>
                <w:vertAlign w:val="subscript"/>
              </w:rPr>
              <w:t>2</w:t>
            </w:r>
            <w:r w:rsidRPr="009D52EB">
              <w:rPr>
                <w:rFonts w:ascii="Times New Roman" w:eastAsia="Times New Roman" w:hAnsi="Times New Roman" w:cs="Times New Roman"/>
                <w:sz w:val="18"/>
                <w:szCs w:val="18"/>
              </w:rPr>
              <w:t>H</w:t>
            </w:r>
            <w:r w:rsidRPr="009D52EB">
              <w:rPr>
                <w:rFonts w:ascii="Times New Roman" w:eastAsia="Times New Roman" w:hAnsi="Times New Roman" w:cs="Times New Roman"/>
                <w:sz w:val="18"/>
                <w:szCs w:val="18"/>
                <w:vertAlign w:val="subscript"/>
              </w:rPr>
              <w:t>4</w:t>
            </w:r>
          </w:p>
        </w:tc>
        <w:tc>
          <w:tcPr>
            <w:tcW w:w="723" w:type="dxa"/>
            <w:tcBorders>
              <w:top w:val="single" w:sz="8" w:space="0" w:color="auto"/>
              <w:left w:val="nil"/>
              <w:bottom w:val="single" w:sz="24" w:space="0" w:color="auto"/>
              <w:right w:val="nil"/>
            </w:tcBorders>
            <w:shd w:val="clear" w:color="auto" w:fill="auto"/>
            <w:noWrap/>
            <w:vAlign w:val="center"/>
          </w:tcPr>
          <w:p w14:paraId="33E7E36A" w14:textId="77777777" w:rsidR="002E5116" w:rsidRPr="009D52EB" w:rsidRDefault="002E5116" w:rsidP="009548B4">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CH</w:t>
            </w:r>
            <w:r w:rsidRPr="009D52EB">
              <w:rPr>
                <w:rFonts w:ascii="Times New Roman" w:eastAsia="Times New Roman" w:hAnsi="Times New Roman" w:cs="Times New Roman"/>
                <w:sz w:val="18"/>
                <w:szCs w:val="18"/>
                <w:vertAlign w:val="subscript"/>
              </w:rPr>
              <w:t>4</w:t>
            </w:r>
          </w:p>
        </w:tc>
        <w:tc>
          <w:tcPr>
            <w:tcW w:w="636" w:type="dxa"/>
            <w:tcBorders>
              <w:top w:val="single" w:sz="8" w:space="0" w:color="auto"/>
              <w:left w:val="nil"/>
              <w:bottom w:val="single" w:sz="24" w:space="0" w:color="auto"/>
              <w:right w:val="nil"/>
            </w:tcBorders>
            <w:shd w:val="clear" w:color="auto" w:fill="auto"/>
            <w:noWrap/>
            <w:vAlign w:val="center"/>
          </w:tcPr>
          <w:p w14:paraId="620C390A" w14:textId="77777777" w:rsidR="002E5116" w:rsidRPr="009D52EB" w:rsidRDefault="002E5116" w:rsidP="009548B4">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EtOH</w:t>
            </w:r>
          </w:p>
        </w:tc>
        <w:tc>
          <w:tcPr>
            <w:tcW w:w="766" w:type="dxa"/>
            <w:tcBorders>
              <w:top w:val="single" w:sz="8" w:space="0" w:color="auto"/>
              <w:left w:val="nil"/>
              <w:bottom w:val="single" w:sz="24" w:space="0" w:color="auto"/>
              <w:right w:val="nil"/>
            </w:tcBorders>
            <w:shd w:val="clear" w:color="auto" w:fill="auto"/>
            <w:noWrap/>
            <w:vAlign w:val="center"/>
          </w:tcPr>
          <w:p w14:paraId="09F5252E" w14:textId="77777777" w:rsidR="002E5116" w:rsidRPr="009D52EB" w:rsidRDefault="002E5116" w:rsidP="009548B4">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Acetate</w:t>
            </w:r>
          </w:p>
        </w:tc>
        <w:tc>
          <w:tcPr>
            <w:tcW w:w="816" w:type="dxa"/>
            <w:tcBorders>
              <w:top w:val="single" w:sz="8" w:space="0" w:color="auto"/>
              <w:left w:val="nil"/>
              <w:bottom w:val="single" w:sz="24" w:space="0" w:color="auto"/>
              <w:right w:val="nil"/>
            </w:tcBorders>
            <w:shd w:val="clear" w:color="auto" w:fill="auto"/>
            <w:noWrap/>
            <w:vAlign w:val="center"/>
          </w:tcPr>
          <w:p w14:paraId="1CA00272" w14:textId="77777777" w:rsidR="002E5116" w:rsidRPr="009D52EB" w:rsidRDefault="002E5116" w:rsidP="009548B4">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Formate</w:t>
            </w:r>
          </w:p>
        </w:tc>
        <w:tc>
          <w:tcPr>
            <w:tcW w:w="877" w:type="dxa"/>
            <w:tcBorders>
              <w:top w:val="single" w:sz="8" w:space="0" w:color="auto"/>
              <w:left w:val="nil"/>
              <w:bottom w:val="single" w:sz="24" w:space="0" w:color="auto"/>
              <w:right w:val="nil"/>
            </w:tcBorders>
            <w:shd w:val="clear" w:color="auto" w:fill="auto"/>
            <w:noWrap/>
            <w:vAlign w:val="center"/>
          </w:tcPr>
          <w:p w14:paraId="418A93C0" w14:textId="4F7AA65D" w:rsidR="002E5116" w:rsidRPr="009D52EB" w:rsidRDefault="002E5116" w:rsidP="009548B4">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Propanol</w:t>
            </w:r>
          </w:p>
        </w:tc>
        <w:tc>
          <w:tcPr>
            <w:tcW w:w="950" w:type="dxa"/>
            <w:vMerge/>
            <w:tcBorders>
              <w:top w:val="nil"/>
              <w:left w:val="nil"/>
              <w:bottom w:val="single" w:sz="24" w:space="0" w:color="auto"/>
              <w:right w:val="nil"/>
            </w:tcBorders>
            <w:shd w:val="clear" w:color="auto" w:fill="auto"/>
            <w:noWrap/>
            <w:vAlign w:val="bottom"/>
          </w:tcPr>
          <w:p w14:paraId="7C52F966" w14:textId="77777777" w:rsidR="002E5116" w:rsidRPr="009D52EB" w:rsidRDefault="002E5116" w:rsidP="009548B4">
            <w:pPr>
              <w:spacing w:after="0" w:line="240" w:lineRule="auto"/>
              <w:rPr>
                <w:rFonts w:ascii="Times New Roman" w:eastAsia="Times New Roman" w:hAnsi="Times New Roman" w:cs="Times New Roman"/>
                <w:sz w:val="18"/>
                <w:szCs w:val="18"/>
              </w:rPr>
            </w:pPr>
          </w:p>
        </w:tc>
        <w:tc>
          <w:tcPr>
            <w:tcW w:w="863" w:type="dxa"/>
            <w:vMerge/>
            <w:tcBorders>
              <w:top w:val="nil"/>
              <w:left w:val="nil"/>
              <w:bottom w:val="single" w:sz="24" w:space="0" w:color="auto"/>
              <w:right w:val="nil"/>
            </w:tcBorders>
            <w:shd w:val="clear" w:color="auto" w:fill="auto"/>
            <w:noWrap/>
            <w:vAlign w:val="bottom"/>
          </w:tcPr>
          <w:p w14:paraId="1636B74B" w14:textId="77777777" w:rsidR="002E5116" w:rsidRPr="009D52EB" w:rsidRDefault="002E5116" w:rsidP="009548B4">
            <w:pPr>
              <w:spacing w:after="0" w:line="240" w:lineRule="auto"/>
              <w:rPr>
                <w:rFonts w:ascii="Times New Roman" w:eastAsia="Times New Roman" w:hAnsi="Times New Roman" w:cs="Times New Roman"/>
                <w:sz w:val="18"/>
                <w:szCs w:val="18"/>
              </w:rPr>
            </w:pPr>
          </w:p>
        </w:tc>
        <w:tc>
          <w:tcPr>
            <w:tcW w:w="971" w:type="dxa"/>
            <w:vMerge/>
            <w:tcBorders>
              <w:top w:val="nil"/>
              <w:left w:val="nil"/>
              <w:bottom w:val="single" w:sz="24" w:space="0" w:color="auto"/>
              <w:right w:val="nil"/>
            </w:tcBorders>
            <w:shd w:val="clear" w:color="auto" w:fill="auto"/>
            <w:noWrap/>
            <w:vAlign w:val="bottom"/>
          </w:tcPr>
          <w:p w14:paraId="4C2267D3" w14:textId="77777777" w:rsidR="002E5116" w:rsidRPr="009D52EB" w:rsidRDefault="002E5116" w:rsidP="009548B4">
            <w:pPr>
              <w:spacing w:after="0" w:line="240" w:lineRule="auto"/>
              <w:rPr>
                <w:rFonts w:ascii="Times New Roman" w:eastAsia="Times New Roman" w:hAnsi="Times New Roman" w:cs="Times New Roman"/>
                <w:sz w:val="18"/>
                <w:szCs w:val="18"/>
              </w:rPr>
            </w:pPr>
          </w:p>
        </w:tc>
        <w:tc>
          <w:tcPr>
            <w:tcW w:w="1394" w:type="dxa"/>
            <w:vMerge/>
            <w:tcBorders>
              <w:top w:val="nil"/>
              <w:left w:val="nil"/>
              <w:bottom w:val="single" w:sz="24" w:space="0" w:color="auto"/>
              <w:right w:val="nil"/>
            </w:tcBorders>
            <w:shd w:val="clear" w:color="auto" w:fill="auto"/>
            <w:vAlign w:val="bottom"/>
          </w:tcPr>
          <w:p w14:paraId="5EF5F09A" w14:textId="77777777" w:rsidR="002E5116" w:rsidRPr="009D52EB" w:rsidRDefault="002E5116" w:rsidP="009548B4">
            <w:pPr>
              <w:spacing w:after="0" w:line="240" w:lineRule="auto"/>
              <w:rPr>
                <w:rFonts w:ascii="Times New Roman" w:eastAsia="Times New Roman" w:hAnsi="Times New Roman" w:cs="Times New Roman"/>
                <w:sz w:val="18"/>
                <w:szCs w:val="18"/>
              </w:rPr>
            </w:pPr>
          </w:p>
        </w:tc>
      </w:tr>
      <w:tr w:rsidR="002E5116" w:rsidRPr="009D52EB" w14:paraId="73E9FA2E" w14:textId="77777777" w:rsidTr="004A7ADC">
        <w:trPr>
          <w:trHeight w:val="290"/>
          <w:jc w:val="center"/>
        </w:trPr>
        <w:tc>
          <w:tcPr>
            <w:tcW w:w="1172" w:type="dxa"/>
            <w:tcBorders>
              <w:top w:val="single" w:sz="24" w:space="0" w:color="auto"/>
              <w:left w:val="nil"/>
              <w:bottom w:val="nil"/>
              <w:right w:val="nil"/>
            </w:tcBorders>
            <w:shd w:val="clear" w:color="auto" w:fill="auto"/>
            <w:noWrap/>
            <w:vAlign w:val="center"/>
            <w:hideMark/>
          </w:tcPr>
          <w:p w14:paraId="74B9F08B" w14:textId="03662241" w:rsidR="002E5116" w:rsidRPr="009D52EB" w:rsidRDefault="0084788F"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3.5</w:t>
            </w:r>
          </w:p>
        </w:tc>
        <w:tc>
          <w:tcPr>
            <w:tcW w:w="621" w:type="dxa"/>
            <w:tcBorders>
              <w:top w:val="single" w:sz="24" w:space="0" w:color="auto"/>
              <w:left w:val="nil"/>
              <w:bottom w:val="nil"/>
              <w:right w:val="nil"/>
            </w:tcBorders>
            <w:shd w:val="clear" w:color="auto" w:fill="auto"/>
            <w:noWrap/>
            <w:vAlign w:val="center"/>
            <w:hideMark/>
          </w:tcPr>
          <w:p w14:paraId="1C4DF425"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0.07</w:t>
            </w:r>
          </w:p>
        </w:tc>
        <w:tc>
          <w:tcPr>
            <w:tcW w:w="621" w:type="dxa"/>
            <w:tcBorders>
              <w:top w:val="single" w:sz="24" w:space="0" w:color="auto"/>
              <w:left w:val="nil"/>
              <w:bottom w:val="nil"/>
              <w:right w:val="nil"/>
            </w:tcBorders>
            <w:shd w:val="clear" w:color="auto" w:fill="auto"/>
            <w:noWrap/>
            <w:vAlign w:val="center"/>
            <w:hideMark/>
          </w:tcPr>
          <w:p w14:paraId="759BE0D1"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0.2</w:t>
            </w:r>
          </w:p>
        </w:tc>
        <w:tc>
          <w:tcPr>
            <w:tcW w:w="621" w:type="dxa"/>
            <w:tcBorders>
              <w:top w:val="single" w:sz="24" w:space="0" w:color="auto"/>
              <w:left w:val="nil"/>
              <w:bottom w:val="nil"/>
              <w:right w:val="nil"/>
            </w:tcBorders>
            <w:shd w:val="clear" w:color="auto" w:fill="auto"/>
            <w:noWrap/>
            <w:vAlign w:val="center"/>
            <w:hideMark/>
          </w:tcPr>
          <w:p w14:paraId="780CA6A9"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0.45</w:t>
            </w:r>
          </w:p>
        </w:tc>
        <w:tc>
          <w:tcPr>
            <w:tcW w:w="723" w:type="dxa"/>
            <w:tcBorders>
              <w:top w:val="single" w:sz="24" w:space="0" w:color="auto"/>
              <w:left w:val="nil"/>
              <w:bottom w:val="nil"/>
              <w:right w:val="nil"/>
            </w:tcBorders>
            <w:shd w:val="clear" w:color="auto" w:fill="auto"/>
            <w:noWrap/>
            <w:vAlign w:val="center"/>
            <w:hideMark/>
          </w:tcPr>
          <w:p w14:paraId="1862A199"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636" w:type="dxa"/>
            <w:tcBorders>
              <w:top w:val="single" w:sz="24" w:space="0" w:color="auto"/>
              <w:left w:val="nil"/>
              <w:bottom w:val="nil"/>
              <w:right w:val="nil"/>
            </w:tcBorders>
            <w:shd w:val="clear" w:color="auto" w:fill="auto"/>
            <w:noWrap/>
            <w:vAlign w:val="center"/>
            <w:hideMark/>
          </w:tcPr>
          <w:p w14:paraId="1ADE3C55"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0.175</w:t>
            </w:r>
          </w:p>
        </w:tc>
        <w:tc>
          <w:tcPr>
            <w:tcW w:w="766" w:type="dxa"/>
            <w:tcBorders>
              <w:top w:val="single" w:sz="24" w:space="0" w:color="auto"/>
              <w:left w:val="nil"/>
              <w:bottom w:val="nil"/>
              <w:right w:val="nil"/>
            </w:tcBorders>
            <w:shd w:val="clear" w:color="auto" w:fill="auto"/>
            <w:noWrap/>
            <w:vAlign w:val="center"/>
            <w:hideMark/>
          </w:tcPr>
          <w:p w14:paraId="5ABD42DF"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816" w:type="dxa"/>
            <w:tcBorders>
              <w:top w:val="single" w:sz="24" w:space="0" w:color="auto"/>
              <w:left w:val="nil"/>
              <w:bottom w:val="nil"/>
              <w:right w:val="nil"/>
            </w:tcBorders>
            <w:shd w:val="clear" w:color="auto" w:fill="auto"/>
            <w:noWrap/>
            <w:vAlign w:val="center"/>
            <w:hideMark/>
          </w:tcPr>
          <w:p w14:paraId="29BB557B"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877" w:type="dxa"/>
            <w:tcBorders>
              <w:top w:val="single" w:sz="24" w:space="0" w:color="auto"/>
              <w:left w:val="nil"/>
              <w:bottom w:val="nil"/>
              <w:right w:val="nil"/>
            </w:tcBorders>
            <w:shd w:val="clear" w:color="auto" w:fill="auto"/>
            <w:noWrap/>
            <w:vAlign w:val="center"/>
            <w:hideMark/>
          </w:tcPr>
          <w:p w14:paraId="12CB1BD0"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950" w:type="dxa"/>
            <w:tcBorders>
              <w:top w:val="single" w:sz="24" w:space="0" w:color="auto"/>
              <w:left w:val="nil"/>
              <w:bottom w:val="nil"/>
              <w:right w:val="nil"/>
            </w:tcBorders>
            <w:shd w:val="clear" w:color="auto" w:fill="auto"/>
            <w:noWrap/>
            <w:vAlign w:val="center"/>
          </w:tcPr>
          <w:p w14:paraId="14F6C305" w14:textId="46FD9935"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863" w:type="dxa"/>
            <w:tcBorders>
              <w:top w:val="single" w:sz="24" w:space="0" w:color="auto"/>
              <w:left w:val="nil"/>
              <w:bottom w:val="nil"/>
              <w:right w:val="nil"/>
            </w:tcBorders>
            <w:shd w:val="clear" w:color="auto" w:fill="auto"/>
            <w:noWrap/>
            <w:vAlign w:val="center"/>
            <w:hideMark/>
          </w:tcPr>
          <w:p w14:paraId="59A46318"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sz w:val="18"/>
                <w:szCs w:val="18"/>
              </w:rPr>
              <w:t>24%</w:t>
            </w:r>
          </w:p>
        </w:tc>
        <w:tc>
          <w:tcPr>
            <w:tcW w:w="971" w:type="dxa"/>
            <w:tcBorders>
              <w:top w:val="single" w:sz="24" w:space="0" w:color="auto"/>
              <w:left w:val="nil"/>
              <w:bottom w:val="nil"/>
              <w:right w:val="nil"/>
            </w:tcBorders>
            <w:shd w:val="clear" w:color="auto" w:fill="auto"/>
            <w:noWrap/>
            <w:vAlign w:val="center"/>
            <w:hideMark/>
          </w:tcPr>
          <w:p w14:paraId="127A661D" w14:textId="3B018061"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1394" w:type="dxa"/>
            <w:tcBorders>
              <w:top w:val="single" w:sz="24" w:space="0" w:color="auto"/>
              <w:left w:val="nil"/>
              <w:bottom w:val="nil"/>
              <w:right w:val="nil"/>
            </w:tcBorders>
            <w:shd w:val="clear" w:color="auto" w:fill="auto"/>
            <w:vAlign w:val="center"/>
          </w:tcPr>
          <w:p w14:paraId="7CAC2A91" w14:textId="51F1BCCA" w:rsidR="002E5116" w:rsidRPr="009D52EB" w:rsidRDefault="002E5116" w:rsidP="008B0BD8">
            <w:pPr>
              <w:spacing w:after="0" w:line="240" w:lineRule="auto"/>
              <w:jc w:val="center"/>
              <w:rPr>
                <w:rFonts w:ascii="Times New Roman" w:eastAsia="Times New Roman" w:hAnsi="Times New Roman" w:cs="Times New Roman"/>
                <w:sz w:val="14"/>
                <w:szCs w:val="14"/>
              </w:rPr>
            </w:pPr>
            <w:r w:rsidRPr="009D52EB">
              <w:rPr>
                <w:rFonts w:ascii="Times New Roman" w:eastAsia="Times New Roman" w:hAnsi="Times New Roman" w:cs="Times New Roman"/>
                <w:sz w:val="14"/>
                <w:szCs w:val="14"/>
              </w:rPr>
              <w:t>Alkaline FC</w:t>
            </w:r>
            <w:r w:rsidRPr="009D52EB">
              <w:rPr>
                <w:rFonts w:ascii="Times New Roman" w:eastAsia="Times New Roman" w:hAnsi="Times New Roman" w:cs="Times New Roman"/>
                <w:sz w:val="14"/>
                <w:szCs w:val="14"/>
              </w:rPr>
              <w:fldChar w:fldCharType="begin" w:fldLock="1"/>
            </w:r>
            <w:r w:rsidR="002B6039">
              <w:rPr>
                <w:rFonts w:ascii="Times New Roman" w:eastAsia="Times New Roman" w:hAnsi="Times New Roman" w:cs="Times New Roman"/>
                <w:sz w:val="14"/>
                <w:szCs w:val="14"/>
              </w:rPr>
              <w:instrText>ADDIN CSL_CITATION {"citationItems":[{"id":"ITEM-1","itemData":{"DOI":"10.1016/j.jpowsour.2015.09.124","ISSN":"0378-7753","author":[{"dropping-particle":"","family":"Ma","given":"Sichao","non-dropping-particle":"","parse-names":false,"suffix":""},{"dropping-particle":"","family":"Sadakiyo","given":"Masaaki","non-dropping-particle":"","parse-names":false,"suffix":""},{"dropping-particle":"","family":"Luo","given":"Raymond","non-dropping-particle":"","parse-names":false,"suffix":""},{"dropping-particle":"","family":"Heima","given":"Minako","non-dropping-particle":"","parse-names":false,"suffix":""},{"dropping-particle":"","family":"Yamauchi","given":"Miho","non-dropping-particle":"","parse-names":false,"suffix":""},{"dropping-particle":"","family":"Kenis","given":"Paul J A","non-dropping-particle":"","parse-names":false,"suffix":""}],"container-title":"Journal of Power Sources","id":"ITEM-1","issued":{"date-parts":[["2016"]]},"page":"219-228","publisher":"Elsevier B.V","title":"One-step electrosynthesis of ethylene and ethanol from CO 2 in an alkaline electrolyzer","type":"article-journal","volume":"301"},"uris":["http://www.mendeley.com/documents/?uuid=5b74b2b2-169f-4288-a305-70efc00d00a1"]}],"mendeley":{"formattedCitation":"&lt;sup&gt;14&lt;/sup&gt;","plainTextFormattedCitation":"14","previouslyFormattedCitation":"&lt;sup&gt;14&lt;/sup&gt;"},"properties":{"noteIndex":0},"schema":"https://github.com/citation-style-language/schema/raw/master/csl-citation.json"}</w:instrText>
            </w:r>
            <w:r w:rsidRPr="009D52EB">
              <w:rPr>
                <w:rFonts w:ascii="Times New Roman" w:eastAsia="Times New Roman" w:hAnsi="Times New Roman" w:cs="Times New Roman"/>
                <w:sz w:val="14"/>
                <w:szCs w:val="14"/>
              </w:rPr>
              <w:fldChar w:fldCharType="separate"/>
            </w:r>
            <w:r w:rsidR="007F7E70" w:rsidRPr="007F7E70">
              <w:rPr>
                <w:rFonts w:ascii="Times New Roman" w:eastAsia="Times New Roman" w:hAnsi="Times New Roman" w:cs="Times New Roman"/>
                <w:noProof/>
                <w:sz w:val="14"/>
                <w:szCs w:val="14"/>
                <w:vertAlign w:val="superscript"/>
              </w:rPr>
              <w:t>14</w:t>
            </w:r>
            <w:r w:rsidRPr="009D52EB">
              <w:rPr>
                <w:rFonts w:ascii="Times New Roman" w:eastAsia="Times New Roman" w:hAnsi="Times New Roman" w:cs="Times New Roman"/>
                <w:sz w:val="14"/>
                <w:szCs w:val="14"/>
              </w:rPr>
              <w:fldChar w:fldCharType="end"/>
            </w:r>
          </w:p>
        </w:tc>
      </w:tr>
      <w:tr w:rsidR="002E5116" w:rsidRPr="009D52EB" w14:paraId="17B5F162" w14:textId="77777777" w:rsidTr="004A7ADC">
        <w:trPr>
          <w:trHeight w:val="310"/>
          <w:jc w:val="center"/>
        </w:trPr>
        <w:tc>
          <w:tcPr>
            <w:tcW w:w="1172" w:type="dxa"/>
            <w:tcBorders>
              <w:top w:val="nil"/>
              <w:left w:val="nil"/>
              <w:bottom w:val="nil"/>
              <w:right w:val="nil"/>
            </w:tcBorders>
            <w:shd w:val="clear" w:color="auto" w:fill="auto"/>
            <w:noWrap/>
            <w:vAlign w:val="center"/>
            <w:hideMark/>
          </w:tcPr>
          <w:p w14:paraId="2739326B"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50</w:t>
            </w:r>
          </w:p>
        </w:tc>
        <w:tc>
          <w:tcPr>
            <w:tcW w:w="621" w:type="dxa"/>
            <w:tcBorders>
              <w:top w:val="nil"/>
              <w:left w:val="nil"/>
              <w:bottom w:val="nil"/>
              <w:right w:val="nil"/>
            </w:tcBorders>
            <w:shd w:val="clear" w:color="auto" w:fill="auto"/>
            <w:noWrap/>
            <w:vAlign w:val="center"/>
            <w:hideMark/>
          </w:tcPr>
          <w:p w14:paraId="584FF688"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0.07</w:t>
            </w:r>
          </w:p>
        </w:tc>
        <w:tc>
          <w:tcPr>
            <w:tcW w:w="621" w:type="dxa"/>
            <w:tcBorders>
              <w:top w:val="nil"/>
              <w:left w:val="nil"/>
              <w:bottom w:val="nil"/>
              <w:right w:val="nil"/>
            </w:tcBorders>
            <w:shd w:val="clear" w:color="auto" w:fill="auto"/>
            <w:noWrap/>
            <w:vAlign w:val="center"/>
            <w:hideMark/>
          </w:tcPr>
          <w:p w14:paraId="0EB19A13"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0.06</w:t>
            </w:r>
          </w:p>
        </w:tc>
        <w:tc>
          <w:tcPr>
            <w:tcW w:w="621" w:type="dxa"/>
            <w:tcBorders>
              <w:top w:val="nil"/>
              <w:left w:val="nil"/>
              <w:bottom w:val="nil"/>
              <w:right w:val="nil"/>
            </w:tcBorders>
            <w:shd w:val="clear" w:color="auto" w:fill="auto"/>
            <w:noWrap/>
            <w:vAlign w:val="center"/>
            <w:hideMark/>
          </w:tcPr>
          <w:p w14:paraId="4E707623"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0.7</w:t>
            </w:r>
          </w:p>
        </w:tc>
        <w:tc>
          <w:tcPr>
            <w:tcW w:w="723" w:type="dxa"/>
            <w:tcBorders>
              <w:top w:val="nil"/>
              <w:left w:val="nil"/>
              <w:bottom w:val="nil"/>
              <w:right w:val="nil"/>
            </w:tcBorders>
            <w:shd w:val="clear" w:color="auto" w:fill="auto"/>
            <w:noWrap/>
            <w:vAlign w:val="center"/>
            <w:hideMark/>
          </w:tcPr>
          <w:p w14:paraId="4B70EF23"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0.02</w:t>
            </w:r>
          </w:p>
        </w:tc>
        <w:tc>
          <w:tcPr>
            <w:tcW w:w="636" w:type="dxa"/>
            <w:tcBorders>
              <w:top w:val="nil"/>
              <w:left w:val="nil"/>
              <w:bottom w:val="nil"/>
              <w:right w:val="nil"/>
            </w:tcBorders>
            <w:shd w:val="clear" w:color="auto" w:fill="auto"/>
            <w:noWrap/>
            <w:vAlign w:val="center"/>
            <w:hideMark/>
          </w:tcPr>
          <w:p w14:paraId="4692E410"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0.1</w:t>
            </w:r>
          </w:p>
        </w:tc>
        <w:tc>
          <w:tcPr>
            <w:tcW w:w="766" w:type="dxa"/>
            <w:tcBorders>
              <w:top w:val="nil"/>
              <w:left w:val="nil"/>
              <w:bottom w:val="nil"/>
              <w:right w:val="nil"/>
            </w:tcBorders>
            <w:shd w:val="clear" w:color="auto" w:fill="auto"/>
            <w:noWrap/>
            <w:vAlign w:val="center"/>
            <w:hideMark/>
          </w:tcPr>
          <w:p w14:paraId="0C440532"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0.05</w:t>
            </w:r>
          </w:p>
        </w:tc>
        <w:tc>
          <w:tcPr>
            <w:tcW w:w="816" w:type="dxa"/>
            <w:tcBorders>
              <w:top w:val="nil"/>
              <w:left w:val="nil"/>
              <w:bottom w:val="nil"/>
              <w:right w:val="nil"/>
            </w:tcBorders>
            <w:shd w:val="clear" w:color="auto" w:fill="auto"/>
            <w:noWrap/>
            <w:vAlign w:val="center"/>
            <w:hideMark/>
          </w:tcPr>
          <w:p w14:paraId="2887F84D"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877" w:type="dxa"/>
            <w:tcBorders>
              <w:top w:val="nil"/>
              <w:left w:val="nil"/>
              <w:bottom w:val="nil"/>
              <w:right w:val="nil"/>
            </w:tcBorders>
            <w:shd w:val="clear" w:color="auto" w:fill="auto"/>
            <w:noWrap/>
            <w:vAlign w:val="center"/>
            <w:hideMark/>
          </w:tcPr>
          <w:p w14:paraId="034D711A"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950" w:type="dxa"/>
            <w:tcBorders>
              <w:top w:val="nil"/>
              <w:left w:val="nil"/>
              <w:bottom w:val="nil"/>
              <w:right w:val="nil"/>
            </w:tcBorders>
            <w:shd w:val="clear" w:color="auto" w:fill="auto"/>
            <w:noWrap/>
            <w:vAlign w:val="center"/>
          </w:tcPr>
          <w:p w14:paraId="4CF89EBA" w14:textId="24DBB169"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863" w:type="dxa"/>
            <w:tcBorders>
              <w:top w:val="nil"/>
              <w:left w:val="nil"/>
              <w:bottom w:val="nil"/>
              <w:right w:val="nil"/>
            </w:tcBorders>
            <w:shd w:val="clear" w:color="auto" w:fill="auto"/>
            <w:noWrap/>
            <w:vAlign w:val="center"/>
            <w:hideMark/>
          </w:tcPr>
          <w:p w14:paraId="78EE2CD2"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sz w:val="18"/>
                <w:szCs w:val="18"/>
              </w:rPr>
              <w:t>0.5%</w:t>
            </w:r>
          </w:p>
        </w:tc>
        <w:tc>
          <w:tcPr>
            <w:tcW w:w="971" w:type="dxa"/>
            <w:tcBorders>
              <w:top w:val="nil"/>
              <w:left w:val="nil"/>
              <w:bottom w:val="nil"/>
              <w:right w:val="nil"/>
            </w:tcBorders>
            <w:shd w:val="clear" w:color="auto" w:fill="auto"/>
            <w:noWrap/>
            <w:vAlign w:val="center"/>
            <w:hideMark/>
          </w:tcPr>
          <w:p w14:paraId="643A70AB" w14:textId="717F892C"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1394" w:type="dxa"/>
            <w:tcBorders>
              <w:top w:val="nil"/>
              <w:left w:val="nil"/>
              <w:bottom w:val="nil"/>
              <w:right w:val="nil"/>
            </w:tcBorders>
            <w:shd w:val="clear" w:color="auto" w:fill="auto"/>
            <w:vAlign w:val="center"/>
          </w:tcPr>
          <w:p w14:paraId="31013E0B" w14:textId="2E06428F" w:rsidR="002E5116" w:rsidRPr="009D52EB" w:rsidRDefault="002E5116" w:rsidP="008B0BD8">
            <w:pPr>
              <w:spacing w:after="0" w:line="240" w:lineRule="auto"/>
              <w:jc w:val="center"/>
              <w:rPr>
                <w:rFonts w:ascii="Times New Roman" w:eastAsia="Times New Roman" w:hAnsi="Times New Roman" w:cs="Times New Roman"/>
                <w:sz w:val="14"/>
                <w:szCs w:val="14"/>
              </w:rPr>
            </w:pPr>
            <w:r w:rsidRPr="009D52EB">
              <w:rPr>
                <w:rFonts w:ascii="Times New Roman" w:eastAsia="Times New Roman" w:hAnsi="Times New Roman" w:cs="Times New Roman"/>
                <w:sz w:val="14"/>
                <w:szCs w:val="14"/>
              </w:rPr>
              <w:t>Alkaline FC</w:t>
            </w:r>
            <w:r w:rsidRPr="009D52EB">
              <w:rPr>
                <w:rFonts w:ascii="Times New Roman" w:eastAsia="Times New Roman" w:hAnsi="Times New Roman" w:cs="Times New Roman"/>
                <w:sz w:val="14"/>
                <w:szCs w:val="14"/>
              </w:rPr>
              <w:fldChar w:fldCharType="begin" w:fldLock="1"/>
            </w:r>
            <w:r w:rsidR="002B6039">
              <w:rPr>
                <w:rFonts w:ascii="Times New Roman" w:eastAsia="Times New Roman" w:hAnsi="Times New Roman" w:cs="Times New Roman"/>
                <w:sz w:val="14"/>
                <w:szCs w:val="14"/>
              </w:rPr>
              <w:instrText>ADDIN CSL_CITATION {"citationItems":[{"id":"ITEM-1","itemData":{"DOI":"10.1126/science.aas9100","ISSN":"10959203","abstract":"Carbon dioxide (CO2) electroreduction could provide a useful source of ethylene, but low conversion efficiency, low production rates, and low catalyst stability limit current systems. Here we report that a copper electrocatalyst at an abrupt reaction interface in an alkaline electrolyte reduces CO2 to ethylene with 70% faradaic efficiency at a potential of -0.55 volts versus a reversible hydrogen electrode (RHE). Hydroxide ions on or near the copper surface lower the CO2 reduction and carbon monoxide (CO)-CO coupling activation energy barriers; as a result, onset of ethylene evolution at -0.165 volts versus an RHE in 10 molar potassium hydroxide occurs almost simultaneously with CO production. Operational stability was enhanced via the introduction of a polymer-based gas diffusion layer that sandwiches the reaction interface between separate hydrophobic and conductive supports, providing constant ethylene selectivity for an initial 150 operating hours.","author":[{"dropping-particle":"","family":"Dinh","given":"Cao Thang","non-dropping-particle":"","parse-names":false,"suffix":""},{"dropping-particle":"","family":"Burdyny","given":"Thomas","non-dropping-particle":"","parse-names":false,"suffix":""},{"dropping-particle":"","family":"Kibria","given":"Golam","non-dropping-particle":"","parse-names":false,"suffix":""},{"dropping-particle":"","family":"Seifitokaldani","given":"Ali","non-dropping-particle":"","parse-names":false,"suffix":""},{"dropping-particle":"","family":"Gabardo","given":"Christine M.","non-dropping-particle":"","parse-names":false,"suffix":""},{"dropping-particle":"","family":"Pelayo García De Arquer","given":"F.","non-dropping-particle":"","parse-names":false,"suffix":""},{"dropping-particle":"","family":"Kiani","given":"Amirreza","non-dropping-particle":"","parse-names":false,"suffix":""},{"dropping-particle":"","family":"Edwards","given":"Jonathan P.","non-dropping-particle":"","parse-names":false,"suffix":""},{"dropping-particle":"","family":"Luna","given":"Phil","non-dropping-particle":"De","parse-names":false,"suffix":""},{"dropping-particle":"","family":"Bushuyev","given":"Oleksandr S.","non-dropping-particle":"","parse-names":false,"suffix":""},{"dropping-particle":"","family":"Zou","given":"Chengqin","non-dropping-particle":"","parse-names":false,"suffix":""},{"dropping-particle":"","family":"Quintero-Bermudez","given":"Rafael","non-dropping-particle":"","parse-names":false,"suffix":""},{"dropping-particle":"","family":"Pang","given":"Yuanjie","non-dropping-particle":"","parse-names":false,"suffix":""},{"dropping-particle":"","family":"Sinton","given":"David","non-dropping-particle":"","parse-names":false,"suffix":""},{"dropping-particle":"","family":"Sargent","given":"Edward H.","non-dropping-particle":"","parse-names":false,"suffix":""}],"container-title":"Science","id":"ITEM-1","issue":"6390","issued":{"date-parts":[["2018"]]},"page":"783-787","title":"CO2 electroreduction to ethylene via hydroxide-mediated copper catalysis at an abrupt interface","type":"article-journal","volume":"360"},"uris":["http://www.mendeley.com/documents/?uuid=b9968fbd-c2bf-4af0-b0ff-3bfae4368944"]}],"mendeley":{"formattedCitation":"&lt;sup&gt;7&lt;/sup&gt;","plainTextFormattedCitation":"7","previouslyFormattedCitation":"&lt;sup&gt;7&lt;/sup&gt;"},"properties":{"noteIndex":0},"schema":"https://github.com/citation-style-language/schema/raw/master/csl-citation.json"}</w:instrText>
            </w:r>
            <w:r w:rsidRPr="009D52EB">
              <w:rPr>
                <w:rFonts w:ascii="Times New Roman" w:eastAsia="Times New Roman" w:hAnsi="Times New Roman" w:cs="Times New Roman"/>
                <w:sz w:val="14"/>
                <w:szCs w:val="14"/>
              </w:rPr>
              <w:fldChar w:fldCharType="separate"/>
            </w:r>
            <w:r w:rsidR="007F7E70" w:rsidRPr="007F7E70">
              <w:rPr>
                <w:rFonts w:ascii="Times New Roman" w:eastAsia="Times New Roman" w:hAnsi="Times New Roman" w:cs="Times New Roman"/>
                <w:noProof/>
                <w:sz w:val="14"/>
                <w:szCs w:val="14"/>
                <w:vertAlign w:val="superscript"/>
              </w:rPr>
              <w:t>7</w:t>
            </w:r>
            <w:r w:rsidRPr="009D52EB">
              <w:rPr>
                <w:rFonts w:ascii="Times New Roman" w:eastAsia="Times New Roman" w:hAnsi="Times New Roman" w:cs="Times New Roman"/>
                <w:sz w:val="14"/>
                <w:szCs w:val="14"/>
              </w:rPr>
              <w:fldChar w:fldCharType="end"/>
            </w:r>
          </w:p>
        </w:tc>
      </w:tr>
      <w:tr w:rsidR="002E5116" w:rsidRPr="009D52EB" w14:paraId="20119A00" w14:textId="77777777" w:rsidTr="004A7ADC">
        <w:trPr>
          <w:trHeight w:val="290"/>
          <w:jc w:val="center"/>
        </w:trPr>
        <w:tc>
          <w:tcPr>
            <w:tcW w:w="1172" w:type="dxa"/>
            <w:tcBorders>
              <w:top w:val="nil"/>
              <w:left w:val="nil"/>
              <w:bottom w:val="nil"/>
              <w:right w:val="nil"/>
            </w:tcBorders>
            <w:shd w:val="clear" w:color="auto" w:fill="auto"/>
            <w:noWrap/>
            <w:vAlign w:val="center"/>
            <w:hideMark/>
          </w:tcPr>
          <w:p w14:paraId="45A133BF" w14:textId="39BD58FA" w:rsidR="002E5116" w:rsidRPr="009D52EB" w:rsidRDefault="0084788F"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8.5</w:t>
            </w:r>
          </w:p>
        </w:tc>
        <w:tc>
          <w:tcPr>
            <w:tcW w:w="621" w:type="dxa"/>
            <w:tcBorders>
              <w:top w:val="nil"/>
              <w:left w:val="nil"/>
              <w:bottom w:val="nil"/>
              <w:right w:val="nil"/>
            </w:tcBorders>
            <w:shd w:val="clear" w:color="auto" w:fill="auto"/>
            <w:noWrap/>
            <w:vAlign w:val="center"/>
            <w:hideMark/>
          </w:tcPr>
          <w:p w14:paraId="544B016C"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0.36</w:t>
            </w:r>
          </w:p>
        </w:tc>
        <w:tc>
          <w:tcPr>
            <w:tcW w:w="621" w:type="dxa"/>
            <w:tcBorders>
              <w:top w:val="nil"/>
              <w:left w:val="nil"/>
              <w:bottom w:val="nil"/>
              <w:right w:val="nil"/>
            </w:tcBorders>
            <w:shd w:val="clear" w:color="auto" w:fill="auto"/>
            <w:noWrap/>
            <w:vAlign w:val="center"/>
            <w:hideMark/>
          </w:tcPr>
          <w:p w14:paraId="5C8280AC"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0.64</w:t>
            </w:r>
          </w:p>
        </w:tc>
        <w:tc>
          <w:tcPr>
            <w:tcW w:w="621" w:type="dxa"/>
            <w:tcBorders>
              <w:top w:val="nil"/>
              <w:left w:val="nil"/>
              <w:bottom w:val="nil"/>
              <w:right w:val="nil"/>
            </w:tcBorders>
            <w:shd w:val="clear" w:color="auto" w:fill="auto"/>
            <w:noWrap/>
            <w:vAlign w:val="center"/>
            <w:hideMark/>
          </w:tcPr>
          <w:p w14:paraId="158F2AAB"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723" w:type="dxa"/>
            <w:tcBorders>
              <w:top w:val="nil"/>
              <w:left w:val="nil"/>
              <w:bottom w:val="nil"/>
              <w:right w:val="nil"/>
            </w:tcBorders>
            <w:shd w:val="clear" w:color="auto" w:fill="auto"/>
            <w:noWrap/>
            <w:vAlign w:val="center"/>
            <w:hideMark/>
          </w:tcPr>
          <w:p w14:paraId="30648FFA"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636" w:type="dxa"/>
            <w:tcBorders>
              <w:top w:val="nil"/>
              <w:left w:val="nil"/>
              <w:bottom w:val="nil"/>
              <w:right w:val="nil"/>
            </w:tcBorders>
            <w:shd w:val="clear" w:color="auto" w:fill="auto"/>
            <w:noWrap/>
            <w:vAlign w:val="center"/>
            <w:hideMark/>
          </w:tcPr>
          <w:p w14:paraId="1CF449F5"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766" w:type="dxa"/>
            <w:tcBorders>
              <w:top w:val="nil"/>
              <w:left w:val="nil"/>
              <w:bottom w:val="nil"/>
              <w:right w:val="nil"/>
            </w:tcBorders>
            <w:shd w:val="clear" w:color="auto" w:fill="auto"/>
            <w:noWrap/>
            <w:vAlign w:val="center"/>
            <w:hideMark/>
          </w:tcPr>
          <w:p w14:paraId="62C5F134"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816" w:type="dxa"/>
            <w:tcBorders>
              <w:top w:val="nil"/>
              <w:left w:val="nil"/>
              <w:bottom w:val="nil"/>
              <w:right w:val="nil"/>
            </w:tcBorders>
            <w:shd w:val="clear" w:color="auto" w:fill="auto"/>
            <w:noWrap/>
            <w:vAlign w:val="center"/>
            <w:hideMark/>
          </w:tcPr>
          <w:p w14:paraId="5EC33061"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877" w:type="dxa"/>
            <w:tcBorders>
              <w:top w:val="nil"/>
              <w:left w:val="nil"/>
              <w:bottom w:val="nil"/>
              <w:right w:val="nil"/>
            </w:tcBorders>
            <w:shd w:val="clear" w:color="auto" w:fill="auto"/>
            <w:noWrap/>
            <w:vAlign w:val="center"/>
            <w:hideMark/>
          </w:tcPr>
          <w:p w14:paraId="0123E6F0"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950" w:type="dxa"/>
            <w:tcBorders>
              <w:top w:val="nil"/>
              <w:left w:val="nil"/>
              <w:bottom w:val="nil"/>
              <w:right w:val="nil"/>
            </w:tcBorders>
            <w:shd w:val="clear" w:color="auto" w:fill="auto"/>
            <w:noWrap/>
            <w:vAlign w:val="center"/>
          </w:tcPr>
          <w:p w14:paraId="595F35AA" w14:textId="1B31BE1F"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863" w:type="dxa"/>
            <w:tcBorders>
              <w:top w:val="nil"/>
              <w:left w:val="nil"/>
              <w:bottom w:val="nil"/>
              <w:right w:val="nil"/>
            </w:tcBorders>
            <w:shd w:val="clear" w:color="auto" w:fill="auto"/>
            <w:noWrap/>
            <w:vAlign w:val="center"/>
            <w:hideMark/>
          </w:tcPr>
          <w:p w14:paraId="349AA89B"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sz w:val="18"/>
                <w:szCs w:val="18"/>
              </w:rPr>
              <w:t>21%</w:t>
            </w:r>
          </w:p>
        </w:tc>
        <w:tc>
          <w:tcPr>
            <w:tcW w:w="971" w:type="dxa"/>
            <w:tcBorders>
              <w:top w:val="nil"/>
              <w:left w:val="nil"/>
              <w:bottom w:val="nil"/>
              <w:right w:val="nil"/>
            </w:tcBorders>
            <w:shd w:val="clear" w:color="auto" w:fill="auto"/>
            <w:noWrap/>
            <w:vAlign w:val="center"/>
            <w:hideMark/>
          </w:tcPr>
          <w:p w14:paraId="2C430C30" w14:textId="53B6C6E1"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1394" w:type="dxa"/>
            <w:tcBorders>
              <w:top w:val="nil"/>
              <w:left w:val="nil"/>
              <w:bottom w:val="nil"/>
              <w:right w:val="nil"/>
            </w:tcBorders>
            <w:shd w:val="clear" w:color="auto" w:fill="auto"/>
            <w:vAlign w:val="center"/>
          </w:tcPr>
          <w:p w14:paraId="23376B06" w14:textId="038F4F7E" w:rsidR="002E5116" w:rsidRPr="009D52EB" w:rsidRDefault="002E5116" w:rsidP="008B0BD8">
            <w:pPr>
              <w:spacing w:after="0" w:line="240" w:lineRule="auto"/>
              <w:jc w:val="center"/>
              <w:rPr>
                <w:rFonts w:ascii="Times New Roman" w:eastAsia="Times New Roman" w:hAnsi="Times New Roman" w:cs="Times New Roman"/>
                <w:sz w:val="14"/>
                <w:szCs w:val="14"/>
              </w:rPr>
            </w:pPr>
            <w:r w:rsidRPr="009D52EB">
              <w:rPr>
                <w:rFonts w:ascii="Times New Roman" w:eastAsia="Times New Roman" w:hAnsi="Times New Roman" w:cs="Times New Roman"/>
                <w:sz w:val="14"/>
                <w:szCs w:val="14"/>
              </w:rPr>
              <w:t>Alkaline FC</w:t>
            </w:r>
            <w:r w:rsidRPr="009D52EB">
              <w:rPr>
                <w:rFonts w:ascii="Times New Roman" w:eastAsia="Times New Roman" w:hAnsi="Times New Roman" w:cs="Times New Roman"/>
                <w:sz w:val="14"/>
                <w:szCs w:val="14"/>
              </w:rPr>
              <w:fldChar w:fldCharType="begin" w:fldLock="1"/>
            </w:r>
            <w:r w:rsidR="002B6039">
              <w:rPr>
                <w:rFonts w:ascii="Times New Roman" w:eastAsia="Times New Roman" w:hAnsi="Times New Roman" w:cs="Times New Roman"/>
                <w:sz w:val="14"/>
                <w:szCs w:val="14"/>
              </w:rPr>
              <w:instrText>ADDIN CSL_CITATION {"citationItems":[{"id":"ITEM-1","itemData":{"DOI":"10.1021/acsenergylett.7b01096","ISSN":"23808195","abstract":"Cost competitive electroreduction of CO2 to CO requires electrochemical systems that exhibit partial current density (jCO) exceeding 150 mA cm-2 at cell overpotentials (|ηcell|) less than 1 V. However, achieving such benchmarks remains difficult. Here, we report the electroreduction of CO2 on a supported gold catalyst in an alkaline flow electrolyzer with performance levels close to the economic viability criteria. Onset of CO production occurred at cell and cathode overpotentials of just -0.25 and -0.02 V, respectively. High jCO (</w:instrText>
            </w:r>
            <w:r w:rsidR="002B6039">
              <w:rPr>
                <w:rFonts w:ascii="Cambria Math" w:eastAsia="Times New Roman" w:hAnsi="Cambria Math" w:cs="Cambria Math"/>
                <w:sz w:val="14"/>
                <w:szCs w:val="14"/>
              </w:rPr>
              <w:instrText>∼</w:instrText>
            </w:r>
            <w:r w:rsidR="002B6039">
              <w:rPr>
                <w:rFonts w:ascii="Times New Roman" w:eastAsia="Times New Roman" w:hAnsi="Times New Roman" w:cs="Times New Roman"/>
                <w:sz w:val="14"/>
                <w:szCs w:val="14"/>
              </w:rPr>
              <w:instrText>99, 158 mA cm-2) was obtained at low |ηcell| (</w:instrText>
            </w:r>
            <w:r w:rsidR="002B6039">
              <w:rPr>
                <w:rFonts w:ascii="Cambria Math" w:eastAsia="Times New Roman" w:hAnsi="Cambria Math" w:cs="Cambria Math"/>
                <w:sz w:val="14"/>
                <w:szCs w:val="14"/>
              </w:rPr>
              <w:instrText>∼</w:instrText>
            </w:r>
            <w:r w:rsidR="002B6039">
              <w:rPr>
                <w:rFonts w:ascii="Times New Roman" w:eastAsia="Times New Roman" w:hAnsi="Times New Roman" w:cs="Times New Roman"/>
                <w:sz w:val="14"/>
                <w:szCs w:val="14"/>
              </w:rPr>
              <w:instrText>0.70, 0.94 V) and high CO energetic efficiency (</w:instrText>
            </w:r>
            <w:r w:rsidR="002B6039">
              <w:rPr>
                <w:rFonts w:ascii="Cambria Math" w:eastAsia="Times New Roman" w:hAnsi="Cambria Math" w:cs="Cambria Math"/>
                <w:sz w:val="14"/>
                <w:szCs w:val="14"/>
              </w:rPr>
              <w:instrText>∼</w:instrText>
            </w:r>
            <w:r w:rsidR="002B6039">
              <w:rPr>
                <w:rFonts w:ascii="Times New Roman" w:eastAsia="Times New Roman" w:hAnsi="Times New Roman" w:cs="Times New Roman"/>
                <w:sz w:val="14"/>
                <w:szCs w:val="14"/>
              </w:rPr>
              <w:instrText>63.8, 49.4%). The performance was stable for at least 8 h. Additionally, the onset cathode potentials, kinetic isotope effect, and Tafel slopes indicate the low overpotential production of CO in alkaline media to be the result of a pH-independent rate-determining step (i.e., electron transfer) in contrast to a pH-dependent overall process.","author":[{"dropping-particle":"","family":"Verma","given":"Sumit","non-dropping-particle":"","parse-names":false,"suffix":""},{"dropping-particle":"","family":"Hamasaki","given":"Yuki","non-dropping-particle":"","parse-names":false,"suffix":""},{"dropping-particle":"","family":"Kim","given":"Chaerin","non-dropping-particle":"","parse-names":false,"suffix":""},{"dropping-particle":"","family":"Huang","given":"Wenxin","non-dropping-particle":"","parse-names":false,"suffix":""},{"dropping-particle":"","family":"Lu","given":"Shawn","non-dropping-particle":"","parse-names":false,"suffix":""},{"dropping-particle":"","family":"Jhong","given":"Huei Ru Molly","non-dropping-particle":"","parse-names":false,"suffix":""},{"dropping-particle":"","family":"Gewirth","given":"Andrew A.","non-dropping-particle":"","parse-names":false,"suffix":""},{"dropping-particle":"","family":"Fujigaya","given":"Tsuyohiko","non-dropping-particle":"","parse-names":false,"suffix":""},{"dropping-particle":"","family":"Nakashima","given":"Naotoshi","non-dropping-particle":"","parse-names":false,"suffix":""},{"dropping-particle":"","family":"Kenis","given":"Paul J.A.","non-dropping-particle":"","parse-names":false,"suffix":""}],"container-title":"ACS Energy Letters","id":"ITEM-1","issue":"1","issued":{"date-parts":[["2018"]]},"page":"193-198","title":"Insights into the Low Overpotential Electroreduction of CO2 to CO on a Supported Gold Catalyst in an Alkaline Flow Electrolyzer","type":"article-journal","volume":"3"},"uris":["http://www.mendeley.com/documents/?uuid=8f03c3e7-2bef-4ab4-89a6-a5fc0c40a406"]}],"mendeley":{"formattedCitation":"&lt;sup&gt;15&lt;/sup&gt;","plainTextFormattedCitation":"15","previouslyFormattedCitation":"&lt;sup&gt;15&lt;/sup&gt;"},"properties":{"noteIndex":0},"schema":"https://github.com/citation-style-language/schema/raw/master/csl-citation.json"}</w:instrText>
            </w:r>
            <w:r w:rsidRPr="009D52EB">
              <w:rPr>
                <w:rFonts w:ascii="Times New Roman" w:eastAsia="Times New Roman" w:hAnsi="Times New Roman" w:cs="Times New Roman"/>
                <w:sz w:val="14"/>
                <w:szCs w:val="14"/>
              </w:rPr>
              <w:fldChar w:fldCharType="separate"/>
            </w:r>
            <w:r w:rsidR="007F7E70" w:rsidRPr="007F7E70">
              <w:rPr>
                <w:rFonts w:ascii="Times New Roman" w:eastAsia="Times New Roman" w:hAnsi="Times New Roman" w:cs="Times New Roman"/>
                <w:noProof/>
                <w:sz w:val="14"/>
                <w:szCs w:val="14"/>
                <w:vertAlign w:val="superscript"/>
              </w:rPr>
              <w:t>15</w:t>
            </w:r>
            <w:r w:rsidRPr="009D52EB">
              <w:rPr>
                <w:rFonts w:ascii="Times New Roman" w:eastAsia="Times New Roman" w:hAnsi="Times New Roman" w:cs="Times New Roman"/>
                <w:sz w:val="14"/>
                <w:szCs w:val="14"/>
              </w:rPr>
              <w:fldChar w:fldCharType="end"/>
            </w:r>
          </w:p>
        </w:tc>
      </w:tr>
      <w:tr w:rsidR="002E5116" w:rsidRPr="009D52EB" w14:paraId="39B97FA5" w14:textId="77777777" w:rsidTr="004A7ADC">
        <w:trPr>
          <w:trHeight w:val="290"/>
          <w:jc w:val="center"/>
        </w:trPr>
        <w:tc>
          <w:tcPr>
            <w:tcW w:w="1172" w:type="dxa"/>
            <w:tcBorders>
              <w:top w:val="nil"/>
              <w:left w:val="nil"/>
              <w:bottom w:val="nil"/>
              <w:right w:val="nil"/>
            </w:tcBorders>
            <w:shd w:val="clear" w:color="auto" w:fill="auto"/>
            <w:noWrap/>
            <w:vAlign w:val="center"/>
            <w:hideMark/>
          </w:tcPr>
          <w:p w14:paraId="675E6220" w14:textId="6CDBB965" w:rsidR="002E5116" w:rsidRPr="009D52EB" w:rsidRDefault="0084788F"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25</w:t>
            </w:r>
          </w:p>
        </w:tc>
        <w:tc>
          <w:tcPr>
            <w:tcW w:w="621" w:type="dxa"/>
            <w:tcBorders>
              <w:top w:val="nil"/>
              <w:left w:val="nil"/>
              <w:bottom w:val="nil"/>
              <w:right w:val="nil"/>
            </w:tcBorders>
            <w:shd w:val="clear" w:color="auto" w:fill="auto"/>
            <w:noWrap/>
            <w:vAlign w:val="center"/>
            <w:hideMark/>
          </w:tcPr>
          <w:p w14:paraId="2AE7411D"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0.02</w:t>
            </w:r>
          </w:p>
        </w:tc>
        <w:tc>
          <w:tcPr>
            <w:tcW w:w="621" w:type="dxa"/>
            <w:tcBorders>
              <w:top w:val="nil"/>
              <w:left w:val="nil"/>
              <w:bottom w:val="nil"/>
              <w:right w:val="nil"/>
            </w:tcBorders>
            <w:shd w:val="clear" w:color="auto" w:fill="auto"/>
            <w:noWrap/>
            <w:vAlign w:val="center"/>
            <w:hideMark/>
          </w:tcPr>
          <w:p w14:paraId="04B9C710" w14:textId="1F1EBF16"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0.95</w:t>
            </w:r>
          </w:p>
        </w:tc>
        <w:tc>
          <w:tcPr>
            <w:tcW w:w="621" w:type="dxa"/>
            <w:tcBorders>
              <w:top w:val="nil"/>
              <w:left w:val="nil"/>
              <w:bottom w:val="nil"/>
              <w:right w:val="nil"/>
            </w:tcBorders>
            <w:shd w:val="clear" w:color="auto" w:fill="auto"/>
            <w:noWrap/>
            <w:vAlign w:val="center"/>
            <w:hideMark/>
          </w:tcPr>
          <w:p w14:paraId="661655E6" w14:textId="725FADBB"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723" w:type="dxa"/>
            <w:tcBorders>
              <w:top w:val="nil"/>
              <w:left w:val="nil"/>
              <w:bottom w:val="nil"/>
              <w:right w:val="nil"/>
            </w:tcBorders>
            <w:shd w:val="clear" w:color="auto" w:fill="auto"/>
            <w:noWrap/>
            <w:vAlign w:val="center"/>
            <w:hideMark/>
          </w:tcPr>
          <w:p w14:paraId="01EA5564" w14:textId="2852BCCD"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636" w:type="dxa"/>
            <w:tcBorders>
              <w:top w:val="nil"/>
              <w:left w:val="nil"/>
              <w:bottom w:val="nil"/>
              <w:right w:val="nil"/>
            </w:tcBorders>
            <w:shd w:val="clear" w:color="auto" w:fill="auto"/>
            <w:noWrap/>
            <w:vAlign w:val="center"/>
            <w:hideMark/>
          </w:tcPr>
          <w:p w14:paraId="15DA81F9" w14:textId="7049B80A"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766" w:type="dxa"/>
            <w:tcBorders>
              <w:top w:val="nil"/>
              <w:left w:val="nil"/>
              <w:bottom w:val="nil"/>
              <w:right w:val="nil"/>
            </w:tcBorders>
            <w:shd w:val="clear" w:color="auto" w:fill="auto"/>
            <w:noWrap/>
            <w:vAlign w:val="center"/>
            <w:hideMark/>
          </w:tcPr>
          <w:p w14:paraId="7AB8DA1D" w14:textId="15E7524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816" w:type="dxa"/>
            <w:tcBorders>
              <w:top w:val="nil"/>
              <w:left w:val="nil"/>
              <w:bottom w:val="nil"/>
              <w:right w:val="nil"/>
            </w:tcBorders>
            <w:shd w:val="clear" w:color="auto" w:fill="auto"/>
            <w:noWrap/>
            <w:vAlign w:val="center"/>
            <w:hideMark/>
          </w:tcPr>
          <w:p w14:paraId="20948545"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877" w:type="dxa"/>
            <w:tcBorders>
              <w:top w:val="nil"/>
              <w:left w:val="nil"/>
              <w:bottom w:val="nil"/>
              <w:right w:val="nil"/>
            </w:tcBorders>
            <w:shd w:val="clear" w:color="auto" w:fill="auto"/>
            <w:noWrap/>
            <w:vAlign w:val="center"/>
            <w:hideMark/>
          </w:tcPr>
          <w:p w14:paraId="7CC96FEB"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950" w:type="dxa"/>
            <w:tcBorders>
              <w:top w:val="nil"/>
              <w:left w:val="nil"/>
              <w:bottom w:val="nil"/>
              <w:right w:val="nil"/>
            </w:tcBorders>
            <w:shd w:val="clear" w:color="auto" w:fill="auto"/>
            <w:noWrap/>
            <w:vAlign w:val="center"/>
          </w:tcPr>
          <w:p w14:paraId="56D791FE" w14:textId="5E576ED8"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863" w:type="dxa"/>
            <w:tcBorders>
              <w:top w:val="nil"/>
              <w:left w:val="nil"/>
              <w:bottom w:val="nil"/>
              <w:right w:val="nil"/>
            </w:tcBorders>
            <w:shd w:val="clear" w:color="auto" w:fill="auto"/>
            <w:noWrap/>
            <w:vAlign w:val="center"/>
            <w:hideMark/>
          </w:tcPr>
          <w:p w14:paraId="27088E6C"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sz w:val="18"/>
                <w:szCs w:val="18"/>
              </w:rPr>
              <w:t>7%</w:t>
            </w:r>
          </w:p>
        </w:tc>
        <w:tc>
          <w:tcPr>
            <w:tcW w:w="971" w:type="dxa"/>
            <w:tcBorders>
              <w:top w:val="nil"/>
              <w:left w:val="nil"/>
              <w:bottom w:val="nil"/>
              <w:right w:val="nil"/>
            </w:tcBorders>
            <w:shd w:val="clear" w:color="auto" w:fill="auto"/>
            <w:noWrap/>
            <w:vAlign w:val="center"/>
            <w:hideMark/>
          </w:tcPr>
          <w:p w14:paraId="0E4C9436" w14:textId="4A8DB391"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1394" w:type="dxa"/>
            <w:tcBorders>
              <w:top w:val="nil"/>
              <w:left w:val="nil"/>
              <w:bottom w:val="nil"/>
              <w:right w:val="nil"/>
            </w:tcBorders>
            <w:shd w:val="clear" w:color="auto" w:fill="auto"/>
            <w:vAlign w:val="center"/>
          </w:tcPr>
          <w:p w14:paraId="2ADEA054" w14:textId="54197E94" w:rsidR="002E5116" w:rsidRPr="009D52EB" w:rsidRDefault="002E5116" w:rsidP="008B0BD8">
            <w:pPr>
              <w:spacing w:after="0" w:line="240" w:lineRule="auto"/>
              <w:jc w:val="center"/>
              <w:rPr>
                <w:rFonts w:ascii="Times New Roman" w:eastAsia="Times New Roman" w:hAnsi="Times New Roman" w:cs="Times New Roman"/>
                <w:sz w:val="14"/>
                <w:szCs w:val="14"/>
              </w:rPr>
            </w:pPr>
            <w:r w:rsidRPr="009D52EB">
              <w:rPr>
                <w:rFonts w:ascii="Times New Roman" w:eastAsia="Times New Roman" w:hAnsi="Times New Roman" w:cs="Times New Roman"/>
                <w:sz w:val="14"/>
                <w:szCs w:val="14"/>
              </w:rPr>
              <w:t>Neutral MEA</w:t>
            </w:r>
            <w:r w:rsidRPr="009D52EB">
              <w:rPr>
                <w:rFonts w:ascii="Times New Roman" w:eastAsia="Times New Roman" w:hAnsi="Times New Roman" w:cs="Times New Roman"/>
                <w:sz w:val="14"/>
                <w:szCs w:val="14"/>
              </w:rPr>
              <w:fldChar w:fldCharType="begin" w:fldLock="1"/>
            </w:r>
            <w:r w:rsidR="002B6039">
              <w:rPr>
                <w:rFonts w:ascii="Times New Roman" w:eastAsia="Times New Roman" w:hAnsi="Times New Roman" w:cs="Times New Roman"/>
                <w:sz w:val="14"/>
                <w:szCs w:val="14"/>
              </w:rPr>
              <w:instrText>ADDIN CSL_CITATION {"citationItems":[{"id":"ITEM-1","itemData":{"DOI":"10.1021/acsami.9b13081","ISSN":"19448252","PMID":"31603302","abstract":"Cell designs that integrate membrane-electrode assemblies (MEAs) with highly selective catalysts are a promising route to reduce ohmic losses and achieve high energy efficiency in CO2 reduction at industrially relevant current densities. In this work, porous silver filtration membranes are demonstrated as simple and efficient gas-diffusion electrodes for CO2 reduction to CO at high current densities in an MEA-type device. A partial current density for CO of up to ca. 200 mA cm-2 was achieved at a cell voltage of ca. 3.3 V, in tandem with minimal H2 production. However, the analysis of cathodic and anodic outlet streams revealed that CO2 cross-over across the anion-exchange membranes, mostly in the form of CO32- but partially as HCOO- generated over the cathode, actually exceeds the amount of CO2 converted to the target product, resulting in a poor utilization of the reactant and in the early onset of mass transfer limitations. In addition, CO2 cross-over leads to a nonstoichiometric decrease of the outlet flow rate from the cathodic compartment. This effect can lead to a substantial overestimation of catalytic performance if the inlet flow rate of CO2 is used as reference for calculating partial current densities and Faradaic efficiencies. The results of this work highlight the importance of carrying out a carbon balance, in addition to traditional measurements of activity and selectivity, to adequately assess the performance of CO2 reduction devices at high current densities, and inform future efforts aimed at mitigating membrane cross-over in MEA-type electrolyzers for CO2 reduction.","author":[{"dropping-particle":"","family":"Larrazábal","given":"Gastón O.","non-dropping-particle":"","parse-names":false,"suffix":""},{"dropping-particle":"","family":"Strøm-Hansen","given":"Patrick","non-dropping-particle":"","parse-names":false,"suffix":""},{"dropping-particle":"","family":"Heli","given":"Jens P.","non-dropping-particle":"","parse-names":false,"suffix":""},{"dropping-particle":"","family":"Zeiter","given":"Kevin","non-dropping-particle":"","parse-names":false,"suffix":""},{"dropping-particle":"","family":"Therkildsen","given":"Kasper T.","non-dropping-particle":"","parse-names":false,"suffix":""},{"dropping-particle":"","family":"Chorkendorff","given":"Ib","non-dropping-particle":"","parse-names":false,"suffix":""},{"dropping-particle":"","family":"Seger","given":"Brian","non-dropping-particle":"","parse-names":false,"suffix":""}],"container-title":"ACS Applied Materials and Interfaces","id":"ITEM-1","issue":"44","issued":{"date-parts":[["2019"]]},"page":"41281-41288","title":"Analysis of Mass Flows and Membrane Cross-over in CO2 Reduction at High Current Densities in an MEA-Type Electrolyzer","type":"article-journal","volume":"11"},"uris":["http://www.mendeley.com/documents/?uuid=c2dc44f0-c053-4c73-b39a-41b24723e027"]}],"mendeley":{"formattedCitation":"&lt;sup&gt;16&lt;/sup&gt;","plainTextFormattedCitation":"16","previouslyFormattedCitation":"&lt;sup&gt;16&lt;/sup&gt;"},"properties":{"noteIndex":0},"schema":"https://github.com/citation-style-language/schema/raw/master/csl-citation.json"}</w:instrText>
            </w:r>
            <w:r w:rsidRPr="009D52EB">
              <w:rPr>
                <w:rFonts w:ascii="Times New Roman" w:eastAsia="Times New Roman" w:hAnsi="Times New Roman" w:cs="Times New Roman"/>
                <w:sz w:val="14"/>
                <w:szCs w:val="14"/>
              </w:rPr>
              <w:fldChar w:fldCharType="separate"/>
            </w:r>
            <w:r w:rsidR="007F7E70" w:rsidRPr="007F7E70">
              <w:rPr>
                <w:rFonts w:ascii="Times New Roman" w:eastAsia="Times New Roman" w:hAnsi="Times New Roman" w:cs="Times New Roman"/>
                <w:noProof/>
                <w:sz w:val="14"/>
                <w:szCs w:val="14"/>
                <w:vertAlign w:val="superscript"/>
              </w:rPr>
              <w:t>16</w:t>
            </w:r>
            <w:r w:rsidRPr="009D52EB">
              <w:rPr>
                <w:rFonts w:ascii="Times New Roman" w:eastAsia="Times New Roman" w:hAnsi="Times New Roman" w:cs="Times New Roman"/>
                <w:sz w:val="14"/>
                <w:szCs w:val="14"/>
              </w:rPr>
              <w:fldChar w:fldCharType="end"/>
            </w:r>
          </w:p>
        </w:tc>
      </w:tr>
      <w:tr w:rsidR="002E5116" w:rsidRPr="009D52EB" w14:paraId="2167B657" w14:textId="77777777" w:rsidTr="004A7ADC">
        <w:trPr>
          <w:trHeight w:val="290"/>
          <w:jc w:val="center"/>
        </w:trPr>
        <w:tc>
          <w:tcPr>
            <w:tcW w:w="1172" w:type="dxa"/>
            <w:tcBorders>
              <w:top w:val="nil"/>
              <w:left w:val="nil"/>
              <w:bottom w:val="nil"/>
              <w:right w:val="nil"/>
            </w:tcBorders>
            <w:shd w:val="clear" w:color="auto" w:fill="auto"/>
            <w:noWrap/>
            <w:vAlign w:val="center"/>
            <w:hideMark/>
          </w:tcPr>
          <w:p w14:paraId="13A8D5B5" w14:textId="6C9C544A" w:rsidR="002E5116" w:rsidRPr="009D52EB" w:rsidRDefault="00BA5717"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0.4</w:t>
            </w:r>
          </w:p>
        </w:tc>
        <w:tc>
          <w:tcPr>
            <w:tcW w:w="621" w:type="dxa"/>
            <w:tcBorders>
              <w:top w:val="nil"/>
              <w:left w:val="nil"/>
              <w:bottom w:val="nil"/>
              <w:right w:val="nil"/>
            </w:tcBorders>
            <w:shd w:val="clear" w:color="auto" w:fill="auto"/>
            <w:noWrap/>
            <w:vAlign w:val="center"/>
            <w:hideMark/>
          </w:tcPr>
          <w:p w14:paraId="4F1B4829" w14:textId="2C778B8E"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0.59</w:t>
            </w:r>
          </w:p>
        </w:tc>
        <w:tc>
          <w:tcPr>
            <w:tcW w:w="621" w:type="dxa"/>
            <w:tcBorders>
              <w:top w:val="nil"/>
              <w:left w:val="nil"/>
              <w:bottom w:val="nil"/>
              <w:right w:val="nil"/>
            </w:tcBorders>
            <w:shd w:val="clear" w:color="auto" w:fill="auto"/>
            <w:noWrap/>
            <w:vAlign w:val="center"/>
            <w:hideMark/>
          </w:tcPr>
          <w:p w14:paraId="64AC2AB4" w14:textId="43DCD4D5"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0.00</w:t>
            </w:r>
          </w:p>
        </w:tc>
        <w:tc>
          <w:tcPr>
            <w:tcW w:w="621" w:type="dxa"/>
            <w:tcBorders>
              <w:top w:val="nil"/>
              <w:left w:val="nil"/>
              <w:bottom w:val="nil"/>
              <w:right w:val="nil"/>
            </w:tcBorders>
            <w:shd w:val="clear" w:color="auto" w:fill="auto"/>
            <w:noWrap/>
            <w:vAlign w:val="center"/>
            <w:hideMark/>
          </w:tcPr>
          <w:p w14:paraId="3BEF251D" w14:textId="043388AD"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0.24</w:t>
            </w:r>
          </w:p>
        </w:tc>
        <w:tc>
          <w:tcPr>
            <w:tcW w:w="723" w:type="dxa"/>
            <w:tcBorders>
              <w:top w:val="nil"/>
              <w:left w:val="nil"/>
              <w:bottom w:val="nil"/>
              <w:right w:val="nil"/>
            </w:tcBorders>
            <w:shd w:val="clear" w:color="auto" w:fill="auto"/>
            <w:noWrap/>
            <w:vAlign w:val="center"/>
            <w:hideMark/>
          </w:tcPr>
          <w:p w14:paraId="606FAEB0" w14:textId="76E19D7D"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0.08</w:t>
            </w:r>
          </w:p>
        </w:tc>
        <w:tc>
          <w:tcPr>
            <w:tcW w:w="636" w:type="dxa"/>
            <w:tcBorders>
              <w:top w:val="nil"/>
              <w:left w:val="nil"/>
              <w:bottom w:val="nil"/>
              <w:right w:val="nil"/>
            </w:tcBorders>
            <w:shd w:val="clear" w:color="auto" w:fill="auto"/>
            <w:noWrap/>
            <w:vAlign w:val="center"/>
            <w:hideMark/>
          </w:tcPr>
          <w:p w14:paraId="378D7805" w14:textId="5D6F6EEC"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0.09</w:t>
            </w:r>
          </w:p>
        </w:tc>
        <w:tc>
          <w:tcPr>
            <w:tcW w:w="766" w:type="dxa"/>
            <w:tcBorders>
              <w:top w:val="nil"/>
              <w:left w:val="nil"/>
              <w:bottom w:val="nil"/>
              <w:right w:val="nil"/>
            </w:tcBorders>
            <w:shd w:val="clear" w:color="auto" w:fill="auto"/>
            <w:noWrap/>
            <w:vAlign w:val="center"/>
            <w:hideMark/>
          </w:tcPr>
          <w:p w14:paraId="494228BD" w14:textId="70946A26"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0.025</w:t>
            </w:r>
          </w:p>
        </w:tc>
        <w:tc>
          <w:tcPr>
            <w:tcW w:w="816" w:type="dxa"/>
            <w:tcBorders>
              <w:top w:val="nil"/>
              <w:left w:val="nil"/>
              <w:bottom w:val="nil"/>
              <w:right w:val="nil"/>
            </w:tcBorders>
            <w:shd w:val="clear" w:color="auto" w:fill="auto"/>
            <w:noWrap/>
            <w:vAlign w:val="center"/>
            <w:hideMark/>
          </w:tcPr>
          <w:p w14:paraId="0A21BB19" w14:textId="12DEF56C"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0.015</w:t>
            </w:r>
          </w:p>
        </w:tc>
        <w:tc>
          <w:tcPr>
            <w:tcW w:w="877" w:type="dxa"/>
            <w:tcBorders>
              <w:top w:val="nil"/>
              <w:left w:val="nil"/>
              <w:bottom w:val="nil"/>
              <w:right w:val="nil"/>
            </w:tcBorders>
            <w:shd w:val="clear" w:color="auto" w:fill="auto"/>
            <w:noWrap/>
            <w:vAlign w:val="center"/>
            <w:hideMark/>
          </w:tcPr>
          <w:p w14:paraId="4B1358CA" w14:textId="4301AE93"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0.01</w:t>
            </w:r>
          </w:p>
        </w:tc>
        <w:tc>
          <w:tcPr>
            <w:tcW w:w="950" w:type="dxa"/>
            <w:tcBorders>
              <w:top w:val="nil"/>
              <w:left w:val="nil"/>
              <w:bottom w:val="nil"/>
              <w:right w:val="nil"/>
            </w:tcBorders>
            <w:shd w:val="clear" w:color="auto" w:fill="auto"/>
            <w:noWrap/>
            <w:vAlign w:val="center"/>
          </w:tcPr>
          <w:p w14:paraId="40422BC1" w14:textId="5B444E8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863" w:type="dxa"/>
            <w:tcBorders>
              <w:top w:val="nil"/>
              <w:left w:val="nil"/>
              <w:bottom w:val="nil"/>
              <w:right w:val="nil"/>
            </w:tcBorders>
            <w:shd w:val="clear" w:color="auto" w:fill="auto"/>
            <w:noWrap/>
            <w:vAlign w:val="center"/>
            <w:hideMark/>
          </w:tcPr>
          <w:p w14:paraId="459553F2" w14:textId="386B442F"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sz w:val="18"/>
                <w:szCs w:val="18"/>
              </w:rPr>
              <w:t>30%</w:t>
            </w:r>
          </w:p>
        </w:tc>
        <w:tc>
          <w:tcPr>
            <w:tcW w:w="971" w:type="dxa"/>
            <w:tcBorders>
              <w:top w:val="nil"/>
              <w:left w:val="nil"/>
              <w:bottom w:val="nil"/>
              <w:right w:val="nil"/>
            </w:tcBorders>
            <w:shd w:val="clear" w:color="auto" w:fill="auto"/>
            <w:noWrap/>
            <w:vAlign w:val="center"/>
            <w:hideMark/>
          </w:tcPr>
          <w:p w14:paraId="0CC233AC" w14:textId="49F760CF"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1394" w:type="dxa"/>
            <w:tcBorders>
              <w:top w:val="nil"/>
              <w:left w:val="nil"/>
              <w:bottom w:val="nil"/>
              <w:right w:val="nil"/>
            </w:tcBorders>
            <w:shd w:val="clear" w:color="auto" w:fill="auto"/>
            <w:vAlign w:val="center"/>
          </w:tcPr>
          <w:p w14:paraId="11450F46" w14:textId="3793B6DC" w:rsidR="002E5116" w:rsidRPr="009D52EB" w:rsidRDefault="002E5116" w:rsidP="008B0BD8">
            <w:pPr>
              <w:spacing w:after="0" w:line="240" w:lineRule="auto"/>
              <w:jc w:val="center"/>
              <w:rPr>
                <w:rFonts w:ascii="Times New Roman" w:eastAsia="Times New Roman" w:hAnsi="Times New Roman" w:cs="Times New Roman"/>
                <w:sz w:val="14"/>
                <w:szCs w:val="14"/>
              </w:rPr>
            </w:pPr>
            <w:r w:rsidRPr="009D52EB">
              <w:rPr>
                <w:rFonts w:ascii="Times New Roman" w:eastAsia="Times New Roman" w:hAnsi="Times New Roman" w:cs="Times New Roman"/>
                <w:sz w:val="14"/>
                <w:szCs w:val="14"/>
              </w:rPr>
              <w:t>Neutral MEA</w:t>
            </w:r>
            <w:r w:rsidRPr="009D52EB">
              <w:rPr>
                <w:rFonts w:ascii="Times New Roman" w:eastAsia="Times New Roman" w:hAnsi="Times New Roman" w:cs="Times New Roman"/>
                <w:sz w:val="14"/>
                <w:szCs w:val="14"/>
              </w:rPr>
              <w:fldChar w:fldCharType="begin" w:fldLock="1"/>
            </w:r>
            <w:r w:rsidR="002B6039">
              <w:rPr>
                <w:rFonts w:ascii="Times New Roman" w:eastAsia="Times New Roman" w:hAnsi="Times New Roman" w:cs="Times New Roman"/>
                <w:sz w:val="14"/>
                <w:szCs w:val="14"/>
              </w:rPr>
              <w:instrText>ADDIN CSL_CITATION {"citationItems":[{"id":"ITEM-1","itemData":{"DOI":"10.1016/j.joule.2019.07.021","ISSN":"25424351","abstract":"The advent of low-cost renewable electricity and rising atmospheric CO2 has led to a focus on electrochemical CO2 reduction as a means toward low-carbon-intensity fuels and chemical feedstocks. The conversion of CO2 into C2+ hydrocarbons and oxygenates (i.e., products containing two or more carbon atoms) is attractive in light of large global market demand for these high-energy-density products. A limited number of prior studies have focused on performance in the reaction rate regime above 100 mA cm−2 generally viewed as necessary for industrial deployment. In these works, gas diffusion electrodes are used in liquid electrolyte electrochemical flow cells, which suffer in system stability and/or energy efficiency. We overcome this issue by developing a membrane electrode assembly-based electrolyzer. The combined catalyst and system strategy produces concentrated gas and liquid products and maintains performance during long-term (100 h) uninterrupted operation.","author":[{"dropping-particle":"","family":"Gabardo","given":"Christine M.","non-dropping-particle":"","parse-names":false,"suffix":""},{"dropping-particle":"","family":"O'Brien","given":"Colin P.","non-dropping-particle":"","parse-names":false,"suffix":""},{"dropping-particle":"","family":"Edwards","given":"Jonathan P.","non-dropping-particle":"","parse-names":false,"suffix":""},{"dropping-particle":"","family":"McCallum","given":"Christopher","non-dropping-particle":"","parse-names":false,"suffix":""},{"dropping-particle":"","family":"Xu","given":"Yi","non-dropping-particle":"","parse-names":false,"suffix":""},{"dropping-particle":"","family":"Dinh","given":"Cao Thang","non-dropping-particle":"","parse-names":false,"suffix":""},{"dropping-particle":"","family":"Li","given":"Jun","non-dropping-particle":"","parse-names":false,"suffix":""},{"dropping-particle":"","family":"Sargent","given":"Edward H.","non-dropping-particle":"","parse-names":false,"suffix":""},{"dropping-particle":"","family":"Sinton","given":"David","non-dropping-particle":"","parse-names":false,"suffix":""}],"container-title":"Joule","id":"ITEM-1","issue":"11","issued":{"date-parts":[["2019"]]},"page":"2777-2791","title":"Continuous Carbon Dioxide Electroreduction to Concentrated Multi-carbon Products Using a Membrane Electrode Assembly","type":"article-journal","volume":"3"},"uris":["http://www.mendeley.com/documents/?uuid=2a0ea880-72de-42f6-892c-badf2dc4de21"]}],"mendeley":{"formattedCitation":"&lt;sup&gt;17&lt;/sup&gt;","plainTextFormattedCitation":"17","previouslyFormattedCitation":"&lt;sup&gt;17&lt;/sup&gt;"},"properties":{"noteIndex":0},"schema":"https://github.com/citation-style-language/schema/raw/master/csl-citation.json"}</w:instrText>
            </w:r>
            <w:r w:rsidRPr="009D52EB">
              <w:rPr>
                <w:rFonts w:ascii="Times New Roman" w:eastAsia="Times New Roman" w:hAnsi="Times New Roman" w:cs="Times New Roman"/>
                <w:sz w:val="14"/>
                <w:szCs w:val="14"/>
              </w:rPr>
              <w:fldChar w:fldCharType="separate"/>
            </w:r>
            <w:r w:rsidR="007F7E70" w:rsidRPr="007F7E70">
              <w:rPr>
                <w:rFonts w:ascii="Times New Roman" w:eastAsia="Times New Roman" w:hAnsi="Times New Roman" w:cs="Times New Roman"/>
                <w:noProof/>
                <w:sz w:val="14"/>
                <w:szCs w:val="14"/>
                <w:vertAlign w:val="superscript"/>
              </w:rPr>
              <w:t>17</w:t>
            </w:r>
            <w:r w:rsidRPr="009D52EB">
              <w:rPr>
                <w:rFonts w:ascii="Times New Roman" w:eastAsia="Times New Roman" w:hAnsi="Times New Roman" w:cs="Times New Roman"/>
                <w:sz w:val="14"/>
                <w:szCs w:val="14"/>
              </w:rPr>
              <w:fldChar w:fldCharType="end"/>
            </w:r>
          </w:p>
        </w:tc>
      </w:tr>
      <w:tr w:rsidR="002E5116" w:rsidRPr="009D52EB" w14:paraId="2F5E08D8" w14:textId="77777777" w:rsidTr="004A7ADC">
        <w:trPr>
          <w:trHeight w:val="290"/>
          <w:jc w:val="center"/>
        </w:trPr>
        <w:tc>
          <w:tcPr>
            <w:tcW w:w="1172" w:type="dxa"/>
            <w:tcBorders>
              <w:top w:val="nil"/>
              <w:left w:val="nil"/>
              <w:bottom w:val="nil"/>
              <w:right w:val="nil"/>
            </w:tcBorders>
            <w:shd w:val="clear" w:color="auto" w:fill="auto"/>
            <w:noWrap/>
            <w:vAlign w:val="center"/>
            <w:hideMark/>
          </w:tcPr>
          <w:p w14:paraId="5DF84722" w14:textId="20ED78D9" w:rsidR="002E5116" w:rsidRPr="009D52EB" w:rsidRDefault="0008593E"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0.6</w:t>
            </w:r>
          </w:p>
        </w:tc>
        <w:tc>
          <w:tcPr>
            <w:tcW w:w="621" w:type="dxa"/>
            <w:tcBorders>
              <w:top w:val="nil"/>
              <w:left w:val="nil"/>
              <w:bottom w:val="nil"/>
              <w:right w:val="nil"/>
            </w:tcBorders>
            <w:shd w:val="clear" w:color="auto" w:fill="auto"/>
            <w:noWrap/>
            <w:vAlign w:val="center"/>
            <w:hideMark/>
          </w:tcPr>
          <w:p w14:paraId="18CDC104"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0.23</w:t>
            </w:r>
          </w:p>
        </w:tc>
        <w:tc>
          <w:tcPr>
            <w:tcW w:w="621" w:type="dxa"/>
            <w:tcBorders>
              <w:top w:val="nil"/>
              <w:left w:val="nil"/>
              <w:bottom w:val="nil"/>
              <w:right w:val="nil"/>
            </w:tcBorders>
            <w:shd w:val="clear" w:color="auto" w:fill="auto"/>
            <w:noWrap/>
            <w:vAlign w:val="center"/>
            <w:hideMark/>
          </w:tcPr>
          <w:p w14:paraId="28726BE1"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0.77</w:t>
            </w:r>
          </w:p>
        </w:tc>
        <w:tc>
          <w:tcPr>
            <w:tcW w:w="621" w:type="dxa"/>
            <w:tcBorders>
              <w:top w:val="nil"/>
              <w:left w:val="nil"/>
              <w:bottom w:val="nil"/>
              <w:right w:val="nil"/>
            </w:tcBorders>
            <w:shd w:val="clear" w:color="auto" w:fill="auto"/>
            <w:noWrap/>
            <w:vAlign w:val="center"/>
            <w:hideMark/>
          </w:tcPr>
          <w:p w14:paraId="48A15DC5"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723" w:type="dxa"/>
            <w:tcBorders>
              <w:top w:val="nil"/>
              <w:left w:val="nil"/>
              <w:bottom w:val="nil"/>
              <w:right w:val="nil"/>
            </w:tcBorders>
            <w:shd w:val="clear" w:color="auto" w:fill="auto"/>
            <w:noWrap/>
            <w:vAlign w:val="center"/>
            <w:hideMark/>
          </w:tcPr>
          <w:p w14:paraId="71972FE5"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636" w:type="dxa"/>
            <w:tcBorders>
              <w:top w:val="nil"/>
              <w:left w:val="nil"/>
              <w:bottom w:val="nil"/>
              <w:right w:val="nil"/>
            </w:tcBorders>
            <w:shd w:val="clear" w:color="auto" w:fill="auto"/>
            <w:noWrap/>
            <w:vAlign w:val="center"/>
            <w:hideMark/>
          </w:tcPr>
          <w:p w14:paraId="50156285"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766" w:type="dxa"/>
            <w:tcBorders>
              <w:top w:val="nil"/>
              <w:left w:val="nil"/>
              <w:bottom w:val="nil"/>
              <w:right w:val="nil"/>
            </w:tcBorders>
            <w:shd w:val="clear" w:color="auto" w:fill="auto"/>
            <w:noWrap/>
            <w:vAlign w:val="center"/>
            <w:hideMark/>
          </w:tcPr>
          <w:p w14:paraId="5F716BBF"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816" w:type="dxa"/>
            <w:tcBorders>
              <w:top w:val="nil"/>
              <w:left w:val="nil"/>
              <w:bottom w:val="nil"/>
              <w:right w:val="nil"/>
            </w:tcBorders>
            <w:shd w:val="clear" w:color="auto" w:fill="auto"/>
            <w:noWrap/>
            <w:vAlign w:val="center"/>
            <w:hideMark/>
          </w:tcPr>
          <w:p w14:paraId="1D3F59A7"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877" w:type="dxa"/>
            <w:tcBorders>
              <w:top w:val="nil"/>
              <w:left w:val="nil"/>
              <w:bottom w:val="nil"/>
              <w:right w:val="nil"/>
            </w:tcBorders>
            <w:shd w:val="clear" w:color="auto" w:fill="auto"/>
            <w:noWrap/>
            <w:vAlign w:val="center"/>
            <w:hideMark/>
          </w:tcPr>
          <w:p w14:paraId="225F1849"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950" w:type="dxa"/>
            <w:tcBorders>
              <w:top w:val="nil"/>
              <w:left w:val="nil"/>
              <w:bottom w:val="nil"/>
              <w:right w:val="nil"/>
            </w:tcBorders>
            <w:shd w:val="clear" w:color="auto" w:fill="auto"/>
            <w:noWrap/>
            <w:vAlign w:val="center"/>
          </w:tcPr>
          <w:p w14:paraId="35338056" w14:textId="668566C2"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863" w:type="dxa"/>
            <w:tcBorders>
              <w:top w:val="nil"/>
              <w:left w:val="nil"/>
              <w:bottom w:val="nil"/>
              <w:right w:val="nil"/>
            </w:tcBorders>
            <w:shd w:val="clear" w:color="auto" w:fill="auto"/>
            <w:noWrap/>
            <w:vAlign w:val="center"/>
            <w:hideMark/>
          </w:tcPr>
          <w:p w14:paraId="13CF3897"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sz w:val="18"/>
                <w:szCs w:val="18"/>
              </w:rPr>
              <w:t>44%</w:t>
            </w:r>
          </w:p>
        </w:tc>
        <w:tc>
          <w:tcPr>
            <w:tcW w:w="971" w:type="dxa"/>
            <w:tcBorders>
              <w:top w:val="nil"/>
              <w:left w:val="nil"/>
              <w:bottom w:val="nil"/>
              <w:right w:val="nil"/>
            </w:tcBorders>
            <w:shd w:val="clear" w:color="auto" w:fill="auto"/>
            <w:noWrap/>
            <w:vAlign w:val="center"/>
            <w:hideMark/>
          </w:tcPr>
          <w:p w14:paraId="0FBAA810" w14:textId="52A2CF43"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1394" w:type="dxa"/>
            <w:tcBorders>
              <w:top w:val="nil"/>
              <w:left w:val="nil"/>
              <w:bottom w:val="nil"/>
              <w:right w:val="nil"/>
            </w:tcBorders>
            <w:shd w:val="clear" w:color="auto" w:fill="auto"/>
            <w:vAlign w:val="center"/>
          </w:tcPr>
          <w:p w14:paraId="06CE31ED" w14:textId="02C050CC" w:rsidR="002E5116" w:rsidRPr="009D52EB" w:rsidRDefault="002E5116" w:rsidP="008B0BD8">
            <w:pPr>
              <w:spacing w:after="0" w:line="240" w:lineRule="auto"/>
              <w:jc w:val="center"/>
              <w:rPr>
                <w:rFonts w:ascii="Times New Roman" w:eastAsia="Times New Roman" w:hAnsi="Times New Roman" w:cs="Times New Roman"/>
                <w:sz w:val="14"/>
                <w:szCs w:val="14"/>
              </w:rPr>
            </w:pPr>
            <w:r w:rsidRPr="009D52EB">
              <w:rPr>
                <w:rFonts w:ascii="Times New Roman" w:eastAsia="Times New Roman" w:hAnsi="Times New Roman" w:cs="Times New Roman"/>
                <w:sz w:val="14"/>
                <w:szCs w:val="14"/>
              </w:rPr>
              <w:t>Neutral MEA</w:t>
            </w:r>
            <w:r w:rsidRPr="009D52EB">
              <w:rPr>
                <w:rFonts w:ascii="Times New Roman" w:eastAsia="Times New Roman" w:hAnsi="Times New Roman" w:cs="Times New Roman"/>
                <w:sz w:val="14"/>
                <w:szCs w:val="14"/>
              </w:rPr>
              <w:fldChar w:fldCharType="begin" w:fldLock="1"/>
            </w:r>
            <w:r w:rsidR="002B6039">
              <w:rPr>
                <w:rFonts w:ascii="Times New Roman" w:eastAsia="Times New Roman" w:hAnsi="Times New Roman" w:cs="Times New Roman"/>
                <w:sz w:val="14"/>
                <w:szCs w:val="14"/>
              </w:rPr>
              <w:instrText>ADDIN CSL_CITATION {"citationItems":[{"id":"ITEM-1","itemData":{"DOI":"10.1039/d0re00261e","author":[{"dropping-particle":"","family":"Jeng","given":"Emily","non-dropping-particle":"","parse-names":false,"suffix":""},{"dropping-particle":"","family":"Jiao","given":"Feng","non-dropping-particle":"","parse-names":false,"suffix":""}],"container-title":"Reaction Chemistry &amp; Engineering","id":"ITEM-1","issued":{"date-parts":[["2020"]]},"page":"1768-1775","publisher":"Royal Society of Chemistry","title":"Investigation of CO2 single-pass conversion in a flow electrolyzer","type":"article-journal","volume":"5"},"uris":["http://www.mendeley.com/documents/?uuid=4773a5c1-5fc8-49d4-944d-b5a2b1c2e8e2"]}],"mendeley":{"formattedCitation":"&lt;sup&gt;18&lt;/sup&gt;","plainTextFormattedCitation":"18","previouslyFormattedCitation":"&lt;sup&gt;18&lt;/sup&gt;"},"properties":{"noteIndex":0},"schema":"https://github.com/citation-style-language/schema/raw/master/csl-citation.json"}</w:instrText>
            </w:r>
            <w:r w:rsidRPr="009D52EB">
              <w:rPr>
                <w:rFonts w:ascii="Times New Roman" w:eastAsia="Times New Roman" w:hAnsi="Times New Roman" w:cs="Times New Roman"/>
                <w:sz w:val="14"/>
                <w:szCs w:val="14"/>
              </w:rPr>
              <w:fldChar w:fldCharType="separate"/>
            </w:r>
            <w:r w:rsidR="007F7E70" w:rsidRPr="007F7E70">
              <w:rPr>
                <w:rFonts w:ascii="Times New Roman" w:eastAsia="Times New Roman" w:hAnsi="Times New Roman" w:cs="Times New Roman"/>
                <w:noProof/>
                <w:sz w:val="14"/>
                <w:szCs w:val="14"/>
                <w:vertAlign w:val="superscript"/>
              </w:rPr>
              <w:t>18</w:t>
            </w:r>
            <w:r w:rsidRPr="009D52EB">
              <w:rPr>
                <w:rFonts w:ascii="Times New Roman" w:eastAsia="Times New Roman" w:hAnsi="Times New Roman" w:cs="Times New Roman"/>
                <w:sz w:val="14"/>
                <w:szCs w:val="14"/>
              </w:rPr>
              <w:fldChar w:fldCharType="end"/>
            </w:r>
          </w:p>
        </w:tc>
      </w:tr>
      <w:tr w:rsidR="002E5116" w:rsidRPr="009D52EB" w14:paraId="613EF84B" w14:textId="77777777" w:rsidTr="004A7ADC">
        <w:trPr>
          <w:trHeight w:val="290"/>
          <w:jc w:val="center"/>
        </w:trPr>
        <w:tc>
          <w:tcPr>
            <w:tcW w:w="1172" w:type="dxa"/>
            <w:tcBorders>
              <w:top w:val="nil"/>
              <w:left w:val="nil"/>
              <w:bottom w:val="nil"/>
              <w:right w:val="nil"/>
            </w:tcBorders>
            <w:shd w:val="clear" w:color="auto" w:fill="auto"/>
            <w:noWrap/>
            <w:vAlign w:val="center"/>
            <w:hideMark/>
          </w:tcPr>
          <w:p w14:paraId="46613F0F" w14:textId="3328973F" w:rsidR="002E5116" w:rsidRPr="009D52EB" w:rsidRDefault="003552EA"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12.5</w:t>
            </w:r>
          </w:p>
        </w:tc>
        <w:tc>
          <w:tcPr>
            <w:tcW w:w="621" w:type="dxa"/>
            <w:tcBorders>
              <w:top w:val="nil"/>
              <w:left w:val="nil"/>
              <w:bottom w:val="nil"/>
              <w:right w:val="nil"/>
            </w:tcBorders>
            <w:shd w:val="clear" w:color="auto" w:fill="auto"/>
            <w:noWrap/>
            <w:vAlign w:val="center"/>
            <w:hideMark/>
          </w:tcPr>
          <w:p w14:paraId="1BBD0608"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0.28</w:t>
            </w:r>
          </w:p>
        </w:tc>
        <w:tc>
          <w:tcPr>
            <w:tcW w:w="621" w:type="dxa"/>
            <w:tcBorders>
              <w:top w:val="nil"/>
              <w:left w:val="nil"/>
              <w:bottom w:val="nil"/>
              <w:right w:val="nil"/>
            </w:tcBorders>
            <w:shd w:val="clear" w:color="auto" w:fill="auto"/>
            <w:noWrap/>
            <w:vAlign w:val="center"/>
            <w:hideMark/>
          </w:tcPr>
          <w:p w14:paraId="3D9D23BE"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0.72</w:t>
            </w:r>
          </w:p>
        </w:tc>
        <w:tc>
          <w:tcPr>
            <w:tcW w:w="621" w:type="dxa"/>
            <w:tcBorders>
              <w:top w:val="nil"/>
              <w:left w:val="nil"/>
              <w:bottom w:val="nil"/>
              <w:right w:val="nil"/>
            </w:tcBorders>
            <w:shd w:val="clear" w:color="auto" w:fill="auto"/>
            <w:noWrap/>
            <w:vAlign w:val="center"/>
            <w:hideMark/>
          </w:tcPr>
          <w:p w14:paraId="50710AC3"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723" w:type="dxa"/>
            <w:tcBorders>
              <w:top w:val="nil"/>
              <w:left w:val="nil"/>
              <w:bottom w:val="nil"/>
              <w:right w:val="nil"/>
            </w:tcBorders>
            <w:shd w:val="clear" w:color="auto" w:fill="auto"/>
            <w:noWrap/>
            <w:vAlign w:val="center"/>
            <w:hideMark/>
          </w:tcPr>
          <w:p w14:paraId="1BB6B368"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636" w:type="dxa"/>
            <w:tcBorders>
              <w:top w:val="nil"/>
              <w:left w:val="nil"/>
              <w:bottom w:val="nil"/>
              <w:right w:val="nil"/>
            </w:tcBorders>
            <w:shd w:val="clear" w:color="auto" w:fill="auto"/>
            <w:noWrap/>
            <w:vAlign w:val="center"/>
            <w:hideMark/>
          </w:tcPr>
          <w:p w14:paraId="4B0D6B15"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766" w:type="dxa"/>
            <w:tcBorders>
              <w:top w:val="nil"/>
              <w:left w:val="nil"/>
              <w:bottom w:val="nil"/>
              <w:right w:val="nil"/>
            </w:tcBorders>
            <w:shd w:val="clear" w:color="auto" w:fill="auto"/>
            <w:noWrap/>
            <w:vAlign w:val="center"/>
            <w:hideMark/>
          </w:tcPr>
          <w:p w14:paraId="5CD1D759"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816" w:type="dxa"/>
            <w:tcBorders>
              <w:top w:val="nil"/>
              <w:left w:val="nil"/>
              <w:bottom w:val="nil"/>
              <w:right w:val="nil"/>
            </w:tcBorders>
            <w:shd w:val="clear" w:color="auto" w:fill="auto"/>
            <w:noWrap/>
            <w:vAlign w:val="center"/>
            <w:hideMark/>
          </w:tcPr>
          <w:p w14:paraId="793F5F8C"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877" w:type="dxa"/>
            <w:tcBorders>
              <w:top w:val="nil"/>
              <w:left w:val="nil"/>
              <w:bottom w:val="nil"/>
              <w:right w:val="nil"/>
            </w:tcBorders>
            <w:shd w:val="clear" w:color="auto" w:fill="auto"/>
            <w:noWrap/>
            <w:vAlign w:val="center"/>
            <w:hideMark/>
          </w:tcPr>
          <w:p w14:paraId="0F41857C"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w:t>
            </w:r>
          </w:p>
        </w:tc>
        <w:tc>
          <w:tcPr>
            <w:tcW w:w="950" w:type="dxa"/>
            <w:tcBorders>
              <w:top w:val="nil"/>
              <w:left w:val="nil"/>
              <w:bottom w:val="nil"/>
              <w:right w:val="nil"/>
            </w:tcBorders>
            <w:shd w:val="clear" w:color="auto" w:fill="auto"/>
            <w:noWrap/>
            <w:vAlign w:val="center"/>
          </w:tcPr>
          <w:p w14:paraId="5FAA90D4" w14:textId="26C418E3"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863" w:type="dxa"/>
            <w:tcBorders>
              <w:top w:val="nil"/>
              <w:left w:val="nil"/>
              <w:bottom w:val="nil"/>
              <w:right w:val="nil"/>
            </w:tcBorders>
            <w:shd w:val="clear" w:color="auto" w:fill="auto"/>
            <w:noWrap/>
            <w:vAlign w:val="center"/>
            <w:hideMark/>
          </w:tcPr>
          <w:p w14:paraId="2D830A5B"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sz w:val="18"/>
                <w:szCs w:val="18"/>
              </w:rPr>
              <w:t>40%</w:t>
            </w:r>
          </w:p>
        </w:tc>
        <w:tc>
          <w:tcPr>
            <w:tcW w:w="971" w:type="dxa"/>
            <w:tcBorders>
              <w:top w:val="nil"/>
              <w:left w:val="nil"/>
              <w:bottom w:val="nil"/>
              <w:right w:val="nil"/>
            </w:tcBorders>
            <w:shd w:val="clear" w:color="auto" w:fill="auto"/>
            <w:noWrap/>
            <w:vAlign w:val="center"/>
            <w:hideMark/>
          </w:tcPr>
          <w:p w14:paraId="173109C5" w14:textId="5CBBFEB4"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1394" w:type="dxa"/>
            <w:tcBorders>
              <w:top w:val="nil"/>
              <w:left w:val="nil"/>
              <w:bottom w:val="nil"/>
              <w:right w:val="nil"/>
            </w:tcBorders>
            <w:shd w:val="clear" w:color="auto" w:fill="auto"/>
            <w:vAlign w:val="center"/>
          </w:tcPr>
          <w:p w14:paraId="4F5093B2" w14:textId="08C0ADF8" w:rsidR="002E5116" w:rsidRPr="009D52EB" w:rsidRDefault="002E5116" w:rsidP="008B0BD8">
            <w:pPr>
              <w:spacing w:after="0" w:line="240" w:lineRule="auto"/>
              <w:jc w:val="center"/>
              <w:rPr>
                <w:rFonts w:ascii="Times New Roman" w:eastAsia="Times New Roman" w:hAnsi="Times New Roman" w:cs="Times New Roman"/>
                <w:sz w:val="14"/>
                <w:szCs w:val="14"/>
              </w:rPr>
            </w:pPr>
            <w:r w:rsidRPr="009D52EB">
              <w:rPr>
                <w:rFonts w:ascii="Times New Roman" w:eastAsia="Times New Roman" w:hAnsi="Times New Roman" w:cs="Times New Roman"/>
                <w:sz w:val="14"/>
                <w:szCs w:val="14"/>
              </w:rPr>
              <w:t>Alkaline MEA</w:t>
            </w:r>
            <w:r w:rsidRPr="009D52EB">
              <w:rPr>
                <w:rFonts w:ascii="Times New Roman" w:eastAsia="Times New Roman" w:hAnsi="Times New Roman" w:cs="Times New Roman"/>
                <w:sz w:val="14"/>
                <w:szCs w:val="14"/>
              </w:rPr>
              <w:fldChar w:fldCharType="begin" w:fldLock="1"/>
            </w:r>
            <w:r w:rsidR="002B6039">
              <w:rPr>
                <w:rFonts w:ascii="Times New Roman" w:eastAsia="Times New Roman" w:hAnsi="Times New Roman" w:cs="Times New Roman"/>
                <w:sz w:val="14"/>
                <w:szCs w:val="14"/>
              </w:rPr>
              <w:instrText>ADDIN CSL_CITATION {"citationItems":[{"id":"ITEM-1","itemData":{"DOI":"10.1039/d0ee02589e","author":[{"dropping-particle":"","family":"B. Endrodi, E. Kecsenovity, A. Samu, T. Halmagyi, S. Rojas-Carbonell, L. Wang","given":"Y. Yan and C. Janaky","non-dropping-particle":"","parse-names":false,"suffix":""}],"container-title":"Energy &amp; Environmental Science","id":"ITEM-1","issued":{"date-parts":[["2020"]]},"page":"4098-4105","title":"High carbonate ion conductance of a robust PiperION membrane allows industrial current density and conversion in a zero-gap carbon","type":"article-journal","volume":"13"},"uris":["http://www.mendeley.com/documents/?uuid=c86b85cc-bbb4-47d4-95e1-c3fa06a6f7b9"]}],"mendeley":{"formattedCitation":"&lt;sup&gt;19&lt;/sup&gt;","plainTextFormattedCitation":"19","previouslyFormattedCitation":"&lt;sup&gt;19&lt;/sup&gt;"},"properties":{"noteIndex":0},"schema":"https://github.com/citation-style-language/schema/raw/master/csl-citation.json"}</w:instrText>
            </w:r>
            <w:r w:rsidRPr="009D52EB">
              <w:rPr>
                <w:rFonts w:ascii="Times New Roman" w:eastAsia="Times New Roman" w:hAnsi="Times New Roman" w:cs="Times New Roman"/>
                <w:sz w:val="14"/>
                <w:szCs w:val="14"/>
              </w:rPr>
              <w:fldChar w:fldCharType="separate"/>
            </w:r>
            <w:r w:rsidR="007F7E70" w:rsidRPr="007F7E70">
              <w:rPr>
                <w:rFonts w:ascii="Times New Roman" w:eastAsia="Times New Roman" w:hAnsi="Times New Roman" w:cs="Times New Roman"/>
                <w:noProof/>
                <w:sz w:val="14"/>
                <w:szCs w:val="14"/>
                <w:vertAlign w:val="superscript"/>
              </w:rPr>
              <w:t>19</w:t>
            </w:r>
            <w:r w:rsidRPr="009D52EB">
              <w:rPr>
                <w:rFonts w:ascii="Times New Roman" w:eastAsia="Times New Roman" w:hAnsi="Times New Roman" w:cs="Times New Roman"/>
                <w:sz w:val="14"/>
                <w:szCs w:val="14"/>
              </w:rPr>
              <w:fldChar w:fldCharType="end"/>
            </w:r>
          </w:p>
        </w:tc>
      </w:tr>
      <w:tr w:rsidR="002E5116" w:rsidRPr="009D52EB" w14:paraId="339B0004" w14:textId="77777777" w:rsidTr="004A7ADC">
        <w:trPr>
          <w:trHeight w:val="290"/>
          <w:jc w:val="center"/>
        </w:trPr>
        <w:tc>
          <w:tcPr>
            <w:tcW w:w="1172" w:type="dxa"/>
            <w:tcBorders>
              <w:top w:val="nil"/>
              <w:left w:val="nil"/>
              <w:bottom w:val="nil"/>
              <w:right w:val="nil"/>
            </w:tcBorders>
            <w:shd w:val="clear" w:color="auto" w:fill="auto"/>
            <w:noWrap/>
            <w:vAlign w:val="center"/>
            <w:hideMark/>
          </w:tcPr>
          <w:p w14:paraId="656FD46A" w14:textId="44DBFB69" w:rsidR="002E5116" w:rsidRPr="009D52EB" w:rsidRDefault="00E47578"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22.5</w:t>
            </w:r>
          </w:p>
        </w:tc>
        <w:tc>
          <w:tcPr>
            <w:tcW w:w="621" w:type="dxa"/>
            <w:tcBorders>
              <w:top w:val="nil"/>
              <w:left w:val="nil"/>
              <w:bottom w:val="nil"/>
              <w:right w:val="nil"/>
            </w:tcBorders>
            <w:shd w:val="clear" w:color="auto" w:fill="auto"/>
            <w:noWrap/>
            <w:vAlign w:val="center"/>
            <w:hideMark/>
          </w:tcPr>
          <w:p w14:paraId="0E34C452"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0.05</w:t>
            </w:r>
          </w:p>
        </w:tc>
        <w:tc>
          <w:tcPr>
            <w:tcW w:w="621" w:type="dxa"/>
            <w:tcBorders>
              <w:top w:val="nil"/>
              <w:left w:val="nil"/>
              <w:bottom w:val="nil"/>
              <w:right w:val="nil"/>
            </w:tcBorders>
            <w:shd w:val="clear" w:color="auto" w:fill="auto"/>
            <w:noWrap/>
            <w:vAlign w:val="center"/>
            <w:hideMark/>
          </w:tcPr>
          <w:p w14:paraId="195C4127"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0.15</w:t>
            </w:r>
          </w:p>
        </w:tc>
        <w:tc>
          <w:tcPr>
            <w:tcW w:w="621" w:type="dxa"/>
            <w:tcBorders>
              <w:top w:val="nil"/>
              <w:left w:val="nil"/>
              <w:bottom w:val="nil"/>
              <w:right w:val="nil"/>
            </w:tcBorders>
            <w:shd w:val="clear" w:color="auto" w:fill="auto"/>
            <w:noWrap/>
            <w:vAlign w:val="center"/>
            <w:hideMark/>
          </w:tcPr>
          <w:p w14:paraId="033C33F6"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0.45</w:t>
            </w:r>
          </w:p>
        </w:tc>
        <w:tc>
          <w:tcPr>
            <w:tcW w:w="723" w:type="dxa"/>
            <w:tcBorders>
              <w:top w:val="nil"/>
              <w:left w:val="nil"/>
              <w:bottom w:val="nil"/>
              <w:right w:val="nil"/>
            </w:tcBorders>
            <w:shd w:val="clear" w:color="auto" w:fill="auto"/>
            <w:noWrap/>
            <w:vAlign w:val="center"/>
            <w:hideMark/>
          </w:tcPr>
          <w:p w14:paraId="37A22016"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0.02</w:t>
            </w:r>
          </w:p>
        </w:tc>
        <w:tc>
          <w:tcPr>
            <w:tcW w:w="636" w:type="dxa"/>
            <w:tcBorders>
              <w:top w:val="nil"/>
              <w:left w:val="nil"/>
              <w:bottom w:val="nil"/>
              <w:right w:val="nil"/>
            </w:tcBorders>
            <w:shd w:val="clear" w:color="auto" w:fill="auto"/>
            <w:noWrap/>
            <w:vAlign w:val="center"/>
            <w:hideMark/>
          </w:tcPr>
          <w:p w14:paraId="61B5BCEA"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0.2</w:t>
            </w:r>
          </w:p>
        </w:tc>
        <w:tc>
          <w:tcPr>
            <w:tcW w:w="766" w:type="dxa"/>
            <w:tcBorders>
              <w:top w:val="nil"/>
              <w:left w:val="nil"/>
              <w:bottom w:val="nil"/>
              <w:right w:val="nil"/>
            </w:tcBorders>
            <w:shd w:val="clear" w:color="auto" w:fill="auto"/>
            <w:noWrap/>
            <w:vAlign w:val="center"/>
            <w:hideMark/>
          </w:tcPr>
          <w:p w14:paraId="141D5472"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0.04</w:t>
            </w:r>
          </w:p>
        </w:tc>
        <w:tc>
          <w:tcPr>
            <w:tcW w:w="816" w:type="dxa"/>
            <w:tcBorders>
              <w:top w:val="nil"/>
              <w:left w:val="nil"/>
              <w:bottom w:val="nil"/>
              <w:right w:val="nil"/>
            </w:tcBorders>
            <w:shd w:val="clear" w:color="auto" w:fill="auto"/>
            <w:noWrap/>
            <w:vAlign w:val="center"/>
            <w:hideMark/>
          </w:tcPr>
          <w:p w14:paraId="443D616C"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0.02</w:t>
            </w:r>
          </w:p>
        </w:tc>
        <w:tc>
          <w:tcPr>
            <w:tcW w:w="877" w:type="dxa"/>
            <w:tcBorders>
              <w:top w:val="nil"/>
              <w:left w:val="nil"/>
              <w:bottom w:val="nil"/>
              <w:right w:val="nil"/>
            </w:tcBorders>
            <w:shd w:val="clear" w:color="auto" w:fill="auto"/>
            <w:noWrap/>
            <w:vAlign w:val="center"/>
            <w:hideMark/>
          </w:tcPr>
          <w:p w14:paraId="01CF3512"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0.04</w:t>
            </w:r>
          </w:p>
        </w:tc>
        <w:tc>
          <w:tcPr>
            <w:tcW w:w="950" w:type="dxa"/>
            <w:tcBorders>
              <w:top w:val="nil"/>
              <w:left w:val="nil"/>
              <w:bottom w:val="nil"/>
              <w:right w:val="nil"/>
            </w:tcBorders>
            <w:shd w:val="clear" w:color="auto" w:fill="auto"/>
            <w:noWrap/>
            <w:vAlign w:val="center"/>
          </w:tcPr>
          <w:p w14:paraId="053395EF" w14:textId="4BFB9255"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863" w:type="dxa"/>
            <w:tcBorders>
              <w:top w:val="nil"/>
              <w:left w:val="nil"/>
              <w:bottom w:val="nil"/>
              <w:right w:val="nil"/>
            </w:tcBorders>
            <w:shd w:val="clear" w:color="auto" w:fill="auto"/>
            <w:noWrap/>
            <w:vAlign w:val="center"/>
            <w:hideMark/>
          </w:tcPr>
          <w:p w14:paraId="270BB39E"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sz w:val="18"/>
                <w:szCs w:val="18"/>
              </w:rPr>
              <w:t>4%</w:t>
            </w:r>
          </w:p>
        </w:tc>
        <w:tc>
          <w:tcPr>
            <w:tcW w:w="971" w:type="dxa"/>
            <w:tcBorders>
              <w:top w:val="nil"/>
              <w:left w:val="nil"/>
              <w:bottom w:val="nil"/>
              <w:right w:val="nil"/>
            </w:tcBorders>
            <w:shd w:val="clear" w:color="auto" w:fill="auto"/>
            <w:noWrap/>
            <w:vAlign w:val="center"/>
            <w:hideMark/>
          </w:tcPr>
          <w:p w14:paraId="06F66AF1" w14:textId="7E4D5A9C"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1394" w:type="dxa"/>
            <w:tcBorders>
              <w:top w:val="nil"/>
              <w:left w:val="nil"/>
              <w:bottom w:val="nil"/>
              <w:right w:val="nil"/>
            </w:tcBorders>
            <w:shd w:val="clear" w:color="auto" w:fill="auto"/>
            <w:vAlign w:val="center"/>
          </w:tcPr>
          <w:p w14:paraId="36714CC5" w14:textId="57125AB2" w:rsidR="002E5116" w:rsidRPr="009D52EB" w:rsidRDefault="002E5116" w:rsidP="008B0BD8">
            <w:pPr>
              <w:spacing w:after="0" w:line="240" w:lineRule="auto"/>
              <w:jc w:val="center"/>
              <w:rPr>
                <w:rFonts w:ascii="Times New Roman" w:eastAsia="Times New Roman" w:hAnsi="Times New Roman" w:cs="Times New Roman"/>
                <w:sz w:val="14"/>
                <w:szCs w:val="14"/>
              </w:rPr>
            </w:pPr>
            <w:r w:rsidRPr="009D52EB">
              <w:rPr>
                <w:rFonts w:ascii="Times New Roman" w:eastAsia="Times New Roman" w:hAnsi="Times New Roman" w:cs="Times New Roman"/>
                <w:sz w:val="14"/>
                <w:szCs w:val="14"/>
              </w:rPr>
              <w:t>Neutral FC</w:t>
            </w:r>
            <w:r w:rsidRPr="009D52EB">
              <w:rPr>
                <w:rFonts w:ascii="Times New Roman" w:eastAsia="Times New Roman" w:hAnsi="Times New Roman" w:cs="Times New Roman"/>
                <w:sz w:val="14"/>
                <w:szCs w:val="14"/>
              </w:rPr>
              <w:fldChar w:fldCharType="begin" w:fldLock="1"/>
            </w:r>
            <w:r w:rsidR="0041357F">
              <w:rPr>
                <w:rFonts w:ascii="Times New Roman" w:eastAsia="Times New Roman" w:hAnsi="Times New Roman" w:cs="Times New Roman"/>
                <w:sz w:val="14"/>
                <w:szCs w:val="14"/>
              </w:rPr>
              <w:instrText>ADDIN CSL_CITATION {"citationItems":[{"id":"ITEM-1","itemData":{"DOI":"10.1039/x0xx00000x","ISBN":"9780816911127","abstract":"Iron deficiency, a leading cause of anemia, is one of the globe's top nutritional disorders according to the World Health Organization. Hemochromatosis, on the other hand, is associated to excess iron, and is usually diagnosed late in the stages of irreversible organ damage. Since abnormally low or high blood iron levels are common worldwide and can be of serious detriment to human health, a ubiquitously available technique for measurement of blood iron could represent a substantial improvement in point-of-care medical technology for monitoring iron-related blood disorders and could potentially spark a trend toward proper early prevention of diseases and health maintenance throughout the life span. Here, we introduce a smartphone-based colorimetric detection system for iron measurement in human serum. The system is designed for point-of-care screening and iron monitoring, and was optimized to be low-cost while still allowing for accurate, rapid iron assessment. It employs a dry sensor strip with optimized chemistry in which iron ions are stripped from blood transport proteins, reduced from Fe(III) to Fe(II), and subsequently chelated with ferene, developing a visible color change for smartphone detection of total iron. We compare the common laboratory iron detection assay of human serum to that of our dry sensor strip. The prototype smartphone assay was sensitive to iron detection with a dynamic range of 50 - 300 µg/dL, sensitivity of 0.00047 a.u/µg/dL and coefficient of variation of 10.5% versus the standard lab approach with sensitivity of 0.00091 a.u/µg/dL and coefficients of variation of 2.2%. Further, a detection limit near 15 µg/dL provided by the smartphone system indicated the system's potential capability for detection of iron deficiencies.,Finally, drawn human venous blood sample processed for serum and measured for total iron were simultaneously sent to a commercial testing facility (LabCorp) and processed by the smartphone system, averaging errors of less than 3% around the true value of 231 µg/dL. In addition, spectrophotometric validation of the iron detection kinetics for the test conditions were investigated, rendering a more complete insight of the detection reaction. The new mobile-app based colorimetric assay agreed with the standard spectrophotometric method, and provides promising features of mobility and low-cost manufacturing for global healthcare settings.","author":[{"dropping-particle":"","family":"Ma","given":"Ming","non-dropping-particle":"","parse-names":false,"suffix":""},{"dropping-particle":"","family":"Clark","given":"Ezra L.","non-dropping-particle":"","parse-names":false,"suffix":""},{"dropping-particle":"","family":"Chorkendorff","given":"Kasper T. Therkildsen Sebastian Dalsgaard","non-dropping-particle":"","parse-names":false,"suffix":""},{"dropping-particle":"","family":"Seger","given":"Brian","non-dropping-particle":"","parse-names":false,"suffix":""}],"container-title":"Energy &amp; Environmental Science","id":"ITEM-1","issue":"3","issued":{"date-parts":[["2020"]]},"page":"977-985","title":"Insights into the carbon balance for CO2 electroreduction on Cu using gas diffusion electrode reactor designs","type":"article-journal","volume":"13"},"uris":["http://www.mendeley.com/documents/?uuid=98059852-c1ef-4e0d-840e-d87e9a1e0139"]}],"mendeley":{"formattedCitation":"&lt;sup&gt;11&lt;/sup&gt;","plainTextFormattedCitation":"11","previouslyFormattedCitation":"&lt;sup&gt;11&lt;/sup&gt;"},"properties":{"noteIndex":0},"schema":"https://github.com/citation-style-language/schema/raw/master/csl-citation.json"}</w:instrText>
            </w:r>
            <w:r w:rsidRPr="009D52EB">
              <w:rPr>
                <w:rFonts w:ascii="Times New Roman" w:eastAsia="Times New Roman" w:hAnsi="Times New Roman" w:cs="Times New Roman"/>
                <w:sz w:val="14"/>
                <w:szCs w:val="14"/>
              </w:rPr>
              <w:fldChar w:fldCharType="separate"/>
            </w:r>
            <w:r w:rsidR="0041357F" w:rsidRPr="0041357F">
              <w:rPr>
                <w:rFonts w:ascii="Times New Roman" w:eastAsia="Times New Roman" w:hAnsi="Times New Roman" w:cs="Times New Roman"/>
                <w:noProof/>
                <w:sz w:val="14"/>
                <w:szCs w:val="14"/>
                <w:vertAlign w:val="superscript"/>
              </w:rPr>
              <w:t>11</w:t>
            </w:r>
            <w:r w:rsidRPr="009D52EB">
              <w:rPr>
                <w:rFonts w:ascii="Times New Roman" w:eastAsia="Times New Roman" w:hAnsi="Times New Roman" w:cs="Times New Roman"/>
                <w:sz w:val="14"/>
                <w:szCs w:val="14"/>
              </w:rPr>
              <w:fldChar w:fldCharType="end"/>
            </w:r>
          </w:p>
        </w:tc>
      </w:tr>
      <w:tr w:rsidR="002E5116" w:rsidRPr="009D52EB" w14:paraId="5C6BEA31" w14:textId="77777777" w:rsidTr="004A7ADC">
        <w:trPr>
          <w:trHeight w:val="290"/>
          <w:jc w:val="center"/>
        </w:trPr>
        <w:tc>
          <w:tcPr>
            <w:tcW w:w="1172" w:type="dxa"/>
            <w:tcBorders>
              <w:top w:val="nil"/>
              <w:left w:val="nil"/>
              <w:bottom w:val="nil"/>
              <w:right w:val="nil"/>
            </w:tcBorders>
            <w:shd w:val="clear" w:color="auto" w:fill="auto"/>
            <w:noWrap/>
            <w:vAlign w:val="center"/>
            <w:hideMark/>
          </w:tcPr>
          <w:p w14:paraId="5EA399BD" w14:textId="040C518B" w:rsidR="002E5116" w:rsidRPr="009D52EB" w:rsidRDefault="00E47578"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22.5</w:t>
            </w:r>
          </w:p>
        </w:tc>
        <w:tc>
          <w:tcPr>
            <w:tcW w:w="621" w:type="dxa"/>
            <w:tcBorders>
              <w:top w:val="nil"/>
              <w:left w:val="nil"/>
              <w:bottom w:val="nil"/>
              <w:right w:val="nil"/>
            </w:tcBorders>
            <w:shd w:val="clear" w:color="auto" w:fill="auto"/>
            <w:noWrap/>
            <w:vAlign w:val="center"/>
            <w:hideMark/>
          </w:tcPr>
          <w:p w14:paraId="454DDE0C"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0.08</w:t>
            </w:r>
          </w:p>
        </w:tc>
        <w:tc>
          <w:tcPr>
            <w:tcW w:w="621" w:type="dxa"/>
            <w:tcBorders>
              <w:top w:val="nil"/>
              <w:left w:val="nil"/>
              <w:bottom w:val="nil"/>
              <w:right w:val="nil"/>
            </w:tcBorders>
            <w:shd w:val="clear" w:color="auto" w:fill="auto"/>
            <w:noWrap/>
            <w:vAlign w:val="center"/>
            <w:hideMark/>
          </w:tcPr>
          <w:p w14:paraId="574C4BE6"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0.18</w:t>
            </w:r>
          </w:p>
        </w:tc>
        <w:tc>
          <w:tcPr>
            <w:tcW w:w="621" w:type="dxa"/>
            <w:tcBorders>
              <w:top w:val="nil"/>
              <w:left w:val="nil"/>
              <w:bottom w:val="nil"/>
              <w:right w:val="nil"/>
            </w:tcBorders>
            <w:shd w:val="clear" w:color="auto" w:fill="auto"/>
            <w:noWrap/>
            <w:vAlign w:val="center"/>
            <w:hideMark/>
          </w:tcPr>
          <w:p w14:paraId="250892B8"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0.42</w:t>
            </w:r>
          </w:p>
        </w:tc>
        <w:tc>
          <w:tcPr>
            <w:tcW w:w="723" w:type="dxa"/>
            <w:tcBorders>
              <w:top w:val="nil"/>
              <w:left w:val="nil"/>
              <w:bottom w:val="nil"/>
              <w:right w:val="nil"/>
            </w:tcBorders>
            <w:shd w:val="clear" w:color="auto" w:fill="auto"/>
            <w:noWrap/>
            <w:vAlign w:val="center"/>
            <w:hideMark/>
          </w:tcPr>
          <w:p w14:paraId="54F1605A"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0.02</w:t>
            </w:r>
          </w:p>
        </w:tc>
        <w:tc>
          <w:tcPr>
            <w:tcW w:w="636" w:type="dxa"/>
            <w:tcBorders>
              <w:top w:val="nil"/>
              <w:left w:val="nil"/>
              <w:bottom w:val="nil"/>
              <w:right w:val="nil"/>
            </w:tcBorders>
            <w:shd w:val="clear" w:color="auto" w:fill="auto"/>
            <w:noWrap/>
            <w:vAlign w:val="center"/>
            <w:hideMark/>
          </w:tcPr>
          <w:p w14:paraId="4B0A4FC9"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0.15</w:t>
            </w:r>
          </w:p>
        </w:tc>
        <w:tc>
          <w:tcPr>
            <w:tcW w:w="766" w:type="dxa"/>
            <w:tcBorders>
              <w:top w:val="nil"/>
              <w:left w:val="nil"/>
              <w:bottom w:val="nil"/>
              <w:right w:val="nil"/>
            </w:tcBorders>
            <w:shd w:val="clear" w:color="auto" w:fill="auto"/>
            <w:noWrap/>
            <w:vAlign w:val="center"/>
            <w:hideMark/>
          </w:tcPr>
          <w:p w14:paraId="65A3ABDB"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0.03</w:t>
            </w:r>
          </w:p>
        </w:tc>
        <w:tc>
          <w:tcPr>
            <w:tcW w:w="816" w:type="dxa"/>
            <w:tcBorders>
              <w:top w:val="nil"/>
              <w:left w:val="nil"/>
              <w:bottom w:val="nil"/>
              <w:right w:val="nil"/>
            </w:tcBorders>
            <w:shd w:val="clear" w:color="auto" w:fill="auto"/>
            <w:noWrap/>
            <w:vAlign w:val="center"/>
            <w:hideMark/>
          </w:tcPr>
          <w:p w14:paraId="5304E898"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0.03</w:t>
            </w:r>
          </w:p>
        </w:tc>
        <w:tc>
          <w:tcPr>
            <w:tcW w:w="877" w:type="dxa"/>
            <w:tcBorders>
              <w:top w:val="nil"/>
              <w:left w:val="nil"/>
              <w:bottom w:val="nil"/>
              <w:right w:val="nil"/>
            </w:tcBorders>
            <w:shd w:val="clear" w:color="auto" w:fill="auto"/>
            <w:noWrap/>
            <w:vAlign w:val="center"/>
            <w:hideMark/>
          </w:tcPr>
          <w:p w14:paraId="7E5BE89B"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0.05</w:t>
            </w:r>
          </w:p>
        </w:tc>
        <w:tc>
          <w:tcPr>
            <w:tcW w:w="950" w:type="dxa"/>
            <w:tcBorders>
              <w:top w:val="nil"/>
              <w:left w:val="nil"/>
              <w:bottom w:val="nil"/>
              <w:right w:val="nil"/>
            </w:tcBorders>
            <w:shd w:val="clear" w:color="auto" w:fill="auto"/>
            <w:noWrap/>
            <w:vAlign w:val="center"/>
          </w:tcPr>
          <w:p w14:paraId="26F776E6" w14:textId="0D29A6DE"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863" w:type="dxa"/>
            <w:tcBorders>
              <w:top w:val="nil"/>
              <w:left w:val="nil"/>
              <w:bottom w:val="nil"/>
              <w:right w:val="nil"/>
            </w:tcBorders>
            <w:shd w:val="clear" w:color="auto" w:fill="auto"/>
            <w:noWrap/>
            <w:vAlign w:val="center"/>
            <w:hideMark/>
          </w:tcPr>
          <w:p w14:paraId="7E99214E" w14:textId="77777777"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sz w:val="18"/>
                <w:szCs w:val="18"/>
              </w:rPr>
              <w:t>3%</w:t>
            </w:r>
          </w:p>
        </w:tc>
        <w:tc>
          <w:tcPr>
            <w:tcW w:w="971" w:type="dxa"/>
            <w:tcBorders>
              <w:top w:val="nil"/>
              <w:left w:val="nil"/>
              <w:bottom w:val="nil"/>
              <w:right w:val="nil"/>
            </w:tcBorders>
            <w:shd w:val="clear" w:color="auto" w:fill="auto"/>
            <w:noWrap/>
            <w:vAlign w:val="center"/>
            <w:hideMark/>
          </w:tcPr>
          <w:p w14:paraId="539F9FAD" w14:textId="4A54473A" w:rsidR="002E5116" w:rsidRPr="009D52EB" w:rsidRDefault="002E5116"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w:t>
            </w:r>
          </w:p>
        </w:tc>
        <w:tc>
          <w:tcPr>
            <w:tcW w:w="1394" w:type="dxa"/>
            <w:tcBorders>
              <w:top w:val="nil"/>
              <w:left w:val="nil"/>
              <w:bottom w:val="nil"/>
              <w:right w:val="nil"/>
            </w:tcBorders>
            <w:shd w:val="clear" w:color="auto" w:fill="auto"/>
            <w:vAlign w:val="center"/>
          </w:tcPr>
          <w:p w14:paraId="2DBD90E2" w14:textId="7F0972B3" w:rsidR="002E5116" w:rsidRPr="009D52EB" w:rsidRDefault="002E5116" w:rsidP="008B0BD8">
            <w:pPr>
              <w:spacing w:after="0" w:line="240" w:lineRule="auto"/>
              <w:jc w:val="center"/>
              <w:rPr>
                <w:rFonts w:ascii="Times New Roman" w:eastAsia="Times New Roman" w:hAnsi="Times New Roman" w:cs="Times New Roman"/>
                <w:sz w:val="14"/>
                <w:szCs w:val="14"/>
              </w:rPr>
            </w:pPr>
            <w:r w:rsidRPr="009D52EB">
              <w:rPr>
                <w:rFonts w:ascii="Times New Roman" w:eastAsia="Times New Roman" w:hAnsi="Times New Roman" w:cs="Times New Roman"/>
                <w:sz w:val="14"/>
                <w:szCs w:val="14"/>
              </w:rPr>
              <w:t>Neutral FC (BPM)</w:t>
            </w:r>
            <w:r w:rsidRPr="009D52EB">
              <w:rPr>
                <w:rFonts w:ascii="Times New Roman" w:eastAsia="Times New Roman" w:hAnsi="Times New Roman" w:cs="Times New Roman"/>
                <w:sz w:val="14"/>
                <w:szCs w:val="14"/>
              </w:rPr>
              <w:fldChar w:fldCharType="begin" w:fldLock="1"/>
            </w:r>
            <w:r w:rsidR="002B6039">
              <w:rPr>
                <w:rFonts w:ascii="Times New Roman" w:eastAsia="Times New Roman" w:hAnsi="Times New Roman" w:cs="Times New Roman"/>
                <w:sz w:val="14"/>
                <w:szCs w:val="14"/>
              </w:rPr>
              <w:instrText>ADDIN CSL_CITATION {"citationItems":[{"id":"ITEM-1","itemData":{"DOI":"10.1039/d0sc03047c","ISSN":"20416539","abstract":"In this work, the effect of ion-selective membranes on the detailed carbon balance was systematically analyzed for high-rate CO2 reduction in GDE-type flow electrolyzers. By using different ion-selective membranes, we show nearly identical catalytic selectivity for CO2 reduction, which is primarily due to a similar local reaction environment created at the cathode/electrolyte interface via the introduction of a catholyte layer. In addition, based on a systematic exploration of gases released from electrolytes and the dynamic change of electrolyte speciation, we demonstrate the explicit discrepancy in carbon balance paths for the captured CO2 at the cathode/catholyte interface via reaction with OH- when using different ion-selective membranes: (i) the captured CO2 could be transported through an anion exchange membrane in the form of CO32-, subsequently releasing CO2 along with O2 in the anolyte, and (ii) with a cation exchange membrane, the captured CO2 would be accumulated in the catholyte in the form of CO32-, while (iii) with the use of a bipolar membrane, the captured CO2 could be released at the catholyte/membrane interface in the form of gaseous CO2. The unique carbon balance path for each type of membrane is linked to ion species transported through the membranes. This journal is","author":[{"dropping-particle":"","family":"Ma","given":"Ming","non-dropping-particle":"","parse-names":false,"suffix":""},{"dropping-particle":"","family":"Kim","given":"Sangkuk","non-dropping-particle":"","parse-names":false,"suffix":""},{"dropping-particle":"","family":"Chorkendorff","given":"Ib","non-dropping-particle":"","parse-names":false,"suffix":""},{"dropping-particle":"","family":"Seger","given":"Brian","non-dropping-particle":"","parse-names":false,"suffix":""}],"container-title":"Chemical Science","id":"ITEM-1","issue":"33","issued":{"date-parts":[["2020"]]},"page":"8854-8861","title":"Role of ion-selective membranes in the carbon balance for CO2electroreduction: Via gas diffusion electrode reactor designs","type":"article-journal","volume":"11"},"uris":["http://www.mendeley.com/documents/?uuid=f338b45c-0db3-4cec-9b24-13bc9560212c"]}],"mendeley":{"formattedCitation":"&lt;sup&gt;13&lt;/sup&gt;","plainTextFormattedCitation":"13","previouslyFormattedCitation":"&lt;sup&gt;13&lt;/sup&gt;"},"properties":{"noteIndex":0},"schema":"https://github.com/citation-style-language/schema/raw/master/csl-citation.json"}</w:instrText>
            </w:r>
            <w:r w:rsidRPr="009D52EB">
              <w:rPr>
                <w:rFonts w:ascii="Times New Roman" w:eastAsia="Times New Roman" w:hAnsi="Times New Roman" w:cs="Times New Roman"/>
                <w:sz w:val="14"/>
                <w:szCs w:val="14"/>
              </w:rPr>
              <w:fldChar w:fldCharType="separate"/>
            </w:r>
            <w:r w:rsidR="007F7E70" w:rsidRPr="007F7E70">
              <w:rPr>
                <w:rFonts w:ascii="Times New Roman" w:eastAsia="Times New Roman" w:hAnsi="Times New Roman" w:cs="Times New Roman"/>
                <w:noProof/>
                <w:sz w:val="14"/>
                <w:szCs w:val="14"/>
                <w:vertAlign w:val="superscript"/>
              </w:rPr>
              <w:t>13</w:t>
            </w:r>
            <w:r w:rsidRPr="009D52EB">
              <w:rPr>
                <w:rFonts w:ascii="Times New Roman" w:eastAsia="Times New Roman" w:hAnsi="Times New Roman" w:cs="Times New Roman"/>
                <w:sz w:val="14"/>
                <w:szCs w:val="14"/>
              </w:rPr>
              <w:fldChar w:fldCharType="end"/>
            </w:r>
          </w:p>
        </w:tc>
      </w:tr>
      <w:tr w:rsidR="00D4243D" w:rsidRPr="009D52EB" w14:paraId="478AAD4F" w14:textId="77777777" w:rsidTr="004A7ADC">
        <w:trPr>
          <w:trHeight w:val="290"/>
          <w:jc w:val="center"/>
        </w:trPr>
        <w:tc>
          <w:tcPr>
            <w:tcW w:w="1172" w:type="dxa"/>
            <w:tcBorders>
              <w:top w:val="nil"/>
              <w:left w:val="nil"/>
              <w:bottom w:val="nil"/>
              <w:right w:val="nil"/>
            </w:tcBorders>
            <w:shd w:val="clear" w:color="auto" w:fill="auto"/>
            <w:noWrap/>
            <w:vAlign w:val="center"/>
          </w:tcPr>
          <w:p w14:paraId="25F0C024" w14:textId="779BD2A5"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2.34</w:t>
            </w:r>
          </w:p>
        </w:tc>
        <w:tc>
          <w:tcPr>
            <w:tcW w:w="621" w:type="dxa"/>
            <w:tcBorders>
              <w:top w:val="nil"/>
              <w:left w:val="nil"/>
              <w:bottom w:val="nil"/>
              <w:right w:val="nil"/>
            </w:tcBorders>
            <w:shd w:val="clear" w:color="auto" w:fill="auto"/>
            <w:noWrap/>
            <w:vAlign w:val="center"/>
          </w:tcPr>
          <w:p w14:paraId="2007FCE5" w14:textId="2FF91177"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0.233</w:t>
            </w:r>
          </w:p>
        </w:tc>
        <w:tc>
          <w:tcPr>
            <w:tcW w:w="621" w:type="dxa"/>
            <w:tcBorders>
              <w:top w:val="nil"/>
              <w:left w:val="nil"/>
              <w:bottom w:val="nil"/>
              <w:right w:val="nil"/>
            </w:tcBorders>
            <w:shd w:val="clear" w:color="auto" w:fill="auto"/>
            <w:noWrap/>
            <w:vAlign w:val="center"/>
          </w:tcPr>
          <w:p w14:paraId="6D7DB288" w14:textId="011FDFE5"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0.098</w:t>
            </w:r>
          </w:p>
        </w:tc>
        <w:tc>
          <w:tcPr>
            <w:tcW w:w="621" w:type="dxa"/>
            <w:tcBorders>
              <w:top w:val="nil"/>
              <w:left w:val="nil"/>
              <w:bottom w:val="nil"/>
              <w:right w:val="nil"/>
            </w:tcBorders>
            <w:shd w:val="clear" w:color="auto" w:fill="auto"/>
            <w:noWrap/>
            <w:vAlign w:val="center"/>
          </w:tcPr>
          <w:p w14:paraId="0A370757" w14:textId="3EDD099E"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0.375</w:t>
            </w:r>
          </w:p>
        </w:tc>
        <w:tc>
          <w:tcPr>
            <w:tcW w:w="723" w:type="dxa"/>
            <w:tcBorders>
              <w:top w:val="nil"/>
              <w:left w:val="nil"/>
              <w:bottom w:val="nil"/>
              <w:right w:val="nil"/>
            </w:tcBorders>
            <w:shd w:val="clear" w:color="auto" w:fill="auto"/>
            <w:noWrap/>
            <w:vAlign w:val="center"/>
          </w:tcPr>
          <w:p w14:paraId="7C2158DD" w14:textId="40C6B96F"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&lt;0.001</w:t>
            </w:r>
          </w:p>
        </w:tc>
        <w:tc>
          <w:tcPr>
            <w:tcW w:w="636" w:type="dxa"/>
            <w:tcBorders>
              <w:top w:val="nil"/>
              <w:left w:val="nil"/>
              <w:bottom w:val="nil"/>
              <w:right w:val="nil"/>
            </w:tcBorders>
            <w:shd w:val="clear" w:color="auto" w:fill="auto"/>
            <w:noWrap/>
            <w:vAlign w:val="center"/>
          </w:tcPr>
          <w:p w14:paraId="265B0255" w14:textId="22C49DC2"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0.043</w:t>
            </w:r>
          </w:p>
        </w:tc>
        <w:tc>
          <w:tcPr>
            <w:tcW w:w="766" w:type="dxa"/>
            <w:tcBorders>
              <w:top w:val="nil"/>
              <w:left w:val="nil"/>
              <w:bottom w:val="nil"/>
              <w:right w:val="nil"/>
            </w:tcBorders>
            <w:shd w:val="clear" w:color="auto" w:fill="auto"/>
            <w:noWrap/>
            <w:vAlign w:val="center"/>
          </w:tcPr>
          <w:p w14:paraId="0C754E06" w14:textId="6BE4EB6C"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0.015</w:t>
            </w:r>
          </w:p>
        </w:tc>
        <w:tc>
          <w:tcPr>
            <w:tcW w:w="816" w:type="dxa"/>
            <w:tcBorders>
              <w:top w:val="nil"/>
              <w:left w:val="nil"/>
              <w:bottom w:val="nil"/>
              <w:right w:val="nil"/>
            </w:tcBorders>
            <w:shd w:val="clear" w:color="auto" w:fill="auto"/>
            <w:noWrap/>
            <w:vAlign w:val="center"/>
          </w:tcPr>
          <w:p w14:paraId="0B3EF92D" w14:textId="4828872B"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0.033</w:t>
            </w:r>
          </w:p>
        </w:tc>
        <w:tc>
          <w:tcPr>
            <w:tcW w:w="877" w:type="dxa"/>
            <w:tcBorders>
              <w:top w:val="nil"/>
              <w:left w:val="nil"/>
              <w:bottom w:val="nil"/>
              <w:right w:val="nil"/>
            </w:tcBorders>
            <w:shd w:val="clear" w:color="auto" w:fill="auto"/>
            <w:noWrap/>
            <w:vAlign w:val="center"/>
          </w:tcPr>
          <w:p w14:paraId="09E9E148" w14:textId="55D65D0E"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0.024</w:t>
            </w:r>
          </w:p>
        </w:tc>
        <w:tc>
          <w:tcPr>
            <w:tcW w:w="950" w:type="dxa"/>
            <w:tcBorders>
              <w:top w:val="nil"/>
              <w:left w:val="nil"/>
              <w:bottom w:val="nil"/>
              <w:right w:val="nil"/>
            </w:tcBorders>
            <w:shd w:val="clear" w:color="auto" w:fill="auto"/>
            <w:noWrap/>
            <w:vAlign w:val="center"/>
          </w:tcPr>
          <w:p w14:paraId="6C7447E4" w14:textId="1BBCB329"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hAnsi="Times New Roman" w:cs="Times New Roman"/>
                <w:sz w:val="18"/>
                <w:szCs w:val="18"/>
              </w:rPr>
              <w:t xml:space="preserve">27.1 ± 1.0% (22.6%) </w:t>
            </w:r>
            <w:r w:rsidRPr="009D52EB">
              <w:rPr>
                <w:rFonts w:ascii="Times New Roman" w:hAnsi="Times New Roman" w:cs="Times New Roman"/>
                <w:sz w:val="18"/>
                <w:szCs w:val="18"/>
                <w:vertAlign w:val="superscript"/>
              </w:rPr>
              <w:t>a</w:t>
            </w:r>
          </w:p>
        </w:tc>
        <w:tc>
          <w:tcPr>
            <w:tcW w:w="863" w:type="dxa"/>
            <w:tcBorders>
              <w:top w:val="nil"/>
              <w:left w:val="nil"/>
              <w:bottom w:val="nil"/>
              <w:right w:val="nil"/>
            </w:tcBorders>
            <w:shd w:val="clear" w:color="auto" w:fill="auto"/>
            <w:noWrap/>
            <w:vAlign w:val="center"/>
          </w:tcPr>
          <w:p w14:paraId="43F6F3A2" w14:textId="3131F3E7" w:rsidR="00D4243D" w:rsidRPr="009D52EB" w:rsidRDefault="00D4243D" w:rsidP="008B0BD8">
            <w:pPr>
              <w:spacing w:after="0" w:line="240" w:lineRule="auto"/>
              <w:jc w:val="center"/>
              <w:rPr>
                <w:sz w:val="18"/>
                <w:szCs w:val="18"/>
              </w:rPr>
            </w:pPr>
            <w:r w:rsidRPr="009D52EB">
              <w:rPr>
                <w:rFonts w:ascii="Times New Roman" w:hAnsi="Times New Roman" w:cs="Times New Roman"/>
                <w:sz w:val="18"/>
                <w:szCs w:val="18"/>
              </w:rPr>
              <w:t>18.4%</w:t>
            </w:r>
          </w:p>
        </w:tc>
        <w:tc>
          <w:tcPr>
            <w:tcW w:w="971" w:type="dxa"/>
            <w:tcBorders>
              <w:top w:val="nil"/>
              <w:left w:val="nil"/>
              <w:bottom w:val="nil"/>
              <w:right w:val="nil"/>
            </w:tcBorders>
            <w:shd w:val="clear" w:color="auto" w:fill="auto"/>
            <w:noWrap/>
            <w:vAlign w:val="center"/>
          </w:tcPr>
          <w:p w14:paraId="73ED66CA" w14:textId="6466ADBF"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hAnsi="Times New Roman" w:cs="Times New Roman"/>
                <w:sz w:val="18"/>
                <w:szCs w:val="18"/>
              </w:rPr>
              <w:t>0.7</w:t>
            </w:r>
          </w:p>
        </w:tc>
        <w:tc>
          <w:tcPr>
            <w:tcW w:w="1394" w:type="dxa"/>
            <w:tcBorders>
              <w:top w:val="nil"/>
              <w:left w:val="nil"/>
              <w:bottom w:val="nil"/>
              <w:right w:val="nil"/>
            </w:tcBorders>
            <w:shd w:val="clear" w:color="auto" w:fill="auto"/>
            <w:vAlign w:val="center"/>
          </w:tcPr>
          <w:p w14:paraId="59A3A803" w14:textId="77777777" w:rsidR="00D4243D" w:rsidRPr="009D52EB" w:rsidRDefault="00D4243D" w:rsidP="008B0BD8">
            <w:pPr>
              <w:spacing w:after="0" w:line="240" w:lineRule="auto"/>
              <w:jc w:val="center"/>
              <w:rPr>
                <w:rFonts w:ascii="Times New Roman" w:eastAsia="Times New Roman" w:hAnsi="Times New Roman" w:cs="Times New Roman"/>
                <w:sz w:val="14"/>
                <w:szCs w:val="14"/>
              </w:rPr>
            </w:pPr>
            <w:r w:rsidRPr="009D52EB">
              <w:rPr>
                <w:rFonts w:ascii="Times New Roman" w:eastAsia="Times New Roman" w:hAnsi="Times New Roman" w:cs="Times New Roman"/>
                <w:sz w:val="14"/>
                <w:szCs w:val="14"/>
              </w:rPr>
              <w:t>Neutral</w:t>
            </w:r>
          </w:p>
          <w:p w14:paraId="758D4486" w14:textId="7E64CD5E" w:rsidR="00D4243D" w:rsidRPr="009D52EB" w:rsidRDefault="004A7ADC" w:rsidP="008B0BD8">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SC-BPMEA</w:t>
            </w:r>
            <w:r w:rsidR="00D4243D" w:rsidRPr="009D52EB">
              <w:rPr>
                <w:rFonts w:ascii="Times New Roman" w:eastAsia="Times New Roman" w:hAnsi="Times New Roman" w:cs="Times New Roman"/>
                <w:sz w:val="14"/>
                <w:szCs w:val="14"/>
              </w:rPr>
              <w:t xml:space="preserve"> (this work)</w:t>
            </w:r>
          </w:p>
        </w:tc>
      </w:tr>
      <w:tr w:rsidR="00D4243D" w:rsidRPr="009D52EB" w14:paraId="574E390C" w14:textId="77777777" w:rsidTr="004A7ADC">
        <w:trPr>
          <w:trHeight w:val="822"/>
          <w:jc w:val="center"/>
        </w:trPr>
        <w:tc>
          <w:tcPr>
            <w:tcW w:w="1172" w:type="dxa"/>
            <w:tcBorders>
              <w:top w:val="nil"/>
              <w:left w:val="nil"/>
              <w:bottom w:val="nil"/>
              <w:right w:val="nil"/>
            </w:tcBorders>
            <w:shd w:val="clear" w:color="auto" w:fill="auto"/>
            <w:noWrap/>
            <w:vAlign w:val="center"/>
          </w:tcPr>
          <w:p w14:paraId="674E5119" w14:textId="7BBFB2D7"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1.17</w:t>
            </w:r>
          </w:p>
        </w:tc>
        <w:tc>
          <w:tcPr>
            <w:tcW w:w="621" w:type="dxa"/>
            <w:tcBorders>
              <w:top w:val="nil"/>
              <w:left w:val="nil"/>
              <w:bottom w:val="nil"/>
              <w:right w:val="nil"/>
            </w:tcBorders>
            <w:shd w:val="clear" w:color="auto" w:fill="auto"/>
            <w:noWrap/>
            <w:vAlign w:val="center"/>
          </w:tcPr>
          <w:p w14:paraId="428A15F5" w14:textId="2F583BB9"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0.231</w:t>
            </w:r>
          </w:p>
        </w:tc>
        <w:tc>
          <w:tcPr>
            <w:tcW w:w="621" w:type="dxa"/>
            <w:tcBorders>
              <w:top w:val="nil"/>
              <w:left w:val="nil"/>
              <w:bottom w:val="nil"/>
              <w:right w:val="nil"/>
            </w:tcBorders>
            <w:shd w:val="clear" w:color="auto" w:fill="auto"/>
            <w:noWrap/>
            <w:vAlign w:val="center"/>
          </w:tcPr>
          <w:p w14:paraId="467924BB" w14:textId="510F1394"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0.079</w:t>
            </w:r>
          </w:p>
        </w:tc>
        <w:tc>
          <w:tcPr>
            <w:tcW w:w="621" w:type="dxa"/>
            <w:tcBorders>
              <w:top w:val="nil"/>
              <w:left w:val="nil"/>
              <w:bottom w:val="nil"/>
              <w:right w:val="nil"/>
            </w:tcBorders>
            <w:shd w:val="clear" w:color="auto" w:fill="auto"/>
            <w:noWrap/>
            <w:vAlign w:val="center"/>
          </w:tcPr>
          <w:p w14:paraId="3082F3C6" w14:textId="1C03EAA6"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0.402</w:t>
            </w:r>
          </w:p>
        </w:tc>
        <w:tc>
          <w:tcPr>
            <w:tcW w:w="723" w:type="dxa"/>
            <w:tcBorders>
              <w:top w:val="nil"/>
              <w:left w:val="nil"/>
              <w:bottom w:val="nil"/>
              <w:right w:val="nil"/>
            </w:tcBorders>
            <w:shd w:val="clear" w:color="auto" w:fill="auto"/>
            <w:noWrap/>
            <w:vAlign w:val="center"/>
          </w:tcPr>
          <w:p w14:paraId="2ACEC49A" w14:textId="0588FF0C"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&lt;0.001</w:t>
            </w:r>
          </w:p>
        </w:tc>
        <w:tc>
          <w:tcPr>
            <w:tcW w:w="636" w:type="dxa"/>
            <w:tcBorders>
              <w:top w:val="nil"/>
              <w:left w:val="nil"/>
              <w:bottom w:val="nil"/>
              <w:right w:val="nil"/>
            </w:tcBorders>
            <w:shd w:val="clear" w:color="auto" w:fill="auto"/>
            <w:noWrap/>
            <w:vAlign w:val="center"/>
          </w:tcPr>
          <w:p w14:paraId="59592155" w14:textId="52DF2BC5"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0.049</w:t>
            </w:r>
          </w:p>
        </w:tc>
        <w:tc>
          <w:tcPr>
            <w:tcW w:w="766" w:type="dxa"/>
            <w:tcBorders>
              <w:top w:val="nil"/>
              <w:left w:val="nil"/>
              <w:bottom w:val="nil"/>
              <w:right w:val="nil"/>
            </w:tcBorders>
            <w:shd w:val="clear" w:color="auto" w:fill="auto"/>
            <w:noWrap/>
            <w:vAlign w:val="center"/>
          </w:tcPr>
          <w:p w14:paraId="4B60AE78" w14:textId="2C143325"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0.014</w:t>
            </w:r>
          </w:p>
        </w:tc>
        <w:tc>
          <w:tcPr>
            <w:tcW w:w="816" w:type="dxa"/>
            <w:tcBorders>
              <w:top w:val="nil"/>
              <w:left w:val="nil"/>
              <w:bottom w:val="nil"/>
              <w:right w:val="nil"/>
            </w:tcBorders>
            <w:shd w:val="clear" w:color="auto" w:fill="auto"/>
            <w:noWrap/>
            <w:vAlign w:val="center"/>
          </w:tcPr>
          <w:p w14:paraId="5711FD58" w14:textId="3CA3AAB6"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0.031</w:t>
            </w:r>
          </w:p>
        </w:tc>
        <w:tc>
          <w:tcPr>
            <w:tcW w:w="877" w:type="dxa"/>
            <w:tcBorders>
              <w:top w:val="nil"/>
              <w:left w:val="nil"/>
              <w:bottom w:val="nil"/>
              <w:right w:val="nil"/>
            </w:tcBorders>
            <w:shd w:val="clear" w:color="auto" w:fill="auto"/>
            <w:noWrap/>
            <w:vAlign w:val="center"/>
          </w:tcPr>
          <w:p w14:paraId="68310B4F" w14:textId="327E5B67"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0.025</w:t>
            </w:r>
          </w:p>
        </w:tc>
        <w:tc>
          <w:tcPr>
            <w:tcW w:w="950" w:type="dxa"/>
            <w:tcBorders>
              <w:top w:val="nil"/>
              <w:left w:val="nil"/>
              <w:bottom w:val="nil"/>
              <w:right w:val="nil"/>
            </w:tcBorders>
            <w:shd w:val="clear" w:color="auto" w:fill="auto"/>
            <w:noWrap/>
            <w:vAlign w:val="center"/>
          </w:tcPr>
          <w:p w14:paraId="3C8BB695" w14:textId="7AD12B0F" w:rsidR="00D4243D" w:rsidRPr="009D52EB" w:rsidRDefault="00D4243D" w:rsidP="008B0BD8">
            <w:pPr>
              <w:spacing w:after="0" w:line="240" w:lineRule="auto"/>
              <w:jc w:val="center"/>
              <w:rPr>
                <w:rFonts w:ascii="Times New Roman" w:hAnsi="Times New Roman" w:cs="Times New Roman"/>
                <w:sz w:val="18"/>
                <w:szCs w:val="18"/>
              </w:rPr>
            </w:pPr>
            <w:r w:rsidRPr="009D52EB">
              <w:rPr>
                <w:rFonts w:ascii="Times New Roman" w:hAnsi="Times New Roman" w:cs="Times New Roman"/>
                <w:sz w:val="18"/>
                <w:szCs w:val="18"/>
              </w:rPr>
              <w:t xml:space="preserve">26.2 ± 1.0% (22.6%) </w:t>
            </w:r>
            <w:r w:rsidRPr="009D52EB">
              <w:rPr>
                <w:rFonts w:ascii="Times New Roman" w:hAnsi="Times New Roman" w:cs="Times New Roman"/>
                <w:sz w:val="18"/>
                <w:szCs w:val="18"/>
                <w:vertAlign w:val="superscript"/>
              </w:rPr>
              <w:t>a</w:t>
            </w:r>
          </w:p>
        </w:tc>
        <w:tc>
          <w:tcPr>
            <w:tcW w:w="863" w:type="dxa"/>
            <w:tcBorders>
              <w:top w:val="nil"/>
              <w:left w:val="nil"/>
              <w:bottom w:val="nil"/>
              <w:right w:val="nil"/>
            </w:tcBorders>
            <w:shd w:val="clear" w:color="auto" w:fill="auto"/>
            <w:noWrap/>
            <w:vAlign w:val="center"/>
          </w:tcPr>
          <w:p w14:paraId="56E846A6" w14:textId="2217C906" w:rsidR="00D4243D" w:rsidRPr="009D52EB" w:rsidRDefault="00D4243D" w:rsidP="008B0BD8">
            <w:pPr>
              <w:spacing w:after="0" w:line="240" w:lineRule="auto"/>
              <w:jc w:val="center"/>
              <w:rPr>
                <w:rFonts w:ascii="Times New Roman" w:hAnsi="Times New Roman" w:cs="Times New Roman"/>
                <w:sz w:val="18"/>
                <w:szCs w:val="18"/>
              </w:rPr>
            </w:pPr>
            <w:r w:rsidRPr="009D52EB">
              <w:rPr>
                <w:rFonts w:ascii="Times New Roman" w:hAnsi="Times New Roman" w:cs="Times New Roman"/>
                <w:sz w:val="18"/>
                <w:szCs w:val="18"/>
              </w:rPr>
              <w:t>35.5%</w:t>
            </w:r>
          </w:p>
        </w:tc>
        <w:tc>
          <w:tcPr>
            <w:tcW w:w="971" w:type="dxa"/>
            <w:tcBorders>
              <w:top w:val="nil"/>
              <w:left w:val="nil"/>
              <w:bottom w:val="nil"/>
              <w:right w:val="nil"/>
            </w:tcBorders>
            <w:shd w:val="clear" w:color="auto" w:fill="auto"/>
            <w:noWrap/>
            <w:vAlign w:val="center"/>
          </w:tcPr>
          <w:p w14:paraId="27EB23F3" w14:textId="3EBEC620" w:rsidR="00D4243D" w:rsidRPr="009D52EB" w:rsidRDefault="00D4243D" w:rsidP="008B0BD8">
            <w:pPr>
              <w:spacing w:after="0" w:line="240" w:lineRule="auto"/>
              <w:jc w:val="center"/>
              <w:rPr>
                <w:rFonts w:ascii="Times New Roman" w:hAnsi="Times New Roman" w:cs="Times New Roman"/>
                <w:sz w:val="18"/>
                <w:szCs w:val="18"/>
              </w:rPr>
            </w:pPr>
            <w:r w:rsidRPr="009D52EB">
              <w:rPr>
                <w:rFonts w:ascii="Times New Roman" w:hAnsi="Times New Roman" w:cs="Times New Roman"/>
                <w:sz w:val="18"/>
                <w:szCs w:val="18"/>
              </w:rPr>
              <w:t>1.4</w:t>
            </w:r>
          </w:p>
        </w:tc>
        <w:tc>
          <w:tcPr>
            <w:tcW w:w="1394" w:type="dxa"/>
            <w:tcBorders>
              <w:top w:val="nil"/>
              <w:left w:val="nil"/>
              <w:bottom w:val="nil"/>
              <w:right w:val="nil"/>
            </w:tcBorders>
            <w:shd w:val="clear" w:color="auto" w:fill="auto"/>
            <w:vAlign w:val="center"/>
          </w:tcPr>
          <w:p w14:paraId="65F722A6" w14:textId="77777777" w:rsidR="00D4243D" w:rsidRPr="009D52EB" w:rsidRDefault="00D4243D" w:rsidP="0050301F">
            <w:pPr>
              <w:spacing w:after="0" w:line="240" w:lineRule="auto"/>
              <w:jc w:val="center"/>
              <w:rPr>
                <w:rFonts w:ascii="Times New Roman" w:eastAsia="Times New Roman" w:hAnsi="Times New Roman" w:cs="Times New Roman"/>
                <w:sz w:val="14"/>
                <w:szCs w:val="14"/>
              </w:rPr>
            </w:pPr>
            <w:r w:rsidRPr="009D52EB">
              <w:rPr>
                <w:rFonts w:ascii="Times New Roman" w:eastAsia="Times New Roman" w:hAnsi="Times New Roman" w:cs="Times New Roman"/>
                <w:sz w:val="14"/>
                <w:szCs w:val="14"/>
              </w:rPr>
              <w:t>Neutral</w:t>
            </w:r>
          </w:p>
          <w:p w14:paraId="02CEEC5C" w14:textId="7C27895A" w:rsidR="00D4243D" w:rsidRPr="009D52EB" w:rsidRDefault="004A7ADC" w:rsidP="008B0BD8">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SC-BPMEA</w:t>
            </w:r>
            <w:r w:rsidR="00D4243D" w:rsidRPr="009D52EB">
              <w:rPr>
                <w:rFonts w:ascii="Times New Roman" w:eastAsia="Times New Roman" w:hAnsi="Times New Roman" w:cs="Times New Roman"/>
                <w:sz w:val="14"/>
                <w:szCs w:val="14"/>
              </w:rPr>
              <w:t xml:space="preserve"> (this work)</w:t>
            </w:r>
          </w:p>
        </w:tc>
      </w:tr>
      <w:tr w:rsidR="00D4243D" w:rsidRPr="009D52EB" w14:paraId="2A02E7D1" w14:textId="77777777" w:rsidTr="004A7ADC">
        <w:trPr>
          <w:trHeight w:val="822"/>
          <w:jc w:val="center"/>
        </w:trPr>
        <w:tc>
          <w:tcPr>
            <w:tcW w:w="1172" w:type="dxa"/>
            <w:tcBorders>
              <w:top w:val="nil"/>
              <w:left w:val="nil"/>
              <w:bottom w:val="nil"/>
              <w:right w:val="nil"/>
            </w:tcBorders>
            <w:shd w:val="clear" w:color="auto" w:fill="auto"/>
            <w:noWrap/>
            <w:vAlign w:val="center"/>
          </w:tcPr>
          <w:p w14:paraId="6908D255" w14:textId="6A5DC4F3"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0.58</w:t>
            </w:r>
          </w:p>
        </w:tc>
        <w:tc>
          <w:tcPr>
            <w:tcW w:w="621" w:type="dxa"/>
            <w:tcBorders>
              <w:top w:val="nil"/>
              <w:left w:val="nil"/>
              <w:bottom w:val="nil"/>
              <w:right w:val="nil"/>
            </w:tcBorders>
            <w:shd w:val="clear" w:color="auto" w:fill="auto"/>
            <w:noWrap/>
            <w:vAlign w:val="center"/>
          </w:tcPr>
          <w:p w14:paraId="1279F447" w14:textId="4AA32C0C"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0.314</w:t>
            </w:r>
          </w:p>
        </w:tc>
        <w:tc>
          <w:tcPr>
            <w:tcW w:w="621" w:type="dxa"/>
            <w:tcBorders>
              <w:top w:val="nil"/>
              <w:left w:val="nil"/>
              <w:bottom w:val="nil"/>
              <w:right w:val="nil"/>
            </w:tcBorders>
            <w:shd w:val="clear" w:color="auto" w:fill="auto"/>
            <w:noWrap/>
            <w:vAlign w:val="center"/>
          </w:tcPr>
          <w:p w14:paraId="6B9D02C2" w14:textId="0000A316"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0.054</w:t>
            </w:r>
          </w:p>
        </w:tc>
        <w:tc>
          <w:tcPr>
            <w:tcW w:w="621" w:type="dxa"/>
            <w:tcBorders>
              <w:top w:val="nil"/>
              <w:left w:val="nil"/>
              <w:bottom w:val="nil"/>
              <w:right w:val="nil"/>
            </w:tcBorders>
            <w:shd w:val="clear" w:color="auto" w:fill="auto"/>
            <w:noWrap/>
            <w:vAlign w:val="center"/>
          </w:tcPr>
          <w:p w14:paraId="017FCACF" w14:textId="63BC80FE"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0.363</w:t>
            </w:r>
          </w:p>
        </w:tc>
        <w:tc>
          <w:tcPr>
            <w:tcW w:w="723" w:type="dxa"/>
            <w:tcBorders>
              <w:top w:val="nil"/>
              <w:left w:val="nil"/>
              <w:bottom w:val="nil"/>
              <w:right w:val="nil"/>
            </w:tcBorders>
            <w:shd w:val="clear" w:color="auto" w:fill="auto"/>
            <w:noWrap/>
            <w:vAlign w:val="center"/>
          </w:tcPr>
          <w:p w14:paraId="1E942445" w14:textId="07115216"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0.001</w:t>
            </w:r>
          </w:p>
        </w:tc>
        <w:tc>
          <w:tcPr>
            <w:tcW w:w="636" w:type="dxa"/>
            <w:tcBorders>
              <w:top w:val="nil"/>
              <w:left w:val="nil"/>
              <w:bottom w:val="nil"/>
              <w:right w:val="nil"/>
            </w:tcBorders>
            <w:shd w:val="clear" w:color="auto" w:fill="auto"/>
            <w:noWrap/>
            <w:vAlign w:val="center"/>
          </w:tcPr>
          <w:p w14:paraId="34401FF8" w14:textId="55953F20"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0.075</w:t>
            </w:r>
          </w:p>
        </w:tc>
        <w:tc>
          <w:tcPr>
            <w:tcW w:w="766" w:type="dxa"/>
            <w:tcBorders>
              <w:top w:val="nil"/>
              <w:left w:val="nil"/>
              <w:bottom w:val="nil"/>
              <w:right w:val="nil"/>
            </w:tcBorders>
            <w:shd w:val="clear" w:color="auto" w:fill="auto"/>
            <w:noWrap/>
            <w:vAlign w:val="center"/>
          </w:tcPr>
          <w:p w14:paraId="1B173537" w14:textId="723B48F3"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0.012</w:t>
            </w:r>
          </w:p>
        </w:tc>
        <w:tc>
          <w:tcPr>
            <w:tcW w:w="816" w:type="dxa"/>
            <w:tcBorders>
              <w:top w:val="nil"/>
              <w:left w:val="nil"/>
              <w:bottom w:val="nil"/>
              <w:right w:val="nil"/>
            </w:tcBorders>
            <w:shd w:val="clear" w:color="auto" w:fill="auto"/>
            <w:noWrap/>
            <w:vAlign w:val="center"/>
          </w:tcPr>
          <w:p w14:paraId="64613F14" w14:textId="7EC74753"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0.022</w:t>
            </w:r>
          </w:p>
        </w:tc>
        <w:tc>
          <w:tcPr>
            <w:tcW w:w="877" w:type="dxa"/>
            <w:tcBorders>
              <w:top w:val="nil"/>
              <w:left w:val="nil"/>
              <w:bottom w:val="nil"/>
              <w:right w:val="nil"/>
            </w:tcBorders>
            <w:shd w:val="clear" w:color="auto" w:fill="auto"/>
            <w:noWrap/>
            <w:vAlign w:val="center"/>
          </w:tcPr>
          <w:p w14:paraId="01BDDE63" w14:textId="5A811EE8"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0.035</w:t>
            </w:r>
          </w:p>
        </w:tc>
        <w:tc>
          <w:tcPr>
            <w:tcW w:w="950" w:type="dxa"/>
            <w:tcBorders>
              <w:top w:val="nil"/>
              <w:left w:val="nil"/>
              <w:bottom w:val="nil"/>
              <w:right w:val="nil"/>
            </w:tcBorders>
            <w:shd w:val="clear" w:color="auto" w:fill="auto"/>
            <w:noWrap/>
            <w:vAlign w:val="center"/>
          </w:tcPr>
          <w:p w14:paraId="6C093E59" w14:textId="55F5D5C8" w:rsidR="00D4243D" w:rsidRPr="009D52EB" w:rsidRDefault="00D4243D" w:rsidP="008B0BD8">
            <w:pPr>
              <w:spacing w:after="0" w:line="240" w:lineRule="auto"/>
              <w:jc w:val="center"/>
              <w:rPr>
                <w:rFonts w:ascii="Times New Roman" w:hAnsi="Times New Roman" w:cs="Times New Roman"/>
                <w:sz w:val="18"/>
                <w:szCs w:val="18"/>
              </w:rPr>
            </w:pPr>
            <w:r w:rsidRPr="009D52EB">
              <w:rPr>
                <w:rFonts w:ascii="Times New Roman" w:hAnsi="Times New Roman" w:cs="Times New Roman"/>
                <w:sz w:val="18"/>
                <w:szCs w:val="18"/>
              </w:rPr>
              <w:t>22.9 ± 0.8% (19.5%)</w:t>
            </w:r>
            <w:r w:rsidRPr="009D52EB">
              <w:rPr>
                <w:rFonts w:ascii="Times New Roman" w:hAnsi="Times New Roman" w:cs="Times New Roman"/>
                <w:sz w:val="18"/>
                <w:szCs w:val="18"/>
                <w:vertAlign w:val="superscript"/>
              </w:rPr>
              <w:t xml:space="preserve"> a</w:t>
            </w:r>
          </w:p>
        </w:tc>
        <w:tc>
          <w:tcPr>
            <w:tcW w:w="863" w:type="dxa"/>
            <w:tcBorders>
              <w:top w:val="nil"/>
              <w:left w:val="nil"/>
              <w:bottom w:val="nil"/>
              <w:right w:val="nil"/>
            </w:tcBorders>
            <w:shd w:val="clear" w:color="auto" w:fill="auto"/>
            <w:noWrap/>
            <w:vAlign w:val="center"/>
          </w:tcPr>
          <w:p w14:paraId="39A9D9FD" w14:textId="3B30CB8B" w:rsidR="00D4243D" w:rsidRPr="009D52EB" w:rsidRDefault="00D4243D" w:rsidP="008B0BD8">
            <w:pPr>
              <w:spacing w:after="0" w:line="240" w:lineRule="auto"/>
              <w:jc w:val="center"/>
              <w:rPr>
                <w:rFonts w:ascii="Times New Roman" w:hAnsi="Times New Roman" w:cs="Times New Roman"/>
                <w:sz w:val="18"/>
                <w:szCs w:val="18"/>
              </w:rPr>
            </w:pPr>
            <w:r w:rsidRPr="009D52EB">
              <w:rPr>
                <w:rFonts w:ascii="Times New Roman" w:hAnsi="Times New Roman" w:cs="Times New Roman"/>
                <w:sz w:val="18"/>
                <w:szCs w:val="18"/>
              </w:rPr>
              <w:t>61.7%</w:t>
            </w:r>
          </w:p>
        </w:tc>
        <w:tc>
          <w:tcPr>
            <w:tcW w:w="971" w:type="dxa"/>
            <w:tcBorders>
              <w:top w:val="nil"/>
              <w:left w:val="nil"/>
              <w:bottom w:val="nil"/>
              <w:right w:val="nil"/>
            </w:tcBorders>
            <w:shd w:val="clear" w:color="auto" w:fill="auto"/>
            <w:noWrap/>
            <w:vAlign w:val="center"/>
          </w:tcPr>
          <w:p w14:paraId="441CA0D7" w14:textId="69CB7440" w:rsidR="00D4243D" w:rsidRPr="009D52EB" w:rsidRDefault="00D4243D" w:rsidP="008B0BD8">
            <w:pPr>
              <w:spacing w:after="0" w:line="240" w:lineRule="auto"/>
              <w:jc w:val="center"/>
              <w:rPr>
                <w:rFonts w:ascii="Times New Roman" w:hAnsi="Times New Roman" w:cs="Times New Roman"/>
                <w:sz w:val="18"/>
                <w:szCs w:val="18"/>
              </w:rPr>
            </w:pPr>
            <w:r w:rsidRPr="009D52EB">
              <w:rPr>
                <w:rFonts w:ascii="Times New Roman" w:hAnsi="Times New Roman" w:cs="Times New Roman"/>
                <w:sz w:val="18"/>
                <w:szCs w:val="18"/>
              </w:rPr>
              <w:t>2.7</w:t>
            </w:r>
          </w:p>
        </w:tc>
        <w:tc>
          <w:tcPr>
            <w:tcW w:w="1394" w:type="dxa"/>
            <w:tcBorders>
              <w:top w:val="nil"/>
              <w:left w:val="nil"/>
              <w:bottom w:val="nil"/>
              <w:right w:val="nil"/>
            </w:tcBorders>
            <w:shd w:val="clear" w:color="auto" w:fill="auto"/>
            <w:vAlign w:val="center"/>
          </w:tcPr>
          <w:p w14:paraId="19D23459" w14:textId="77777777" w:rsidR="00D4243D" w:rsidRPr="009D52EB" w:rsidRDefault="00D4243D" w:rsidP="00E17B6B">
            <w:pPr>
              <w:spacing w:after="0" w:line="240" w:lineRule="auto"/>
              <w:jc w:val="center"/>
              <w:rPr>
                <w:rFonts w:ascii="Times New Roman" w:eastAsia="Times New Roman" w:hAnsi="Times New Roman" w:cs="Times New Roman"/>
                <w:sz w:val="14"/>
                <w:szCs w:val="14"/>
              </w:rPr>
            </w:pPr>
            <w:r w:rsidRPr="009D52EB">
              <w:rPr>
                <w:rFonts w:ascii="Times New Roman" w:eastAsia="Times New Roman" w:hAnsi="Times New Roman" w:cs="Times New Roman"/>
                <w:sz w:val="14"/>
                <w:szCs w:val="14"/>
              </w:rPr>
              <w:t>Neutral</w:t>
            </w:r>
          </w:p>
          <w:p w14:paraId="19534175" w14:textId="13CD4BCB" w:rsidR="00D4243D" w:rsidRPr="009D52EB" w:rsidRDefault="004A7ADC" w:rsidP="0050301F">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SC-BPMEA</w:t>
            </w:r>
            <w:r w:rsidR="00D4243D" w:rsidRPr="009D52EB">
              <w:rPr>
                <w:rFonts w:ascii="Times New Roman" w:eastAsia="Times New Roman" w:hAnsi="Times New Roman" w:cs="Times New Roman"/>
                <w:sz w:val="14"/>
                <w:szCs w:val="14"/>
              </w:rPr>
              <w:t xml:space="preserve"> (this work)</w:t>
            </w:r>
          </w:p>
        </w:tc>
      </w:tr>
      <w:tr w:rsidR="00D4243D" w:rsidRPr="009D52EB" w14:paraId="53B0B136" w14:textId="77777777" w:rsidTr="004A7ADC">
        <w:trPr>
          <w:trHeight w:val="822"/>
          <w:jc w:val="center"/>
        </w:trPr>
        <w:tc>
          <w:tcPr>
            <w:tcW w:w="1172" w:type="dxa"/>
            <w:tcBorders>
              <w:top w:val="nil"/>
              <w:left w:val="nil"/>
              <w:bottom w:val="single" w:sz="4" w:space="0" w:color="auto"/>
              <w:right w:val="nil"/>
            </w:tcBorders>
            <w:shd w:val="clear" w:color="auto" w:fill="auto"/>
            <w:noWrap/>
            <w:vAlign w:val="center"/>
          </w:tcPr>
          <w:p w14:paraId="7A60F000" w14:textId="251DCE14"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0.29</w:t>
            </w:r>
          </w:p>
        </w:tc>
        <w:tc>
          <w:tcPr>
            <w:tcW w:w="621" w:type="dxa"/>
            <w:tcBorders>
              <w:top w:val="nil"/>
              <w:left w:val="nil"/>
              <w:bottom w:val="single" w:sz="4" w:space="0" w:color="auto"/>
              <w:right w:val="nil"/>
            </w:tcBorders>
            <w:shd w:val="clear" w:color="auto" w:fill="auto"/>
            <w:noWrap/>
            <w:vAlign w:val="center"/>
          </w:tcPr>
          <w:p w14:paraId="73E4270F" w14:textId="1DCB1B6B"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0.641</w:t>
            </w:r>
          </w:p>
        </w:tc>
        <w:tc>
          <w:tcPr>
            <w:tcW w:w="621" w:type="dxa"/>
            <w:tcBorders>
              <w:top w:val="nil"/>
              <w:left w:val="nil"/>
              <w:bottom w:val="single" w:sz="4" w:space="0" w:color="auto"/>
              <w:right w:val="nil"/>
            </w:tcBorders>
            <w:shd w:val="clear" w:color="auto" w:fill="auto"/>
            <w:noWrap/>
            <w:vAlign w:val="center"/>
          </w:tcPr>
          <w:p w14:paraId="12BB5C6B" w14:textId="3899BBCF"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0.023</w:t>
            </w:r>
          </w:p>
        </w:tc>
        <w:tc>
          <w:tcPr>
            <w:tcW w:w="621" w:type="dxa"/>
            <w:tcBorders>
              <w:top w:val="nil"/>
              <w:left w:val="nil"/>
              <w:bottom w:val="single" w:sz="4" w:space="0" w:color="auto"/>
              <w:right w:val="nil"/>
            </w:tcBorders>
            <w:shd w:val="clear" w:color="auto" w:fill="auto"/>
            <w:noWrap/>
            <w:vAlign w:val="center"/>
          </w:tcPr>
          <w:p w14:paraId="38D532FD" w14:textId="727C200F"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0.223</w:t>
            </w:r>
          </w:p>
        </w:tc>
        <w:tc>
          <w:tcPr>
            <w:tcW w:w="723" w:type="dxa"/>
            <w:tcBorders>
              <w:top w:val="nil"/>
              <w:left w:val="nil"/>
              <w:bottom w:val="single" w:sz="4" w:space="0" w:color="auto"/>
              <w:right w:val="nil"/>
            </w:tcBorders>
            <w:shd w:val="clear" w:color="auto" w:fill="auto"/>
            <w:noWrap/>
            <w:vAlign w:val="center"/>
          </w:tcPr>
          <w:p w14:paraId="6611DDA3" w14:textId="19FC5CF8"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0.002</w:t>
            </w:r>
          </w:p>
        </w:tc>
        <w:tc>
          <w:tcPr>
            <w:tcW w:w="636" w:type="dxa"/>
            <w:tcBorders>
              <w:top w:val="nil"/>
              <w:left w:val="nil"/>
              <w:bottom w:val="single" w:sz="4" w:space="0" w:color="auto"/>
              <w:right w:val="nil"/>
            </w:tcBorders>
            <w:shd w:val="clear" w:color="auto" w:fill="auto"/>
            <w:noWrap/>
            <w:vAlign w:val="center"/>
          </w:tcPr>
          <w:p w14:paraId="5670AC3A" w14:textId="40C1B952"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0.067</w:t>
            </w:r>
          </w:p>
        </w:tc>
        <w:tc>
          <w:tcPr>
            <w:tcW w:w="766" w:type="dxa"/>
            <w:tcBorders>
              <w:top w:val="nil"/>
              <w:left w:val="nil"/>
              <w:bottom w:val="single" w:sz="4" w:space="0" w:color="auto"/>
              <w:right w:val="nil"/>
            </w:tcBorders>
            <w:shd w:val="clear" w:color="auto" w:fill="auto"/>
            <w:noWrap/>
            <w:vAlign w:val="center"/>
          </w:tcPr>
          <w:p w14:paraId="3B8C0A22" w14:textId="11AF6692"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0.015</w:t>
            </w:r>
          </w:p>
        </w:tc>
        <w:tc>
          <w:tcPr>
            <w:tcW w:w="816" w:type="dxa"/>
            <w:tcBorders>
              <w:top w:val="nil"/>
              <w:left w:val="nil"/>
              <w:bottom w:val="single" w:sz="4" w:space="0" w:color="auto"/>
              <w:right w:val="nil"/>
            </w:tcBorders>
            <w:shd w:val="clear" w:color="auto" w:fill="auto"/>
            <w:noWrap/>
            <w:vAlign w:val="center"/>
          </w:tcPr>
          <w:p w14:paraId="066D84C2" w14:textId="12D2FD75"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0.014</w:t>
            </w:r>
          </w:p>
        </w:tc>
        <w:tc>
          <w:tcPr>
            <w:tcW w:w="877" w:type="dxa"/>
            <w:tcBorders>
              <w:top w:val="nil"/>
              <w:left w:val="nil"/>
              <w:bottom w:val="single" w:sz="4" w:space="0" w:color="auto"/>
              <w:right w:val="nil"/>
            </w:tcBorders>
            <w:shd w:val="clear" w:color="auto" w:fill="auto"/>
            <w:noWrap/>
            <w:vAlign w:val="center"/>
          </w:tcPr>
          <w:p w14:paraId="328AC81D" w14:textId="4241B8C5" w:rsidR="00D4243D" w:rsidRPr="009D52EB" w:rsidRDefault="00D4243D" w:rsidP="008B0BD8">
            <w:pPr>
              <w:spacing w:after="0" w:line="240" w:lineRule="auto"/>
              <w:jc w:val="center"/>
              <w:rPr>
                <w:rFonts w:ascii="Times New Roman" w:eastAsia="Times New Roman" w:hAnsi="Times New Roman" w:cs="Times New Roman"/>
                <w:sz w:val="18"/>
                <w:szCs w:val="18"/>
              </w:rPr>
            </w:pPr>
            <w:r w:rsidRPr="009D52EB">
              <w:rPr>
                <w:rFonts w:ascii="Times New Roman" w:eastAsia="Times New Roman" w:hAnsi="Times New Roman" w:cs="Times New Roman"/>
                <w:sz w:val="18"/>
                <w:szCs w:val="18"/>
              </w:rPr>
              <w:t>0.033</w:t>
            </w:r>
          </w:p>
        </w:tc>
        <w:tc>
          <w:tcPr>
            <w:tcW w:w="950" w:type="dxa"/>
            <w:tcBorders>
              <w:top w:val="nil"/>
              <w:left w:val="nil"/>
              <w:bottom w:val="single" w:sz="4" w:space="0" w:color="auto"/>
              <w:right w:val="nil"/>
            </w:tcBorders>
            <w:shd w:val="clear" w:color="auto" w:fill="auto"/>
            <w:noWrap/>
            <w:vAlign w:val="center"/>
          </w:tcPr>
          <w:p w14:paraId="112BDEE0" w14:textId="13CD7C52" w:rsidR="00D4243D" w:rsidRPr="009D52EB" w:rsidRDefault="00D4243D" w:rsidP="008B0BD8">
            <w:pPr>
              <w:spacing w:after="0" w:line="240" w:lineRule="auto"/>
              <w:jc w:val="center"/>
              <w:rPr>
                <w:rFonts w:ascii="Times New Roman" w:hAnsi="Times New Roman" w:cs="Times New Roman"/>
                <w:sz w:val="18"/>
                <w:szCs w:val="18"/>
              </w:rPr>
            </w:pPr>
            <w:r w:rsidRPr="009D52EB">
              <w:rPr>
                <w:rFonts w:ascii="Times New Roman" w:hAnsi="Times New Roman" w:cs="Times New Roman"/>
                <w:sz w:val="18"/>
                <w:szCs w:val="18"/>
              </w:rPr>
              <w:t>13.3%</w:t>
            </w:r>
          </w:p>
        </w:tc>
        <w:tc>
          <w:tcPr>
            <w:tcW w:w="863" w:type="dxa"/>
            <w:tcBorders>
              <w:top w:val="nil"/>
              <w:left w:val="nil"/>
              <w:bottom w:val="single" w:sz="4" w:space="0" w:color="auto"/>
              <w:right w:val="nil"/>
            </w:tcBorders>
            <w:shd w:val="clear" w:color="auto" w:fill="auto"/>
            <w:noWrap/>
            <w:vAlign w:val="center"/>
          </w:tcPr>
          <w:p w14:paraId="5B11DEC9" w14:textId="7058A7D1" w:rsidR="00D4243D" w:rsidRPr="009D52EB" w:rsidRDefault="00D4243D" w:rsidP="008B0BD8">
            <w:pPr>
              <w:spacing w:after="0" w:line="240" w:lineRule="auto"/>
              <w:jc w:val="center"/>
              <w:rPr>
                <w:rFonts w:ascii="Times New Roman" w:hAnsi="Times New Roman" w:cs="Times New Roman"/>
                <w:sz w:val="18"/>
                <w:szCs w:val="18"/>
              </w:rPr>
            </w:pPr>
            <w:r w:rsidRPr="009D52EB">
              <w:rPr>
                <w:rFonts w:ascii="Times New Roman" w:hAnsi="Times New Roman" w:cs="Times New Roman"/>
                <w:sz w:val="18"/>
                <w:szCs w:val="18"/>
              </w:rPr>
              <w:t>78.5%</w:t>
            </w:r>
          </w:p>
        </w:tc>
        <w:tc>
          <w:tcPr>
            <w:tcW w:w="971" w:type="dxa"/>
            <w:tcBorders>
              <w:top w:val="nil"/>
              <w:left w:val="nil"/>
              <w:bottom w:val="single" w:sz="4" w:space="0" w:color="auto"/>
              <w:right w:val="nil"/>
            </w:tcBorders>
            <w:shd w:val="clear" w:color="auto" w:fill="auto"/>
            <w:noWrap/>
            <w:vAlign w:val="center"/>
          </w:tcPr>
          <w:p w14:paraId="579CB3B0" w14:textId="4EF5FB7A" w:rsidR="00D4243D" w:rsidRPr="009D52EB" w:rsidRDefault="00D4243D" w:rsidP="008B0BD8">
            <w:pPr>
              <w:spacing w:after="0" w:line="240" w:lineRule="auto"/>
              <w:jc w:val="center"/>
              <w:rPr>
                <w:rFonts w:ascii="Times New Roman" w:hAnsi="Times New Roman" w:cs="Times New Roman"/>
                <w:sz w:val="18"/>
                <w:szCs w:val="18"/>
              </w:rPr>
            </w:pPr>
            <w:r w:rsidRPr="009D52EB">
              <w:rPr>
                <w:rFonts w:ascii="Times New Roman" w:hAnsi="Times New Roman" w:cs="Times New Roman"/>
                <w:sz w:val="18"/>
                <w:szCs w:val="18"/>
              </w:rPr>
              <w:t>5.9</w:t>
            </w:r>
          </w:p>
        </w:tc>
        <w:tc>
          <w:tcPr>
            <w:tcW w:w="1394" w:type="dxa"/>
            <w:tcBorders>
              <w:top w:val="nil"/>
              <w:left w:val="nil"/>
              <w:bottom w:val="single" w:sz="4" w:space="0" w:color="auto"/>
              <w:right w:val="nil"/>
            </w:tcBorders>
            <w:shd w:val="clear" w:color="auto" w:fill="auto"/>
            <w:vAlign w:val="center"/>
          </w:tcPr>
          <w:p w14:paraId="7543A804" w14:textId="77777777" w:rsidR="00D4243D" w:rsidRPr="009D52EB" w:rsidRDefault="00D4243D" w:rsidP="00E17B6B">
            <w:pPr>
              <w:spacing w:after="0" w:line="240" w:lineRule="auto"/>
              <w:jc w:val="center"/>
              <w:rPr>
                <w:rFonts w:ascii="Times New Roman" w:eastAsia="Times New Roman" w:hAnsi="Times New Roman" w:cs="Times New Roman"/>
                <w:sz w:val="14"/>
                <w:szCs w:val="14"/>
              </w:rPr>
            </w:pPr>
            <w:r w:rsidRPr="009D52EB">
              <w:rPr>
                <w:rFonts w:ascii="Times New Roman" w:eastAsia="Times New Roman" w:hAnsi="Times New Roman" w:cs="Times New Roman"/>
                <w:sz w:val="14"/>
                <w:szCs w:val="14"/>
              </w:rPr>
              <w:t>Neutral</w:t>
            </w:r>
          </w:p>
          <w:p w14:paraId="31A64BA4" w14:textId="45E1553B" w:rsidR="00D4243D" w:rsidRPr="009D52EB" w:rsidRDefault="004A7ADC" w:rsidP="00E17B6B">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SC-BPMEA</w:t>
            </w:r>
            <w:r w:rsidR="00D4243D" w:rsidRPr="009D52EB">
              <w:rPr>
                <w:rFonts w:ascii="Times New Roman" w:eastAsia="Times New Roman" w:hAnsi="Times New Roman" w:cs="Times New Roman"/>
                <w:sz w:val="14"/>
                <w:szCs w:val="14"/>
              </w:rPr>
              <w:t xml:space="preserve"> (this work)</w:t>
            </w:r>
          </w:p>
        </w:tc>
      </w:tr>
      <w:tr w:rsidR="00AB6B20" w:rsidRPr="009D52EB" w14:paraId="3147AEC8" w14:textId="77777777" w:rsidTr="004A7ADC">
        <w:trPr>
          <w:trHeight w:val="822"/>
          <w:jc w:val="center"/>
        </w:trPr>
        <w:tc>
          <w:tcPr>
            <w:tcW w:w="11031" w:type="dxa"/>
            <w:gridSpan w:val="13"/>
            <w:tcBorders>
              <w:top w:val="single" w:sz="4" w:space="0" w:color="auto"/>
              <w:left w:val="nil"/>
              <w:bottom w:val="single" w:sz="4" w:space="0" w:color="auto"/>
              <w:right w:val="nil"/>
            </w:tcBorders>
            <w:shd w:val="clear" w:color="auto" w:fill="auto"/>
            <w:noWrap/>
            <w:vAlign w:val="center"/>
          </w:tcPr>
          <w:p w14:paraId="58D6277D" w14:textId="43128624" w:rsidR="00AB6B20" w:rsidRPr="009D52EB" w:rsidRDefault="005433F8" w:rsidP="00CF192A">
            <w:pPr>
              <w:spacing w:after="0" w:line="240" w:lineRule="auto"/>
              <w:jc w:val="both"/>
              <w:rPr>
                <w:rFonts w:ascii="Times New Roman" w:hAnsi="Times New Roman" w:cs="Times New Roman"/>
                <w:sz w:val="20"/>
                <w:szCs w:val="20"/>
              </w:rPr>
            </w:pPr>
            <w:r w:rsidRPr="009D52EB">
              <w:rPr>
                <w:rFonts w:ascii="Times New Roman" w:hAnsi="Times New Roman" w:cs="Times New Roman"/>
                <w:sz w:val="20"/>
                <w:szCs w:val="20"/>
                <w:vertAlign w:val="superscript"/>
              </w:rPr>
              <w:t>a</w:t>
            </w:r>
            <w:r w:rsidRPr="009D52EB">
              <w:rPr>
                <w:rFonts w:ascii="Times New Roman" w:hAnsi="Times New Roman" w:cs="Times New Roman"/>
                <w:sz w:val="20"/>
                <w:szCs w:val="20"/>
              </w:rPr>
              <w:t xml:space="preserve"> </w:t>
            </w:r>
            <w:r w:rsidR="00AB6B20" w:rsidRPr="009D52EB">
              <w:rPr>
                <w:rFonts w:ascii="Times New Roman" w:hAnsi="Times New Roman" w:cs="Times New Roman"/>
                <w:sz w:val="20"/>
                <w:szCs w:val="20"/>
              </w:rPr>
              <w:t>SPU measurement missed 12-18% of the product FE (except the 0.29 sccm cm</w:t>
            </w:r>
            <w:r w:rsidR="00AB6B20" w:rsidRPr="009D52EB">
              <w:rPr>
                <w:rFonts w:ascii="Times New Roman" w:hAnsi="Times New Roman" w:cs="Times New Roman"/>
                <w:sz w:val="20"/>
                <w:szCs w:val="20"/>
                <w:vertAlign w:val="superscript"/>
              </w:rPr>
              <w:t>-2</w:t>
            </w:r>
            <w:r w:rsidR="00AB6B20" w:rsidRPr="009D52EB">
              <w:rPr>
                <w:rFonts w:ascii="Times New Roman" w:hAnsi="Times New Roman" w:cs="Times New Roman"/>
                <w:sz w:val="20"/>
                <w:szCs w:val="20"/>
              </w:rPr>
              <w:t xml:space="preserve"> case)</w:t>
            </w:r>
            <w:r w:rsidR="009C45FC" w:rsidRPr="009D52EB">
              <w:rPr>
                <w:rFonts w:ascii="Times New Roman" w:hAnsi="Times New Roman" w:cs="Times New Roman"/>
                <w:sz w:val="20"/>
                <w:szCs w:val="20"/>
              </w:rPr>
              <w:t>,</w:t>
            </w:r>
            <w:r w:rsidR="00AB6B20" w:rsidRPr="009D52EB">
              <w:rPr>
                <w:rFonts w:ascii="Times New Roman" w:hAnsi="Times New Roman" w:cs="Times New Roman"/>
                <w:sz w:val="20"/>
                <w:szCs w:val="20"/>
              </w:rPr>
              <w:t xml:space="preserve"> likely because some liquid product was trapped in the stationary catholyte layer or migrated and oxidized on the anode. Therefore, the SPU reported in this work are the minimum values. The upper limit SPU values without considering the missing FE are indicated in the brackets. </w:t>
            </w:r>
          </w:p>
          <w:p w14:paraId="2AB5D767" w14:textId="708F91E5" w:rsidR="00AB6B20" w:rsidRPr="009D52EB" w:rsidRDefault="00AB6B20" w:rsidP="00CF192A">
            <w:pPr>
              <w:spacing w:after="0" w:line="240" w:lineRule="auto"/>
              <w:jc w:val="both"/>
              <w:rPr>
                <w:rFonts w:ascii="Times New Roman" w:hAnsi="Times New Roman" w:cs="Times New Roman"/>
                <w:sz w:val="20"/>
                <w:szCs w:val="20"/>
              </w:rPr>
            </w:pPr>
            <w:r w:rsidRPr="009D52EB">
              <w:rPr>
                <w:rFonts w:ascii="Times New Roman" w:hAnsi="Times New Roman" w:cs="Times New Roman"/>
                <w:sz w:val="20"/>
                <w:szCs w:val="20"/>
              </w:rPr>
              <w:t>Nevertheless, we take the missing FE into account for calculating the upper limit SPU of our electrolyzer to make a conservative comparison of SPU. The missing FE can be ascribed to three groups of liquid products, i.e., formate, acetate, and ethanol/propanol. However, ascribing the missing FE to formate will result in a total CO</w:t>
            </w:r>
            <w:r w:rsidRPr="009D52EB">
              <w:rPr>
                <w:rFonts w:ascii="Times New Roman" w:hAnsi="Times New Roman" w:cs="Times New Roman"/>
                <w:sz w:val="20"/>
                <w:szCs w:val="20"/>
                <w:vertAlign w:val="subscript"/>
              </w:rPr>
              <w:t>2</w:t>
            </w:r>
            <w:r w:rsidRPr="009D52EB">
              <w:rPr>
                <w:rFonts w:ascii="Times New Roman" w:hAnsi="Times New Roman" w:cs="Times New Roman"/>
                <w:sz w:val="20"/>
                <w:szCs w:val="20"/>
              </w:rPr>
              <w:t xml:space="preserve"> consumption exceeding the inlet CO</w:t>
            </w:r>
            <w:r w:rsidRPr="009D52EB">
              <w:rPr>
                <w:rFonts w:ascii="Times New Roman" w:hAnsi="Times New Roman" w:cs="Times New Roman"/>
                <w:sz w:val="20"/>
                <w:szCs w:val="20"/>
                <w:vertAlign w:val="subscript"/>
              </w:rPr>
              <w:t>2</w:t>
            </w:r>
            <w:r w:rsidRPr="009D52EB">
              <w:rPr>
                <w:rFonts w:ascii="Times New Roman" w:hAnsi="Times New Roman" w:cs="Times New Roman"/>
                <w:sz w:val="20"/>
                <w:szCs w:val="20"/>
              </w:rPr>
              <w:t xml:space="preserve"> amount; we ascribe here the missing FE to acetate, ethanol, and propanol. This simulation gives the ranges of upper limit SPU for our </w:t>
            </w:r>
            <w:r w:rsidR="004A7ADC">
              <w:rPr>
                <w:rFonts w:ascii="Times New Roman" w:hAnsi="Times New Roman" w:cs="Times New Roman"/>
                <w:sz w:val="20"/>
                <w:szCs w:val="20"/>
              </w:rPr>
              <w:t>SC-BPMEA</w:t>
            </w:r>
            <w:r w:rsidRPr="009D52EB">
              <w:rPr>
                <w:rFonts w:ascii="Times New Roman" w:hAnsi="Times New Roman" w:cs="Times New Roman"/>
                <w:sz w:val="20"/>
                <w:szCs w:val="20"/>
              </w:rPr>
              <w:t xml:space="preserve"> under different conditions. </w:t>
            </w:r>
          </w:p>
          <w:p w14:paraId="63724180" w14:textId="5995835E" w:rsidR="00AB6B20" w:rsidRPr="009D52EB" w:rsidRDefault="00AB6B20" w:rsidP="00E17B6B">
            <w:pPr>
              <w:spacing w:after="0" w:line="240" w:lineRule="auto"/>
              <w:jc w:val="center"/>
              <w:rPr>
                <w:rFonts w:ascii="Times New Roman" w:eastAsia="Times New Roman" w:hAnsi="Times New Roman" w:cs="Times New Roman"/>
                <w:sz w:val="14"/>
                <w:szCs w:val="14"/>
              </w:rPr>
            </w:pPr>
          </w:p>
        </w:tc>
      </w:tr>
    </w:tbl>
    <w:p w14:paraId="5D171D54" w14:textId="77777777" w:rsidR="004F4A68" w:rsidRPr="009D52EB" w:rsidRDefault="004F4A68" w:rsidP="00723704">
      <w:pPr>
        <w:jc w:val="both"/>
        <w:rPr>
          <w:rFonts w:ascii="Times New Roman" w:hAnsi="Times New Roman" w:cs="Times New Roman"/>
          <w:sz w:val="24"/>
          <w:szCs w:val="24"/>
        </w:rPr>
      </w:pPr>
    </w:p>
    <w:p w14:paraId="1DEF24F5" w14:textId="77777777" w:rsidR="00CD1D92" w:rsidRPr="009D52EB" w:rsidRDefault="00CD1D92">
      <w:pPr>
        <w:rPr>
          <w:rFonts w:ascii="Times New Roman" w:hAnsi="Times New Roman" w:cs="Times New Roman"/>
          <w:b/>
          <w:bCs/>
          <w:sz w:val="24"/>
          <w:szCs w:val="24"/>
        </w:rPr>
      </w:pPr>
      <w:r w:rsidRPr="009D52EB">
        <w:rPr>
          <w:rFonts w:ascii="Times New Roman" w:hAnsi="Times New Roman" w:cs="Times New Roman"/>
          <w:b/>
          <w:bCs/>
          <w:sz w:val="24"/>
          <w:szCs w:val="24"/>
        </w:rPr>
        <w:br w:type="page"/>
      </w:r>
    </w:p>
    <w:p w14:paraId="7880518E" w14:textId="53949F5F" w:rsidR="00386434" w:rsidRPr="009D52EB" w:rsidRDefault="00E50266" w:rsidP="009D52EB">
      <w:pPr>
        <w:rPr>
          <w:rFonts w:ascii="Times New Roman" w:hAnsi="Times New Roman" w:cs="Times New Roman"/>
          <w:b/>
          <w:bCs/>
          <w:sz w:val="24"/>
          <w:szCs w:val="24"/>
        </w:rPr>
      </w:pPr>
      <w:r w:rsidRPr="009D52EB">
        <w:rPr>
          <w:rFonts w:ascii="Times New Roman" w:hAnsi="Times New Roman" w:cs="Times New Roman"/>
          <w:b/>
          <w:bCs/>
          <w:sz w:val="24"/>
          <w:szCs w:val="24"/>
        </w:rPr>
        <w:lastRenderedPageBreak/>
        <w:t xml:space="preserve">SI2 </w:t>
      </w:r>
      <w:r w:rsidR="0070754E" w:rsidRPr="009D52EB">
        <w:rPr>
          <w:rFonts w:ascii="Times New Roman" w:hAnsi="Times New Roman" w:cs="Times New Roman"/>
          <w:b/>
          <w:bCs/>
          <w:sz w:val="24"/>
          <w:szCs w:val="24"/>
        </w:rPr>
        <w:t xml:space="preserve">Analysis of </w:t>
      </w:r>
      <w:r w:rsidR="00386434" w:rsidRPr="009D52EB">
        <w:rPr>
          <w:rFonts w:ascii="Times New Roman" w:hAnsi="Times New Roman" w:cs="Times New Roman"/>
          <w:b/>
          <w:bCs/>
          <w:sz w:val="24"/>
          <w:szCs w:val="24"/>
        </w:rPr>
        <w:t>BPM</w:t>
      </w:r>
      <w:r w:rsidR="00CC2F77" w:rsidRPr="009D52EB">
        <w:rPr>
          <w:rFonts w:ascii="Times New Roman" w:hAnsi="Times New Roman" w:cs="Times New Roman"/>
          <w:b/>
          <w:bCs/>
          <w:sz w:val="24"/>
          <w:szCs w:val="24"/>
        </w:rPr>
        <w:t xml:space="preserve"> </w:t>
      </w:r>
      <w:bookmarkStart w:id="2" w:name="_Hlk89900400"/>
      <w:r w:rsidR="00386434" w:rsidRPr="009D52EB">
        <w:rPr>
          <w:rFonts w:ascii="Times New Roman" w:hAnsi="Times New Roman" w:cs="Times New Roman"/>
          <w:b/>
          <w:bCs/>
          <w:sz w:val="24"/>
          <w:szCs w:val="24"/>
        </w:rPr>
        <w:t>functions</w:t>
      </w:r>
      <w:bookmarkEnd w:id="2"/>
    </w:p>
    <w:p w14:paraId="2EB4B604" w14:textId="4FF697F6" w:rsidR="00CC2F77" w:rsidRPr="009D52EB" w:rsidRDefault="00386434" w:rsidP="00CC2F77">
      <w:pPr>
        <w:jc w:val="both"/>
        <w:rPr>
          <w:rFonts w:ascii="Times New Roman" w:hAnsi="Times New Roman" w:cs="Times New Roman"/>
          <w:i/>
          <w:iCs/>
          <w:sz w:val="24"/>
          <w:szCs w:val="24"/>
        </w:rPr>
      </w:pPr>
      <w:r w:rsidRPr="009D52EB">
        <w:rPr>
          <w:rFonts w:ascii="Times New Roman" w:hAnsi="Times New Roman" w:cs="Times New Roman"/>
          <w:i/>
          <w:iCs/>
          <w:sz w:val="24"/>
          <w:szCs w:val="24"/>
        </w:rPr>
        <w:t>BPM voltage losses</w:t>
      </w:r>
    </w:p>
    <w:p w14:paraId="79396AD5" w14:textId="745A0A98" w:rsidR="001E6548" w:rsidRPr="009D52EB" w:rsidRDefault="009D7398" w:rsidP="000E7276">
      <w:pPr>
        <w:jc w:val="both"/>
        <w:rPr>
          <w:rFonts w:ascii="Times New Roman" w:hAnsi="Times New Roman" w:cs="Times New Roman"/>
          <w:sz w:val="24"/>
          <w:szCs w:val="24"/>
        </w:rPr>
      </w:pPr>
      <w:r w:rsidRPr="009D52EB">
        <w:rPr>
          <w:rFonts w:ascii="Times New Roman" w:hAnsi="Times New Roman" w:cs="Times New Roman"/>
          <w:iCs/>
          <w:sz w:val="24"/>
          <w:szCs w:val="24"/>
        </w:rPr>
        <w:t>With the application</w:t>
      </w:r>
      <w:r w:rsidR="00D16B17" w:rsidRPr="009D52EB">
        <w:rPr>
          <w:rFonts w:ascii="Times New Roman" w:hAnsi="Times New Roman" w:cs="Times New Roman"/>
          <w:sz w:val="24"/>
          <w:szCs w:val="24"/>
        </w:rPr>
        <w:t xml:space="preserve"> </w:t>
      </w:r>
      <w:r w:rsidR="009C45FC" w:rsidRPr="009D52EB">
        <w:rPr>
          <w:rFonts w:ascii="Times New Roman" w:hAnsi="Times New Roman" w:cs="Times New Roman"/>
          <w:sz w:val="24"/>
          <w:szCs w:val="24"/>
        </w:rPr>
        <w:t xml:space="preserve">of </w:t>
      </w:r>
      <w:r w:rsidR="00D16B17" w:rsidRPr="009D52EB">
        <w:rPr>
          <w:rFonts w:ascii="Times New Roman" w:hAnsi="Times New Roman" w:cs="Times New Roman"/>
          <w:sz w:val="24"/>
          <w:szCs w:val="24"/>
        </w:rPr>
        <w:t>an appropriate external potential, water dissociation: H</w:t>
      </w:r>
      <w:r w:rsidR="00D16B17" w:rsidRPr="009D52EB">
        <w:rPr>
          <w:rFonts w:ascii="Times New Roman" w:hAnsi="Times New Roman" w:cs="Times New Roman"/>
          <w:sz w:val="24"/>
          <w:szCs w:val="24"/>
          <w:vertAlign w:val="subscript"/>
        </w:rPr>
        <w:t>2</w:t>
      </w:r>
      <w:r w:rsidR="00D16B17" w:rsidRPr="009D52EB">
        <w:rPr>
          <w:rFonts w:ascii="Times New Roman" w:hAnsi="Times New Roman" w:cs="Times New Roman"/>
          <w:sz w:val="24"/>
          <w:szCs w:val="24"/>
        </w:rPr>
        <w:t>O → H</w:t>
      </w:r>
      <w:r w:rsidR="00D16B17" w:rsidRPr="009D52EB">
        <w:rPr>
          <w:rFonts w:ascii="Times New Roman" w:hAnsi="Times New Roman" w:cs="Times New Roman"/>
          <w:sz w:val="24"/>
          <w:szCs w:val="24"/>
          <w:vertAlign w:val="superscript"/>
        </w:rPr>
        <w:t>+</w:t>
      </w:r>
      <w:r w:rsidR="00D16B17" w:rsidRPr="009D52EB">
        <w:rPr>
          <w:rFonts w:ascii="Times New Roman" w:hAnsi="Times New Roman" w:cs="Times New Roman"/>
          <w:sz w:val="24"/>
          <w:szCs w:val="24"/>
        </w:rPr>
        <w:t xml:space="preserve"> + OH</w:t>
      </w:r>
      <w:r w:rsidR="00D16B17" w:rsidRPr="009D52EB">
        <w:rPr>
          <w:rFonts w:ascii="Times New Roman" w:hAnsi="Times New Roman" w:cs="Times New Roman"/>
          <w:sz w:val="24"/>
          <w:szCs w:val="24"/>
          <w:vertAlign w:val="superscript"/>
        </w:rPr>
        <w:t>-</w:t>
      </w:r>
      <w:r w:rsidR="00D16B17" w:rsidRPr="009D52EB">
        <w:rPr>
          <w:rFonts w:ascii="Times New Roman" w:hAnsi="Times New Roman" w:cs="Times New Roman"/>
          <w:sz w:val="24"/>
          <w:szCs w:val="24"/>
        </w:rPr>
        <w:t xml:space="preserve">, occurs at the interface of the CEL/AEL, </w:t>
      </w:r>
      <w:r w:rsidR="006D48CC" w:rsidRPr="009D52EB">
        <w:rPr>
          <w:rFonts w:ascii="Times New Roman" w:hAnsi="Times New Roman" w:cs="Times New Roman"/>
          <w:sz w:val="24"/>
          <w:szCs w:val="24"/>
        </w:rPr>
        <w:t xml:space="preserve">and </w:t>
      </w:r>
      <w:r w:rsidR="00D16B17" w:rsidRPr="009D52EB">
        <w:rPr>
          <w:rFonts w:ascii="Times New Roman" w:hAnsi="Times New Roman" w:cs="Times New Roman"/>
          <w:sz w:val="24"/>
          <w:szCs w:val="24"/>
        </w:rPr>
        <w:t>t</w:t>
      </w:r>
      <w:r w:rsidR="00245891" w:rsidRPr="009D52EB">
        <w:rPr>
          <w:rFonts w:ascii="Times New Roman" w:hAnsi="Times New Roman" w:cs="Times New Roman"/>
          <w:sz w:val="24"/>
          <w:szCs w:val="24"/>
        </w:rPr>
        <w:t xml:space="preserve">he </w:t>
      </w:r>
      <w:r w:rsidR="00D16B17" w:rsidRPr="009D52EB">
        <w:rPr>
          <w:rFonts w:ascii="Times New Roman" w:hAnsi="Times New Roman" w:cs="Times New Roman"/>
          <w:sz w:val="24"/>
          <w:szCs w:val="24"/>
        </w:rPr>
        <w:t xml:space="preserve">protons and hydroxides serve as </w:t>
      </w:r>
      <w:r w:rsidR="00245891" w:rsidRPr="009D52EB">
        <w:rPr>
          <w:rFonts w:ascii="Times New Roman" w:hAnsi="Times New Roman" w:cs="Times New Roman"/>
          <w:sz w:val="24"/>
          <w:szCs w:val="24"/>
        </w:rPr>
        <w:t xml:space="preserve">charge carriers </w:t>
      </w:r>
      <w:r w:rsidR="00D16B17" w:rsidRPr="009D52EB">
        <w:rPr>
          <w:rFonts w:ascii="Times New Roman" w:hAnsi="Times New Roman" w:cs="Times New Roman"/>
          <w:sz w:val="24"/>
          <w:szCs w:val="24"/>
        </w:rPr>
        <w:t xml:space="preserve">in CEL and AEL, respectively. Under standard </w:t>
      </w:r>
      <w:r w:rsidR="00FB2264" w:rsidRPr="009D52EB">
        <w:rPr>
          <w:rFonts w:ascii="Times New Roman" w:hAnsi="Times New Roman" w:cs="Times New Roman"/>
          <w:sz w:val="24"/>
          <w:szCs w:val="24"/>
        </w:rPr>
        <w:t xml:space="preserve">conditions (25 </w:t>
      </w:r>
      <w:r w:rsidR="00FB2264" w:rsidRPr="009D52EB">
        <w:rPr>
          <w:rFonts w:ascii="Times New Roman" w:hAnsi="Times New Roman" w:cs="Times New Roman"/>
          <w:sz w:val="24"/>
          <w:szCs w:val="24"/>
          <w:vertAlign w:val="superscript"/>
        </w:rPr>
        <w:t>o</w:t>
      </w:r>
      <w:r w:rsidR="00FB2264" w:rsidRPr="009D52EB">
        <w:rPr>
          <w:rFonts w:ascii="Times New Roman" w:hAnsi="Times New Roman" w:cs="Times New Roman"/>
          <w:sz w:val="24"/>
          <w:szCs w:val="24"/>
        </w:rPr>
        <w:t xml:space="preserve">C, 1 atm, </w:t>
      </w:r>
      <w:r w:rsidRPr="009D52EB">
        <w:rPr>
          <w:rFonts w:ascii="Times New Roman" w:hAnsi="Times New Roman" w:cs="Times New Roman"/>
          <w:sz w:val="24"/>
          <w:szCs w:val="24"/>
        </w:rPr>
        <w:t xml:space="preserve">with activities </w:t>
      </w:r>
      <w:r w:rsidR="00FB2264" w:rsidRPr="009D52EB">
        <w:rPr>
          <w:rFonts w:ascii="Times New Roman" w:hAnsi="Times New Roman" w:cs="Times New Roman"/>
          <w:sz w:val="24"/>
          <w:szCs w:val="24"/>
        </w:rPr>
        <w:t>of H</w:t>
      </w:r>
      <w:r w:rsidR="00FB2264" w:rsidRPr="009D52EB">
        <w:rPr>
          <w:rFonts w:ascii="Times New Roman" w:hAnsi="Times New Roman" w:cs="Times New Roman"/>
          <w:sz w:val="24"/>
          <w:szCs w:val="24"/>
          <w:vertAlign w:val="superscript"/>
        </w:rPr>
        <w:t>+</w:t>
      </w:r>
      <w:r w:rsidR="00FB2264" w:rsidRPr="009D52EB">
        <w:rPr>
          <w:rFonts w:ascii="Times New Roman" w:hAnsi="Times New Roman" w:cs="Times New Roman"/>
          <w:sz w:val="24"/>
          <w:szCs w:val="24"/>
        </w:rPr>
        <w:t xml:space="preserve"> and OH</w:t>
      </w:r>
      <w:r w:rsidR="00FB2264" w:rsidRPr="009D52EB">
        <w:rPr>
          <w:rFonts w:ascii="Times New Roman" w:hAnsi="Times New Roman" w:cs="Times New Roman"/>
          <w:sz w:val="24"/>
          <w:szCs w:val="24"/>
          <w:vertAlign w:val="superscript"/>
        </w:rPr>
        <w:t>-</w:t>
      </w:r>
      <w:r w:rsidR="00FB2264" w:rsidRPr="009D52EB">
        <w:rPr>
          <w:rFonts w:ascii="Times New Roman" w:hAnsi="Times New Roman" w:cs="Times New Roman"/>
          <w:sz w:val="24"/>
          <w:szCs w:val="24"/>
        </w:rPr>
        <w:t xml:space="preserve"> </w:t>
      </w:r>
      <w:r w:rsidRPr="009D52EB">
        <w:rPr>
          <w:rFonts w:ascii="Times New Roman" w:hAnsi="Times New Roman" w:cs="Times New Roman"/>
          <w:sz w:val="24"/>
          <w:szCs w:val="24"/>
        </w:rPr>
        <w:t xml:space="preserve">at </w:t>
      </w:r>
      <w:r w:rsidR="00FB2264" w:rsidRPr="009D52EB">
        <w:rPr>
          <w:rFonts w:ascii="Times New Roman" w:hAnsi="Times New Roman" w:cs="Times New Roman"/>
          <w:sz w:val="24"/>
          <w:szCs w:val="24"/>
        </w:rPr>
        <w:t>1</w:t>
      </w:r>
      <w:r w:rsidR="006D48CC" w:rsidRPr="009D52EB">
        <w:rPr>
          <w:rFonts w:ascii="Times New Roman" w:hAnsi="Times New Roman" w:cs="Times New Roman"/>
          <w:sz w:val="24"/>
          <w:szCs w:val="24"/>
        </w:rPr>
        <w:t xml:space="preserve"> </w:t>
      </w:r>
      <w:r w:rsidR="00FB2264" w:rsidRPr="009D52EB">
        <w:rPr>
          <w:rFonts w:ascii="Times New Roman" w:hAnsi="Times New Roman" w:cs="Times New Roman"/>
          <w:sz w:val="24"/>
          <w:szCs w:val="24"/>
        </w:rPr>
        <w:t>M</w:t>
      </w:r>
      <w:r w:rsidRPr="009D52EB">
        <w:rPr>
          <w:rFonts w:ascii="Times New Roman" w:hAnsi="Times New Roman" w:cs="Times New Roman"/>
          <w:sz w:val="24"/>
          <w:szCs w:val="24"/>
        </w:rPr>
        <w:t xml:space="preserve"> in the CEL and AEL, respectively</w:t>
      </w:r>
      <w:r w:rsidR="00FB2264" w:rsidRPr="009D52EB">
        <w:rPr>
          <w:rFonts w:ascii="Times New Roman" w:hAnsi="Times New Roman" w:cs="Times New Roman"/>
          <w:sz w:val="24"/>
          <w:szCs w:val="24"/>
        </w:rPr>
        <w:t xml:space="preserve">), </w:t>
      </w:r>
      <w:r w:rsidRPr="009D52EB">
        <w:rPr>
          <w:rFonts w:ascii="Times New Roman" w:hAnsi="Times New Roman" w:cs="Times New Roman"/>
          <w:sz w:val="24"/>
          <w:szCs w:val="24"/>
        </w:rPr>
        <w:t xml:space="preserve">the </w:t>
      </w:r>
      <w:r w:rsidR="00FC2D00" w:rsidRPr="009D52EB">
        <w:rPr>
          <w:rFonts w:ascii="Times New Roman" w:hAnsi="Times New Roman" w:cs="Times New Roman"/>
          <w:sz w:val="24"/>
          <w:szCs w:val="24"/>
        </w:rPr>
        <w:t>electric</w:t>
      </w:r>
      <w:r w:rsidR="00D51ADE" w:rsidRPr="009D52EB">
        <w:rPr>
          <w:rFonts w:ascii="Times New Roman" w:hAnsi="Times New Roman" w:cs="Times New Roman"/>
          <w:sz w:val="24"/>
          <w:szCs w:val="24"/>
        </w:rPr>
        <w:t xml:space="preserve"> </w:t>
      </w:r>
      <w:r w:rsidRPr="009D52EB">
        <w:rPr>
          <w:rFonts w:ascii="Times New Roman" w:hAnsi="Times New Roman" w:cs="Times New Roman"/>
          <w:sz w:val="24"/>
          <w:szCs w:val="24"/>
        </w:rPr>
        <w:t xml:space="preserve">potential across the BPM is </w:t>
      </w:r>
      <w:r w:rsidR="00D51ADE" w:rsidRPr="009D52EB">
        <w:rPr>
          <w:rFonts w:ascii="Times New Roman" w:hAnsi="Times New Roman" w:cs="Times New Roman"/>
          <w:sz w:val="24"/>
          <w:szCs w:val="24"/>
        </w:rPr>
        <w:t>~</w:t>
      </w:r>
      <w:r w:rsidRPr="009D52EB">
        <w:rPr>
          <w:rFonts w:ascii="Times New Roman" w:hAnsi="Times New Roman" w:cs="Times New Roman"/>
          <w:sz w:val="24"/>
          <w:szCs w:val="24"/>
        </w:rPr>
        <w:t xml:space="preserve">0.83 V </w:t>
      </w:r>
      <w:r w:rsidR="00D51ADE" w:rsidRPr="009D52EB">
        <w:rPr>
          <w:rFonts w:ascii="Times New Roman" w:hAnsi="Times New Roman" w:cs="Times New Roman"/>
          <w:sz w:val="24"/>
          <w:szCs w:val="24"/>
        </w:rPr>
        <w:t>at equilibrium. The electric potential energy difference for H</w:t>
      </w:r>
      <w:r w:rsidR="00D51ADE" w:rsidRPr="009D52EB">
        <w:rPr>
          <w:rFonts w:ascii="Times New Roman" w:hAnsi="Times New Roman" w:cs="Times New Roman"/>
          <w:sz w:val="24"/>
          <w:szCs w:val="24"/>
          <w:vertAlign w:val="superscript"/>
        </w:rPr>
        <w:t>+</w:t>
      </w:r>
      <w:r w:rsidR="00D51ADE" w:rsidRPr="009D52EB">
        <w:rPr>
          <w:rFonts w:ascii="Times New Roman" w:hAnsi="Times New Roman" w:cs="Times New Roman"/>
          <w:sz w:val="24"/>
          <w:szCs w:val="24"/>
        </w:rPr>
        <w:t xml:space="preserve"> and OH</w:t>
      </w:r>
      <w:r w:rsidR="00D51ADE" w:rsidRPr="009D52EB">
        <w:rPr>
          <w:rFonts w:ascii="Times New Roman" w:hAnsi="Times New Roman" w:cs="Times New Roman"/>
          <w:sz w:val="24"/>
          <w:szCs w:val="24"/>
          <w:vertAlign w:val="superscript"/>
        </w:rPr>
        <w:t>-</w:t>
      </w:r>
      <w:r w:rsidR="00D51ADE" w:rsidRPr="009D52EB">
        <w:rPr>
          <w:rFonts w:ascii="Times New Roman" w:hAnsi="Times New Roman" w:cs="Times New Roman"/>
          <w:sz w:val="24"/>
          <w:szCs w:val="24"/>
        </w:rPr>
        <w:t xml:space="preserve"> across the BPM exactly compensates for the difference in activity</w:t>
      </w:r>
      <w:r w:rsidR="00C90B34" w:rsidRPr="009D52EB">
        <w:rPr>
          <w:rFonts w:ascii="Times New Roman" w:hAnsi="Times New Roman" w:cs="Times New Roman"/>
          <w:sz w:val="24"/>
          <w:szCs w:val="24"/>
        </w:rPr>
        <w:t xml:space="preserve"> (concentration)</w:t>
      </w:r>
      <w:r w:rsidR="00D51ADE" w:rsidRPr="009D52EB">
        <w:rPr>
          <w:rFonts w:ascii="Times New Roman" w:hAnsi="Times New Roman" w:cs="Times New Roman"/>
          <w:sz w:val="24"/>
          <w:szCs w:val="24"/>
        </w:rPr>
        <w:t xml:space="preserve"> such that the electrochemical potential is the same everywhere at equilibrium.</w:t>
      </w:r>
      <w:r w:rsidR="00C64C39" w:rsidRPr="00E85E3D">
        <w:rPr>
          <w:rFonts w:ascii="Times New Roman" w:hAnsi="Times New Roman" w:cs="Times New Roman"/>
          <w:sz w:val="24"/>
          <w:szCs w:val="24"/>
        </w:rPr>
        <w:fldChar w:fldCharType="begin" w:fldLock="1"/>
      </w:r>
      <w:r w:rsidR="002B6039">
        <w:rPr>
          <w:rFonts w:ascii="Times New Roman" w:hAnsi="Times New Roman" w:cs="Times New Roman"/>
          <w:sz w:val="24"/>
          <w:szCs w:val="24"/>
        </w:rPr>
        <w:instrText>ADDIN CSL_CITATION {"citationItems":[{"id":"ITEM-1","itemData":{"DOI":"10.1126/science.aaz1487","ISSN":"10959203","PMID":"32616669","abstract":"Catalyzing water dissociation (WD) into protons and hydroxide ions is important both for fabricating bipolar membranes (BPMs) that can couple different pH environments into a single electrochemical device and for accelerating electrocatalytic reactions that consume protons in neutral to alkaline media. We designed a BPM electrolyzer to quantitatively measure WD kinetics and show that, for metal nanoparticles, WD activity correlates with alkaline hydrogen evolution reaction activity. By combining metal-oxide WD catalysts that are efficient near the acidic proton-exchange layer with those efficient near the alkaline hydroxide-exchange layer, we demonstrate a BPM driving WD with overpotentials of &lt;10 mV at 20 mA·cm−2 and pure water BPM electrolyzers that operate with an alkaline anode and acidic cathode at 500 mA·cm−2 with a total electrolysis voltage of ~2.2 V.","author":[{"dropping-particle":"","family":"Oener","given":"Sebastian Z.","non-dropping-particle":"","parse-names":false,"suffix":""},{"dropping-particle":"","family":"Foster","given":"Marc J.","non-dropping-particle":"","parse-names":false,"suffix":""},{"dropping-particle":"","family":"Boettcher","given":"Shannon W.","non-dropping-particle":"","parse-names":false,"suffix":""}],"container-title":"Science","id":"ITEM-1","issue":"6507","issued":{"date-parts":[["2020"]]},"page":"1099-1103","title":"Accelerating water dissociation in bipolar membranes and for electrocatalysis","type":"article-journal","volume":"369"},"uris":["http://www.mendeley.com/documents/?uuid=70688eaa-3a39-44c5-bd2d-a198402cb42c"]}],"mendeley":{"formattedCitation":"&lt;sup&gt;20&lt;/sup&gt;","plainTextFormattedCitation":"20","previouslyFormattedCitation":"&lt;sup&gt;20&lt;/sup&gt;"},"properties":{"noteIndex":0},"schema":"https://github.com/citation-style-language/schema/raw/master/csl-citation.json"}</w:instrText>
      </w:r>
      <w:r w:rsidR="00C64C39" w:rsidRPr="00E85E3D">
        <w:rPr>
          <w:rFonts w:ascii="Times New Roman" w:hAnsi="Times New Roman" w:cs="Times New Roman"/>
          <w:sz w:val="24"/>
          <w:szCs w:val="24"/>
        </w:rPr>
        <w:fldChar w:fldCharType="separate"/>
      </w:r>
      <w:r w:rsidR="007F7E70" w:rsidRPr="007F7E70">
        <w:rPr>
          <w:rFonts w:ascii="Times New Roman" w:hAnsi="Times New Roman" w:cs="Times New Roman"/>
          <w:noProof/>
          <w:sz w:val="24"/>
          <w:szCs w:val="24"/>
          <w:vertAlign w:val="superscript"/>
        </w:rPr>
        <w:t>20</w:t>
      </w:r>
      <w:r w:rsidR="00C64C39" w:rsidRPr="00E85E3D">
        <w:rPr>
          <w:rFonts w:ascii="Times New Roman" w:hAnsi="Times New Roman" w:cs="Times New Roman"/>
          <w:sz w:val="24"/>
          <w:szCs w:val="24"/>
        </w:rPr>
        <w:fldChar w:fldCharType="end"/>
      </w:r>
      <w:r w:rsidR="00456468" w:rsidRPr="00805810">
        <w:rPr>
          <w:rFonts w:ascii="Times New Roman" w:hAnsi="Times New Roman" w:cs="Times New Roman"/>
          <w:sz w:val="24"/>
          <w:szCs w:val="24"/>
        </w:rPr>
        <w:t xml:space="preserve"> In order for net current to flow, an addition</w:t>
      </w:r>
      <w:r w:rsidR="009C45FC" w:rsidRPr="00E85E3D">
        <w:rPr>
          <w:rFonts w:ascii="Times New Roman" w:hAnsi="Times New Roman" w:cs="Times New Roman"/>
          <w:sz w:val="24"/>
          <w:szCs w:val="24"/>
        </w:rPr>
        <w:t>al</w:t>
      </w:r>
      <w:r w:rsidR="00456468" w:rsidRPr="009D52EB">
        <w:rPr>
          <w:rFonts w:ascii="Times New Roman" w:hAnsi="Times New Roman" w:cs="Times New Roman"/>
          <w:sz w:val="24"/>
          <w:szCs w:val="24"/>
        </w:rPr>
        <w:t xml:space="preserve"> electric potential must be applied across the membrane</w:t>
      </w:r>
      <w:r w:rsidR="009C45FC" w:rsidRPr="009D52EB">
        <w:rPr>
          <w:rFonts w:ascii="Times New Roman" w:hAnsi="Times New Roman" w:cs="Times New Roman"/>
          <w:sz w:val="24"/>
          <w:szCs w:val="24"/>
        </w:rPr>
        <w:t>,</w:t>
      </w:r>
      <w:r w:rsidR="00456468" w:rsidRPr="009D52EB">
        <w:rPr>
          <w:rFonts w:ascii="Times New Roman" w:hAnsi="Times New Roman" w:cs="Times New Roman"/>
          <w:sz w:val="24"/>
          <w:szCs w:val="24"/>
        </w:rPr>
        <w:t xml:space="preserve"> causing a deviation from the open-circuit value of ~0.83 V. This deviation is typically called the </w:t>
      </w:r>
      <w:r w:rsidR="00456468" w:rsidRPr="009D52EB">
        <w:rPr>
          <w:rFonts w:ascii="Times New Roman" w:hAnsi="Times New Roman" w:cs="Times New Roman"/>
          <w:i/>
          <w:sz w:val="24"/>
          <w:szCs w:val="24"/>
        </w:rPr>
        <w:t xml:space="preserve">water dissociation overpotential </w:t>
      </w:r>
      <w:r w:rsidR="00456468" w:rsidRPr="009D52EB">
        <w:rPr>
          <w:rFonts w:ascii="Times New Roman" w:hAnsi="Times New Roman" w:cs="Times New Roman"/>
          <w:sz w:val="24"/>
          <w:szCs w:val="24"/>
        </w:rPr>
        <w:t>and represents the losses associated with generating H</w:t>
      </w:r>
      <w:r w:rsidR="00456468" w:rsidRPr="009D52EB">
        <w:rPr>
          <w:rFonts w:ascii="Times New Roman" w:hAnsi="Times New Roman" w:cs="Times New Roman"/>
          <w:sz w:val="24"/>
          <w:szCs w:val="24"/>
          <w:vertAlign w:val="superscript"/>
        </w:rPr>
        <w:t>+</w:t>
      </w:r>
      <w:r w:rsidR="00456468" w:rsidRPr="009D52EB">
        <w:rPr>
          <w:rFonts w:ascii="Times New Roman" w:hAnsi="Times New Roman" w:cs="Times New Roman"/>
          <w:sz w:val="24"/>
          <w:szCs w:val="24"/>
        </w:rPr>
        <w:t xml:space="preserve"> and OH</w:t>
      </w:r>
      <w:r w:rsidR="00456468" w:rsidRPr="009D52EB">
        <w:rPr>
          <w:rFonts w:ascii="Times New Roman" w:hAnsi="Times New Roman" w:cs="Times New Roman"/>
          <w:sz w:val="24"/>
          <w:szCs w:val="24"/>
          <w:vertAlign w:val="superscript"/>
        </w:rPr>
        <w:t>-</w:t>
      </w:r>
      <w:r w:rsidR="00456468" w:rsidRPr="009D52EB">
        <w:rPr>
          <w:rFonts w:ascii="Times New Roman" w:hAnsi="Times New Roman" w:cs="Times New Roman"/>
          <w:sz w:val="24"/>
          <w:szCs w:val="24"/>
        </w:rPr>
        <w:t xml:space="preserve"> and transporting it out of the interfacial layer between CEL and AEL and out of the BPM. Often, it is stated that a BPM induces a “thermodynamic” voltage loss of 0.83 V – however</w:t>
      </w:r>
      <w:r w:rsidR="009C45FC" w:rsidRPr="009D52EB">
        <w:rPr>
          <w:rFonts w:ascii="Times New Roman" w:hAnsi="Times New Roman" w:cs="Times New Roman"/>
          <w:sz w:val="24"/>
          <w:szCs w:val="24"/>
        </w:rPr>
        <w:t>,</w:t>
      </w:r>
      <w:r w:rsidR="00456468" w:rsidRPr="009D52EB">
        <w:rPr>
          <w:rFonts w:ascii="Times New Roman" w:hAnsi="Times New Roman" w:cs="Times New Roman"/>
          <w:sz w:val="24"/>
          <w:szCs w:val="24"/>
        </w:rPr>
        <w:t xml:space="preserve"> as discussed above, this is incorrect – the losses can in fact be quite small. For example, </w:t>
      </w:r>
      <w:r w:rsidR="00E1459A" w:rsidRPr="009D52EB">
        <w:rPr>
          <w:rFonts w:ascii="Times New Roman" w:hAnsi="Times New Roman" w:cs="Times New Roman"/>
          <w:sz w:val="24"/>
          <w:szCs w:val="24"/>
        </w:rPr>
        <w:t xml:space="preserve">with appropriate materials and operating conditions, the cell voltage of a BPM-based </w:t>
      </w:r>
      <w:r w:rsidR="00456468" w:rsidRPr="009D52EB">
        <w:rPr>
          <w:rFonts w:ascii="Times New Roman" w:hAnsi="Times New Roman" w:cs="Times New Roman"/>
          <w:sz w:val="24"/>
          <w:szCs w:val="24"/>
        </w:rPr>
        <w:t xml:space="preserve">water </w:t>
      </w:r>
      <w:r w:rsidR="00E1459A" w:rsidRPr="009D52EB">
        <w:rPr>
          <w:rFonts w:ascii="Times New Roman" w:hAnsi="Times New Roman" w:cs="Times New Roman"/>
          <w:sz w:val="24"/>
          <w:szCs w:val="24"/>
        </w:rPr>
        <w:t xml:space="preserve">electrolyzer </w:t>
      </w:r>
      <w:r w:rsidR="00456468" w:rsidRPr="009D52EB">
        <w:rPr>
          <w:rFonts w:ascii="Times New Roman" w:hAnsi="Times New Roman" w:cs="Times New Roman"/>
          <w:sz w:val="24"/>
          <w:szCs w:val="24"/>
        </w:rPr>
        <w:t xml:space="preserve">can in fact </w:t>
      </w:r>
      <w:r w:rsidR="00E1459A" w:rsidRPr="009D52EB">
        <w:rPr>
          <w:rFonts w:ascii="Times New Roman" w:hAnsi="Times New Roman" w:cs="Times New Roman"/>
          <w:sz w:val="24"/>
          <w:szCs w:val="24"/>
        </w:rPr>
        <w:t xml:space="preserve">be </w:t>
      </w:r>
      <w:r w:rsidR="00C21028" w:rsidRPr="009D52EB">
        <w:rPr>
          <w:rFonts w:ascii="Times New Roman" w:hAnsi="Times New Roman" w:cs="Times New Roman"/>
          <w:sz w:val="24"/>
          <w:szCs w:val="24"/>
        </w:rPr>
        <w:t>lower than that of a</w:t>
      </w:r>
      <w:r w:rsidR="00F21F00" w:rsidRPr="009D52EB">
        <w:rPr>
          <w:rFonts w:ascii="Times New Roman" w:hAnsi="Times New Roman" w:cs="Times New Roman"/>
          <w:sz w:val="24"/>
          <w:szCs w:val="24"/>
        </w:rPr>
        <w:t>n</w:t>
      </w:r>
      <w:r w:rsidR="00C21028" w:rsidRPr="009D52EB">
        <w:rPr>
          <w:rFonts w:ascii="Times New Roman" w:hAnsi="Times New Roman" w:cs="Times New Roman"/>
          <w:sz w:val="24"/>
          <w:szCs w:val="24"/>
        </w:rPr>
        <w:t xml:space="preserve"> AEM-based electrolyzer at </w:t>
      </w:r>
      <w:r w:rsidR="007856EC" w:rsidRPr="009D52EB">
        <w:rPr>
          <w:rFonts w:ascii="Times New Roman" w:hAnsi="Times New Roman" w:cs="Times New Roman"/>
          <w:sz w:val="24"/>
          <w:szCs w:val="24"/>
        </w:rPr>
        <w:t xml:space="preserve">the current density </w:t>
      </w:r>
      <w:r w:rsidR="00AD14D8" w:rsidRPr="009D52EB">
        <w:rPr>
          <w:rFonts w:ascii="Times New Roman" w:hAnsi="Times New Roman" w:cs="Times New Roman"/>
          <w:sz w:val="24"/>
          <w:szCs w:val="24"/>
        </w:rPr>
        <w:t>up</w:t>
      </w:r>
      <w:r w:rsidR="00E84C46" w:rsidRPr="009D52EB">
        <w:rPr>
          <w:rFonts w:ascii="Times New Roman" w:hAnsi="Times New Roman" w:cs="Times New Roman"/>
          <w:sz w:val="24"/>
          <w:szCs w:val="24"/>
        </w:rPr>
        <w:t xml:space="preserve"> </w:t>
      </w:r>
      <w:r w:rsidR="00AD14D8" w:rsidRPr="009D52EB">
        <w:rPr>
          <w:rFonts w:ascii="Times New Roman" w:hAnsi="Times New Roman" w:cs="Times New Roman"/>
          <w:sz w:val="24"/>
          <w:szCs w:val="24"/>
        </w:rPr>
        <w:t xml:space="preserve">to </w:t>
      </w:r>
      <w:r w:rsidR="007856EC" w:rsidRPr="009D52EB">
        <w:rPr>
          <w:rFonts w:ascii="Times New Roman" w:hAnsi="Times New Roman" w:cs="Times New Roman"/>
          <w:sz w:val="24"/>
          <w:szCs w:val="24"/>
        </w:rPr>
        <w:t>500 mA cm</w:t>
      </w:r>
      <w:r w:rsidR="007856EC" w:rsidRPr="009D52EB">
        <w:rPr>
          <w:rFonts w:ascii="Times New Roman" w:hAnsi="Times New Roman" w:cs="Times New Roman"/>
          <w:sz w:val="24"/>
          <w:szCs w:val="24"/>
          <w:vertAlign w:val="superscript"/>
        </w:rPr>
        <w:t>-2</w:t>
      </w:r>
      <w:r w:rsidR="007856EC" w:rsidRPr="009D52EB">
        <w:rPr>
          <w:rFonts w:ascii="Times New Roman" w:hAnsi="Times New Roman" w:cs="Times New Roman"/>
          <w:sz w:val="24"/>
          <w:szCs w:val="24"/>
        </w:rPr>
        <w:t>.</w:t>
      </w:r>
      <w:r w:rsidR="00F63973" w:rsidRPr="00E85E3D">
        <w:rPr>
          <w:rFonts w:ascii="Times New Roman" w:hAnsi="Times New Roman" w:cs="Times New Roman"/>
          <w:sz w:val="24"/>
          <w:szCs w:val="24"/>
        </w:rPr>
        <w:fldChar w:fldCharType="begin" w:fldLock="1"/>
      </w:r>
      <w:r w:rsidR="002B6039">
        <w:rPr>
          <w:rFonts w:ascii="Times New Roman" w:hAnsi="Times New Roman" w:cs="Times New Roman"/>
          <w:sz w:val="24"/>
          <w:szCs w:val="24"/>
        </w:rPr>
        <w:instrText>ADDIN CSL_CITATION {"citationItems":[{"id":"ITEM-1","itemData":{"DOI":"10.1126/science.aaz1487","ISSN":"10959203","PMID":"32616669","abstract":"Catalyzing water dissociation (WD) into protons and hydroxide ions is important both for fabricating bipolar membranes (BPMs) that can couple different pH environments into a single electrochemical device and for accelerating electrocatalytic reactions that consume protons in neutral to alkaline media. We designed a BPM electrolyzer to quantitatively measure WD kinetics and show that, for metal nanoparticles, WD activity correlates with alkaline hydrogen evolution reaction activity. By combining metal-oxide WD catalysts that are efficient near the acidic proton-exchange layer with those efficient near the alkaline hydroxide-exchange layer, we demonstrate a BPM driving WD with overpotentials of &lt;10 mV at 20 mA·cm−2 and pure water BPM electrolyzers that operate with an alkaline anode and acidic cathode at 500 mA·cm−2 with a total electrolysis voltage of ~2.2 V.","author":[{"dropping-particle":"","family":"Oener","given":"Sebastian Z.","non-dropping-particle":"","parse-names":false,"suffix":""},{"dropping-particle":"","family":"Foster","given":"Marc J.","non-dropping-particle":"","parse-names":false,"suffix":""},{"dropping-particle":"","family":"Boettcher","given":"Shannon W.","non-dropping-particle":"","parse-names":false,"suffix":""}],"container-title":"Science","id":"ITEM-1","issue":"6507","issued":{"date-parts":[["2020"]]},"page":"1099-1103","title":"Accelerating water dissociation in bipolar membranes and for electrocatalysis","type":"article-journal","volume":"369"},"uris":["http://www.mendeley.com/documents/?uuid=70688eaa-3a39-44c5-bd2d-a198402cb42c"]}],"mendeley":{"formattedCitation":"&lt;sup&gt;20&lt;/sup&gt;","plainTextFormattedCitation":"20","previouslyFormattedCitation":"&lt;sup&gt;20&lt;/sup&gt;"},"properties":{"noteIndex":0},"schema":"https://github.com/citation-style-language/schema/raw/master/csl-citation.json"}</w:instrText>
      </w:r>
      <w:r w:rsidR="00F63973" w:rsidRPr="00E85E3D">
        <w:rPr>
          <w:rFonts w:ascii="Times New Roman" w:hAnsi="Times New Roman" w:cs="Times New Roman"/>
          <w:sz w:val="24"/>
          <w:szCs w:val="24"/>
        </w:rPr>
        <w:fldChar w:fldCharType="separate"/>
      </w:r>
      <w:r w:rsidR="007F7E70" w:rsidRPr="007F7E70">
        <w:rPr>
          <w:rFonts w:ascii="Times New Roman" w:hAnsi="Times New Roman" w:cs="Times New Roman"/>
          <w:noProof/>
          <w:sz w:val="24"/>
          <w:szCs w:val="24"/>
          <w:vertAlign w:val="superscript"/>
        </w:rPr>
        <w:t>20</w:t>
      </w:r>
      <w:r w:rsidR="00F63973" w:rsidRPr="00E85E3D">
        <w:rPr>
          <w:rFonts w:ascii="Times New Roman" w:hAnsi="Times New Roman" w:cs="Times New Roman"/>
          <w:sz w:val="24"/>
          <w:szCs w:val="24"/>
        </w:rPr>
        <w:fldChar w:fldCharType="end"/>
      </w:r>
      <w:r w:rsidR="007856EC" w:rsidRPr="00805810">
        <w:rPr>
          <w:rFonts w:ascii="Times New Roman" w:hAnsi="Times New Roman" w:cs="Times New Roman"/>
          <w:sz w:val="24"/>
          <w:szCs w:val="24"/>
        </w:rPr>
        <w:t xml:space="preserve"> </w:t>
      </w:r>
      <w:r w:rsidR="00456468" w:rsidRPr="00E85E3D">
        <w:rPr>
          <w:rFonts w:ascii="Times New Roman" w:hAnsi="Times New Roman" w:cs="Times New Roman"/>
          <w:sz w:val="24"/>
          <w:szCs w:val="24"/>
        </w:rPr>
        <w:t xml:space="preserve">BPM electrolyzers can begin to split water with a total voltage of &lt; </w:t>
      </w:r>
      <w:r w:rsidR="00C90B34" w:rsidRPr="009D52EB">
        <w:rPr>
          <w:rFonts w:ascii="Times New Roman" w:hAnsi="Times New Roman" w:cs="Times New Roman"/>
          <w:sz w:val="24"/>
          <w:szCs w:val="24"/>
        </w:rPr>
        <w:t xml:space="preserve">1.7 </w:t>
      </w:r>
      <w:r w:rsidR="00456468" w:rsidRPr="009D52EB">
        <w:rPr>
          <w:rFonts w:ascii="Times New Roman" w:hAnsi="Times New Roman" w:cs="Times New Roman"/>
          <w:sz w:val="24"/>
          <w:szCs w:val="24"/>
        </w:rPr>
        <w:t xml:space="preserve">V, which would be impossible if there were an intrinsic </w:t>
      </w:r>
      <w:r w:rsidR="00BC1EE6" w:rsidRPr="009D52EB">
        <w:rPr>
          <w:rFonts w:ascii="Times New Roman" w:hAnsi="Times New Roman" w:cs="Times New Roman"/>
          <w:sz w:val="24"/>
          <w:szCs w:val="24"/>
        </w:rPr>
        <w:t>0.</w:t>
      </w:r>
      <w:r w:rsidR="00456468" w:rsidRPr="009D52EB">
        <w:rPr>
          <w:rFonts w:ascii="Times New Roman" w:hAnsi="Times New Roman" w:cs="Times New Roman"/>
          <w:sz w:val="24"/>
          <w:szCs w:val="24"/>
        </w:rPr>
        <w:t>83 V penalty for using the BPM.</w:t>
      </w:r>
    </w:p>
    <w:p w14:paraId="46485997" w14:textId="4EDCF9BF" w:rsidR="00DB7F3A" w:rsidRPr="009D52EB" w:rsidRDefault="00DB7F3A" w:rsidP="00DB7F3A">
      <w:pPr>
        <w:jc w:val="both"/>
        <w:rPr>
          <w:rFonts w:ascii="Times New Roman" w:hAnsi="Times New Roman" w:cs="Times New Roman"/>
          <w:i/>
          <w:iCs/>
          <w:sz w:val="24"/>
          <w:szCs w:val="24"/>
        </w:rPr>
      </w:pPr>
      <w:r w:rsidRPr="009D52EB">
        <w:rPr>
          <w:rFonts w:ascii="Times New Roman" w:hAnsi="Times New Roman" w:cs="Times New Roman"/>
          <w:i/>
          <w:iCs/>
          <w:sz w:val="24"/>
          <w:szCs w:val="24"/>
        </w:rPr>
        <w:t xml:space="preserve">Comparison between custom and Fumasep BPMs in </w:t>
      </w:r>
      <w:r w:rsidR="004A7ADC">
        <w:rPr>
          <w:rFonts w:ascii="Times New Roman" w:hAnsi="Times New Roman" w:cs="Times New Roman"/>
          <w:i/>
          <w:iCs/>
          <w:sz w:val="24"/>
          <w:szCs w:val="24"/>
        </w:rPr>
        <w:t>SC-BPMEA</w:t>
      </w:r>
    </w:p>
    <w:p w14:paraId="60A1CC52" w14:textId="2003B5F3" w:rsidR="00DB7F3A" w:rsidRPr="009D52EB" w:rsidRDefault="00DB7F3A" w:rsidP="00DB7F3A">
      <w:pPr>
        <w:jc w:val="both"/>
        <w:rPr>
          <w:rFonts w:ascii="Times New Roman" w:hAnsi="Times New Roman" w:cs="Times New Roman"/>
          <w:sz w:val="24"/>
          <w:szCs w:val="24"/>
        </w:rPr>
      </w:pPr>
      <w:r w:rsidRPr="009D52EB">
        <w:rPr>
          <w:rFonts w:ascii="Times New Roman" w:hAnsi="Times New Roman" w:cs="Times New Roman"/>
          <w:sz w:val="24"/>
          <w:szCs w:val="24"/>
        </w:rPr>
        <w:t>We first conducted water</w:t>
      </w:r>
      <w:r w:rsidR="00C90B34" w:rsidRPr="009D52EB">
        <w:rPr>
          <w:rFonts w:ascii="Times New Roman" w:hAnsi="Times New Roman" w:cs="Times New Roman"/>
          <w:sz w:val="24"/>
          <w:szCs w:val="24"/>
        </w:rPr>
        <w:t>-</w:t>
      </w:r>
      <w:r w:rsidRPr="009D52EB">
        <w:rPr>
          <w:rFonts w:ascii="Times New Roman" w:hAnsi="Times New Roman" w:cs="Times New Roman"/>
          <w:sz w:val="24"/>
          <w:szCs w:val="24"/>
        </w:rPr>
        <w:t>splitting measurement</w:t>
      </w:r>
      <w:r w:rsidR="00014D65" w:rsidRPr="009D52EB">
        <w:rPr>
          <w:rFonts w:ascii="Times New Roman" w:hAnsi="Times New Roman" w:cs="Times New Roman"/>
          <w:sz w:val="24"/>
          <w:szCs w:val="24"/>
        </w:rPr>
        <w:t>s</w:t>
      </w:r>
      <w:r w:rsidRPr="009D52EB">
        <w:rPr>
          <w:rFonts w:ascii="Times New Roman" w:hAnsi="Times New Roman" w:cs="Times New Roman"/>
          <w:sz w:val="24"/>
          <w:szCs w:val="24"/>
        </w:rPr>
        <w:t xml:space="preserve"> to compare the resistance of </w:t>
      </w:r>
      <w:r w:rsidR="00715DDE" w:rsidRPr="009D52EB">
        <w:rPr>
          <w:rFonts w:ascii="Times New Roman" w:hAnsi="Times New Roman" w:cs="Times New Roman"/>
          <w:sz w:val="24"/>
          <w:szCs w:val="24"/>
        </w:rPr>
        <w:t>custom</w:t>
      </w:r>
      <w:r w:rsidRPr="009D52EB">
        <w:rPr>
          <w:rFonts w:ascii="Times New Roman" w:hAnsi="Times New Roman" w:cs="Times New Roman"/>
          <w:sz w:val="24"/>
          <w:szCs w:val="24"/>
        </w:rPr>
        <w:t xml:space="preserve"> BPM and Fumasep. </w:t>
      </w:r>
      <w:r w:rsidR="00DE0DCA">
        <w:rPr>
          <w:rFonts w:ascii="Times New Roman" w:hAnsi="Times New Roman" w:cs="Times New Roman"/>
          <w:sz w:val="24"/>
          <w:szCs w:val="24"/>
        </w:rPr>
        <w:t>Supplementary Fig.</w:t>
      </w:r>
      <w:r w:rsidRPr="009D52EB">
        <w:rPr>
          <w:rFonts w:ascii="Times New Roman" w:hAnsi="Times New Roman" w:cs="Times New Roman"/>
          <w:sz w:val="24"/>
          <w:szCs w:val="24"/>
        </w:rPr>
        <w:t xml:space="preserve"> </w:t>
      </w:r>
      <w:r w:rsidR="00F41985" w:rsidRPr="009D52EB">
        <w:rPr>
          <w:rFonts w:ascii="Times New Roman" w:hAnsi="Times New Roman" w:cs="Times New Roman"/>
          <w:sz w:val="24"/>
          <w:szCs w:val="24"/>
        </w:rPr>
        <w:t xml:space="preserve">1 </w:t>
      </w:r>
      <w:r w:rsidRPr="009D52EB">
        <w:rPr>
          <w:rFonts w:ascii="Times New Roman" w:hAnsi="Times New Roman" w:cs="Times New Roman"/>
          <w:sz w:val="24"/>
          <w:szCs w:val="24"/>
        </w:rPr>
        <w:t xml:space="preserve">shows that the BPM with </w:t>
      </w:r>
      <w:r w:rsidR="00C90B34" w:rsidRPr="009D52EB">
        <w:rPr>
          <w:rFonts w:ascii="Times New Roman" w:hAnsi="Times New Roman" w:cs="Times New Roman"/>
          <w:sz w:val="24"/>
          <w:szCs w:val="24"/>
        </w:rPr>
        <w:t xml:space="preserve">a simple </w:t>
      </w:r>
      <w:r w:rsidRPr="009D52EB">
        <w:rPr>
          <w:rFonts w:ascii="Times New Roman" w:hAnsi="Times New Roman" w:cs="Times New Roman"/>
          <w:sz w:val="24"/>
          <w:szCs w:val="24"/>
        </w:rPr>
        <w:t>TiO</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 xml:space="preserve"> water dissociation catalyst (black plots) has lower resistance than the one without water dissociation catalyst (blue plots) and commercially available Fumasep BPM. </w:t>
      </w:r>
    </w:p>
    <w:p w14:paraId="3A285728" w14:textId="42541FF8" w:rsidR="00DB7F3A" w:rsidRPr="009D52EB" w:rsidRDefault="00DB7F3A" w:rsidP="00DB7F3A">
      <w:pPr>
        <w:jc w:val="both"/>
        <w:rPr>
          <w:rFonts w:ascii="Times New Roman" w:hAnsi="Times New Roman" w:cs="Times New Roman"/>
          <w:sz w:val="24"/>
          <w:szCs w:val="24"/>
        </w:rPr>
      </w:pPr>
      <w:r w:rsidRPr="009D52EB">
        <w:rPr>
          <w:rFonts w:ascii="Times New Roman" w:hAnsi="Times New Roman" w:cs="Times New Roman"/>
          <w:sz w:val="24"/>
          <w:szCs w:val="24"/>
        </w:rPr>
        <w:t>When be</w:t>
      </w:r>
      <w:r w:rsidR="00014D65" w:rsidRPr="009D52EB">
        <w:rPr>
          <w:rFonts w:ascii="Times New Roman" w:hAnsi="Times New Roman" w:cs="Times New Roman"/>
          <w:sz w:val="24"/>
          <w:szCs w:val="24"/>
        </w:rPr>
        <w:t>ing</w:t>
      </w:r>
      <w:r w:rsidRPr="009D52EB">
        <w:rPr>
          <w:rFonts w:ascii="Times New Roman" w:hAnsi="Times New Roman" w:cs="Times New Roman"/>
          <w:sz w:val="24"/>
          <w:szCs w:val="24"/>
        </w:rPr>
        <w:t xml:space="preserve"> used in </w:t>
      </w:r>
      <w:r w:rsidR="00384F67" w:rsidRPr="009D52EB">
        <w:rPr>
          <w:rFonts w:ascii="Times New Roman" w:hAnsi="Times New Roman" w:cs="Times New Roman"/>
          <w:sz w:val="24"/>
          <w:szCs w:val="24"/>
        </w:rPr>
        <w:t>the</w:t>
      </w:r>
      <w:r w:rsidRPr="009D52EB">
        <w:rPr>
          <w:rFonts w:ascii="Times New Roman" w:hAnsi="Times New Roman" w:cs="Times New Roman"/>
          <w:sz w:val="24"/>
          <w:szCs w:val="24"/>
        </w:rPr>
        <w:t xml:space="preserve"> </w:t>
      </w:r>
      <w:r w:rsidR="004A7ADC">
        <w:rPr>
          <w:rFonts w:ascii="Times New Roman" w:hAnsi="Times New Roman" w:cs="Times New Roman"/>
          <w:sz w:val="24"/>
          <w:szCs w:val="24"/>
        </w:rPr>
        <w:t>SC-BPMEA</w:t>
      </w:r>
      <w:r w:rsidRPr="009D52EB">
        <w:rPr>
          <w:rFonts w:ascii="Times New Roman" w:hAnsi="Times New Roman" w:cs="Times New Roman"/>
          <w:sz w:val="24"/>
          <w:szCs w:val="24"/>
        </w:rPr>
        <w:t xml:space="preserve"> with neutral anolyte (</w:t>
      </w:r>
      <w:r w:rsidR="00DE0DCA">
        <w:rPr>
          <w:rFonts w:ascii="Times New Roman" w:hAnsi="Times New Roman" w:cs="Times New Roman"/>
          <w:sz w:val="24"/>
          <w:szCs w:val="24"/>
        </w:rPr>
        <w:t>Supplementary Fig.</w:t>
      </w:r>
      <w:r w:rsidRPr="009D52EB">
        <w:rPr>
          <w:rFonts w:ascii="Times New Roman" w:hAnsi="Times New Roman" w:cs="Times New Roman"/>
          <w:sz w:val="24"/>
          <w:szCs w:val="24"/>
        </w:rPr>
        <w:t xml:space="preserve"> </w:t>
      </w:r>
      <w:r w:rsidR="00F41985" w:rsidRPr="009D52EB">
        <w:rPr>
          <w:rFonts w:ascii="Times New Roman" w:hAnsi="Times New Roman" w:cs="Times New Roman"/>
          <w:sz w:val="24"/>
          <w:szCs w:val="24"/>
        </w:rPr>
        <w:t>2</w:t>
      </w:r>
      <w:r w:rsidRPr="009D52EB">
        <w:rPr>
          <w:rFonts w:ascii="Times New Roman" w:hAnsi="Times New Roman" w:cs="Times New Roman"/>
          <w:sz w:val="24"/>
          <w:szCs w:val="24"/>
        </w:rPr>
        <w:t>), Fumasep shows similar product distributions and a slightly better CO</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 xml:space="preserve"> crossover inhibiting capability (</w:t>
      </w:r>
      <w:r w:rsidR="00DE0DCA">
        <w:rPr>
          <w:rFonts w:ascii="Times New Roman" w:hAnsi="Times New Roman" w:cs="Times New Roman"/>
          <w:sz w:val="24"/>
          <w:szCs w:val="24"/>
        </w:rPr>
        <w:t>Supplementary Fig.</w:t>
      </w:r>
      <w:r w:rsidRPr="009D52EB">
        <w:rPr>
          <w:rFonts w:ascii="Times New Roman" w:hAnsi="Times New Roman" w:cs="Times New Roman"/>
          <w:sz w:val="24"/>
          <w:szCs w:val="24"/>
        </w:rPr>
        <w:t xml:space="preserve"> </w:t>
      </w:r>
      <w:r w:rsidR="00F41985" w:rsidRPr="009D52EB">
        <w:rPr>
          <w:rFonts w:ascii="Times New Roman" w:hAnsi="Times New Roman" w:cs="Times New Roman"/>
          <w:sz w:val="24"/>
          <w:szCs w:val="24"/>
        </w:rPr>
        <w:t>3</w:t>
      </w:r>
      <w:r w:rsidRPr="009D52EB">
        <w:rPr>
          <w:rFonts w:ascii="Times New Roman" w:hAnsi="Times New Roman" w:cs="Times New Roman"/>
          <w:sz w:val="24"/>
          <w:szCs w:val="24"/>
        </w:rPr>
        <w:t>)</w:t>
      </w:r>
      <w:r w:rsidR="009C45FC" w:rsidRPr="009D52EB">
        <w:rPr>
          <w:rFonts w:ascii="Times New Roman" w:hAnsi="Times New Roman" w:cs="Times New Roman"/>
          <w:sz w:val="24"/>
          <w:szCs w:val="24"/>
        </w:rPr>
        <w:t>,</w:t>
      </w:r>
      <w:r w:rsidRPr="009D52EB">
        <w:rPr>
          <w:rFonts w:ascii="Times New Roman" w:hAnsi="Times New Roman" w:cs="Times New Roman"/>
          <w:sz w:val="24"/>
          <w:szCs w:val="24"/>
        </w:rPr>
        <w:t xml:space="preserve"> but </w:t>
      </w:r>
      <w:r w:rsidR="00C90B34" w:rsidRPr="009D52EB">
        <w:rPr>
          <w:rFonts w:ascii="Times New Roman" w:hAnsi="Times New Roman" w:cs="Times New Roman"/>
          <w:sz w:val="24"/>
          <w:szCs w:val="24"/>
        </w:rPr>
        <w:t xml:space="preserve">much </w:t>
      </w:r>
      <w:r w:rsidRPr="009D52EB">
        <w:rPr>
          <w:rFonts w:ascii="Times New Roman" w:hAnsi="Times New Roman" w:cs="Times New Roman"/>
          <w:sz w:val="24"/>
          <w:szCs w:val="24"/>
        </w:rPr>
        <w:t>higher cell voltage</w:t>
      </w:r>
      <w:r w:rsidR="00384F67" w:rsidRPr="009D52EB">
        <w:rPr>
          <w:rFonts w:ascii="Times New Roman" w:hAnsi="Times New Roman" w:cs="Times New Roman"/>
          <w:sz w:val="24"/>
          <w:szCs w:val="24"/>
        </w:rPr>
        <w:t xml:space="preserve"> (</w:t>
      </w:r>
      <w:r w:rsidR="00DE0DCA">
        <w:rPr>
          <w:rFonts w:ascii="Times New Roman" w:hAnsi="Times New Roman" w:cs="Times New Roman"/>
          <w:sz w:val="24"/>
          <w:szCs w:val="24"/>
        </w:rPr>
        <w:t>Supplementary Fig.</w:t>
      </w:r>
      <w:r w:rsidR="00384F67" w:rsidRPr="009D52EB">
        <w:rPr>
          <w:rFonts w:ascii="Times New Roman" w:hAnsi="Times New Roman" w:cs="Times New Roman"/>
          <w:sz w:val="24"/>
          <w:szCs w:val="24"/>
        </w:rPr>
        <w:t xml:space="preserve"> </w:t>
      </w:r>
      <w:r w:rsidR="00F41985" w:rsidRPr="009D52EB">
        <w:rPr>
          <w:rFonts w:ascii="Times New Roman" w:hAnsi="Times New Roman" w:cs="Times New Roman"/>
          <w:sz w:val="24"/>
          <w:szCs w:val="24"/>
        </w:rPr>
        <w:t>2</w:t>
      </w:r>
      <w:r w:rsidR="00384F67" w:rsidRPr="009D52EB">
        <w:rPr>
          <w:rFonts w:ascii="Times New Roman" w:hAnsi="Times New Roman" w:cs="Times New Roman"/>
          <w:sz w:val="24"/>
          <w:szCs w:val="24"/>
        </w:rPr>
        <w:t>)</w:t>
      </w:r>
      <w:r w:rsidRPr="009D52EB">
        <w:rPr>
          <w:rFonts w:ascii="Times New Roman" w:hAnsi="Times New Roman" w:cs="Times New Roman"/>
          <w:sz w:val="24"/>
          <w:szCs w:val="24"/>
        </w:rPr>
        <w:t xml:space="preserve"> compar</w:t>
      </w:r>
      <w:r w:rsidR="00014D65" w:rsidRPr="009D52EB">
        <w:rPr>
          <w:rFonts w:ascii="Times New Roman" w:hAnsi="Times New Roman" w:cs="Times New Roman"/>
          <w:sz w:val="24"/>
          <w:szCs w:val="24"/>
        </w:rPr>
        <w:t xml:space="preserve">ed to </w:t>
      </w:r>
      <w:r w:rsidRPr="009D52EB">
        <w:rPr>
          <w:rFonts w:ascii="Times New Roman" w:hAnsi="Times New Roman" w:cs="Times New Roman"/>
          <w:sz w:val="24"/>
          <w:szCs w:val="24"/>
        </w:rPr>
        <w:t xml:space="preserve">the one based on </w:t>
      </w:r>
      <w:r w:rsidR="00715DDE" w:rsidRPr="009D52EB">
        <w:rPr>
          <w:rFonts w:ascii="Times New Roman" w:hAnsi="Times New Roman" w:cs="Times New Roman"/>
          <w:sz w:val="24"/>
          <w:szCs w:val="24"/>
        </w:rPr>
        <w:t>custom</w:t>
      </w:r>
      <w:r w:rsidRPr="009D52EB">
        <w:rPr>
          <w:rFonts w:ascii="Times New Roman" w:hAnsi="Times New Roman" w:cs="Times New Roman"/>
          <w:sz w:val="24"/>
          <w:szCs w:val="24"/>
        </w:rPr>
        <w:t xml:space="preserve"> BPM, which is expectable. Therefore, we adopted the </w:t>
      </w:r>
      <w:r w:rsidR="00715DDE" w:rsidRPr="009D52EB">
        <w:rPr>
          <w:rFonts w:ascii="Times New Roman" w:hAnsi="Times New Roman" w:cs="Times New Roman"/>
          <w:sz w:val="24"/>
          <w:szCs w:val="24"/>
        </w:rPr>
        <w:t>custom</w:t>
      </w:r>
      <w:r w:rsidRPr="009D52EB">
        <w:rPr>
          <w:rFonts w:ascii="Times New Roman" w:hAnsi="Times New Roman" w:cs="Times New Roman"/>
          <w:sz w:val="24"/>
          <w:szCs w:val="24"/>
        </w:rPr>
        <w:t xml:space="preserve"> BPM in </w:t>
      </w:r>
      <w:r w:rsidR="00924823" w:rsidRPr="009D52EB">
        <w:rPr>
          <w:rFonts w:ascii="Times New Roman" w:hAnsi="Times New Roman" w:cs="Times New Roman"/>
          <w:sz w:val="24"/>
          <w:szCs w:val="24"/>
        </w:rPr>
        <w:t xml:space="preserve">the </w:t>
      </w:r>
      <w:r w:rsidRPr="009D52EB">
        <w:rPr>
          <w:rFonts w:ascii="Times New Roman" w:hAnsi="Times New Roman" w:cs="Times New Roman"/>
          <w:sz w:val="24"/>
          <w:szCs w:val="24"/>
        </w:rPr>
        <w:t>neutral anolyte studies.</w:t>
      </w:r>
    </w:p>
    <w:p w14:paraId="16E540F4" w14:textId="77777777" w:rsidR="00DB7F3A" w:rsidRPr="00805810" w:rsidRDefault="00DB7F3A" w:rsidP="00DB7F3A">
      <w:pPr>
        <w:jc w:val="both"/>
        <w:rPr>
          <w:rFonts w:ascii="Times New Roman" w:hAnsi="Times New Roman" w:cs="Times New Roman"/>
          <w:b/>
          <w:bCs/>
          <w:sz w:val="24"/>
          <w:szCs w:val="24"/>
        </w:rPr>
      </w:pPr>
      <w:r w:rsidRPr="00805810">
        <w:rPr>
          <w:noProof/>
          <w:lang w:eastAsia="en-US"/>
        </w:rPr>
        <w:lastRenderedPageBreak/>
        <w:drawing>
          <wp:inline distT="0" distB="0" distL="0" distR="0" wp14:anchorId="5F8F9F56" wp14:editId="34B5A9AE">
            <wp:extent cx="5676900" cy="252134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99860" cy="2531542"/>
                    </a:xfrm>
                    <a:prstGeom prst="rect">
                      <a:avLst/>
                    </a:prstGeom>
                    <a:noFill/>
                    <a:ln>
                      <a:noFill/>
                    </a:ln>
                  </pic:spPr>
                </pic:pic>
              </a:graphicData>
            </a:graphic>
          </wp:inline>
        </w:drawing>
      </w:r>
    </w:p>
    <w:p w14:paraId="73F9A169" w14:textId="47F07750" w:rsidR="00DB7F3A" w:rsidRPr="009D52EB" w:rsidRDefault="00DE0DCA" w:rsidP="00DB7F3A">
      <w:pPr>
        <w:jc w:val="both"/>
        <w:rPr>
          <w:rFonts w:ascii="Times New Roman" w:hAnsi="Times New Roman" w:cs="Times New Roman"/>
          <w:sz w:val="20"/>
          <w:szCs w:val="20"/>
        </w:rPr>
      </w:pPr>
      <w:r>
        <w:rPr>
          <w:rFonts w:ascii="Times New Roman" w:hAnsi="Times New Roman" w:cs="Times New Roman"/>
          <w:b/>
          <w:bCs/>
          <w:sz w:val="20"/>
          <w:szCs w:val="20"/>
        </w:rPr>
        <w:t>Supplementary Fig.</w:t>
      </w:r>
      <w:r w:rsidR="00DB7F3A" w:rsidRPr="009D52EB">
        <w:rPr>
          <w:rFonts w:ascii="Times New Roman" w:hAnsi="Times New Roman" w:cs="Times New Roman"/>
          <w:b/>
          <w:bCs/>
          <w:sz w:val="20"/>
          <w:szCs w:val="20"/>
        </w:rPr>
        <w:t xml:space="preserve"> </w:t>
      </w:r>
      <w:r w:rsidR="00F41985" w:rsidRPr="009D52EB">
        <w:rPr>
          <w:rFonts w:ascii="Times New Roman" w:hAnsi="Times New Roman" w:cs="Times New Roman"/>
          <w:b/>
          <w:bCs/>
          <w:sz w:val="20"/>
          <w:szCs w:val="20"/>
        </w:rPr>
        <w:t>1</w:t>
      </w:r>
      <w:r w:rsidR="006046DF">
        <w:rPr>
          <w:rFonts w:ascii="Times New Roman" w:hAnsi="Times New Roman" w:cs="Times New Roman"/>
          <w:b/>
          <w:bCs/>
          <w:sz w:val="20"/>
          <w:szCs w:val="20"/>
        </w:rPr>
        <w:t xml:space="preserve"> </w:t>
      </w:r>
      <w:r w:rsidR="00C72FDC">
        <w:rPr>
          <w:rFonts w:ascii="Times New Roman" w:hAnsi="Times New Roman" w:cs="Times New Roman"/>
          <w:b/>
          <w:bCs/>
          <w:sz w:val="20"/>
          <w:szCs w:val="20"/>
        </w:rPr>
        <w:t>|</w:t>
      </w:r>
      <w:r w:rsidR="00C72FDC" w:rsidRPr="009D52EB">
        <w:rPr>
          <w:rFonts w:ascii="Times New Roman" w:hAnsi="Times New Roman" w:cs="Times New Roman"/>
          <w:b/>
          <w:bCs/>
          <w:sz w:val="20"/>
          <w:szCs w:val="20"/>
        </w:rPr>
        <w:t xml:space="preserve"> </w:t>
      </w:r>
      <w:r w:rsidR="00DB7F3A" w:rsidRPr="009D52EB">
        <w:rPr>
          <w:rFonts w:ascii="Times New Roman" w:hAnsi="Times New Roman" w:cs="Times New Roman"/>
          <w:sz w:val="20"/>
          <w:szCs w:val="20"/>
        </w:rPr>
        <w:t xml:space="preserve">The </w:t>
      </w:r>
      <w:r w:rsidR="00715DDE" w:rsidRPr="009D52EB">
        <w:rPr>
          <w:rFonts w:ascii="Times New Roman" w:hAnsi="Times New Roman" w:cs="Times New Roman"/>
          <w:sz w:val="20"/>
          <w:szCs w:val="20"/>
        </w:rPr>
        <w:t>custom</w:t>
      </w:r>
      <w:r w:rsidR="00DB7F3A" w:rsidRPr="009D52EB">
        <w:rPr>
          <w:rFonts w:ascii="Times New Roman" w:hAnsi="Times New Roman" w:cs="Times New Roman"/>
          <w:sz w:val="20"/>
          <w:szCs w:val="20"/>
        </w:rPr>
        <w:t xml:space="preserve"> BPM’s water splitting performance (a layer of TiO</w:t>
      </w:r>
      <w:r w:rsidR="00DB7F3A" w:rsidRPr="009D52EB">
        <w:rPr>
          <w:rFonts w:ascii="Times New Roman" w:hAnsi="Times New Roman" w:cs="Times New Roman"/>
          <w:sz w:val="20"/>
          <w:szCs w:val="20"/>
          <w:vertAlign w:val="subscript"/>
        </w:rPr>
        <w:t>2</w:t>
      </w:r>
      <w:r w:rsidR="00DB7F3A" w:rsidRPr="009D52EB">
        <w:rPr>
          <w:rFonts w:ascii="Times New Roman" w:hAnsi="Times New Roman" w:cs="Times New Roman"/>
          <w:sz w:val="20"/>
          <w:szCs w:val="20"/>
        </w:rPr>
        <w:t xml:space="preserve"> nanoparticles as water dissociation catalyst sandwiched by CEM and AEM), commercially available BPM (Fumasep), and a membrane with CEM and AEM simply compressed together. A 5 cm</w:t>
      </w:r>
      <w:r w:rsidR="00DB7F3A" w:rsidRPr="009D52EB">
        <w:rPr>
          <w:rFonts w:ascii="Times New Roman" w:hAnsi="Times New Roman" w:cs="Times New Roman"/>
          <w:sz w:val="20"/>
          <w:szCs w:val="20"/>
          <w:vertAlign w:val="superscript"/>
        </w:rPr>
        <w:t>2</w:t>
      </w:r>
      <w:r w:rsidR="00DB7F3A" w:rsidRPr="009D52EB">
        <w:rPr>
          <w:rFonts w:ascii="Times New Roman" w:hAnsi="Times New Roman" w:cs="Times New Roman"/>
          <w:sz w:val="20"/>
          <w:szCs w:val="20"/>
        </w:rPr>
        <w:t xml:space="preserve"> Pt/C loaded hydrophilic carbon paper and a 5 cm</w:t>
      </w:r>
      <w:r w:rsidR="00DB7F3A" w:rsidRPr="009D52EB">
        <w:rPr>
          <w:rFonts w:ascii="Times New Roman" w:hAnsi="Times New Roman" w:cs="Times New Roman"/>
          <w:sz w:val="20"/>
          <w:szCs w:val="20"/>
          <w:vertAlign w:val="superscript"/>
        </w:rPr>
        <w:t>2</w:t>
      </w:r>
      <w:r w:rsidR="00DB7F3A" w:rsidRPr="009D52EB">
        <w:rPr>
          <w:rFonts w:ascii="Times New Roman" w:hAnsi="Times New Roman" w:cs="Times New Roman"/>
          <w:sz w:val="20"/>
          <w:szCs w:val="20"/>
        </w:rPr>
        <w:t xml:space="preserve"> IrO</w:t>
      </w:r>
      <w:r w:rsidR="00DB7F3A" w:rsidRPr="009D52EB">
        <w:rPr>
          <w:rFonts w:ascii="Times New Roman" w:hAnsi="Times New Roman" w:cs="Times New Roman"/>
          <w:sz w:val="20"/>
          <w:szCs w:val="20"/>
          <w:vertAlign w:val="subscript"/>
        </w:rPr>
        <w:t>2</w:t>
      </w:r>
      <w:r w:rsidR="00DB7F3A" w:rsidRPr="009D52EB">
        <w:rPr>
          <w:rFonts w:ascii="Times New Roman" w:hAnsi="Times New Roman" w:cs="Times New Roman"/>
          <w:sz w:val="20"/>
          <w:szCs w:val="20"/>
        </w:rPr>
        <w:t xml:space="preserve"> loaded Ti felt were used as </w:t>
      </w:r>
      <w:r w:rsidR="00470ABF" w:rsidRPr="009D52EB">
        <w:rPr>
          <w:rFonts w:ascii="Times New Roman" w:hAnsi="Times New Roman" w:cs="Times New Roman"/>
          <w:sz w:val="20"/>
          <w:szCs w:val="20"/>
        </w:rPr>
        <w:t xml:space="preserve">the </w:t>
      </w:r>
      <w:r w:rsidR="00DB7F3A" w:rsidRPr="009D52EB">
        <w:rPr>
          <w:rFonts w:ascii="Times New Roman" w:hAnsi="Times New Roman" w:cs="Times New Roman"/>
          <w:sz w:val="20"/>
          <w:szCs w:val="20"/>
        </w:rPr>
        <w:t>cathode and anode, respectively.</w:t>
      </w:r>
    </w:p>
    <w:p w14:paraId="4AB23201" w14:textId="01131686" w:rsidR="00DB7F3A" w:rsidRPr="00805810" w:rsidRDefault="00637F2B" w:rsidP="00F5515B">
      <w:pPr>
        <w:jc w:val="center"/>
        <w:rPr>
          <w:rFonts w:ascii="Times New Roman" w:hAnsi="Times New Roman" w:cs="Times New Roman"/>
          <w:sz w:val="24"/>
          <w:szCs w:val="24"/>
        </w:rPr>
      </w:pPr>
      <w:r w:rsidRPr="00805810">
        <w:rPr>
          <w:noProof/>
          <w:lang w:eastAsia="en-US"/>
        </w:rPr>
        <w:drawing>
          <wp:inline distT="0" distB="0" distL="0" distR="0" wp14:anchorId="735BDC81" wp14:editId="64C2D6A4">
            <wp:extent cx="3785890" cy="2924074"/>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2057" cy="2928837"/>
                    </a:xfrm>
                    <a:prstGeom prst="rect">
                      <a:avLst/>
                    </a:prstGeom>
                    <a:noFill/>
                    <a:ln>
                      <a:noFill/>
                    </a:ln>
                  </pic:spPr>
                </pic:pic>
              </a:graphicData>
            </a:graphic>
          </wp:inline>
        </w:drawing>
      </w:r>
    </w:p>
    <w:p w14:paraId="313529C1" w14:textId="5D16999C" w:rsidR="00DB7F3A" w:rsidRPr="009D52EB" w:rsidRDefault="00DE0DCA" w:rsidP="00DB7F3A">
      <w:pPr>
        <w:jc w:val="both"/>
        <w:rPr>
          <w:rFonts w:ascii="Times New Roman" w:hAnsi="Times New Roman" w:cs="Times New Roman"/>
          <w:sz w:val="20"/>
          <w:szCs w:val="20"/>
        </w:rPr>
      </w:pPr>
      <w:r>
        <w:rPr>
          <w:rFonts w:ascii="Times New Roman" w:hAnsi="Times New Roman" w:cs="Times New Roman"/>
          <w:b/>
          <w:bCs/>
          <w:sz w:val="20"/>
          <w:szCs w:val="20"/>
        </w:rPr>
        <w:t>Supplementary Fig.</w:t>
      </w:r>
      <w:r w:rsidR="00DB7F3A" w:rsidRPr="009D52EB">
        <w:rPr>
          <w:rFonts w:ascii="Times New Roman" w:hAnsi="Times New Roman" w:cs="Times New Roman"/>
          <w:b/>
          <w:bCs/>
          <w:sz w:val="20"/>
          <w:szCs w:val="20"/>
        </w:rPr>
        <w:t xml:space="preserve"> </w:t>
      </w:r>
      <w:r w:rsidR="00F41985" w:rsidRPr="009D52EB">
        <w:rPr>
          <w:rFonts w:ascii="Times New Roman" w:hAnsi="Times New Roman" w:cs="Times New Roman"/>
          <w:b/>
          <w:bCs/>
          <w:sz w:val="20"/>
          <w:szCs w:val="20"/>
        </w:rPr>
        <w:t>2</w:t>
      </w:r>
      <w:r w:rsidR="006046DF">
        <w:rPr>
          <w:rFonts w:ascii="Times New Roman" w:hAnsi="Times New Roman" w:cs="Times New Roman"/>
          <w:b/>
          <w:bCs/>
          <w:sz w:val="20"/>
          <w:szCs w:val="20"/>
        </w:rPr>
        <w:t xml:space="preserve"> </w:t>
      </w:r>
      <w:r w:rsidR="00C72FDC">
        <w:rPr>
          <w:rFonts w:ascii="Times New Roman" w:hAnsi="Times New Roman" w:cs="Times New Roman"/>
          <w:b/>
          <w:bCs/>
          <w:sz w:val="20"/>
          <w:szCs w:val="20"/>
        </w:rPr>
        <w:t>|</w:t>
      </w:r>
      <w:r w:rsidR="00C72FDC" w:rsidRPr="009D52EB">
        <w:rPr>
          <w:rFonts w:ascii="Times New Roman" w:hAnsi="Times New Roman" w:cs="Times New Roman"/>
          <w:sz w:val="20"/>
          <w:szCs w:val="20"/>
        </w:rPr>
        <w:t xml:space="preserve"> </w:t>
      </w:r>
      <w:r w:rsidR="00DB7F3A" w:rsidRPr="009D52EB">
        <w:rPr>
          <w:rFonts w:ascii="Times New Roman" w:hAnsi="Times New Roman" w:cs="Times New Roman"/>
          <w:sz w:val="20"/>
          <w:szCs w:val="20"/>
        </w:rPr>
        <w:t xml:space="preserve">The full cell voltages for the </w:t>
      </w:r>
      <w:r w:rsidR="004A7ADC">
        <w:rPr>
          <w:rFonts w:ascii="Times New Roman" w:hAnsi="Times New Roman" w:cs="Times New Roman"/>
          <w:sz w:val="20"/>
          <w:szCs w:val="20"/>
        </w:rPr>
        <w:t>SC-BPMEA</w:t>
      </w:r>
      <w:r w:rsidR="00DB7F3A" w:rsidRPr="009D52EB">
        <w:rPr>
          <w:rFonts w:ascii="Times New Roman" w:hAnsi="Times New Roman" w:cs="Times New Roman"/>
          <w:sz w:val="20"/>
          <w:szCs w:val="20"/>
        </w:rPr>
        <w:t xml:space="preserve"> based on commercially available BPM (Fumasep), 0.1 M KHCO</w:t>
      </w:r>
      <w:r w:rsidR="00DB7F3A" w:rsidRPr="009D52EB">
        <w:rPr>
          <w:rFonts w:ascii="Times New Roman" w:hAnsi="Times New Roman" w:cs="Times New Roman"/>
          <w:sz w:val="20"/>
          <w:szCs w:val="20"/>
          <w:vertAlign w:val="subscript"/>
        </w:rPr>
        <w:t>3</w:t>
      </w:r>
      <w:r w:rsidR="00DB7F3A" w:rsidRPr="009D52EB">
        <w:rPr>
          <w:rFonts w:ascii="Times New Roman" w:hAnsi="Times New Roman" w:cs="Times New Roman"/>
          <w:sz w:val="20"/>
          <w:szCs w:val="20"/>
        </w:rPr>
        <w:t xml:space="preserve"> anolyte and </w:t>
      </w:r>
      <w:r w:rsidR="00F5515B" w:rsidRPr="009D52EB">
        <w:rPr>
          <w:rFonts w:ascii="Times New Roman" w:hAnsi="Times New Roman" w:cs="Times New Roman"/>
          <w:sz w:val="20"/>
          <w:szCs w:val="20"/>
        </w:rPr>
        <w:t>the</w:t>
      </w:r>
      <w:r w:rsidR="00DB7F3A" w:rsidRPr="009D52EB">
        <w:rPr>
          <w:rFonts w:ascii="Times New Roman" w:hAnsi="Times New Roman" w:cs="Times New Roman"/>
          <w:sz w:val="20"/>
          <w:szCs w:val="20"/>
        </w:rPr>
        <w:t xml:space="preserve"> catholyte layer thicknesses</w:t>
      </w:r>
      <w:r w:rsidR="00F5515B" w:rsidRPr="009D52EB">
        <w:rPr>
          <w:rFonts w:ascii="Times New Roman" w:hAnsi="Times New Roman" w:cs="Times New Roman"/>
          <w:sz w:val="20"/>
          <w:szCs w:val="20"/>
        </w:rPr>
        <w:t xml:space="preserve"> of 65 μm</w:t>
      </w:r>
      <w:r w:rsidR="00DB7F3A" w:rsidRPr="009D52EB">
        <w:rPr>
          <w:rFonts w:ascii="Times New Roman" w:hAnsi="Times New Roman" w:cs="Times New Roman"/>
          <w:sz w:val="20"/>
          <w:szCs w:val="20"/>
        </w:rPr>
        <w:t xml:space="preserve"> (0.5 M K</w:t>
      </w:r>
      <w:r w:rsidR="00DB7F3A" w:rsidRPr="009D52EB">
        <w:rPr>
          <w:rFonts w:ascii="Times New Roman" w:hAnsi="Times New Roman" w:cs="Times New Roman"/>
          <w:sz w:val="20"/>
          <w:szCs w:val="20"/>
          <w:vertAlign w:val="subscript"/>
        </w:rPr>
        <w:t>2</w:t>
      </w:r>
      <w:r w:rsidR="00DB7F3A" w:rsidRPr="009D52EB">
        <w:rPr>
          <w:rFonts w:ascii="Times New Roman" w:hAnsi="Times New Roman" w:cs="Times New Roman"/>
          <w:sz w:val="20"/>
          <w:szCs w:val="20"/>
        </w:rPr>
        <w:t>SO</w:t>
      </w:r>
      <w:r w:rsidR="00DB7F3A" w:rsidRPr="009D52EB">
        <w:rPr>
          <w:rFonts w:ascii="Times New Roman" w:hAnsi="Times New Roman" w:cs="Times New Roman"/>
          <w:sz w:val="20"/>
          <w:szCs w:val="20"/>
          <w:vertAlign w:val="subscript"/>
        </w:rPr>
        <w:t>4</w:t>
      </w:r>
      <w:r w:rsidR="00DB7F3A" w:rsidRPr="009D52EB">
        <w:rPr>
          <w:rFonts w:ascii="Times New Roman" w:hAnsi="Times New Roman" w:cs="Times New Roman"/>
          <w:sz w:val="20"/>
          <w:szCs w:val="20"/>
        </w:rPr>
        <w:t xml:space="preserve">). The measurement was performed at 35 </w:t>
      </w:r>
      <w:r w:rsidR="00DB7F3A" w:rsidRPr="009D52EB">
        <w:rPr>
          <w:rFonts w:ascii="Times New Roman" w:hAnsi="Times New Roman" w:cs="Times New Roman"/>
          <w:sz w:val="20"/>
          <w:szCs w:val="20"/>
          <w:vertAlign w:val="superscript"/>
        </w:rPr>
        <w:t>o</w:t>
      </w:r>
      <w:r w:rsidR="00DB7F3A" w:rsidRPr="009D52EB">
        <w:rPr>
          <w:rFonts w:ascii="Times New Roman" w:hAnsi="Times New Roman" w:cs="Times New Roman"/>
          <w:sz w:val="20"/>
          <w:szCs w:val="20"/>
        </w:rPr>
        <w:t xml:space="preserve">C. </w:t>
      </w:r>
      <w:r w:rsidR="00B6607F" w:rsidRPr="009D52EB">
        <w:rPr>
          <w:rFonts w:ascii="Times New Roman" w:hAnsi="Times New Roman" w:cs="Times New Roman"/>
          <w:sz w:val="20"/>
          <w:szCs w:val="20"/>
        </w:rPr>
        <w:t xml:space="preserve">The </w:t>
      </w:r>
      <w:r w:rsidR="00DB7F3A" w:rsidRPr="009D52EB">
        <w:rPr>
          <w:rFonts w:ascii="Times New Roman" w:hAnsi="Times New Roman" w:cs="Times New Roman"/>
          <w:sz w:val="20"/>
          <w:szCs w:val="20"/>
        </w:rPr>
        <w:t xml:space="preserve">FE distributions are close (&lt; 5% deviation) to the ones using </w:t>
      </w:r>
      <w:r w:rsidR="00715DDE" w:rsidRPr="009D52EB">
        <w:rPr>
          <w:rFonts w:ascii="Times New Roman" w:hAnsi="Times New Roman" w:cs="Times New Roman"/>
          <w:sz w:val="20"/>
          <w:szCs w:val="20"/>
        </w:rPr>
        <w:t>custom</w:t>
      </w:r>
      <w:r w:rsidR="00DB7F3A" w:rsidRPr="009D52EB">
        <w:rPr>
          <w:rFonts w:ascii="Times New Roman" w:hAnsi="Times New Roman" w:cs="Times New Roman"/>
          <w:sz w:val="20"/>
          <w:szCs w:val="20"/>
        </w:rPr>
        <w:t xml:space="preserve"> BPM.</w:t>
      </w:r>
    </w:p>
    <w:p w14:paraId="4812F633" w14:textId="16A513D1" w:rsidR="00AF7ABF" w:rsidRPr="00805810" w:rsidRDefault="00AF7ABF" w:rsidP="002E47F3">
      <w:pPr>
        <w:jc w:val="center"/>
        <w:rPr>
          <w:rFonts w:ascii="Times New Roman" w:hAnsi="Times New Roman" w:cs="Times New Roman"/>
          <w:sz w:val="24"/>
          <w:szCs w:val="24"/>
        </w:rPr>
      </w:pPr>
      <w:r w:rsidRPr="00805810">
        <w:rPr>
          <w:noProof/>
          <w:lang w:eastAsia="en-US"/>
        </w:rPr>
        <w:lastRenderedPageBreak/>
        <w:drawing>
          <wp:inline distT="0" distB="0" distL="0" distR="0" wp14:anchorId="7803CEBF" wp14:editId="2003F13D">
            <wp:extent cx="3111500" cy="2376698"/>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37485" cy="2396546"/>
                    </a:xfrm>
                    <a:prstGeom prst="rect">
                      <a:avLst/>
                    </a:prstGeom>
                    <a:noFill/>
                    <a:ln>
                      <a:noFill/>
                    </a:ln>
                  </pic:spPr>
                </pic:pic>
              </a:graphicData>
            </a:graphic>
          </wp:inline>
        </w:drawing>
      </w:r>
    </w:p>
    <w:p w14:paraId="1A7BE8A8" w14:textId="50271377" w:rsidR="00AF7ABF" w:rsidRPr="009D52EB" w:rsidRDefault="00DE0DCA" w:rsidP="00AF7ABF">
      <w:pPr>
        <w:jc w:val="both"/>
        <w:rPr>
          <w:rFonts w:ascii="Times New Roman" w:hAnsi="Times New Roman" w:cs="Times New Roman"/>
          <w:sz w:val="20"/>
          <w:szCs w:val="20"/>
        </w:rPr>
      </w:pPr>
      <w:r>
        <w:rPr>
          <w:rFonts w:ascii="Times New Roman" w:hAnsi="Times New Roman" w:cs="Times New Roman"/>
          <w:b/>
          <w:bCs/>
          <w:sz w:val="20"/>
          <w:szCs w:val="20"/>
        </w:rPr>
        <w:t>Supplementary Fig.</w:t>
      </w:r>
      <w:r w:rsidR="00AF7ABF" w:rsidRPr="009D52EB">
        <w:rPr>
          <w:rFonts w:ascii="Times New Roman" w:hAnsi="Times New Roman" w:cs="Times New Roman"/>
          <w:b/>
          <w:bCs/>
          <w:sz w:val="20"/>
          <w:szCs w:val="20"/>
        </w:rPr>
        <w:t xml:space="preserve"> </w:t>
      </w:r>
      <w:r w:rsidR="00F41985" w:rsidRPr="009D52EB">
        <w:rPr>
          <w:rFonts w:ascii="Times New Roman" w:hAnsi="Times New Roman" w:cs="Times New Roman"/>
          <w:b/>
          <w:bCs/>
          <w:sz w:val="20"/>
          <w:szCs w:val="20"/>
        </w:rPr>
        <w:t>3</w:t>
      </w:r>
      <w:r w:rsidR="006046DF">
        <w:rPr>
          <w:rFonts w:ascii="Times New Roman" w:hAnsi="Times New Roman" w:cs="Times New Roman"/>
          <w:b/>
          <w:bCs/>
          <w:sz w:val="20"/>
          <w:szCs w:val="20"/>
        </w:rPr>
        <w:t xml:space="preserve"> </w:t>
      </w:r>
      <w:r w:rsidR="00C6290A">
        <w:rPr>
          <w:rFonts w:ascii="Times New Roman" w:hAnsi="Times New Roman" w:cs="Times New Roman"/>
          <w:b/>
          <w:bCs/>
          <w:sz w:val="20"/>
          <w:szCs w:val="20"/>
        </w:rPr>
        <w:t>|</w:t>
      </w:r>
      <w:r w:rsidR="00C6290A" w:rsidRPr="009D52EB">
        <w:rPr>
          <w:rFonts w:ascii="Times New Roman" w:hAnsi="Times New Roman" w:cs="Times New Roman"/>
          <w:sz w:val="20"/>
          <w:szCs w:val="20"/>
        </w:rPr>
        <w:t xml:space="preserve"> </w:t>
      </w:r>
      <w:r w:rsidR="00AF7ABF" w:rsidRPr="009D52EB">
        <w:rPr>
          <w:rFonts w:ascii="Times New Roman" w:hAnsi="Times New Roman" w:cs="Times New Roman"/>
          <w:sz w:val="20"/>
          <w:szCs w:val="20"/>
        </w:rPr>
        <w:t>The CO</w:t>
      </w:r>
      <w:r w:rsidR="00AF7ABF" w:rsidRPr="009D52EB">
        <w:rPr>
          <w:rFonts w:ascii="Times New Roman" w:hAnsi="Times New Roman" w:cs="Times New Roman"/>
          <w:sz w:val="20"/>
          <w:szCs w:val="20"/>
          <w:vertAlign w:val="subscript"/>
        </w:rPr>
        <w:t>2</w:t>
      </w:r>
      <w:r w:rsidR="00AF7ABF" w:rsidRPr="009D52EB">
        <w:rPr>
          <w:rFonts w:ascii="Times New Roman" w:hAnsi="Times New Roman" w:cs="Times New Roman"/>
          <w:sz w:val="20"/>
          <w:szCs w:val="20"/>
        </w:rPr>
        <w:t>:O</w:t>
      </w:r>
      <w:r w:rsidR="00AF7ABF" w:rsidRPr="009D52EB">
        <w:rPr>
          <w:rFonts w:ascii="Times New Roman" w:hAnsi="Times New Roman" w:cs="Times New Roman"/>
          <w:sz w:val="20"/>
          <w:szCs w:val="20"/>
          <w:vertAlign w:val="subscript"/>
        </w:rPr>
        <w:t>2</w:t>
      </w:r>
      <w:r w:rsidR="00AF7ABF" w:rsidRPr="009D52EB">
        <w:rPr>
          <w:rFonts w:ascii="Times New Roman" w:hAnsi="Times New Roman" w:cs="Times New Roman"/>
          <w:sz w:val="20"/>
          <w:szCs w:val="20"/>
        </w:rPr>
        <w:t xml:space="preserve"> ratio in anode gas phase for the </w:t>
      </w:r>
      <w:r w:rsidR="004A7ADC">
        <w:rPr>
          <w:rFonts w:ascii="Times New Roman" w:hAnsi="Times New Roman" w:cs="Times New Roman"/>
          <w:sz w:val="20"/>
          <w:szCs w:val="20"/>
        </w:rPr>
        <w:t>SC-BPMEA</w:t>
      </w:r>
      <w:r w:rsidR="00AF7ABF" w:rsidRPr="009D52EB">
        <w:rPr>
          <w:rFonts w:ascii="Times New Roman" w:hAnsi="Times New Roman" w:cs="Times New Roman"/>
          <w:sz w:val="20"/>
          <w:szCs w:val="20"/>
        </w:rPr>
        <w:t xml:space="preserve"> using </w:t>
      </w:r>
      <w:r w:rsidR="00715DDE" w:rsidRPr="009D52EB">
        <w:rPr>
          <w:rFonts w:ascii="Times New Roman" w:hAnsi="Times New Roman" w:cs="Times New Roman"/>
          <w:sz w:val="20"/>
          <w:szCs w:val="20"/>
        </w:rPr>
        <w:t>custom</w:t>
      </w:r>
      <w:r w:rsidR="00AF7ABF" w:rsidRPr="009D52EB">
        <w:rPr>
          <w:rFonts w:ascii="Times New Roman" w:hAnsi="Times New Roman" w:cs="Times New Roman"/>
          <w:sz w:val="20"/>
          <w:szCs w:val="20"/>
        </w:rPr>
        <w:t xml:space="preserve"> BPM and 0.1 M K</w:t>
      </w:r>
      <w:r w:rsidR="00AF7ABF" w:rsidRPr="009D52EB">
        <w:rPr>
          <w:rFonts w:ascii="Times New Roman" w:hAnsi="Times New Roman" w:cs="Times New Roman"/>
          <w:sz w:val="20"/>
          <w:szCs w:val="20"/>
          <w:vertAlign w:val="subscript"/>
        </w:rPr>
        <w:t>2</w:t>
      </w:r>
      <w:r w:rsidR="00AF7ABF" w:rsidRPr="009D52EB">
        <w:rPr>
          <w:rFonts w:ascii="Times New Roman" w:hAnsi="Times New Roman" w:cs="Times New Roman"/>
          <w:sz w:val="20"/>
          <w:szCs w:val="20"/>
        </w:rPr>
        <w:t>SO</w:t>
      </w:r>
      <w:r w:rsidR="00AF7ABF" w:rsidRPr="009D52EB">
        <w:rPr>
          <w:rFonts w:ascii="Times New Roman" w:hAnsi="Times New Roman" w:cs="Times New Roman"/>
          <w:sz w:val="20"/>
          <w:szCs w:val="20"/>
          <w:vertAlign w:val="subscript"/>
        </w:rPr>
        <w:t>4</w:t>
      </w:r>
      <w:r w:rsidR="00AF7ABF" w:rsidRPr="009D52EB">
        <w:rPr>
          <w:rFonts w:ascii="Times New Roman" w:hAnsi="Times New Roman" w:cs="Times New Roman"/>
          <w:sz w:val="20"/>
          <w:szCs w:val="20"/>
        </w:rPr>
        <w:t xml:space="preserve"> anolyte (black) and using commercially available BPM (Fumasep) and 0.1 M KHCO</w:t>
      </w:r>
      <w:r w:rsidR="00AF7ABF" w:rsidRPr="009D52EB">
        <w:rPr>
          <w:rFonts w:ascii="Times New Roman" w:hAnsi="Times New Roman" w:cs="Times New Roman"/>
          <w:sz w:val="20"/>
          <w:szCs w:val="20"/>
          <w:vertAlign w:val="subscript"/>
        </w:rPr>
        <w:t>3</w:t>
      </w:r>
      <w:r w:rsidR="00AF7ABF" w:rsidRPr="009D52EB">
        <w:rPr>
          <w:rFonts w:ascii="Times New Roman" w:hAnsi="Times New Roman" w:cs="Times New Roman"/>
          <w:sz w:val="20"/>
          <w:szCs w:val="20"/>
        </w:rPr>
        <w:t xml:space="preserve"> (red). The K</w:t>
      </w:r>
      <w:r w:rsidR="00AF7ABF" w:rsidRPr="009D52EB">
        <w:rPr>
          <w:rFonts w:ascii="Times New Roman" w:hAnsi="Times New Roman" w:cs="Times New Roman"/>
          <w:sz w:val="20"/>
          <w:szCs w:val="20"/>
          <w:vertAlign w:val="superscript"/>
        </w:rPr>
        <w:t>+</w:t>
      </w:r>
      <w:r w:rsidR="00AF7ABF" w:rsidRPr="009D52EB">
        <w:rPr>
          <w:rFonts w:ascii="Times New Roman" w:hAnsi="Times New Roman" w:cs="Times New Roman"/>
          <w:sz w:val="20"/>
          <w:szCs w:val="20"/>
        </w:rPr>
        <w:t xml:space="preserve"> concentrations are 1 M in the stationary catholyte layer in both cases. All the gas samples were recorded </w:t>
      </w:r>
      <w:r w:rsidR="00F85283" w:rsidRPr="009D52EB">
        <w:rPr>
          <w:rFonts w:ascii="Times New Roman" w:hAnsi="Times New Roman" w:cs="Times New Roman"/>
          <w:sz w:val="20"/>
          <w:szCs w:val="20"/>
        </w:rPr>
        <w:t>upon completion of</w:t>
      </w:r>
      <w:r w:rsidR="00AF7ABF" w:rsidRPr="009D52EB">
        <w:rPr>
          <w:rFonts w:ascii="Times New Roman" w:hAnsi="Times New Roman" w:cs="Times New Roman"/>
          <w:sz w:val="20"/>
          <w:szCs w:val="20"/>
        </w:rPr>
        <w:t xml:space="preserve"> 1 h</w:t>
      </w:r>
      <w:r w:rsidR="00F85283" w:rsidRPr="009D52EB">
        <w:rPr>
          <w:rFonts w:ascii="Times New Roman" w:hAnsi="Times New Roman" w:cs="Times New Roman"/>
          <w:sz w:val="20"/>
          <w:szCs w:val="20"/>
        </w:rPr>
        <w:t xml:space="preserve"> operation</w:t>
      </w:r>
      <w:r w:rsidR="00AF7ABF" w:rsidRPr="009D52EB">
        <w:rPr>
          <w:rFonts w:ascii="Times New Roman" w:hAnsi="Times New Roman" w:cs="Times New Roman"/>
          <w:sz w:val="20"/>
          <w:szCs w:val="20"/>
        </w:rPr>
        <w:t xml:space="preserve"> at each current density. In K</w:t>
      </w:r>
      <w:r w:rsidR="00AF7ABF" w:rsidRPr="009D52EB">
        <w:rPr>
          <w:rFonts w:ascii="Times New Roman" w:hAnsi="Times New Roman" w:cs="Times New Roman"/>
          <w:sz w:val="20"/>
          <w:szCs w:val="20"/>
          <w:vertAlign w:val="subscript"/>
        </w:rPr>
        <w:t>2</w:t>
      </w:r>
      <w:r w:rsidR="00AF7ABF" w:rsidRPr="009D52EB">
        <w:rPr>
          <w:rFonts w:ascii="Times New Roman" w:hAnsi="Times New Roman" w:cs="Times New Roman"/>
          <w:sz w:val="20"/>
          <w:szCs w:val="20"/>
        </w:rPr>
        <w:t>SO</w:t>
      </w:r>
      <w:r w:rsidR="00AF7ABF" w:rsidRPr="009D52EB">
        <w:rPr>
          <w:rFonts w:ascii="Times New Roman" w:hAnsi="Times New Roman" w:cs="Times New Roman"/>
          <w:sz w:val="20"/>
          <w:szCs w:val="20"/>
          <w:vertAlign w:val="subscript"/>
        </w:rPr>
        <w:t>4</w:t>
      </w:r>
      <w:r w:rsidR="00AF7ABF" w:rsidRPr="009D52EB">
        <w:rPr>
          <w:rFonts w:ascii="Times New Roman" w:hAnsi="Times New Roman" w:cs="Times New Roman"/>
          <w:sz w:val="20"/>
          <w:szCs w:val="20"/>
        </w:rPr>
        <w:t>, the CO</w:t>
      </w:r>
      <w:r w:rsidR="00AF7ABF" w:rsidRPr="009D52EB">
        <w:rPr>
          <w:rFonts w:ascii="Times New Roman" w:hAnsi="Times New Roman" w:cs="Times New Roman"/>
          <w:sz w:val="20"/>
          <w:szCs w:val="20"/>
          <w:vertAlign w:val="subscript"/>
        </w:rPr>
        <w:t>2</w:t>
      </w:r>
      <w:r w:rsidR="00AF7ABF" w:rsidRPr="009D52EB">
        <w:rPr>
          <w:rFonts w:ascii="Times New Roman" w:hAnsi="Times New Roman" w:cs="Times New Roman"/>
          <w:sz w:val="20"/>
          <w:szCs w:val="20"/>
        </w:rPr>
        <w:t>: O</w:t>
      </w:r>
      <w:r w:rsidR="00AF7ABF" w:rsidRPr="009D52EB">
        <w:rPr>
          <w:rFonts w:ascii="Times New Roman" w:hAnsi="Times New Roman" w:cs="Times New Roman"/>
          <w:sz w:val="20"/>
          <w:szCs w:val="20"/>
          <w:vertAlign w:val="subscript"/>
        </w:rPr>
        <w:t>2</w:t>
      </w:r>
      <w:r w:rsidR="00AF7ABF" w:rsidRPr="009D52EB">
        <w:rPr>
          <w:rFonts w:ascii="Times New Roman" w:hAnsi="Times New Roman" w:cs="Times New Roman"/>
          <w:sz w:val="20"/>
          <w:szCs w:val="20"/>
        </w:rPr>
        <w:t xml:space="preserve"> ratio is close to that in KHCO</w:t>
      </w:r>
      <w:r w:rsidR="00AF7ABF" w:rsidRPr="009D52EB">
        <w:rPr>
          <w:rFonts w:ascii="Times New Roman" w:hAnsi="Times New Roman" w:cs="Times New Roman"/>
          <w:sz w:val="20"/>
          <w:szCs w:val="20"/>
          <w:vertAlign w:val="subscript"/>
        </w:rPr>
        <w:t>3</w:t>
      </w:r>
      <w:r w:rsidR="00AF7ABF" w:rsidRPr="009D52EB">
        <w:rPr>
          <w:rFonts w:ascii="Times New Roman" w:hAnsi="Times New Roman" w:cs="Times New Roman"/>
          <w:sz w:val="20"/>
          <w:szCs w:val="20"/>
        </w:rPr>
        <w:t xml:space="preserve"> for </w:t>
      </w:r>
      <w:r w:rsidR="00715DDE" w:rsidRPr="009D52EB">
        <w:rPr>
          <w:rFonts w:ascii="Times New Roman" w:hAnsi="Times New Roman" w:cs="Times New Roman"/>
          <w:sz w:val="20"/>
          <w:szCs w:val="20"/>
        </w:rPr>
        <w:t>custom</w:t>
      </w:r>
      <w:r w:rsidR="00AF7ABF" w:rsidRPr="009D52EB">
        <w:rPr>
          <w:rFonts w:ascii="Times New Roman" w:hAnsi="Times New Roman" w:cs="Times New Roman"/>
          <w:sz w:val="20"/>
          <w:szCs w:val="20"/>
        </w:rPr>
        <w:t xml:space="preserve"> BPM, indicating the detected anode CO</w:t>
      </w:r>
      <w:r w:rsidR="00AF7ABF" w:rsidRPr="009D52EB">
        <w:rPr>
          <w:rFonts w:ascii="Times New Roman" w:hAnsi="Times New Roman" w:cs="Times New Roman"/>
          <w:sz w:val="20"/>
          <w:szCs w:val="20"/>
          <w:vertAlign w:val="subscript"/>
        </w:rPr>
        <w:t>2</w:t>
      </w:r>
      <w:r w:rsidR="00AF7ABF" w:rsidRPr="009D52EB">
        <w:rPr>
          <w:rFonts w:ascii="Times New Roman" w:hAnsi="Times New Roman" w:cs="Times New Roman"/>
          <w:sz w:val="20"/>
          <w:szCs w:val="20"/>
        </w:rPr>
        <w:t xml:space="preserve"> flow in the </w:t>
      </w:r>
      <w:r w:rsidR="00715DDE" w:rsidRPr="009D52EB">
        <w:rPr>
          <w:rFonts w:ascii="Times New Roman" w:hAnsi="Times New Roman" w:cs="Times New Roman"/>
          <w:sz w:val="20"/>
          <w:szCs w:val="20"/>
        </w:rPr>
        <w:t>custom</w:t>
      </w:r>
      <w:r w:rsidR="00AF7ABF" w:rsidRPr="009D52EB">
        <w:rPr>
          <w:rFonts w:ascii="Times New Roman" w:hAnsi="Times New Roman" w:cs="Times New Roman"/>
          <w:sz w:val="20"/>
          <w:szCs w:val="20"/>
        </w:rPr>
        <w:t xml:space="preserve"> BPM system (</w:t>
      </w:r>
      <w:r>
        <w:rPr>
          <w:rFonts w:ascii="Times New Roman" w:hAnsi="Times New Roman" w:cs="Times New Roman"/>
          <w:sz w:val="20"/>
          <w:szCs w:val="20"/>
        </w:rPr>
        <w:t>Fig.</w:t>
      </w:r>
      <w:r w:rsidR="00AF7ABF" w:rsidRPr="009D52EB">
        <w:rPr>
          <w:rFonts w:ascii="Times New Roman" w:hAnsi="Times New Roman" w:cs="Times New Roman"/>
          <w:sz w:val="20"/>
          <w:szCs w:val="20"/>
        </w:rPr>
        <w:t xml:space="preserve"> </w:t>
      </w:r>
      <w:r w:rsidR="007E5F1A">
        <w:rPr>
          <w:rFonts w:ascii="Times New Roman" w:hAnsi="Times New Roman" w:cs="Times New Roman"/>
          <w:sz w:val="20"/>
          <w:szCs w:val="20"/>
        </w:rPr>
        <w:t>2c</w:t>
      </w:r>
      <w:r w:rsidR="00AF7ABF" w:rsidRPr="009D52EB">
        <w:rPr>
          <w:rFonts w:ascii="Times New Roman" w:hAnsi="Times New Roman" w:cs="Times New Roman"/>
          <w:sz w:val="20"/>
          <w:szCs w:val="20"/>
        </w:rPr>
        <w:t xml:space="preserve"> in the main text) was not ascribed to the acidification of bicarbonate. In an </w:t>
      </w:r>
      <w:r w:rsidR="004A7ADC">
        <w:rPr>
          <w:rFonts w:ascii="Times New Roman" w:hAnsi="Times New Roman" w:cs="Times New Roman"/>
          <w:sz w:val="20"/>
          <w:szCs w:val="20"/>
        </w:rPr>
        <w:t>SC-BPMEA</w:t>
      </w:r>
      <w:r w:rsidR="00AF7ABF" w:rsidRPr="009D52EB">
        <w:rPr>
          <w:rFonts w:ascii="Times New Roman" w:hAnsi="Times New Roman" w:cs="Times New Roman"/>
          <w:sz w:val="20"/>
          <w:szCs w:val="20"/>
        </w:rPr>
        <w:t xml:space="preserve"> using KHCO</w:t>
      </w:r>
      <w:r w:rsidR="00AF7ABF" w:rsidRPr="009D52EB">
        <w:rPr>
          <w:rFonts w:ascii="Times New Roman" w:hAnsi="Times New Roman" w:cs="Times New Roman"/>
          <w:sz w:val="20"/>
          <w:szCs w:val="20"/>
          <w:vertAlign w:val="subscript"/>
        </w:rPr>
        <w:t>3</w:t>
      </w:r>
      <w:r w:rsidR="00AF7ABF" w:rsidRPr="009D52EB">
        <w:rPr>
          <w:rFonts w:ascii="Times New Roman" w:hAnsi="Times New Roman" w:cs="Times New Roman"/>
          <w:sz w:val="20"/>
          <w:szCs w:val="20"/>
        </w:rPr>
        <w:t xml:space="preserve"> anolyte, the CO</w:t>
      </w:r>
      <w:r w:rsidR="00AF7ABF" w:rsidRPr="009D52EB">
        <w:rPr>
          <w:rFonts w:ascii="Times New Roman" w:hAnsi="Times New Roman" w:cs="Times New Roman"/>
          <w:sz w:val="20"/>
          <w:szCs w:val="20"/>
          <w:vertAlign w:val="subscript"/>
        </w:rPr>
        <w:t>2</w:t>
      </w:r>
      <w:r w:rsidR="00AF7ABF" w:rsidRPr="009D52EB">
        <w:rPr>
          <w:rFonts w:ascii="Times New Roman" w:hAnsi="Times New Roman" w:cs="Times New Roman"/>
          <w:sz w:val="20"/>
          <w:szCs w:val="20"/>
        </w:rPr>
        <w:t xml:space="preserve"> crossover through Fumasep is similar to the case through </w:t>
      </w:r>
      <w:r w:rsidR="00715DDE" w:rsidRPr="009D52EB">
        <w:rPr>
          <w:rFonts w:ascii="Times New Roman" w:hAnsi="Times New Roman" w:cs="Times New Roman"/>
          <w:sz w:val="20"/>
          <w:szCs w:val="20"/>
        </w:rPr>
        <w:t>custom</w:t>
      </w:r>
      <w:r w:rsidR="00AF7ABF" w:rsidRPr="009D52EB">
        <w:rPr>
          <w:rFonts w:ascii="Times New Roman" w:hAnsi="Times New Roman" w:cs="Times New Roman"/>
          <w:sz w:val="20"/>
          <w:szCs w:val="20"/>
        </w:rPr>
        <w:t xml:space="preserve"> BPM.</w:t>
      </w:r>
    </w:p>
    <w:p w14:paraId="719709FA" w14:textId="1E993E9D" w:rsidR="001E6548" w:rsidRPr="009D52EB" w:rsidRDefault="001E6548">
      <w:pPr>
        <w:rPr>
          <w:rFonts w:ascii="Times New Roman" w:hAnsi="Times New Roman" w:cs="Times New Roman"/>
          <w:sz w:val="24"/>
          <w:szCs w:val="24"/>
        </w:rPr>
      </w:pPr>
    </w:p>
    <w:p w14:paraId="37D69AE0" w14:textId="24D7BD5A" w:rsidR="00D06627" w:rsidRPr="009D52EB" w:rsidRDefault="00DB7F3A">
      <w:pPr>
        <w:rPr>
          <w:rFonts w:ascii="Times New Roman" w:hAnsi="Times New Roman" w:cs="Times New Roman"/>
          <w:b/>
          <w:bCs/>
          <w:sz w:val="24"/>
          <w:szCs w:val="24"/>
        </w:rPr>
      </w:pPr>
      <w:r w:rsidRPr="009D52EB">
        <w:rPr>
          <w:rFonts w:ascii="Times New Roman" w:hAnsi="Times New Roman" w:cs="Times New Roman"/>
          <w:b/>
          <w:bCs/>
          <w:sz w:val="24"/>
          <w:szCs w:val="24"/>
        </w:rPr>
        <w:br w:type="page"/>
      </w:r>
    </w:p>
    <w:p w14:paraId="78C98DEC" w14:textId="3C2373B3" w:rsidR="002D7D50" w:rsidRPr="00E85E3D" w:rsidRDefault="00FF1435">
      <w:pPr>
        <w:rPr>
          <w:rFonts w:ascii="Times New Roman" w:hAnsi="Times New Roman" w:cs="Times New Roman"/>
          <w:b/>
          <w:bCs/>
          <w:sz w:val="24"/>
          <w:szCs w:val="24"/>
        </w:rPr>
      </w:pPr>
      <w:r w:rsidRPr="009D52EB">
        <w:rPr>
          <w:rFonts w:ascii="Times New Roman" w:hAnsi="Times New Roman" w:cs="Times New Roman"/>
          <w:b/>
          <w:bCs/>
          <w:sz w:val="24"/>
          <w:szCs w:val="24"/>
        </w:rPr>
        <w:lastRenderedPageBreak/>
        <w:t>SI</w:t>
      </w:r>
      <w:r w:rsidR="00E50266" w:rsidRPr="009D52EB">
        <w:rPr>
          <w:rFonts w:ascii="Times New Roman" w:hAnsi="Times New Roman" w:cs="Times New Roman"/>
          <w:b/>
          <w:bCs/>
          <w:sz w:val="24"/>
          <w:szCs w:val="24"/>
        </w:rPr>
        <w:t>3</w:t>
      </w:r>
      <w:r w:rsidRPr="009D52EB">
        <w:rPr>
          <w:rFonts w:ascii="Times New Roman" w:hAnsi="Times New Roman" w:cs="Times New Roman"/>
          <w:b/>
          <w:bCs/>
          <w:sz w:val="24"/>
          <w:szCs w:val="24"/>
        </w:rPr>
        <w:t xml:space="preserve"> </w:t>
      </w:r>
      <w:r w:rsidR="00B03D6F" w:rsidRPr="009D52EB">
        <w:rPr>
          <w:rFonts w:ascii="Times New Roman" w:hAnsi="Times New Roman" w:cs="Times New Roman"/>
          <w:b/>
          <w:bCs/>
          <w:sz w:val="24"/>
          <w:szCs w:val="24"/>
        </w:rPr>
        <w:t>Investigati</w:t>
      </w:r>
      <w:r w:rsidR="00B23325" w:rsidRPr="009D52EB">
        <w:rPr>
          <w:rFonts w:ascii="Times New Roman" w:hAnsi="Times New Roman" w:cs="Times New Roman"/>
          <w:b/>
          <w:bCs/>
          <w:sz w:val="24"/>
          <w:szCs w:val="24"/>
        </w:rPr>
        <w:t xml:space="preserve">ng the feasibility </w:t>
      </w:r>
      <w:r w:rsidR="00B03D6F" w:rsidRPr="009D52EB">
        <w:rPr>
          <w:rFonts w:ascii="Times New Roman" w:hAnsi="Times New Roman" w:cs="Times New Roman"/>
          <w:b/>
          <w:bCs/>
          <w:sz w:val="24"/>
          <w:szCs w:val="24"/>
        </w:rPr>
        <w:t>of the existing BPM-based MEA</w:t>
      </w:r>
      <w:r w:rsidR="00D918E6" w:rsidRPr="009D52EB">
        <w:rPr>
          <w:rFonts w:ascii="Times New Roman" w:hAnsi="Times New Roman" w:cs="Times New Roman"/>
          <w:b/>
          <w:bCs/>
          <w:sz w:val="24"/>
          <w:szCs w:val="24"/>
        </w:rPr>
        <w:t>s</w:t>
      </w:r>
      <w:r w:rsidR="0025137A" w:rsidRPr="009D52EB">
        <w:rPr>
          <w:rFonts w:ascii="Times New Roman" w:hAnsi="Times New Roman" w:cs="Times New Roman"/>
          <w:b/>
          <w:bCs/>
          <w:sz w:val="24"/>
          <w:szCs w:val="24"/>
        </w:rPr>
        <w:t xml:space="preserve"> for</w:t>
      </w:r>
      <w:r w:rsidR="00B23325" w:rsidRPr="009D52EB">
        <w:rPr>
          <w:rFonts w:ascii="Times New Roman" w:hAnsi="Times New Roman" w:cs="Times New Roman"/>
          <w:b/>
          <w:bCs/>
          <w:sz w:val="24"/>
          <w:szCs w:val="24"/>
        </w:rPr>
        <w:t xml:space="preserve"> high</w:t>
      </w:r>
      <w:r w:rsidR="00B03D6F" w:rsidRPr="009D52EB">
        <w:rPr>
          <w:rFonts w:ascii="Times New Roman" w:hAnsi="Times New Roman" w:cs="Times New Roman"/>
          <w:b/>
          <w:bCs/>
          <w:sz w:val="24"/>
          <w:szCs w:val="24"/>
        </w:rPr>
        <w:t xml:space="preserve"> </w:t>
      </w:r>
      <w:r w:rsidR="0092483B" w:rsidRPr="009D52EB">
        <w:rPr>
          <w:rFonts w:ascii="Times New Roman" w:hAnsi="Times New Roman" w:cs="Times New Roman"/>
          <w:b/>
          <w:bCs/>
          <w:sz w:val="24"/>
          <w:szCs w:val="24"/>
        </w:rPr>
        <w:t>carbon utilization in CO</w:t>
      </w:r>
      <w:r w:rsidR="0092483B" w:rsidRPr="009D52EB">
        <w:rPr>
          <w:rFonts w:ascii="Times New Roman" w:hAnsi="Times New Roman" w:cs="Times New Roman"/>
          <w:b/>
          <w:bCs/>
          <w:sz w:val="24"/>
          <w:szCs w:val="24"/>
          <w:vertAlign w:val="subscript"/>
        </w:rPr>
        <w:t>2</w:t>
      </w:r>
      <w:r w:rsidR="00B23325" w:rsidRPr="00805810">
        <w:rPr>
          <w:rFonts w:ascii="Times New Roman" w:hAnsi="Times New Roman" w:cs="Times New Roman"/>
          <w:b/>
          <w:bCs/>
          <w:sz w:val="24"/>
          <w:szCs w:val="24"/>
        </w:rPr>
        <w:t>-to-C</w:t>
      </w:r>
      <w:r w:rsidR="00B23325" w:rsidRPr="009D52EB">
        <w:rPr>
          <w:rFonts w:ascii="Times New Roman" w:hAnsi="Times New Roman" w:cs="Times New Roman"/>
          <w:b/>
          <w:bCs/>
          <w:sz w:val="24"/>
          <w:szCs w:val="24"/>
          <w:vertAlign w:val="subscript"/>
        </w:rPr>
        <w:t>2+</w:t>
      </w:r>
      <w:r w:rsidR="00B23325" w:rsidRPr="00805810">
        <w:rPr>
          <w:rFonts w:ascii="Times New Roman" w:hAnsi="Times New Roman" w:cs="Times New Roman"/>
          <w:b/>
          <w:bCs/>
          <w:sz w:val="24"/>
          <w:szCs w:val="24"/>
        </w:rPr>
        <w:t xml:space="preserve"> </w:t>
      </w:r>
    </w:p>
    <w:p w14:paraId="5707FCB0" w14:textId="7179F102" w:rsidR="00286B69" w:rsidRDefault="00286B69" w:rsidP="00182C82">
      <w:pPr>
        <w:jc w:val="both"/>
        <w:rPr>
          <w:rFonts w:ascii="Times New Roman" w:hAnsi="Times New Roman" w:cs="Times New Roman"/>
          <w:sz w:val="24"/>
          <w:szCs w:val="24"/>
        </w:rPr>
      </w:pPr>
      <w:r>
        <w:rPr>
          <w:rFonts w:ascii="Times New Roman" w:hAnsi="Times New Roman" w:cs="Times New Roman"/>
          <w:sz w:val="24"/>
          <w:szCs w:val="24"/>
        </w:rPr>
        <w:t xml:space="preserve">The BPM-based flow cells, </w:t>
      </w:r>
      <w:r w:rsidR="00915650">
        <w:rPr>
          <w:rFonts w:ascii="Times New Roman" w:hAnsi="Times New Roman" w:cs="Times New Roman"/>
          <w:sz w:val="24"/>
          <w:szCs w:val="24"/>
        </w:rPr>
        <w:t xml:space="preserve">with </w:t>
      </w:r>
      <w:r w:rsidR="00B57923">
        <w:rPr>
          <w:rFonts w:ascii="Times New Roman" w:hAnsi="Times New Roman" w:cs="Times New Roman"/>
          <w:sz w:val="24"/>
          <w:szCs w:val="24"/>
        </w:rPr>
        <w:t xml:space="preserve">both </w:t>
      </w:r>
      <w:r w:rsidR="00915650">
        <w:rPr>
          <w:rFonts w:ascii="Times New Roman" w:hAnsi="Times New Roman" w:cs="Times New Roman"/>
          <w:sz w:val="24"/>
          <w:szCs w:val="24"/>
        </w:rPr>
        <w:t xml:space="preserve">buffering </w:t>
      </w:r>
      <w:r w:rsidR="00B57923">
        <w:rPr>
          <w:rFonts w:ascii="Times New Roman" w:hAnsi="Times New Roman" w:cs="Times New Roman"/>
          <w:sz w:val="24"/>
          <w:szCs w:val="24"/>
        </w:rPr>
        <w:t>and</w:t>
      </w:r>
      <w:r w:rsidR="00915650">
        <w:rPr>
          <w:rFonts w:ascii="Times New Roman" w:hAnsi="Times New Roman" w:cs="Times New Roman"/>
          <w:sz w:val="24"/>
          <w:szCs w:val="24"/>
        </w:rPr>
        <w:t xml:space="preserve"> non-buffering catholyte</w:t>
      </w:r>
      <w:r>
        <w:rPr>
          <w:rFonts w:ascii="Times New Roman" w:hAnsi="Times New Roman" w:cs="Times New Roman"/>
          <w:sz w:val="24"/>
          <w:szCs w:val="24"/>
        </w:rPr>
        <w:t>,</w:t>
      </w:r>
      <w:r>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{"citationItems":[{"id":"ITEM-1","itemData":{"DOI":"10.1039/x0xx00000x","ISBN":"9780816911127","abstract":"Iron deficiency, a leading cause of anemia, is one of the globe's top nutritional disorders according to the World Health Organization. Hemochromatosis, on the other hand, is associated to excess iron, and is usually diagnosed late in the stages of irreversible organ damage. Since abnormally low or high blood iron levels are common worldwide and can be of serious detriment to human health, a ubiquitously available technique for measurement of blood iron could represent a substantial improvement in point-of-care medical technology for monitoring iron-related blood disorders and could potentially spark a trend toward proper early prevention of diseases and health maintenance throughout the life span. Here, we introduce a smartphone-based colorimetric detection system for iron measurement in human serum. The system is designed for point-of-care screening and iron monitoring, and was optimized to be low-cost while still allowing for accurate, rapid iron assessment. It employs a dry sensor strip with optimized chemistry in which iron ions are stripped from blood transport proteins, reduced from Fe(III) to Fe(II), and subsequently chelated with ferene, developing a visible color change for smartphone detection of total iron. We compare the common laboratory iron detection assay of human serum to that of our dry sensor strip. The prototype smartphone assay was sensitive to iron detection with a dynamic range of 50 - 300 µg/dL, sensitivity of 0.00047 a.u/µg/dL and coefficient of variation of 10.5% versus the standard lab approach with sensitivity of 0.00091 a.u/µg/dL and coefficients of variation of 2.2%. Further, a detection limit near 15 µg/dL provided by the smartphone system indicated the system's potential capability for detection of iron deficiencies.,Finally, drawn human venous blood sample processed for serum and measured for total iron were simultaneously sent to a commercial testing facility (LabCorp) and processed by the smartphone system, averaging errors of less than 3% around the true value of 231 µg/dL. In addition, spectrophotometric validation of the iron detection kinetics for the test conditions were investigated, rendering a more complete insight of the detection reaction. The new mobile-app based colorimetric assay agreed with the standard spectrophotometric method, and provides promising features of mobility and low-cost manufacturing for global healthcare settings.","author":[{"dropping-particle":"","family":"Ma","given":"Ming","non-dropping-particle":"","parse-names":false,"suffix":""},{"dropping-particle":"","family":"Clark","given":"Ezra L.","non-dropping-particle":"","parse-names":false,"suffix":""},{"dropping-particle":"","family":"Chorkendorff","given":"Kasper T. Therkildsen Sebastian Dalsgaard","non-dropping-particle":"","parse-names":false,"suffix":""},{"dropping-particle":"","family":"Seger","given":"Brian","non-dropping-particle":"","parse-names":false,"suffix":""}],"container-title":"Energy &amp; Environmental Science","id":"ITEM-1","issue":"3","issued":{"date-parts":[["2020"]]},"page":"977-985","title":"Insights into the carbon balance for CO2 electroreduction on Cu using gas diffusion electrode reactor designs","type":"article-journal","volume":"13"},"uris":["http://www.mendeley.com/documents/?uuid=98059852-c1ef-4e0d-840e-d87e9a1e0139"]},{"id":"ITEM-2","itemData":{"DOI":"10.1021/acsenergylett.0c00860","ISSN":"23808195","abstract":"This work demonstrated a robust, scalable cell architecture for electroreduction of CO2 (CO2R). An up to 90% faradaic efficiency for the conversion of CO2R to formate at 500 mA/cm2 was realized at a 25 cm2 gas diffusion electrode (GDE) with a carbon-supported SnO2 electrocatalyst. A 1.27 mm thick catholyte was used between the bipolar membrane and cathode GDE, which could be further reduced to tens of micrometers upon refinement. The deconvolution of the potential drop from each individual component/process guides the pathways to higher energy efficiencies of CO2R at this platform. Significant changes in the agglomerate size and aspect ratio on the electrode before and after an 11 h test were revealed by nano-CT, suggesting reduced CO2 accessibility from electrode degradation. The versatility of this CO2R testing platform enables the ability to assess materials, components, and interactions at scales more in line with future devices.","author":[{"dropping-particle":"","family":"Chen","given":"Yingying","non-dropping-particle":"","parse-names":false,"suffix":""},{"dropping-particle":"","family":"Vise","given":"Ashlee","non-dropping-particle":"","parse-names":false,"suffix":""},{"dropping-particle":"","family":"Klein","given":"W. Ellis","non-dropping-particle":"","parse-names":false,"suffix":""},{"dropping-particle":"","family":"Cetinbas","given":"Firat C.","non-dropping-particle":"","parse-names":false,"suffix":""},{"dropping-particle":"","family":"Myers","given":"Deborah J.","non-dropping-particle":"","parse-names":false,"suffix":""},{"dropping-particle":"","family":"Smith","given":"Wilson A.","non-dropping-particle":"","parse-names":false,"suffix":""},{"dropping-particle":"","family":"Smith","given":"Wilson A.","non-dropping-particle":"","parse-names":false,"suffix":""},{"dropping-particle":"","family":"Smith","given":"Wilson A.","non-dropping-particle":"","parse-names":false,"suffix":""},{"dropping-particle":"","family":"Deutsch","given":"Todd G.","non-dropping-particle":"","parse-names":false,"suffix":""},{"dropping-particle":"","family":"Neyerlin","given":"K. C.","non-dropping-particle":"","parse-names":false,"suffix":""}],"container-title":"ACS Energy Letters","id":"ITEM-2","issue":"6","issued":{"date-parts":[["2020"]]},"page":"1825-1833","title":"A Robust, Scalable Platform for the Electrochemical Conversion of CO2to Formate: Identifying Pathways to Higher Energy Efficiencies","type":"article-journal","volume":"5"},"uris":["http://www.mendeley.com/documents/?uuid=b49dcb16-0e0c-4b6b-b106-37aac32a2bad"]}],"mendeley":{"formattedCitation":"&lt;sup&gt;11,21&lt;/sup&gt;","plainTextFormattedCitation":"11,21","previouslyFormattedCitation":"&lt;sup&gt;11,24&lt;/sup&gt;"},"properties":{"noteIndex":0},"schema":"https://github.com/citation-style-language/schema/raw/master/csl-citation.json"}</w:instrText>
      </w:r>
      <w:r>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11,21</w:t>
      </w:r>
      <w:r>
        <w:rPr>
          <w:rFonts w:ascii="Times New Roman" w:hAnsi="Times New Roman" w:cs="Times New Roman"/>
          <w:sz w:val="24"/>
          <w:szCs w:val="24"/>
        </w:rPr>
        <w:fldChar w:fldCharType="end"/>
      </w:r>
      <w:r>
        <w:rPr>
          <w:rFonts w:ascii="Times New Roman" w:hAnsi="Times New Roman" w:cs="Times New Roman"/>
          <w:sz w:val="24"/>
          <w:szCs w:val="24"/>
        </w:rPr>
        <w:t xml:space="preserve"> also suffer from significant CO</w:t>
      </w:r>
      <w:r w:rsidRPr="00221879">
        <w:rPr>
          <w:rFonts w:ascii="Times New Roman" w:hAnsi="Times New Roman" w:cs="Times New Roman"/>
          <w:sz w:val="24"/>
          <w:szCs w:val="24"/>
          <w:vertAlign w:val="subscript"/>
        </w:rPr>
        <w:t>2</w:t>
      </w:r>
      <w:r>
        <w:rPr>
          <w:rFonts w:ascii="Times New Roman" w:hAnsi="Times New Roman" w:cs="Times New Roman"/>
          <w:sz w:val="24"/>
          <w:szCs w:val="24"/>
        </w:rPr>
        <w:t xml:space="preserve"> loss and show no advantage in SPU compared with ordinary AEM-based flow cells. </w:t>
      </w:r>
      <w:r w:rsidR="0046228D">
        <w:rPr>
          <w:rFonts w:ascii="Times New Roman" w:hAnsi="Times New Roman" w:cs="Times New Roman"/>
          <w:sz w:val="24"/>
          <w:szCs w:val="24"/>
        </w:rPr>
        <w:t>The flow cells usually use &gt;1 millimet</w:t>
      </w:r>
      <w:r w:rsidR="00B57923">
        <w:rPr>
          <w:rFonts w:ascii="Times New Roman" w:hAnsi="Times New Roman" w:cs="Times New Roman"/>
          <w:sz w:val="24"/>
          <w:szCs w:val="24"/>
        </w:rPr>
        <w:t>re</w:t>
      </w:r>
      <w:r w:rsidR="0046228D">
        <w:rPr>
          <w:rFonts w:ascii="Times New Roman" w:hAnsi="Times New Roman" w:cs="Times New Roman"/>
          <w:sz w:val="24"/>
          <w:szCs w:val="24"/>
        </w:rPr>
        <w:t>-thick catholyte, far from the sub-150 μm-scale for efficient mass transfer of revert CO</w:t>
      </w:r>
      <w:r w:rsidR="0046228D" w:rsidRPr="0046228D">
        <w:rPr>
          <w:rFonts w:ascii="Times New Roman" w:hAnsi="Times New Roman" w:cs="Times New Roman"/>
          <w:sz w:val="24"/>
          <w:szCs w:val="24"/>
          <w:vertAlign w:val="subscript"/>
        </w:rPr>
        <w:t>2</w:t>
      </w:r>
      <w:r w:rsidR="0046228D">
        <w:rPr>
          <w:rFonts w:ascii="Times New Roman" w:hAnsi="Times New Roman" w:cs="Times New Roman"/>
          <w:sz w:val="24"/>
          <w:szCs w:val="24"/>
        </w:rPr>
        <w:t>.</w:t>
      </w:r>
      <w:r w:rsidR="00592892">
        <w:rPr>
          <w:rFonts w:ascii="Times New Roman" w:hAnsi="Times New Roman" w:cs="Times New Roman"/>
          <w:sz w:val="24"/>
          <w:szCs w:val="24"/>
        </w:rPr>
        <w:t xml:space="preserve"> Fabricating and operating sub-150 μm-scale flowing catholyte is challenging as well. Additionally, </w:t>
      </w:r>
      <w:r>
        <w:rPr>
          <w:rFonts w:ascii="Times New Roman" w:hAnsi="Times New Roman" w:cs="Times New Roman"/>
          <w:sz w:val="24"/>
          <w:szCs w:val="24"/>
        </w:rPr>
        <w:t>the reverted CO</w:t>
      </w:r>
      <w:r w:rsidRPr="00221879">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741FA8">
        <w:rPr>
          <w:rFonts w:ascii="Times New Roman" w:hAnsi="Times New Roman" w:cs="Times New Roman"/>
          <w:sz w:val="24"/>
          <w:szCs w:val="24"/>
        </w:rPr>
        <w:t>is</w:t>
      </w:r>
      <w:r>
        <w:rPr>
          <w:rFonts w:ascii="Times New Roman" w:hAnsi="Times New Roman" w:cs="Times New Roman"/>
          <w:sz w:val="24"/>
          <w:szCs w:val="24"/>
        </w:rPr>
        <w:t xml:space="preserve"> </w:t>
      </w:r>
      <w:r w:rsidR="00592892">
        <w:rPr>
          <w:rFonts w:ascii="Times New Roman" w:hAnsi="Times New Roman" w:cs="Times New Roman"/>
          <w:sz w:val="24"/>
          <w:szCs w:val="24"/>
        </w:rPr>
        <w:t>removed</w:t>
      </w:r>
      <w:r>
        <w:rPr>
          <w:rFonts w:ascii="Times New Roman" w:hAnsi="Times New Roman" w:cs="Times New Roman"/>
          <w:sz w:val="24"/>
          <w:szCs w:val="24"/>
        </w:rPr>
        <w:t xml:space="preserve"> by the flowing catholyte and has little chance to diffuse back to the cathode for CO</w:t>
      </w:r>
      <w:r w:rsidRPr="00221879">
        <w:rPr>
          <w:rFonts w:ascii="Times New Roman" w:hAnsi="Times New Roman" w:cs="Times New Roman"/>
          <w:sz w:val="24"/>
          <w:szCs w:val="24"/>
          <w:vertAlign w:val="subscript"/>
        </w:rPr>
        <w:t>2</w:t>
      </w:r>
      <w:r>
        <w:rPr>
          <w:rFonts w:ascii="Times New Roman" w:hAnsi="Times New Roman" w:cs="Times New Roman"/>
          <w:sz w:val="24"/>
          <w:szCs w:val="24"/>
        </w:rPr>
        <w:t>RR. Therefore, the BPM-based flow cells are excluded from the comparison in this section.</w:t>
      </w:r>
    </w:p>
    <w:p w14:paraId="45F09ADB" w14:textId="30DEC01B" w:rsidR="008A2186" w:rsidRPr="009D52EB" w:rsidRDefault="008A2186" w:rsidP="00182C82">
      <w:pPr>
        <w:jc w:val="both"/>
        <w:rPr>
          <w:rFonts w:ascii="Times New Roman" w:hAnsi="Times New Roman" w:cs="Times New Roman"/>
          <w:sz w:val="24"/>
          <w:szCs w:val="24"/>
        </w:rPr>
      </w:pPr>
      <w:r w:rsidRPr="009D52EB">
        <w:rPr>
          <w:rFonts w:ascii="Times New Roman" w:hAnsi="Times New Roman" w:cs="Times New Roman"/>
          <w:sz w:val="24"/>
          <w:szCs w:val="24"/>
        </w:rPr>
        <w:t>Previous works have reported three strategies to improve the CO</w:t>
      </w:r>
      <w:r w:rsidRPr="009D52EB">
        <w:rPr>
          <w:rFonts w:ascii="Times New Roman" w:hAnsi="Times New Roman" w:cs="Times New Roman"/>
          <w:sz w:val="24"/>
          <w:szCs w:val="24"/>
          <w:vertAlign w:val="subscript"/>
        </w:rPr>
        <w:t>2</w:t>
      </w:r>
      <w:r w:rsidRPr="00805810">
        <w:rPr>
          <w:rFonts w:ascii="Times New Roman" w:hAnsi="Times New Roman" w:cs="Times New Roman"/>
          <w:sz w:val="24"/>
          <w:szCs w:val="24"/>
        </w:rPr>
        <w:t xml:space="preserve">-to-CO selectivity in </w:t>
      </w:r>
      <w:r w:rsidRPr="00E85E3D">
        <w:rPr>
          <w:rFonts w:ascii="Times New Roman" w:hAnsi="Times New Roman" w:cs="Times New Roman"/>
          <w:sz w:val="24"/>
          <w:szCs w:val="24"/>
        </w:rPr>
        <w:t>BPM-based MEA electrolyzers</w:t>
      </w:r>
      <w:r w:rsidR="002770A2" w:rsidRPr="009D52EB">
        <w:rPr>
          <w:rFonts w:ascii="Times New Roman" w:hAnsi="Times New Roman" w:cs="Times New Roman"/>
          <w:sz w:val="24"/>
          <w:szCs w:val="24"/>
        </w:rPr>
        <w:t>, namely weaken</w:t>
      </w:r>
      <w:r w:rsidR="00182C82" w:rsidRPr="009D52EB">
        <w:rPr>
          <w:rFonts w:ascii="Times New Roman" w:hAnsi="Times New Roman" w:cs="Times New Roman"/>
          <w:sz w:val="24"/>
          <w:szCs w:val="24"/>
        </w:rPr>
        <w:t>ing</w:t>
      </w:r>
      <w:r w:rsidR="002770A2" w:rsidRPr="009D52EB">
        <w:rPr>
          <w:rFonts w:ascii="Times New Roman" w:hAnsi="Times New Roman" w:cs="Times New Roman" w:hint="eastAsia"/>
          <w:sz w:val="24"/>
          <w:szCs w:val="24"/>
        </w:rPr>
        <w:t xml:space="preserve"> </w:t>
      </w:r>
      <w:r w:rsidR="002770A2" w:rsidRPr="009D52EB">
        <w:rPr>
          <w:rFonts w:ascii="Times New Roman" w:hAnsi="Times New Roman" w:cs="Times New Roman"/>
          <w:sz w:val="24"/>
          <w:szCs w:val="24"/>
        </w:rPr>
        <w:t>the acidity of the CEL,</w:t>
      </w:r>
      <w:r w:rsidR="00B85A47" w:rsidRPr="009D52EB">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{"citationItems":[{"id":"ITEM-1","itemData":{"DOI":"10.1038/s41557-020-00602-0","ISSN":"17554349","PMID":"33288894","abstract":"The efficient conversion of electricity to chemicals is needed to mitigate the intermittency of renewable energy sources. Driving these electrochemical conversions at useful rates requires not only fast electrode kinetics, but also rapid mass and ion transport. However, little is known about the effect of local environments on ionic flows in solid polymer electrolytes. Here, we show that it is possible to measure and manipulate the local pH in membrane electrolysers with a resolution of tens of nanometres. In bipolar-membrane-based gas-fed CO2 electrolysers, the acidic environment of the cation exchange layer results in low CO2 reduction efficiency. By using ratiometric indicators and layer-by-layer polyelectrolyte assembly, the local pH was measured and controlled within an ~50-nm-thick weak-acid layer. The weak-acid layer suppressed the competing hydrogen evolution reaction without affecting CO2 reduction. This method of probing and controlling the local membrane environment may be useful in devices such as electrolysers, fuel cells and flow batteries, as well as in operando studies of ion distributions within polymer electrolytes. [Figure not available: see fulltext.].","author":[{"dropping-particle":"","family":"Yan","given":"Zhifei","non-dropping-particle":"","parse-names":false,"suffix":""},{"dropping-particle":"","family":"Hitt","given":"Jeremy L","non-dropping-particle":"","parse-names":false,"suffix":""},{"dropping-particle":"","family":"Zeng","given":"Zichen","non-dropping-particle":"","parse-names":false,"suffix":""},{"dropping-particle":"","family":"Hickner","given":"Michael A","non-dropping-particle":"","parse-names":false,"suffix":""},{"dropping-particle":"","family":"Mallouk","given":"Thomas E","non-dropping-particle":"","parse-names":false,"suffix":""}],"container-title":"Nature Chemistry","id":"ITEM-1","issue":"1","issued":{"date-parts":[["2021"]]},"page":"33-40","publisher":"Springer US","title":"Improving the efficiency of CO2 electrolysis by using a bipolar membrane with a weak-acid cation exchange layer","type":"article-journal","volume":"13"},"uris":["http://www.mendeley.com/documents/?uuid=696bc71f-471d-42cb-b021-7fb6dbd918d7"]}],"mendeley":{"formattedCitation":"&lt;sup&gt;22&lt;/sup&gt;","plainTextFormattedCitation":"22","previouslyFormattedCitation":"&lt;sup&gt;25&lt;/sup&gt;"},"properties":{"noteIndex":0},"schema":"https://github.com/citation-style-language/schema/raw/master/csl-citation.json"}</w:instrText>
      </w:r>
      <w:r w:rsidR="00B85A47" w:rsidRPr="009D52EB">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22</w:t>
      </w:r>
      <w:r w:rsidR="00B85A47" w:rsidRPr="009D52EB">
        <w:rPr>
          <w:rFonts w:ascii="Times New Roman" w:hAnsi="Times New Roman" w:cs="Times New Roman"/>
          <w:sz w:val="24"/>
          <w:szCs w:val="24"/>
        </w:rPr>
        <w:fldChar w:fldCharType="end"/>
      </w:r>
      <w:r w:rsidR="00B85A47" w:rsidRPr="009D52EB">
        <w:rPr>
          <w:rFonts w:ascii="Times New Roman" w:hAnsi="Times New Roman" w:cs="Times New Roman"/>
          <w:sz w:val="24"/>
          <w:szCs w:val="24"/>
        </w:rPr>
        <w:t xml:space="preserve"> </w:t>
      </w:r>
      <w:r w:rsidR="00B144E9" w:rsidRPr="00805810">
        <w:rPr>
          <w:rFonts w:ascii="Times New Roman" w:hAnsi="Times New Roman" w:cs="Times New Roman"/>
          <w:sz w:val="24"/>
          <w:szCs w:val="24"/>
        </w:rPr>
        <w:t xml:space="preserve">adopting </w:t>
      </w:r>
      <w:r w:rsidR="00331465" w:rsidRPr="00E85E3D">
        <w:rPr>
          <w:rFonts w:ascii="Times New Roman" w:hAnsi="Times New Roman" w:cs="Times New Roman"/>
          <w:sz w:val="24"/>
          <w:szCs w:val="24"/>
        </w:rPr>
        <w:t xml:space="preserve">a </w:t>
      </w:r>
      <w:r w:rsidR="00B144E9" w:rsidRPr="009D52EB">
        <w:rPr>
          <w:rFonts w:ascii="Times New Roman" w:hAnsi="Times New Roman" w:cs="Times New Roman"/>
          <w:sz w:val="24"/>
          <w:szCs w:val="24"/>
        </w:rPr>
        <w:t>high concentration of anolyte</w:t>
      </w:r>
      <w:r w:rsidR="00B144E9" w:rsidRPr="009D52EB">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10.1021/acsenergylett.1c02058","author":[{"dropping-particle":"","family":"Yang","given":"Kailun","non-dropping-particle":"","parse-names":false,"suffix":""},{"dropping-particle":"","family":"Li","given":"Mengran","non-dropping-particle":"","parse-names":false,"suffix":""},{"dropping-particle":"","family":"Subramanian","given":"Siddhartha","non-dropping-particle":"","parse-names":false,"suffix":""},{"dropping-particle":"","family":"Blommaert","given":"Marijn A","non-dropping-particle":"","parse-names":false,"suffix":""},{"dropping-particle":"","family":"Smith","given":"Wilson A","non-dropping-particle":"","parse-names":false,"suffix":""},{"dropping-particle":"","family":"Burdyny","given":"Thomas","non-dropping-particle":"","parse-names":false,"suffix":""}],"container-title":"ACS Energy Letters","id":"ITEM-1","issued":{"date-parts":[["2021"]]},"page":"4291-4298","title":"Cation-Driven Increases of CO 2 Utilization in a Bipolar Membrane Electrode Assembly for CO 2 Electrolysis","type":"article-journal","volume":"6"},"uris":["http://www.mendeley.com/documents/?uuid=e7af3ab5-036b-4ce7-8563-9786acf9cb96"]}],"mendeley":{"formattedCitation":"&lt;sup&gt;23&lt;/sup&gt;","plainTextFormattedCitation":"23","previouslyFormattedCitation":"&lt;sup&gt;22&lt;/sup&gt;"},"properties":{"noteIndex":0},"schema":"https://github.com/citation-style-language/schema/raw/master/csl-citation.json"}</w:instrText>
      </w:r>
      <w:r w:rsidR="00B144E9" w:rsidRPr="009D52EB">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23</w:t>
      </w:r>
      <w:r w:rsidR="00B144E9" w:rsidRPr="009D52EB">
        <w:rPr>
          <w:rFonts w:ascii="Times New Roman" w:hAnsi="Times New Roman" w:cs="Times New Roman"/>
          <w:sz w:val="24"/>
          <w:szCs w:val="24"/>
        </w:rPr>
        <w:fldChar w:fldCharType="end"/>
      </w:r>
      <w:r w:rsidR="00B144E9" w:rsidRPr="00805810">
        <w:rPr>
          <w:rFonts w:ascii="Times New Roman" w:hAnsi="Times New Roman" w:cs="Times New Roman"/>
          <w:sz w:val="24"/>
          <w:szCs w:val="24"/>
        </w:rPr>
        <w:t xml:space="preserve"> and </w:t>
      </w:r>
      <w:r w:rsidR="00182C82" w:rsidRPr="00E85E3D">
        <w:rPr>
          <w:rFonts w:ascii="Times New Roman" w:hAnsi="Times New Roman" w:cs="Times New Roman"/>
          <w:sz w:val="24"/>
          <w:szCs w:val="24"/>
        </w:rPr>
        <w:t>inserting a &gt;600-μm</w:t>
      </w:r>
      <w:r w:rsidR="00182C82" w:rsidRPr="009D52EB">
        <w:rPr>
          <w:rFonts w:ascii="Times New Roman" w:hAnsi="Times New Roman" w:cs="Times New Roman"/>
          <w:sz w:val="24"/>
          <w:szCs w:val="24"/>
        </w:rPr>
        <w:t>-thick buffer layer between CEL and cathode.</w:t>
      </w:r>
      <w:r w:rsidR="00E87954">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{"citationItems":[{"id":"ITEM-1","itemData":{"DOI":"10.1021/acsenergylett.7b01017","ISSN":"23808195","abstract":"The conversion of CO2 to CO is demonstrated in an electrolyzer flow cell containing a bipolar membrane at current densities of 200 mA/cm2 with a Faradaic efficiency of 50%. Electrolysis was carried out by delivering gaseous CO2 at the cathode with a silver catalyst integrated in a carbon-based gas diffusion layer. Nonprecious nickel foam in a strongly alkaline electrolyte (1 M NaOH) was used to mediate the anode reaction. While a configuration where the anode and cathode were separated by only a bipolar membrane was found to be unfavorable for robust CO2 reduction, a modified configuration with a solid-supported aqueous layer inserted between the silver-based catalyst layer and the bipolar membrane enhanced the cathode selectivity for CO2 reduction to CO. We report higher current densities (200 mA/cm2) than previously reported for gas-phase CO2 to CO electrolysis and demonstrate the dependence of long-term stability on adequate hydration of the CO2 inlet stream.","author":[{"dropping-particle":"","family":"Salvatore","given":"Danielle A.","non-dropping-particle":"","parse-names":false,"suffix":""},{"dropping-particle":"","family":"Weekes","given":"David M.","non-dropping-particle":"","parse-names":false,"suffix":""},{"dropping-particle":"","family":"He","given":"Jingfu","non-dropping-particle":"","parse-names":false,"suffix":""},{"dropping-particle":"","family":"Dettelbach","given":"Kevan E.","non-dropping-particle":"","parse-names":false,"suffix":""},{"dropping-particle":"","family":"Li","given":"Yuguang C.","non-dropping-particle":"","parse-names":false,"suffix":""},{"dropping-particle":"","family":"Mallouk","given":"Thomas E.","non-dropping-particle":"","parse-names":false,"suffix":""},{"dropping-particle":"","family":"Berlinguette","given":"Curtis P.","non-dropping-particle":"","parse-names":false,"suffix":""}],"container-title":"ACS Energy Letters","id":"ITEM-1","issue":"1","issued":{"date-parts":[["2018"]]},"page":"149-154","title":"Electrolysis of Gaseous CO2 to CO in a Flow Cell with a Bipolar Membrane","type":"article-journal","volume":"3"},"uris":["http://www.mendeley.com/documents/?uuid=ecf15113-c42a-4d2f-8631-f7b7ab592dc2"]}],"mendeley":{"formattedCitation":"&lt;sup&gt;24&lt;/sup&gt;","plainTextFormattedCitation":"24","previouslyFormattedCitation":"&lt;sup&gt;23&lt;/sup&gt;"},"properties":{"noteIndex":0},"schema":"https://github.com/citation-style-language/schema/raw/master/csl-citation.json"}</w:instrText>
      </w:r>
      <w:r w:rsidR="00E87954">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24</w:t>
      </w:r>
      <w:r w:rsidR="00E87954">
        <w:rPr>
          <w:rFonts w:ascii="Times New Roman" w:hAnsi="Times New Roman" w:cs="Times New Roman"/>
          <w:sz w:val="24"/>
          <w:szCs w:val="24"/>
        </w:rPr>
        <w:fldChar w:fldCharType="end"/>
      </w:r>
      <w:r w:rsidR="00695D43" w:rsidRPr="009D52EB">
        <w:rPr>
          <w:rFonts w:ascii="Times New Roman" w:hAnsi="Times New Roman" w:cs="Times New Roman"/>
          <w:sz w:val="24"/>
          <w:szCs w:val="24"/>
        </w:rPr>
        <w:t xml:space="preserve"> </w:t>
      </w:r>
      <w:r w:rsidR="00CC4054" w:rsidRPr="009D52EB">
        <w:rPr>
          <w:rFonts w:ascii="Times New Roman" w:hAnsi="Times New Roman" w:cs="Times New Roman"/>
          <w:sz w:val="24"/>
          <w:szCs w:val="24"/>
        </w:rPr>
        <w:t xml:space="preserve">However, </w:t>
      </w:r>
      <w:r w:rsidR="0098636B" w:rsidRPr="009D52EB">
        <w:rPr>
          <w:rFonts w:ascii="Times New Roman" w:hAnsi="Times New Roman" w:cs="Times New Roman"/>
          <w:sz w:val="24"/>
          <w:szCs w:val="24"/>
        </w:rPr>
        <w:t xml:space="preserve">we discovered that none of these systems can enable high </w:t>
      </w:r>
      <w:r w:rsidR="002838BF">
        <w:rPr>
          <w:rFonts w:ascii="Times New Roman" w:hAnsi="Times New Roman" w:cs="Times New Roman"/>
          <w:sz w:val="24"/>
          <w:szCs w:val="24"/>
        </w:rPr>
        <w:t>SPU in</w:t>
      </w:r>
      <w:r w:rsidR="0098636B" w:rsidRPr="009D52EB">
        <w:rPr>
          <w:rFonts w:ascii="Times New Roman" w:hAnsi="Times New Roman" w:cs="Times New Roman"/>
          <w:sz w:val="24"/>
          <w:szCs w:val="24"/>
        </w:rPr>
        <w:t xml:space="preserve"> CO</w:t>
      </w:r>
      <w:r w:rsidR="0098636B" w:rsidRPr="009D52EB">
        <w:rPr>
          <w:rFonts w:ascii="Times New Roman" w:hAnsi="Times New Roman" w:cs="Times New Roman"/>
          <w:sz w:val="24"/>
          <w:szCs w:val="24"/>
          <w:vertAlign w:val="subscript"/>
        </w:rPr>
        <w:t>2</w:t>
      </w:r>
      <w:r w:rsidR="0098636B" w:rsidRPr="00805810">
        <w:rPr>
          <w:rFonts w:ascii="Times New Roman" w:hAnsi="Times New Roman" w:cs="Times New Roman"/>
          <w:sz w:val="24"/>
          <w:szCs w:val="24"/>
        </w:rPr>
        <w:t>-to-C</w:t>
      </w:r>
      <w:r w:rsidR="0098636B" w:rsidRPr="009D52EB">
        <w:rPr>
          <w:rFonts w:ascii="Times New Roman" w:hAnsi="Times New Roman" w:cs="Times New Roman"/>
          <w:sz w:val="24"/>
          <w:szCs w:val="24"/>
          <w:vertAlign w:val="subscript"/>
        </w:rPr>
        <w:t>2+</w:t>
      </w:r>
      <w:r w:rsidR="0098636B" w:rsidRPr="00805810">
        <w:rPr>
          <w:rFonts w:ascii="Times New Roman" w:hAnsi="Times New Roman" w:cs="Times New Roman"/>
          <w:sz w:val="24"/>
          <w:szCs w:val="24"/>
        </w:rPr>
        <w:t xml:space="preserve"> </w:t>
      </w:r>
      <w:r w:rsidR="002838BF">
        <w:rPr>
          <w:rFonts w:ascii="Times New Roman" w:hAnsi="Times New Roman" w:cs="Times New Roman"/>
          <w:sz w:val="24"/>
          <w:szCs w:val="24"/>
        </w:rPr>
        <w:t>conversion</w:t>
      </w:r>
      <w:r w:rsidR="00A01D23">
        <w:rPr>
          <w:rFonts w:ascii="Times New Roman" w:hAnsi="Times New Roman" w:cs="Times New Roman"/>
          <w:sz w:val="24"/>
          <w:szCs w:val="24"/>
        </w:rPr>
        <w:t xml:space="preserve"> because of the improper comprehensive balance between cathodic local pH and the mass transfer efficiency of revert</w:t>
      </w:r>
      <w:r w:rsidR="0068658D">
        <w:rPr>
          <w:rFonts w:ascii="Times New Roman" w:hAnsi="Times New Roman" w:cs="Times New Roman"/>
          <w:sz w:val="24"/>
          <w:szCs w:val="24"/>
        </w:rPr>
        <w:t>ed</w:t>
      </w:r>
      <w:r w:rsidR="00A01D23">
        <w:rPr>
          <w:rFonts w:ascii="Times New Roman" w:hAnsi="Times New Roman" w:cs="Times New Roman"/>
          <w:sz w:val="24"/>
          <w:szCs w:val="24"/>
        </w:rPr>
        <w:t xml:space="preserve"> CO</w:t>
      </w:r>
      <w:r w:rsidR="00A01D23" w:rsidRPr="00A01D23">
        <w:rPr>
          <w:rFonts w:ascii="Times New Roman" w:hAnsi="Times New Roman" w:cs="Times New Roman"/>
          <w:sz w:val="24"/>
          <w:szCs w:val="24"/>
          <w:vertAlign w:val="subscript"/>
        </w:rPr>
        <w:t>2</w:t>
      </w:r>
      <w:r w:rsidR="00A01D23">
        <w:rPr>
          <w:rFonts w:ascii="Times New Roman" w:hAnsi="Times New Roman" w:cs="Times New Roman"/>
          <w:sz w:val="24"/>
          <w:szCs w:val="24"/>
        </w:rPr>
        <w:t>.</w:t>
      </w:r>
    </w:p>
    <w:p w14:paraId="6E173537" w14:textId="3879332A" w:rsidR="00CD67FC" w:rsidRPr="00E85E3D" w:rsidRDefault="00CD67FC" w:rsidP="004A7ADC">
      <w:pPr>
        <w:jc w:val="center"/>
        <w:rPr>
          <w:rFonts w:ascii="Times New Roman" w:hAnsi="Times New Roman" w:cs="Times New Roman"/>
          <w:b/>
          <w:bCs/>
          <w:sz w:val="24"/>
          <w:szCs w:val="24"/>
        </w:rPr>
      </w:pPr>
      <w:r w:rsidRPr="00805810">
        <w:rPr>
          <w:noProof/>
        </w:rPr>
        <w:drawing>
          <wp:inline distT="0" distB="0" distL="0" distR="0" wp14:anchorId="316838BA" wp14:editId="0654FBC2">
            <wp:extent cx="2645699" cy="21050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6636" cy="2113727"/>
                    </a:xfrm>
                    <a:prstGeom prst="rect">
                      <a:avLst/>
                    </a:prstGeom>
                    <a:noFill/>
                    <a:ln>
                      <a:noFill/>
                    </a:ln>
                  </pic:spPr>
                </pic:pic>
              </a:graphicData>
            </a:graphic>
          </wp:inline>
        </w:drawing>
      </w:r>
    </w:p>
    <w:p w14:paraId="7551E3AA" w14:textId="4A4DA969" w:rsidR="001D4762" w:rsidRPr="00C0144F" w:rsidRDefault="00DE0DCA" w:rsidP="001D4762">
      <w:pPr>
        <w:jc w:val="both"/>
        <w:rPr>
          <w:rFonts w:ascii="Times New Roman" w:hAnsi="Times New Roman" w:cs="Times New Roman"/>
          <w:b/>
          <w:bCs/>
          <w:sz w:val="20"/>
          <w:szCs w:val="20"/>
        </w:rPr>
      </w:pPr>
      <w:r>
        <w:rPr>
          <w:rFonts w:ascii="Times New Roman" w:hAnsi="Times New Roman" w:cs="Times New Roman"/>
          <w:b/>
          <w:bCs/>
          <w:sz w:val="20"/>
          <w:szCs w:val="20"/>
        </w:rPr>
        <w:t>Supplementary Fig.</w:t>
      </w:r>
      <w:r w:rsidR="001D4762" w:rsidRPr="001D4762">
        <w:rPr>
          <w:rFonts w:ascii="Times New Roman" w:hAnsi="Times New Roman" w:cs="Times New Roman"/>
          <w:b/>
          <w:bCs/>
          <w:sz w:val="20"/>
          <w:szCs w:val="20"/>
        </w:rPr>
        <w:t xml:space="preserve"> 4 </w:t>
      </w:r>
      <w:r w:rsidR="006046DF">
        <w:rPr>
          <w:rFonts w:ascii="Times New Roman" w:hAnsi="Times New Roman" w:cs="Times New Roman"/>
          <w:b/>
          <w:bCs/>
          <w:sz w:val="20"/>
          <w:szCs w:val="20"/>
        </w:rPr>
        <w:t xml:space="preserve">| </w:t>
      </w:r>
      <w:r w:rsidR="001D4762" w:rsidRPr="001D4762">
        <w:rPr>
          <w:rFonts w:ascii="Times New Roman" w:hAnsi="Times New Roman" w:cs="Times New Roman"/>
          <w:sz w:val="20"/>
          <w:szCs w:val="20"/>
        </w:rPr>
        <w:t>The dependence of gas product FE on the current density for the BPM-based MEA referencing the system reported by Yan et al.</w:t>
      </w:r>
      <w:r w:rsidR="001D4762" w:rsidRPr="001D4762">
        <w:rPr>
          <w:rFonts w:ascii="Times New Roman" w:hAnsi="Times New Roman" w:cs="Times New Roman"/>
          <w:sz w:val="20"/>
          <w:szCs w:val="20"/>
        </w:rPr>
        <w:fldChar w:fldCharType="begin" w:fldLock="1"/>
      </w:r>
      <w:r w:rsidR="00D328F7">
        <w:rPr>
          <w:rFonts w:ascii="Times New Roman" w:hAnsi="Times New Roman" w:cs="Times New Roman"/>
          <w:sz w:val="20"/>
          <w:szCs w:val="20"/>
        </w:rPr>
        <w:instrText>ADDIN CSL_CITATION {"citationItems":[{"id":"ITEM-1","itemData":{"DOI":"10.1038/s41557-020-00602-0","ISSN":"17554349","PMID":"33288894","abstract":"The efficient conversion of electricity to chemicals is needed to mitigate the intermittency of renewable energy sources. Driving these electrochemical conversions at useful rates requires not only fast electrode kinetics, but also rapid mass and ion transport. However, little is known about the effect of local environments on ionic flows in solid polymer electrolytes. Here, we show that it is possible to measure and manipulate the local pH in membrane electrolysers with a resolution of tens of nanometres. In bipolar-membrane-based gas-fed CO2 electrolysers, the acidic environment of the cation exchange layer results in low CO2 reduction efficiency. By using ratiometric indicators and layer-by-layer polyelectrolyte assembly, the local pH was measured and controlled within an ~50-nm-thick weak-acid layer. The weak-acid layer suppressed the competing hydrogen evolution reaction without affecting CO2 reduction. This method of probing and controlling the local membrane environment may be useful in devices such as electrolysers, fuel cells and flow batteries, as well as in operando studies of ion distributions within polymer electrolytes. [Figure not available: see fulltext.].","author":[{"dropping-particle":"","family":"Yan","given":"Zhifei","non-dropping-particle":"","parse-names":false,"suffix":""},{"dropping-particle":"","family":"Hitt","given":"Jeremy L","non-dropping-particle":"","parse-names":false,"suffix":""},{"dropping-particle":"","family":"Zeng","given":"Zichen","non-dropping-particle":"","parse-names":false,"suffix":""},{"dropping-particle":"","family":"Hickner","given":"Michael A","non-dropping-particle":"","parse-names":false,"suffix":""},{"dropping-particle":"","family":"Mallouk","given":"Thomas E","non-dropping-particle":"","parse-names":false,"suffix":""}],"container-title":"Nature Chemistry","id":"ITEM-1","issue":"1","issued":{"date-parts":[["2021"]]},"page":"33-40","publisher":"Springer US","title":"Improving the efficiency of CO2 electrolysis by using a bipolar membrane with a weak-acid cation exchange layer","type":"article-journal","volume":"13"},"uris":["http://www.mendeley.com/documents/?uuid=696bc71f-471d-42cb-b021-7fb6dbd918d7"]}],"mendeley":{"formattedCitation":"&lt;sup&gt;22&lt;/sup&gt;","plainTextFormattedCitation":"22","previouslyFormattedCitation":"&lt;sup&gt;25&lt;/sup&gt;"},"properties":{"noteIndex":0},"schema":"https://github.com/citation-style-language/schema/raw/master/csl-citation.json"}</w:instrText>
      </w:r>
      <w:r w:rsidR="001D4762" w:rsidRPr="001D4762">
        <w:rPr>
          <w:rFonts w:ascii="Times New Roman" w:hAnsi="Times New Roman" w:cs="Times New Roman"/>
          <w:sz w:val="20"/>
          <w:szCs w:val="20"/>
        </w:rPr>
        <w:fldChar w:fldCharType="separate"/>
      </w:r>
      <w:r w:rsidR="00D328F7" w:rsidRPr="00D328F7">
        <w:rPr>
          <w:rFonts w:ascii="Times New Roman" w:hAnsi="Times New Roman" w:cs="Times New Roman"/>
          <w:noProof/>
          <w:sz w:val="20"/>
          <w:szCs w:val="20"/>
          <w:vertAlign w:val="superscript"/>
        </w:rPr>
        <w:t>22</w:t>
      </w:r>
      <w:r w:rsidR="001D4762" w:rsidRPr="001D4762">
        <w:rPr>
          <w:rFonts w:ascii="Times New Roman" w:hAnsi="Times New Roman" w:cs="Times New Roman"/>
          <w:sz w:val="20"/>
          <w:szCs w:val="20"/>
        </w:rPr>
        <w:fldChar w:fldCharType="end"/>
      </w:r>
      <w:r w:rsidR="001D4762" w:rsidRPr="001D4762">
        <w:rPr>
          <w:rFonts w:ascii="Times New Roman" w:hAnsi="Times New Roman" w:cs="Times New Roman"/>
          <w:sz w:val="20"/>
          <w:szCs w:val="20"/>
        </w:rPr>
        <w:t xml:space="preserve"> The cathode and anode were the same Cu-based gas-diffusion electrode and IrO</w:t>
      </w:r>
      <w:r w:rsidR="001D4762" w:rsidRPr="001D4762">
        <w:rPr>
          <w:rFonts w:ascii="Times New Roman" w:hAnsi="Times New Roman" w:cs="Times New Roman"/>
          <w:sz w:val="20"/>
          <w:szCs w:val="20"/>
          <w:vertAlign w:val="subscript"/>
        </w:rPr>
        <w:t>2</w:t>
      </w:r>
      <w:r w:rsidR="001D4762" w:rsidRPr="001D4762">
        <w:rPr>
          <w:rFonts w:ascii="Times New Roman" w:hAnsi="Times New Roman" w:cs="Times New Roman"/>
          <w:sz w:val="20"/>
          <w:szCs w:val="20"/>
        </w:rPr>
        <w:t xml:space="preserve"> coated Ti felt used in this study. The membrane is a custom BPM with the CEL modified by 10 </w:t>
      </w:r>
      <w:r w:rsidR="00484D43" w:rsidRPr="00484D43">
        <w:rPr>
          <w:rFonts w:ascii="Times New Roman" w:hAnsi="Times New Roman" w:cs="Times New Roman"/>
          <w:sz w:val="20"/>
          <w:szCs w:val="20"/>
        </w:rPr>
        <w:t>poly(acrylic acid) (PAA), and; poly(allylamine hydrochloride) (PAH)</w:t>
      </w:r>
      <w:r w:rsidR="001D4762" w:rsidRPr="001D4762">
        <w:rPr>
          <w:rFonts w:ascii="Times New Roman" w:hAnsi="Times New Roman" w:cs="Times New Roman"/>
          <w:sz w:val="20"/>
          <w:szCs w:val="20"/>
        </w:rPr>
        <w:t xml:space="preserve"> bilayers, prepared via the </w:t>
      </w:r>
      <w:r w:rsidR="001D4762" w:rsidRPr="00C0144F">
        <w:rPr>
          <w:rFonts w:ascii="Times New Roman" w:hAnsi="Times New Roman" w:cs="Times New Roman"/>
          <w:sz w:val="20"/>
          <w:szCs w:val="20"/>
        </w:rPr>
        <w:t xml:space="preserve">same procedure reported in the literature to </w:t>
      </w:r>
      <w:r w:rsidR="00484D43">
        <w:rPr>
          <w:rFonts w:ascii="Times New Roman" w:hAnsi="Times New Roman" w:cs="Times New Roman"/>
          <w:sz w:val="20"/>
          <w:szCs w:val="20"/>
        </w:rPr>
        <w:t>lower</w:t>
      </w:r>
      <w:r w:rsidR="00484D43" w:rsidRPr="00C0144F">
        <w:rPr>
          <w:rFonts w:ascii="Times New Roman" w:hAnsi="Times New Roman" w:cs="Times New Roman"/>
          <w:sz w:val="20"/>
          <w:szCs w:val="20"/>
        </w:rPr>
        <w:t xml:space="preserve"> </w:t>
      </w:r>
      <w:r w:rsidR="001D4762" w:rsidRPr="00C0144F">
        <w:rPr>
          <w:rFonts w:ascii="Times New Roman" w:hAnsi="Times New Roman" w:cs="Times New Roman"/>
          <w:sz w:val="20"/>
          <w:szCs w:val="20"/>
        </w:rPr>
        <w:t>the acidity.</w:t>
      </w:r>
      <w:r w:rsidR="001D4762" w:rsidRPr="00C0144F">
        <w:rPr>
          <w:rFonts w:ascii="Times New Roman" w:hAnsi="Times New Roman" w:cs="Times New Roman"/>
          <w:sz w:val="20"/>
          <w:szCs w:val="20"/>
        </w:rPr>
        <w:fldChar w:fldCharType="begin" w:fldLock="1"/>
      </w:r>
      <w:r w:rsidR="00D328F7">
        <w:rPr>
          <w:rFonts w:ascii="Times New Roman" w:hAnsi="Times New Roman" w:cs="Times New Roman"/>
          <w:sz w:val="20"/>
          <w:szCs w:val="20"/>
        </w:rPr>
        <w:instrText>ADDIN CSL_CITATION {"citationItems":[{"id":"ITEM-1","itemData":{"DOI":"10.1038/s41557-020-00602-0","ISSN":"17554349","PMID":"33288894","abstract":"The efficient conversion of electricity to chemicals is needed to mitigate the intermittency of renewable energy sources. Driving these electrochemical conversions at useful rates requires not only fast electrode kinetics, but also rapid mass and ion transport. However, little is known about the effect of local environments on ionic flows in solid polymer electrolytes. Here, we show that it is possible to measure and manipulate the local pH in membrane electrolysers with a resolution of tens of nanometres. In bipolar-membrane-based gas-fed CO2 electrolysers, the acidic environment of the cation exchange layer results in low CO2 reduction efficiency. By using ratiometric indicators and layer-by-layer polyelectrolyte assembly, the local pH was measured and controlled within an ~50-nm-thick weak-acid layer. The weak-acid layer suppressed the competing hydrogen evolution reaction without affecting CO2 reduction. This method of probing and controlling the local membrane environment may be useful in devices such as electrolysers, fuel cells and flow batteries, as well as in operando studies of ion distributions within polymer electrolytes. [Figure not available: see fulltext.].","author":[{"dropping-particle":"","family":"Yan","given":"Zhifei","non-dropping-particle":"","parse-names":false,"suffix":""},{"dropping-particle":"","family":"Hitt","given":"Jeremy L","non-dropping-particle":"","parse-names":false,"suffix":""},{"dropping-particle":"","family":"Zeng","given":"Zichen","non-dropping-particle":"","parse-names":false,"suffix":""},{"dropping-particle":"","family":"Hickner","given":"Michael A","non-dropping-particle":"","parse-names":false,"suffix":""},{"dropping-particle":"","family":"Mallouk","given":"Thomas E","non-dropping-particle":"","parse-names":false,"suffix":""}],"container-title":"Nature Chemistry","id":"ITEM-1","issue":"1","issued":{"date-parts":[["2021"]]},"page":"33-40","publisher":"Springer US","title":"Improving the efficiency of CO2 electrolysis by using a bipolar membrane with a weak-acid cation exchange layer","type":"article-journal","volume":"13"},"uris":["http://www.mendeley.com/documents/?uuid=696bc71f-471d-42cb-b021-7fb6dbd918d7"]}],"mendeley":{"formattedCitation":"&lt;sup&gt;22&lt;/sup&gt;","plainTextFormattedCitation":"22","previouslyFormattedCitation":"&lt;sup&gt;25&lt;/sup&gt;"},"properties":{"noteIndex":0},"schema":"https://github.com/citation-style-language/schema/raw/master/csl-citation.json"}</w:instrText>
      </w:r>
      <w:r w:rsidR="001D4762" w:rsidRPr="00C0144F">
        <w:rPr>
          <w:rFonts w:ascii="Times New Roman" w:hAnsi="Times New Roman" w:cs="Times New Roman"/>
          <w:sz w:val="20"/>
          <w:szCs w:val="20"/>
        </w:rPr>
        <w:fldChar w:fldCharType="separate"/>
      </w:r>
      <w:r w:rsidR="00D328F7" w:rsidRPr="00D328F7">
        <w:rPr>
          <w:rFonts w:ascii="Times New Roman" w:hAnsi="Times New Roman" w:cs="Times New Roman"/>
          <w:noProof/>
          <w:sz w:val="20"/>
          <w:szCs w:val="20"/>
          <w:vertAlign w:val="superscript"/>
        </w:rPr>
        <w:t>22</w:t>
      </w:r>
      <w:r w:rsidR="001D4762" w:rsidRPr="00C0144F">
        <w:rPr>
          <w:rFonts w:ascii="Times New Roman" w:hAnsi="Times New Roman" w:cs="Times New Roman"/>
          <w:sz w:val="20"/>
          <w:szCs w:val="20"/>
        </w:rPr>
        <w:fldChar w:fldCharType="end"/>
      </w:r>
      <w:r w:rsidR="001D4762" w:rsidRPr="00C0144F">
        <w:rPr>
          <w:rFonts w:ascii="Times New Roman" w:hAnsi="Times New Roman" w:cs="Times New Roman"/>
          <w:sz w:val="20"/>
          <w:szCs w:val="20"/>
        </w:rPr>
        <w:t xml:space="preserve"> The anolyte was 1 M KHCO</w:t>
      </w:r>
      <w:r w:rsidR="001D4762" w:rsidRPr="00C0144F">
        <w:rPr>
          <w:rFonts w:ascii="Times New Roman" w:hAnsi="Times New Roman" w:cs="Times New Roman"/>
          <w:sz w:val="20"/>
          <w:szCs w:val="20"/>
          <w:vertAlign w:val="subscript"/>
        </w:rPr>
        <w:t>3</w:t>
      </w:r>
      <w:r w:rsidR="001D4762" w:rsidRPr="00C0144F">
        <w:rPr>
          <w:rFonts w:ascii="Times New Roman" w:hAnsi="Times New Roman" w:cs="Times New Roman"/>
          <w:sz w:val="20"/>
          <w:szCs w:val="20"/>
        </w:rPr>
        <w:t>.</w:t>
      </w:r>
    </w:p>
    <w:p w14:paraId="6197D935" w14:textId="2C8DDCC6" w:rsidR="001D4762" w:rsidRPr="00C0144F" w:rsidRDefault="00DE0DCA" w:rsidP="001D4762">
      <w:pPr>
        <w:jc w:val="both"/>
        <w:rPr>
          <w:rFonts w:ascii="Times New Roman" w:hAnsi="Times New Roman" w:cs="Times New Roman"/>
          <w:sz w:val="24"/>
          <w:szCs w:val="24"/>
        </w:rPr>
      </w:pPr>
      <w:r>
        <w:rPr>
          <w:rFonts w:ascii="Times New Roman" w:hAnsi="Times New Roman" w:cs="Times New Roman"/>
          <w:sz w:val="24"/>
          <w:szCs w:val="24"/>
        </w:rPr>
        <w:t>Supplementary Fig.</w:t>
      </w:r>
      <w:r w:rsidR="001D4762" w:rsidRPr="00C0144F">
        <w:rPr>
          <w:rFonts w:ascii="Times New Roman" w:hAnsi="Times New Roman" w:cs="Times New Roman"/>
          <w:sz w:val="24"/>
          <w:szCs w:val="24"/>
        </w:rPr>
        <w:t xml:space="preserve"> 4 shows that the PAA-PAH bilayer modified BPM can slightly improve the ethylene FE of the Cu catalyst to ca. 7% at a current density of 100 mA cm</w:t>
      </w:r>
      <w:r w:rsidR="001D4762" w:rsidRPr="00C0144F">
        <w:rPr>
          <w:rFonts w:ascii="Times New Roman" w:hAnsi="Times New Roman" w:cs="Times New Roman"/>
          <w:sz w:val="24"/>
          <w:szCs w:val="24"/>
          <w:vertAlign w:val="superscript"/>
        </w:rPr>
        <w:t xml:space="preserve">-2 </w:t>
      </w:r>
      <w:r w:rsidR="001D4762" w:rsidRPr="00C0144F">
        <w:rPr>
          <w:rFonts w:ascii="Times New Roman" w:hAnsi="Times New Roman" w:cs="Times New Roman"/>
          <w:sz w:val="24"/>
          <w:szCs w:val="24"/>
        </w:rPr>
        <w:t>(without modification, CO</w:t>
      </w:r>
      <w:r w:rsidR="001D4762" w:rsidRPr="00C0144F">
        <w:rPr>
          <w:rFonts w:ascii="Times New Roman" w:hAnsi="Times New Roman" w:cs="Times New Roman"/>
          <w:sz w:val="24"/>
          <w:szCs w:val="24"/>
          <w:vertAlign w:val="subscript"/>
        </w:rPr>
        <w:t>2</w:t>
      </w:r>
      <w:r w:rsidR="001D4762" w:rsidRPr="00C0144F">
        <w:rPr>
          <w:rFonts w:ascii="Times New Roman" w:hAnsi="Times New Roman" w:cs="Times New Roman"/>
          <w:sz w:val="24"/>
          <w:szCs w:val="24"/>
        </w:rPr>
        <w:t xml:space="preserve">RR selectivity was &lt;0.1%). However, after 30 </w:t>
      </w:r>
      <w:r w:rsidR="00145F4E">
        <w:rPr>
          <w:rFonts w:ascii="Times New Roman" w:hAnsi="Times New Roman" w:cs="Times New Roman"/>
          <w:sz w:val="24"/>
          <w:szCs w:val="24"/>
        </w:rPr>
        <w:t>min</w:t>
      </w:r>
      <w:r w:rsidR="00145F4E" w:rsidRPr="00C0144F">
        <w:rPr>
          <w:rFonts w:ascii="Times New Roman" w:hAnsi="Times New Roman" w:cs="Times New Roman"/>
          <w:sz w:val="24"/>
          <w:szCs w:val="24"/>
        </w:rPr>
        <w:t xml:space="preserve"> </w:t>
      </w:r>
      <w:r w:rsidR="001D4762" w:rsidRPr="00C0144F">
        <w:rPr>
          <w:rFonts w:ascii="Times New Roman" w:hAnsi="Times New Roman" w:cs="Times New Roman"/>
          <w:sz w:val="24"/>
          <w:szCs w:val="24"/>
        </w:rPr>
        <w:t>of operation, the hydrogen FE increased to 95%, and the FEs for all the CO</w:t>
      </w:r>
      <w:r w:rsidR="001D4762" w:rsidRPr="00C0144F">
        <w:rPr>
          <w:rFonts w:ascii="Times New Roman" w:hAnsi="Times New Roman" w:cs="Times New Roman"/>
          <w:sz w:val="24"/>
          <w:szCs w:val="24"/>
          <w:vertAlign w:val="subscript"/>
        </w:rPr>
        <w:t>2</w:t>
      </w:r>
      <w:r w:rsidR="001D4762" w:rsidRPr="00C0144F">
        <w:rPr>
          <w:rFonts w:ascii="Times New Roman" w:hAnsi="Times New Roman" w:cs="Times New Roman"/>
          <w:sz w:val="24"/>
          <w:szCs w:val="24"/>
        </w:rPr>
        <w:t>R products decreased to &lt;0.1%. We ascribe the low CO</w:t>
      </w:r>
      <w:r w:rsidR="001D4762" w:rsidRPr="00C0144F">
        <w:rPr>
          <w:rFonts w:ascii="Times New Roman" w:hAnsi="Times New Roman" w:cs="Times New Roman"/>
          <w:sz w:val="24"/>
          <w:szCs w:val="24"/>
          <w:vertAlign w:val="subscript"/>
        </w:rPr>
        <w:t>2</w:t>
      </w:r>
      <w:r w:rsidR="001D4762" w:rsidRPr="00C0144F">
        <w:rPr>
          <w:rFonts w:ascii="Times New Roman" w:hAnsi="Times New Roman" w:cs="Times New Roman"/>
          <w:sz w:val="24"/>
          <w:szCs w:val="24"/>
        </w:rPr>
        <w:t>R FE of this system to the fact that the CO</w:t>
      </w:r>
      <w:r w:rsidR="001D4762" w:rsidRPr="00C0144F">
        <w:rPr>
          <w:rFonts w:ascii="Times New Roman" w:hAnsi="Times New Roman" w:cs="Times New Roman"/>
          <w:sz w:val="24"/>
          <w:szCs w:val="24"/>
          <w:vertAlign w:val="subscript"/>
        </w:rPr>
        <w:t>2</w:t>
      </w:r>
      <w:r w:rsidR="001D4762" w:rsidRPr="00C0144F">
        <w:rPr>
          <w:rFonts w:ascii="Times New Roman" w:hAnsi="Times New Roman" w:cs="Times New Roman"/>
          <w:sz w:val="24"/>
          <w:szCs w:val="24"/>
        </w:rPr>
        <w:t>-to-C</w:t>
      </w:r>
      <w:r w:rsidR="001D4762" w:rsidRPr="00C0144F">
        <w:rPr>
          <w:rFonts w:ascii="Times New Roman" w:hAnsi="Times New Roman" w:cs="Times New Roman"/>
          <w:sz w:val="24"/>
          <w:szCs w:val="24"/>
          <w:vertAlign w:val="subscript"/>
        </w:rPr>
        <w:t>2+</w:t>
      </w:r>
      <w:r w:rsidR="001D4762" w:rsidRPr="00C0144F">
        <w:rPr>
          <w:rFonts w:ascii="Times New Roman" w:hAnsi="Times New Roman" w:cs="Times New Roman"/>
          <w:sz w:val="24"/>
          <w:szCs w:val="24"/>
        </w:rPr>
        <w:t xml:space="preserve"> electroproduction requires significantly higher local pH than the CO</w:t>
      </w:r>
      <w:r w:rsidR="001D4762" w:rsidRPr="00C0144F">
        <w:rPr>
          <w:rFonts w:ascii="Times New Roman" w:hAnsi="Times New Roman" w:cs="Times New Roman"/>
          <w:sz w:val="24"/>
          <w:szCs w:val="24"/>
          <w:vertAlign w:val="subscript"/>
        </w:rPr>
        <w:t>2</w:t>
      </w:r>
      <w:r w:rsidR="001D4762" w:rsidRPr="00C0144F">
        <w:rPr>
          <w:rFonts w:ascii="Times New Roman" w:hAnsi="Times New Roman" w:cs="Times New Roman"/>
          <w:sz w:val="24"/>
          <w:szCs w:val="24"/>
        </w:rPr>
        <w:t>-to-CO</w:t>
      </w:r>
      <w:r w:rsidR="00145F4E">
        <w:rPr>
          <w:rFonts w:ascii="Times New Roman" w:hAnsi="Times New Roman" w:cs="Times New Roman"/>
          <w:sz w:val="24"/>
          <w:szCs w:val="24"/>
        </w:rPr>
        <w:t xml:space="preserve"> reaction</w:t>
      </w:r>
      <w:r w:rsidR="001D4762" w:rsidRPr="00C0144F">
        <w:rPr>
          <w:rFonts w:ascii="Times New Roman" w:hAnsi="Times New Roman" w:cs="Times New Roman"/>
          <w:sz w:val="24"/>
          <w:szCs w:val="24"/>
        </w:rPr>
        <w:t xml:space="preserve"> on Ag. </w:t>
      </w:r>
      <w:bookmarkStart w:id="3" w:name="_Hlk88589056"/>
      <w:r w:rsidR="001D4762" w:rsidRPr="00C0144F">
        <w:rPr>
          <w:rFonts w:ascii="Times New Roman" w:hAnsi="Times New Roman" w:cs="Times New Roman"/>
          <w:sz w:val="24"/>
          <w:szCs w:val="24"/>
        </w:rPr>
        <w:t xml:space="preserve">Despite the acidity </w:t>
      </w:r>
      <w:r w:rsidR="00145F4E">
        <w:rPr>
          <w:rFonts w:ascii="Times New Roman" w:hAnsi="Times New Roman" w:cs="Times New Roman"/>
          <w:sz w:val="24"/>
          <w:szCs w:val="24"/>
        </w:rPr>
        <w:t>being</w:t>
      </w:r>
      <w:r w:rsidR="00145F4E" w:rsidRPr="00C0144F">
        <w:rPr>
          <w:rFonts w:ascii="Times New Roman" w:hAnsi="Times New Roman" w:cs="Times New Roman"/>
          <w:sz w:val="24"/>
          <w:szCs w:val="24"/>
        </w:rPr>
        <w:t xml:space="preserve"> </w:t>
      </w:r>
      <w:r w:rsidR="001D4762" w:rsidRPr="00C0144F">
        <w:rPr>
          <w:rFonts w:ascii="Times New Roman" w:hAnsi="Times New Roman" w:cs="Times New Roman"/>
          <w:sz w:val="24"/>
          <w:szCs w:val="24"/>
        </w:rPr>
        <w:t xml:space="preserve">reduced by the surface modification, </w:t>
      </w:r>
      <w:r w:rsidR="00145F4E">
        <w:rPr>
          <w:rFonts w:ascii="Times New Roman" w:hAnsi="Times New Roman" w:cs="Times New Roman"/>
          <w:sz w:val="24"/>
          <w:szCs w:val="24"/>
        </w:rPr>
        <w:t>pH</w:t>
      </w:r>
      <w:r w:rsidR="00145F4E" w:rsidRPr="00C0144F">
        <w:rPr>
          <w:rFonts w:ascii="Times New Roman" w:hAnsi="Times New Roman" w:cs="Times New Roman"/>
          <w:sz w:val="24"/>
          <w:szCs w:val="24"/>
        </w:rPr>
        <w:t xml:space="preserve"> </w:t>
      </w:r>
      <w:r w:rsidR="001D4762" w:rsidRPr="00C0144F">
        <w:rPr>
          <w:rFonts w:ascii="Times New Roman" w:hAnsi="Times New Roman" w:cs="Times New Roman"/>
          <w:sz w:val="24"/>
          <w:szCs w:val="24"/>
        </w:rPr>
        <w:t xml:space="preserve">was </w:t>
      </w:r>
      <w:r w:rsidR="00145F4E">
        <w:rPr>
          <w:rFonts w:ascii="Times New Roman" w:hAnsi="Times New Roman" w:cs="Times New Roman"/>
          <w:sz w:val="24"/>
          <w:szCs w:val="24"/>
        </w:rPr>
        <w:t xml:space="preserve">apparently </w:t>
      </w:r>
      <w:r w:rsidR="001D4762" w:rsidRPr="00C0144F">
        <w:rPr>
          <w:rFonts w:ascii="Times New Roman" w:hAnsi="Times New Roman" w:cs="Times New Roman"/>
          <w:sz w:val="24"/>
          <w:szCs w:val="24"/>
        </w:rPr>
        <w:t>not sufficiently high to promote CO</w:t>
      </w:r>
      <w:r w:rsidR="001D4762" w:rsidRPr="00C0144F">
        <w:rPr>
          <w:rFonts w:ascii="Times New Roman" w:hAnsi="Times New Roman" w:cs="Times New Roman"/>
          <w:sz w:val="24"/>
          <w:szCs w:val="24"/>
          <w:vertAlign w:val="subscript"/>
        </w:rPr>
        <w:t>2</w:t>
      </w:r>
      <w:r w:rsidR="001D4762" w:rsidRPr="00C0144F">
        <w:rPr>
          <w:rFonts w:ascii="Times New Roman" w:hAnsi="Times New Roman" w:cs="Times New Roman"/>
          <w:sz w:val="24"/>
          <w:szCs w:val="24"/>
        </w:rPr>
        <w:t xml:space="preserve">RR. </w:t>
      </w:r>
      <w:bookmarkEnd w:id="3"/>
      <w:r w:rsidR="001D4762" w:rsidRPr="00C0144F">
        <w:rPr>
          <w:rFonts w:ascii="Times New Roman" w:hAnsi="Times New Roman" w:cs="Times New Roman"/>
          <w:sz w:val="24"/>
          <w:szCs w:val="24"/>
        </w:rPr>
        <w:t>The lower stability of the Cu catalyst than that of Ag is also a major challenge in the BPM-based systems since the protons approaching the cathode can deteriorate Cu.</w:t>
      </w:r>
    </w:p>
    <w:p w14:paraId="143780D5" w14:textId="77777777" w:rsidR="00796DAC" w:rsidRPr="00C0144F" w:rsidRDefault="00796DAC" w:rsidP="00796DAC">
      <w:pPr>
        <w:rPr>
          <w:rFonts w:ascii="Times New Roman" w:hAnsi="Times New Roman" w:cs="Times New Roman"/>
          <w:b/>
          <w:bCs/>
          <w:sz w:val="24"/>
          <w:szCs w:val="24"/>
        </w:rPr>
      </w:pPr>
      <w:r w:rsidRPr="00C0144F">
        <w:rPr>
          <w:noProof/>
        </w:rPr>
        <w:lastRenderedPageBreak/>
        <w:drawing>
          <wp:inline distT="0" distB="0" distL="0" distR="0" wp14:anchorId="72523015" wp14:editId="560B899E">
            <wp:extent cx="5943600" cy="23368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336800"/>
                    </a:xfrm>
                    <a:prstGeom prst="rect">
                      <a:avLst/>
                    </a:prstGeom>
                    <a:noFill/>
                    <a:ln>
                      <a:noFill/>
                    </a:ln>
                  </pic:spPr>
                </pic:pic>
              </a:graphicData>
            </a:graphic>
          </wp:inline>
        </w:drawing>
      </w:r>
      <w:r w:rsidRPr="00C0144F">
        <w:rPr>
          <w:rFonts w:ascii="Times New Roman" w:hAnsi="Times New Roman" w:cs="Times New Roman"/>
          <w:b/>
          <w:bCs/>
          <w:sz w:val="24"/>
          <w:szCs w:val="24"/>
        </w:rPr>
        <w:t xml:space="preserve"> </w:t>
      </w:r>
    </w:p>
    <w:p w14:paraId="21139FF8" w14:textId="7C2B55EE" w:rsidR="00C0144F" w:rsidRPr="00C0144F" w:rsidRDefault="00DE0DCA" w:rsidP="00C0144F">
      <w:pPr>
        <w:jc w:val="both"/>
        <w:rPr>
          <w:rFonts w:ascii="Times New Roman" w:hAnsi="Times New Roman" w:cs="Times New Roman"/>
          <w:b/>
          <w:bCs/>
          <w:sz w:val="20"/>
          <w:szCs w:val="20"/>
        </w:rPr>
      </w:pPr>
      <w:r>
        <w:rPr>
          <w:rFonts w:ascii="Times New Roman" w:hAnsi="Times New Roman" w:cs="Times New Roman"/>
          <w:b/>
          <w:bCs/>
          <w:sz w:val="20"/>
          <w:szCs w:val="20"/>
        </w:rPr>
        <w:t>Supplementary Fig.</w:t>
      </w:r>
      <w:r w:rsidR="00C0144F" w:rsidRPr="00C0144F">
        <w:rPr>
          <w:rFonts w:ascii="Times New Roman" w:hAnsi="Times New Roman" w:cs="Times New Roman"/>
          <w:b/>
          <w:bCs/>
          <w:sz w:val="20"/>
          <w:szCs w:val="20"/>
        </w:rPr>
        <w:t xml:space="preserve"> 5 </w:t>
      </w:r>
      <w:r w:rsidR="006046DF">
        <w:rPr>
          <w:rFonts w:ascii="Times New Roman" w:hAnsi="Times New Roman" w:cs="Times New Roman"/>
          <w:b/>
          <w:bCs/>
          <w:sz w:val="20"/>
          <w:szCs w:val="20"/>
        </w:rPr>
        <w:t xml:space="preserve">| </w:t>
      </w:r>
      <w:r w:rsidR="00C0144F" w:rsidRPr="00C0144F">
        <w:rPr>
          <w:rFonts w:ascii="Times New Roman" w:hAnsi="Times New Roman" w:cs="Times New Roman"/>
          <w:sz w:val="20"/>
          <w:szCs w:val="20"/>
        </w:rPr>
        <w:t>The dependence of gas product FE on the current density for the BPM-based MEA referencing the system reported by Yang et al.</w:t>
      </w:r>
      <w:r w:rsidR="00C0144F" w:rsidRPr="00C0144F">
        <w:rPr>
          <w:rFonts w:ascii="Times New Roman" w:hAnsi="Times New Roman" w:cs="Times New Roman"/>
          <w:sz w:val="20"/>
          <w:szCs w:val="20"/>
        </w:rPr>
        <w:fldChar w:fldCharType="begin" w:fldLock="1"/>
      </w:r>
      <w:r w:rsidR="00D328F7">
        <w:rPr>
          <w:rFonts w:ascii="Times New Roman" w:hAnsi="Times New Roman" w:cs="Times New Roman"/>
          <w:sz w:val="20"/>
          <w:szCs w:val="20"/>
        </w:rPr>
        <w:instrText>ADDIN CSL_CITATION {"citationItems":[{"id":"ITEM-1","itemData":{"DOI":"10.1021/acsenergylett.1c02058","author":[{"dropping-particle":"","family":"Yang","given":"Kailun","non-dropping-particle":"","parse-names":false,"suffix":""},{"dropping-particle":"","family":"Li","given":"Mengran","non-dropping-particle":"","parse-names":false,"suffix":""},{"dropping-particle":"","family":"Subramanian","given":"Siddhartha","non-dropping-particle":"","parse-names":false,"suffix":""},{"dropping-particle":"","family":"Blommaert","given":"Marijn A","non-dropping-particle":"","parse-names":false,"suffix":""},{"dropping-particle":"","family":"Smith","given":"Wilson A","non-dropping-particle":"","parse-names":false,"suffix":""},{"dropping-particle":"","family":"Burdyny","given":"Thomas","non-dropping-particle":"","parse-names":false,"suffix":""}],"container-title":"ACS Energy Letters","id":"ITEM-1","issued":{"date-parts":[["2021"]]},"page":"4291-4298","title":"Cation-Driven Increases of CO 2 Utilization in a Bipolar Membrane Electrode Assembly for CO 2 Electrolysis","type":"article-journal","volume":"6"},"uris":["http://www.mendeley.com/documents/?uuid=e7af3ab5-036b-4ce7-8563-9786acf9cb96"]}],"mendeley":{"formattedCitation":"&lt;sup&gt;23&lt;/sup&gt;","plainTextFormattedCitation":"23","previouslyFormattedCitation":"&lt;sup&gt;22&lt;/sup&gt;"},"properties":{"noteIndex":0},"schema":"https://github.com/citation-style-language/schema/raw/master/csl-citation.json"}</w:instrText>
      </w:r>
      <w:r w:rsidR="00C0144F" w:rsidRPr="00C0144F">
        <w:rPr>
          <w:rFonts w:ascii="Times New Roman" w:hAnsi="Times New Roman" w:cs="Times New Roman"/>
          <w:sz w:val="20"/>
          <w:szCs w:val="20"/>
        </w:rPr>
        <w:fldChar w:fldCharType="separate"/>
      </w:r>
      <w:r w:rsidR="00D328F7" w:rsidRPr="00D328F7">
        <w:rPr>
          <w:rFonts w:ascii="Times New Roman" w:hAnsi="Times New Roman" w:cs="Times New Roman"/>
          <w:noProof/>
          <w:sz w:val="20"/>
          <w:szCs w:val="20"/>
          <w:vertAlign w:val="superscript"/>
        </w:rPr>
        <w:t>23</w:t>
      </w:r>
      <w:r w:rsidR="00C0144F" w:rsidRPr="00C0144F">
        <w:rPr>
          <w:rFonts w:ascii="Times New Roman" w:hAnsi="Times New Roman" w:cs="Times New Roman"/>
          <w:sz w:val="20"/>
          <w:szCs w:val="20"/>
        </w:rPr>
        <w:fldChar w:fldCharType="end"/>
      </w:r>
      <w:r w:rsidR="00C0144F" w:rsidRPr="00C0144F">
        <w:rPr>
          <w:rFonts w:ascii="Times New Roman" w:hAnsi="Times New Roman" w:cs="Times New Roman"/>
          <w:sz w:val="20"/>
          <w:szCs w:val="20"/>
        </w:rPr>
        <w:t xml:space="preserve"> The anolyte in both cases was 3</w:t>
      </w:r>
      <w:r w:rsidR="00C63CEC">
        <w:rPr>
          <w:rFonts w:ascii="Times New Roman" w:hAnsi="Times New Roman" w:cs="Times New Roman"/>
          <w:sz w:val="20"/>
          <w:szCs w:val="20"/>
        </w:rPr>
        <w:t xml:space="preserve"> </w:t>
      </w:r>
      <w:r w:rsidR="00C0144F" w:rsidRPr="00C0144F">
        <w:rPr>
          <w:rFonts w:ascii="Times New Roman" w:hAnsi="Times New Roman" w:cs="Times New Roman"/>
          <w:sz w:val="20"/>
          <w:szCs w:val="20"/>
        </w:rPr>
        <w:t>M KOH. The membrane was a Fumasep BPM. The anodes were IrO</w:t>
      </w:r>
      <w:r w:rsidR="00C0144F" w:rsidRPr="00C0144F">
        <w:rPr>
          <w:rFonts w:ascii="Times New Roman" w:hAnsi="Times New Roman" w:cs="Times New Roman"/>
          <w:sz w:val="20"/>
          <w:szCs w:val="20"/>
          <w:vertAlign w:val="subscript"/>
        </w:rPr>
        <w:t>2</w:t>
      </w:r>
      <w:r w:rsidR="00C0144F" w:rsidRPr="00C0144F">
        <w:rPr>
          <w:rFonts w:ascii="Times New Roman" w:hAnsi="Times New Roman" w:cs="Times New Roman"/>
          <w:sz w:val="20"/>
          <w:szCs w:val="20"/>
        </w:rPr>
        <w:t xml:space="preserve"> coated Ti felt. The cathodes were: (a) PTFE gas-diffusion layer sputtered coating with 200 nm Ag. (b) The catalyst used was the Cu-based gas-diffusion electrode similar to that used in this study. </w:t>
      </w:r>
    </w:p>
    <w:p w14:paraId="08ECBCD2" w14:textId="03693AD2" w:rsidR="00C0144F" w:rsidRPr="00C0144F" w:rsidRDefault="00DE0DCA" w:rsidP="00C0144F">
      <w:pPr>
        <w:jc w:val="both"/>
        <w:rPr>
          <w:rFonts w:ascii="Times New Roman" w:hAnsi="Times New Roman" w:cs="Times New Roman"/>
          <w:sz w:val="24"/>
          <w:szCs w:val="24"/>
        </w:rPr>
      </w:pPr>
      <w:r>
        <w:rPr>
          <w:rFonts w:ascii="Times New Roman" w:hAnsi="Times New Roman" w:cs="Times New Roman"/>
          <w:sz w:val="24"/>
          <w:szCs w:val="24"/>
        </w:rPr>
        <w:t>Supplementary Fig.</w:t>
      </w:r>
      <w:r w:rsidR="00C0144F" w:rsidRPr="00C0144F">
        <w:rPr>
          <w:rFonts w:ascii="Times New Roman" w:hAnsi="Times New Roman" w:cs="Times New Roman"/>
          <w:sz w:val="24"/>
          <w:szCs w:val="24"/>
        </w:rPr>
        <w:t xml:space="preserve"> 5 represents the recently reported BPM-based MEA electrolyzer that uses a high-concentration anolyte to promote the selectivity of CO</w:t>
      </w:r>
      <w:r w:rsidR="00C0144F" w:rsidRPr="00C0144F">
        <w:rPr>
          <w:rFonts w:ascii="Times New Roman" w:hAnsi="Times New Roman" w:cs="Times New Roman"/>
          <w:sz w:val="24"/>
          <w:szCs w:val="24"/>
          <w:vertAlign w:val="subscript"/>
        </w:rPr>
        <w:t>2</w:t>
      </w:r>
      <w:r w:rsidR="00C0144F" w:rsidRPr="00C0144F">
        <w:rPr>
          <w:rFonts w:ascii="Times New Roman" w:hAnsi="Times New Roman" w:cs="Times New Roman"/>
          <w:sz w:val="24"/>
          <w:szCs w:val="24"/>
        </w:rPr>
        <w:t>-to-CO on an Ag electrode.</w:t>
      </w:r>
      <w:r w:rsidR="00C0144F" w:rsidRPr="00C0144F">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10.1021/acsenergylett.1c02058","author":[{"dropping-particle":"","family":"Yang","given":"Kailun","non-dropping-particle":"","parse-names":false,"suffix":""},{"dropping-particle":"","family":"Li","given":"Mengran","non-dropping-particle":"","parse-names":false,"suffix":""},{"dropping-particle":"","family":"Subramanian","given":"Siddhartha","non-dropping-particle":"","parse-names":false,"suffix":""},{"dropping-particle":"","family":"Blommaert","given":"Marijn A","non-dropping-particle":"","parse-names":false,"suffix":""},{"dropping-particle":"","family":"Smith","given":"Wilson A","non-dropping-particle":"","parse-names":false,"suffix":""},{"dropping-particle":"","family":"Burdyny","given":"Thomas","non-dropping-particle":"","parse-names":false,"suffix":""}],"container-title":"ACS Energy Letters","id":"ITEM-1","issued":{"date-parts":[["2021"]]},"page":"4291-4298","title":"Cation-Driven Increases of CO 2 Utilization in a Bipolar Membrane Electrode Assembly for CO 2 Electrolysis","type":"article-journal","volume":"6"},"uris":["http://www.mendeley.com/documents/?uuid=e7af3ab5-036b-4ce7-8563-9786acf9cb96"]}],"mendeley":{"formattedCitation":"&lt;sup&gt;23&lt;/sup&gt;","plainTextFormattedCitation":"23","previouslyFormattedCitation":"&lt;sup&gt;22&lt;/sup&gt;"},"properties":{"noteIndex":0},"schema":"https://github.com/citation-style-language/schema/raw/master/csl-citation.json"}</w:instrText>
      </w:r>
      <w:r w:rsidR="00C0144F" w:rsidRPr="00C0144F">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23</w:t>
      </w:r>
      <w:r w:rsidR="00C0144F" w:rsidRPr="00C0144F">
        <w:rPr>
          <w:rFonts w:ascii="Times New Roman" w:hAnsi="Times New Roman" w:cs="Times New Roman"/>
          <w:sz w:val="24"/>
          <w:szCs w:val="24"/>
        </w:rPr>
        <w:fldChar w:fldCharType="end"/>
      </w:r>
      <w:r w:rsidR="00C0144F" w:rsidRPr="00C0144F">
        <w:rPr>
          <w:rFonts w:ascii="Times New Roman" w:hAnsi="Times New Roman" w:cs="Times New Roman"/>
          <w:sz w:val="24"/>
          <w:szCs w:val="24"/>
        </w:rPr>
        <w:t xml:space="preserve"> This strategy lies in the crossover of the cations from anode to cathode, inducing cation effects. We reproduced this strategy on an Ag electrode, and the results (</w:t>
      </w:r>
      <w:r>
        <w:rPr>
          <w:rFonts w:ascii="Times New Roman" w:hAnsi="Times New Roman" w:cs="Times New Roman"/>
          <w:sz w:val="24"/>
          <w:szCs w:val="24"/>
        </w:rPr>
        <w:t>Supplementary Fig.</w:t>
      </w:r>
      <w:r w:rsidR="00C0144F" w:rsidRPr="00C0144F">
        <w:rPr>
          <w:rFonts w:ascii="Times New Roman" w:hAnsi="Times New Roman" w:cs="Times New Roman"/>
          <w:sz w:val="24"/>
          <w:szCs w:val="24"/>
        </w:rPr>
        <w:t xml:space="preserve"> 5a) are in good </w:t>
      </w:r>
      <w:r w:rsidR="00C46046">
        <w:rPr>
          <w:rFonts w:ascii="Times New Roman" w:hAnsi="Times New Roman" w:cs="Times New Roman"/>
          <w:sz w:val="24"/>
          <w:szCs w:val="24"/>
        </w:rPr>
        <w:t>agreement</w:t>
      </w:r>
      <w:r w:rsidR="00C46046" w:rsidRPr="00C0144F">
        <w:rPr>
          <w:rFonts w:ascii="Times New Roman" w:hAnsi="Times New Roman" w:cs="Times New Roman"/>
          <w:sz w:val="24"/>
          <w:szCs w:val="24"/>
        </w:rPr>
        <w:t xml:space="preserve"> </w:t>
      </w:r>
      <w:r w:rsidR="00C0144F" w:rsidRPr="00C0144F">
        <w:rPr>
          <w:rFonts w:ascii="Times New Roman" w:hAnsi="Times New Roman" w:cs="Times New Roman"/>
          <w:sz w:val="24"/>
          <w:szCs w:val="24"/>
        </w:rPr>
        <w:t>with the reference.</w:t>
      </w:r>
      <w:r w:rsidR="00C0144F" w:rsidRPr="00C0144F">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10.1021/acsenergylett.1c02058","author":[{"dropping-particle":"","family":"Yang","given":"Kailun","non-dropping-particle":"","parse-names":false,"suffix":""},{"dropping-particle":"","family":"Li","given":"Mengran","non-dropping-particle":"","parse-names":false,"suffix":""},{"dropping-particle":"","family":"Subramanian","given":"Siddhartha","non-dropping-particle":"","parse-names":false,"suffix":""},{"dropping-particle":"","family":"Blommaert","given":"Marijn A","non-dropping-particle":"","parse-names":false,"suffix":""},{"dropping-particle":"","family":"Smith","given":"Wilson A","non-dropping-particle":"","parse-names":false,"suffix":""},{"dropping-particle":"","family":"Burdyny","given":"Thomas","non-dropping-particle":"","parse-names":false,"suffix":""}],"container-title":"ACS Energy Letters","id":"ITEM-1","issued":{"date-parts":[["2021"]]},"page":"4291-4298","title":"Cation-Driven Increases of CO 2 Utilization in a Bipolar Membrane Electrode Assembly for CO 2 Electrolysis","type":"article-journal","volume":"6"},"uris":["http://www.mendeley.com/documents/?uuid=e7af3ab5-036b-4ce7-8563-9786acf9cb96"]}],"mendeley":{"formattedCitation":"&lt;sup&gt;23&lt;/sup&gt;","plainTextFormattedCitation":"23","previouslyFormattedCitation":"&lt;sup&gt;22&lt;/sup&gt;"},"properties":{"noteIndex":0},"schema":"https://github.com/citation-style-language/schema/raw/master/csl-citation.json"}</w:instrText>
      </w:r>
      <w:r w:rsidR="00C0144F" w:rsidRPr="00C0144F">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23</w:t>
      </w:r>
      <w:r w:rsidR="00C0144F" w:rsidRPr="00C0144F">
        <w:rPr>
          <w:rFonts w:ascii="Times New Roman" w:hAnsi="Times New Roman" w:cs="Times New Roman"/>
          <w:sz w:val="24"/>
          <w:szCs w:val="24"/>
        </w:rPr>
        <w:fldChar w:fldCharType="end"/>
      </w:r>
      <w:r w:rsidR="00C0144F" w:rsidRPr="00C0144F">
        <w:rPr>
          <w:rFonts w:ascii="Times New Roman" w:hAnsi="Times New Roman" w:cs="Times New Roman"/>
          <w:sz w:val="24"/>
          <w:szCs w:val="24"/>
        </w:rPr>
        <w:t xml:space="preserve"> However, adopting a Cu cathode in this system, we observed ca. 90% FE for hydrogen, and all the CO</w:t>
      </w:r>
      <w:r w:rsidR="00C0144F" w:rsidRPr="00C0144F">
        <w:rPr>
          <w:rFonts w:ascii="Times New Roman" w:hAnsi="Times New Roman" w:cs="Times New Roman"/>
          <w:sz w:val="24"/>
          <w:szCs w:val="24"/>
          <w:vertAlign w:val="subscript"/>
        </w:rPr>
        <w:t>2</w:t>
      </w:r>
      <w:r w:rsidR="00C0144F" w:rsidRPr="00C0144F">
        <w:rPr>
          <w:rFonts w:ascii="Times New Roman" w:hAnsi="Times New Roman" w:cs="Times New Roman"/>
          <w:sz w:val="24"/>
          <w:szCs w:val="24"/>
        </w:rPr>
        <w:t>RR products were below detection limitation (&lt;0.1% FE</w:t>
      </w:r>
      <w:r w:rsidR="00BB40F0">
        <w:rPr>
          <w:rFonts w:ascii="Times New Roman" w:hAnsi="Times New Roman" w:cs="Times New Roman"/>
          <w:sz w:val="24"/>
          <w:szCs w:val="24"/>
        </w:rPr>
        <w:t>, Supplementary Fig.</w:t>
      </w:r>
      <w:r w:rsidR="00BB40F0" w:rsidRPr="00C0144F">
        <w:rPr>
          <w:rFonts w:ascii="Times New Roman" w:hAnsi="Times New Roman" w:cs="Times New Roman"/>
          <w:sz w:val="24"/>
          <w:szCs w:val="24"/>
        </w:rPr>
        <w:t xml:space="preserve"> 5</w:t>
      </w:r>
      <w:r w:rsidR="00BB40F0">
        <w:rPr>
          <w:rFonts w:ascii="Times New Roman" w:hAnsi="Times New Roman" w:cs="Times New Roman"/>
          <w:sz w:val="24"/>
          <w:szCs w:val="24"/>
        </w:rPr>
        <w:t>b</w:t>
      </w:r>
      <w:r w:rsidR="00C0144F" w:rsidRPr="00C0144F">
        <w:rPr>
          <w:rFonts w:ascii="Times New Roman" w:hAnsi="Times New Roman" w:cs="Times New Roman"/>
          <w:sz w:val="24"/>
          <w:szCs w:val="24"/>
        </w:rPr>
        <w:t xml:space="preserve">). </w:t>
      </w:r>
      <w:bookmarkStart w:id="4" w:name="_Hlk88589574"/>
      <w:r w:rsidR="00C0144F" w:rsidRPr="004A7ADC">
        <w:rPr>
          <w:rFonts w:ascii="Times New Roman" w:hAnsi="Times New Roman" w:cs="Times New Roman"/>
          <w:i/>
          <w:iCs/>
          <w:sz w:val="24"/>
          <w:szCs w:val="24"/>
        </w:rPr>
        <w:t xml:space="preserve">This </w:t>
      </w:r>
      <w:r w:rsidR="00C46046" w:rsidRPr="004A7ADC">
        <w:rPr>
          <w:rFonts w:ascii="Times New Roman" w:hAnsi="Times New Roman" w:cs="Times New Roman"/>
          <w:i/>
          <w:iCs/>
          <w:sz w:val="24"/>
          <w:szCs w:val="24"/>
        </w:rPr>
        <w:t xml:space="preserve">new </w:t>
      </w:r>
      <w:r w:rsidR="00C0144F" w:rsidRPr="004A7ADC">
        <w:rPr>
          <w:rFonts w:ascii="Times New Roman" w:hAnsi="Times New Roman" w:cs="Times New Roman"/>
          <w:i/>
          <w:iCs/>
          <w:sz w:val="24"/>
          <w:szCs w:val="24"/>
        </w:rPr>
        <w:t>result implies that the cathode local environment is unsuitable for C</w:t>
      </w:r>
      <w:r w:rsidR="00C0144F" w:rsidRPr="004A7ADC">
        <w:rPr>
          <w:rFonts w:ascii="Times New Roman" w:hAnsi="Times New Roman" w:cs="Times New Roman"/>
          <w:i/>
          <w:iCs/>
          <w:sz w:val="24"/>
          <w:szCs w:val="24"/>
          <w:vertAlign w:val="subscript"/>
        </w:rPr>
        <w:t>2+</w:t>
      </w:r>
      <w:r w:rsidR="00C0144F" w:rsidRPr="004A7ADC">
        <w:rPr>
          <w:rFonts w:ascii="Times New Roman" w:hAnsi="Times New Roman" w:cs="Times New Roman"/>
          <w:i/>
          <w:iCs/>
          <w:sz w:val="24"/>
          <w:szCs w:val="24"/>
        </w:rPr>
        <w:t xml:space="preserve"> production</w:t>
      </w:r>
      <w:r w:rsidR="00315743">
        <w:rPr>
          <w:rFonts w:ascii="Times New Roman" w:hAnsi="Times New Roman" w:cs="Times New Roman"/>
          <w:i/>
          <w:iCs/>
          <w:sz w:val="24"/>
          <w:szCs w:val="24"/>
        </w:rPr>
        <w:t>.</w:t>
      </w:r>
      <w:bookmarkEnd w:id="4"/>
    </w:p>
    <w:p w14:paraId="7D1481F4" w14:textId="77777777" w:rsidR="00C0144F" w:rsidRPr="00C0144F" w:rsidRDefault="00C0144F" w:rsidP="00C0144F">
      <w:pPr>
        <w:rPr>
          <w:rFonts w:ascii="Times New Roman" w:hAnsi="Times New Roman" w:cs="Times New Roman"/>
          <w:b/>
          <w:bCs/>
          <w:sz w:val="24"/>
          <w:szCs w:val="24"/>
        </w:rPr>
      </w:pPr>
      <w:r w:rsidRPr="00C0144F">
        <w:rPr>
          <w:noProof/>
        </w:rPr>
        <w:lastRenderedPageBreak/>
        <w:drawing>
          <wp:inline distT="0" distB="0" distL="0" distR="0" wp14:anchorId="6C410DBE" wp14:editId="16B92FD5">
            <wp:extent cx="5943600" cy="476186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943600" cy="4761865"/>
                    </a:xfrm>
                    <a:prstGeom prst="rect">
                      <a:avLst/>
                    </a:prstGeom>
                    <a:noFill/>
                    <a:ln>
                      <a:noFill/>
                    </a:ln>
                  </pic:spPr>
                </pic:pic>
              </a:graphicData>
            </a:graphic>
          </wp:inline>
        </w:drawing>
      </w:r>
    </w:p>
    <w:p w14:paraId="16CA5A4A" w14:textId="1C9B532C" w:rsidR="00C0144F" w:rsidRPr="00C0144F" w:rsidRDefault="00DE0DCA" w:rsidP="00C0144F">
      <w:pPr>
        <w:jc w:val="both"/>
        <w:rPr>
          <w:rFonts w:ascii="Times New Roman" w:hAnsi="Times New Roman" w:cs="Times New Roman"/>
          <w:b/>
          <w:bCs/>
          <w:sz w:val="20"/>
          <w:szCs w:val="20"/>
        </w:rPr>
      </w:pPr>
      <w:r>
        <w:rPr>
          <w:rFonts w:ascii="Times New Roman" w:hAnsi="Times New Roman" w:cs="Times New Roman"/>
          <w:b/>
          <w:bCs/>
          <w:sz w:val="20"/>
          <w:szCs w:val="20"/>
        </w:rPr>
        <w:t>Supplementary Fig.</w:t>
      </w:r>
      <w:r w:rsidR="00C0144F" w:rsidRPr="00C0144F">
        <w:rPr>
          <w:rFonts w:ascii="Times New Roman" w:hAnsi="Times New Roman" w:cs="Times New Roman"/>
          <w:b/>
          <w:bCs/>
          <w:sz w:val="20"/>
          <w:szCs w:val="20"/>
        </w:rPr>
        <w:t xml:space="preserve"> 6</w:t>
      </w:r>
      <w:r w:rsidR="006046DF">
        <w:rPr>
          <w:rFonts w:ascii="Times New Roman" w:hAnsi="Times New Roman" w:cs="Times New Roman"/>
          <w:b/>
          <w:bCs/>
          <w:sz w:val="20"/>
          <w:szCs w:val="20"/>
        </w:rPr>
        <w:t xml:space="preserve"> |</w:t>
      </w:r>
      <w:r w:rsidR="00C0144F" w:rsidRPr="00C0144F">
        <w:rPr>
          <w:rFonts w:ascii="Times New Roman" w:hAnsi="Times New Roman" w:cs="Times New Roman"/>
          <w:b/>
          <w:bCs/>
          <w:sz w:val="20"/>
          <w:szCs w:val="20"/>
        </w:rPr>
        <w:t xml:space="preserve"> </w:t>
      </w:r>
      <w:r w:rsidR="00C0144F" w:rsidRPr="00C0144F">
        <w:rPr>
          <w:rFonts w:ascii="Times New Roman" w:hAnsi="Times New Roman" w:cs="Times New Roman"/>
          <w:sz w:val="20"/>
          <w:szCs w:val="20"/>
        </w:rPr>
        <w:t>The investigation on the BPM-based MEA referencing the system reported by Salvatore et al.</w:t>
      </w:r>
      <w:r w:rsidR="00D14EDE">
        <w:rPr>
          <w:rFonts w:ascii="Times New Roman" w:hAnsi="Times New Roman" w:cs="Times New Roman"/>
          <w:sz w:val="20"/>
          <w:szCs w:val="20"/>
        </w:rPr>
        <w:fldChar w:fldCharType="begin" w:fldLock="1"/>
      </w:r>
      <w:r w:rsidR="00D328F7">
        <w:rPr>
          <w:rFonts w:ascii="Times New Roman" w:hAnsi="Times New Roman" w:cs="Times New Roman"/>
          <w:sz w:val="20"/>
          <w:szCs w:val="20"/>
        </w:rPr>
        <w:instrText>ADDIN CSL_CITATION {"citationItems":[{"id":"ITEM-1","itemData":{"DOI":"10.1021/acsenergylett.7b01017","ISSN":"23808195","abstract":"The conversion of CO2 to CO is demonstrated in an electrolyzer flow cell containing a bipolar membrane at current densities of 200 mA/cm2 with a Faradaic efficiency of 50%. Electrolysis was carried out by delivering gaseous CO2 at the cathode with a silver catalyst integrated in a carbon-based gas diffusion layer. Nonprecious nickel foam in a strongly alkaline electrolyte (1 M NaOH) was used to mediate the anode reaction. While a configuration where the anode and cathode were separated by only a bipolar membrane was found to be unfavorable for robust CO2 reduction, a modified configuration with a solid-supported aqueous layer inserted between the silver-based catalyst layer and the bipolar membrane enhanced the cathode selectivity for CO2 reduction to CO. We report higher current densities (200 mA/cm2) than previously reported for gas-phase CO2 to CO electrolysis and demonstrate the dependence of long-term stability on adequate hydration of the CO2 inlet stream.","author":[{"dropping-particle":"","family":"Salvatore","given":"Danielle A.","non-dropping-particle":"","parse-names":false,"suffix":""},{"dropping-particle":"","family":"Weekes","given":"David M.","non-dropping-particle":"","parse-names":false,"suffix":""},{"dropping-particle":"","family":"He","given":"Jingfu","non-dropping-particle":"","parse-names":false,"suffix":""},{"dropping-particle":"","family":"Dettelbach","given":"Kevan E.","non-dropping-particle":"","parse-names":false,"suffix":""},{"dropping-particle":"","family":"Li","given":"Yuguang C.","non-dropping-particle":"","parse-names":false,"suffix":""},{"dropping-particle":"","family":"Mallouk","given":"Thomas E.","non-dropping-particle":"","parse-names":false,"suffix":""},{"dropping-particle":"","family":"Berlinguette","given":"Curtis P.","non-dropping-particle":"","parse-names":false,"suffix":""}],"container-title":"ACS Energy Letters","id":"ITEM-1","issue":"1","issued":{"date-parts":[["2018"]]},"page":"149-154","title":"Electrolysis of Gaseous CO2 to CO in a Flow Cell with a Bipolar Membrane","type":"article-journal","volume":"3"},"uris":["http://www.mendeley.com/documents/?uuid=ecf15113-c42a-4d2f-8631-f7b7ab592dc2"]}],"mendeley":{"formattedCitation":"&lt;sup&gt;24&lt;/sup&gt;","plainTextFormattedCitation":"24","previouslyFormattedCitation":"&lt;sup&gt;23&lt;/sup&gt;"},"properties":{"noteIndex":0},"schema":"https://github.com/citation-style-language/schema/raw/master/csl-citation.json"}</w:instrText>
      </w:r>
      <w:r w:rsidR="00D14EDE">
        <w:rPr>
          <w:rFonts w:ascii="Times New Roman" w:hAnsi="Times New Roman" w:cs="Times New Roman"/>
          <w:sz w:val="20"/>
          <w:szCs w:val="20"/>
        </w:rPr>
        <w:fldChar w:fldCharType="separate"/>
      </w:r>
      <w:r w:rsidR="00D328F7" w:rsidRPr="00D328F7">
        <w:rPr>
          <w:rFonts w:ascii="Times New Roman" w:hAnsi="Times New Roman" w:cs="Times New Roman"/>
          <w:noProof/>
          <w:sz w:val="20"/>
          <w:szCs w:val="20"/>
          <w:vertAlign w:val="superscript"/>
        </w:rPr>
        <w:t>24</w:t>
      </w:r>
      <w:r w:rsidR="00D14EDE">
        <w:rPr>
          <w:rFonts w:ascii="Times New Roman" w:hAnsi="Times New Roman" w:cs="Times New Roman"/>
          <w:sz w:val="20"/>
          <w:szCs w:val="20"/>
        </w:rPr>
        <w:fldChar w:fldCharType="end"/>
      </w:r>
      <w:r w:rsidR="00C0144F" w:rsidRPr="00C0144F">
        <w:rPr>
          <w:rFonts w:ascii="Times New Roman" w:hAnsi="Times New Roman" w:cs="Times New Roman"/>
          <w:sz w:val="20"/>
          <w:szCs w:val="20"/>
        </w:rPr>
        <w:t xml:space="preserve"> The anolyte was 1 M NaOH. The </w:t>
      </w:r>
      <w:r w:rsidR="00126489" w:rsidRPr="00C0144F">
        <w:rPr>
          <w:rFonts w:ascii="Times New Roman" w:hAnsi="Times New Roman" w:cs="Times New Roman"/>
          <w:sz w:val="20"/>
          <w:szCs w:val="20"/>
        </w:rPr>
        <w:t>membrane</w:t>
      </w:r>
      <w:r w:rsidR="00C0144F" w:rsidRPr="00C0144F">
        <w:rPr>
          <w:rFonts w:ascii="Times New Roman" w:hAnsi="Times New Roman" w:cs="Times New Roman"/>
          <w:sz w:val="20"/>
          <w:szCs w:val="20"/>
        </w:rPr>
        <w:t xml:space="preserve"> was a Fumasep BPM. The cathode and anode were Cu-based gas-diffusion electrode and IrO</w:t>
      </w:r>
      <w:r w:rsidR="00C0144F" w:rsidRPr="00C0144F">
        <w:rPr>
          <w:rFonts w:ascii="Times New Roman" w:hAnsi="Times New Roman" w:cs="Times New Roman"/>
          <w:sz w:val="20"/>
          <w:szCs w:val="20"/>
          <w:vertAlign w:val="subscript"/>
        </w:rPr>
        <w:t>2</w:t>
      </w:r>
      <w:r w:rsidR="00C0144F" w:rsidRPr="00C0144F">
        <w:rPr>
          <w:rFonts w:ascii="Times New Roman" w:hAnsi="Times New Roman" w:cs="Times New Roman"/>
          <w:sz w:val="20"/>
          <w:szCs w:val="20"/>
        </w:rPr>
        <w:t xml:space="preserve"> coated Ti felt, similar to those used in this study. Between BPM and cathode, a glass microfiber prefilter (Whatman Grade GF/D, thickness 680 μm, similar to that used in the reference</w:t>
      </w:r>
      <w:r w:rsidR="00C0144F" w:rsidRPr="00C0144F">
        <w:rPr>
          <w:rFonts w:ascii="Times New Roman" w:hAnsi="Times New Roman" w:cs="Times New Roman"/>
          <w:sz w:val="20"/>
          <w:szCs w:val="20"/>
        </w:rPr>
        <w:fldChar w:fldCharType="begin" w:fldLock="1"/>
      </w:r>
      <w:r w:rsidR="00D328F7">
        <w:rPr>
          <w:rFonts w:ascii="Times New Roman" w:hAnsi="Times New Roman" w:cs="Times New Roman"/>
          <w:sz w:val="20"/>
          <w:szCs w:val="20"/>
        </w:rPr>
        <w:instrText>ADDIN CSL_CITATION {"citationItems":[{"id":"ITEM-1","itemData":{"DOI":"10.1021/acsenergylett.1c02058","author":[{"dropping-particle":"","family":"Yang","given":"Kailun","non-dropping-particle":"","parse-names":false,"suffix":""},{"dropping-particle":"","family":"Li","given":"Mengran","non-dropping-particle":"","parse-names":false,"suffix":""},{"dropping-particle":"","family":"Subramanian","given":"Siddhartha","non-dropping-particle":"","parse-names":false,"suffix":""},{"dropping-particle":"","family":"Blommaert","given":"Marijn A","non-dropping-particle":"","parse-names":false,"suffix":""},{"dropping-particle":"","family":"Smith","given":"Wilson A","non-dropping-particle":"","parse-names":false,"suffix":""},{"dropping-particle":"","family":"Burdyny","given":"Thomas","non-dropping-particle":"","parse-names":false,"suffix":""}],"container-title":"ACS Energy Letters","id":"ITEM-1","issued":{"date-parts":[["2021"]]},"page":"4291-4298","title":"Cation-Driven Increases of CO 2 Utilization in a Bipolar Membrane Electrode Assembly for CO 2 Electrolysis","type":"article-journal","volume":"6"},"uris":["http://www.mendeley.com/documents/?uuid=e7af3ab5-036b-4ce7-8563-9786acf9cb96"]}],"mendeley":{"formattedCitation":"&lt;sup&gt;23&lt;/sup&gt;","plainTextFormattedCitation":"23","previouslyFormattedCitation":"&lt;sup&gt;22&lt;/sup&gt;"},"properties":{"noteIndex":0},"schema":"https://github.com/citation-style-language/schema/raw/master/csl-citation.json"}</w:instrText>
      </w:r>
      <w:r w:rsidR="00C0144F" w:rsidRPr="00C0144F">
        <w:rPr>
          <w:rFonts w:ascii="Times New Roman" w:hAnsi="Times New Roman" w:cs="Times New Roman"/>
          <w:sz w:val="20"/>
          <w:szCs w:val="20"/>
        </w:rPr>
        <w:fldChar w:fldCharType="separate"/>
      </w:r>
      <w:r w:rsidR="00D328F7" w:rsidRPr="00D328F7">
        <w:rPr>
          <w:rFonts w:ascii="Times New Roman" w:hAnsi="Times New Roman" w:cs="Times New Roman"/>
          <w:noProof/>
          <w:sz w:val="20"/>
          <w:szCs w:val="20"/>
          <w:vertAlign w:val="superscript"/>
        </w:rPr>
        <w:t>23</w:t>
      </w:r>
      <w:r w:rsidR="00C0144F" w:rsidRPr="00C0144F">
        <w:rPr>
          <w:rFonts w:ascii="Times New Roman" w:hAnsi="Times New Roman" w:cs="Times New Roman"/>
          <w:sz w:val="20"/>
          <w:szCs w:val="20"/>
        </w:rPr>
        <w:fldChar w:fldCharType="end"/>
      </w:r>
      <w:r w:rsidR="00C0144F" w:rsidRPr="00C0144F">
        <w:rPr>
          <w:rFonts w:ascii="Times New Roman" w:hAnsi="Times New Roman" w:cs="Times New Roman"/>
          <w:sz w:val="20"/>
          <w:szCs w:val="20"/>
        </w:rPr>
        <w:t>) saturated with 1 M NaHCO</w:t>
      </w:r>
      <w:r w:rsidR="00C0144F" w:rsidRPr="00C0144F">
        <w:rPr>
          <w:rFonts w:ascii="Times New Roman" w:hAnsi="Times New Roman" w:cs="Times New Roman"/>
          <w:sz w:val="20"/>
          <w:szCs w:val="20"/>
          <w:vertAlign w:val="subscript"/>
        </w:rPr>
        <w:t>3</w:t>
      </w:r>
      <w:r w:rsidR="00C0144F" w:rsidRPr="00C0144F">
        <w:rPr>
          <w:rFonts w:ascii="Times New Roman" w:hAnsi="Times New Roman" w:cs="Times New Roman"/>
          <w:sz w:val="20"/>
          <w:szCs w:val="20"/>
        </w:rPr>
        <w:t>. (a) The dependence of gas product FE on the current density without CO</w:t>
      </w:r>
      <w:r w:rsidR="00C0144F" w:rsidRPr="00C0144F">
        <w:rPr>
          <w:rFonts w:ascii="Times New Roman" w:hAnsi="Times New Roman" w:cs="Times New Roman"/>
          <w:sz w:val="20"/>
          <w:szCs w:val="20"/>
          <w:vertAlign w:val="subscript"/>
        </w:rPr>
        <w:t>2</w:t>
      </w:r>
      <w:r w:rsidR="00C0144F" w:rsidRPr="00C0144F">
        <w:rPr>
          <w:rFonts w:ascii="Times New Roman" w:hAnsi="Times New Roman" w:cs="Times New Roman"/>
          <w:sz w:val="20"/>
          <w:szCs w:val="20"/>
        </w:rPr>
        <w:t xml:space="preserve"> mass transport limitation (input flow rate: 10 sccm cm</w:t>
      </w:r>
      <w:r w:rsidR="00C0144F" w:rsidRPr="00C0144F">
        <w:rPr>
          <w:rFonts w:ascii="Times New Roman" w:hAnsi="Times New Roman" w:cs="Times New Roman"/>
          <w:sz w:val="20"/>
          <w:szCs w:val="20"/>
          <w:vertAlign w:val="superscript"/>
        </w:rPr>
        <w:t>-2</w:t>
      </w:r>
      <w:r w:rsidR="00C0144F" w:rsidRPr="00C0144F">
        <w:rPr>
          <w:rFonts w:ascii="Times New Roman" w:hAnsi="Times New Roman" w:cs="Times New Roman"/>
          <w:sz w:val="20"/>
          <w:szCs w:val="20"/>
        </w:rPr>
        <w:t>). Notably, the full-cell voltages were 5.4 V and 9.7 V at the current densities of 50 and 100 mA cm</w:t>
      </w:r>
      <w:r w:rsidR="00C0144F" w:rsidRPr="00C0144F">
        <w:rPr>
          <w:rFonts w:ascii="Times New Roman" w:hAnsi="Times New Roman" w:cs="Times New Roman"/>
          <w:sz w:val="20"/>
          <w:szCs w:val="20"/>
          <w:vertAlign w:val="superscript"/>
        </w:rPr>
        <w:t>-2</w:t>
      </w:r>
      <w:r w:rsidR="00C0144F" w:rsidRPr="00C0144F">
        <w:rPr>
          <w:rFonts w:ascii="Times New Roman" w:hAnsi="Times New Roman" w:cs="Times New Roman"/>
          <w:sz w:val="20"/>
          <w:szCs w:val="20"/>
        </w:rPr>
        <w:t>, respectively. (b) The dependence of the product FE and CO</w:t>
      </w:r>
      <w:r w:rsidR="00C0144F" w:rsidRPr="00C0144F">
        <w:rPr>
          <w:rFonts w:ascii="Times New Roman" w:hAnsi="Times New Roman" w:cs="Times New Roman"/>
          <w:sz w:val="20"/>
          <w:szCs w:val="20"/>
          <w:vertAlign w:val="subscript"/>
        </w:rPr>
        <w:t>2</w:t>
      </w:r>
      <w:r w:rsidR="00C0144F" w:rsidRPr="00C0144F">
        <w:rPr>
          <w:rFonts w:ascii="Times New Roman" w:hAnsi="Times New Roman" w:cs="Times New Roman"/>
          <w:sz w:val="20"/>
          <w:szCs w:val="20"/>
        </w:rPr>
        <w:t xml:space="preserve"> requirements on the input CO</w:t>
      </w:r>
      <w:r w:rsidR="00C0144F" w:rsidRPr="00C0144F">
        <w:rPr>
          <w:rFonts w:ascii="Times New Roman" w:hAnsi="Times New Roman" w:cs="Times New Roman"/>
          <w:sz w:val="20"/>
          <w:szCs w:val="20"/>
          <w:vertAlign w:val="subscript"/>
        </w:rPr>
        <w:t>2</w:t>
      </w:r>
      <w:r w:rsidR="00C0144F" w:rsidRPr="00C0144F">
        <w:rPr>
          <w:rFonts w:ascii="Times New Roman" w:hAnsi="Times New Roman" w:cs="Times New Roman"/>
          <w:sz w:val="20"/>
          <w:szCs w:val="20"/>
        </w:rPr>
        <w:t xml:space="preserve"> flow rates. The operating current density was 50 mA cm</w:t>
      </w:r>
      <w:r w:rsidR="00C0144F" w:rsidRPr="00C0144F">
        <w:rPr>
          <w:rFonts w:ascii="Times New Roman" w:hAnsi="Times New Roman" w:cs="Times New Roman"/>
          <w:sz w:val="20"/>
          <w:szCs w:val="20"/>
          <w:vertAlign w:val="superscript"/>
        </w:rPr>
        <w:t>-2</w:t>
      </w:r>
      <w:r w:rsidR="00C0144F" w:rsidRPr="00C0144F">
        <w:rPr>
          <w:rFonts w:ascii="Times New Roman" w:hAnsi="Times New Roman" w:cs="Times New Roman"/>
          <w:sz w:val="20"/>
          <w:szCs w:val="20"/>
        </w:rPr>
        <w:t>.</w:t>
      </w:r>
      <w:r w:rsidR="00C0144F" w:rsidRPr="00C0144F">
        <w:rPr>
          <w:rFonts w:ascii="Times New Roman" w:hAnsi="Times New Roman" w:cs="Times New Roman"/>
          <w:sz w:val="24"/>
          <w:szCs w:val="24"/>
        </w:rPr>
        <w:t xml:space="preserve"> </w:t>
      </w:r>
      <w:r w:rsidR="00C0144F" w:rsidRPr="00C0144F">
        <w:rPr>
          <w:rFonts w:ascii="Times New Roman" w:hAnsi="Times New Roman" w:cs="Times New Roman"/>
          <w:sz w:val="20"/>
          <w:szCs w:val="20"/>
        </w:rPr>
        <w:t>C</w:t>
      </w:r>
      <w:r w:rsidR="00C0144F" w:rsidRPr="00C0144F">
        <w:rPr>
          <w:rFonts w:ascii="Times New Roman" w:hAnsi="Times New Roman" w:cs="Times New Roman"/>
          <w:sz w:val="20"/>
          <w:szCs w:val="20"/>
          <w:vertAlign w:val="subscript"/>
        </w:rPr>
        <w:t>1</w:t>
      </w:r>
      <w:r w:rsidR="00C0144F" w:rsidRPr="00C0144F">
        <w:rPr>
          <w:rFonts w:ascii="Times New Roman" w:hAnsi="Times New Roman" w:cs="Times New Roman"/>
          <w:sz w:val="20"/>
          <w:szCs w:val="20"/>
        </w:rPr>
        <w:t xml:space="preserve"> refers to CO, formate and methane. C</w:t>
      </w:r>
      <w:r w:rsidR="00C0144F" w:rsidRPr="00C0144F">
        <w:rPr>
          <w:rFonts w:ascii="Times New Roman" w:hAnsi="Times New Roman" w:cs="Times New Roman"/>
          <w:sz w:val="20"/>
          <w:szCs w:val="20"/>
          <w:vertAlign w:val="subscript"/>
        </w:rPr>
        <w:t>2+</w:t>
      </w:r>
      <w:r w:rsidR="00C0144F" w:rsidRPr="00C0144F">
        <w:rPr>
          <w:rFonts w:ascii="Times New Roman" w:hAnsi="Times New Roman" w:cs="Times New Roman"/>
          <w:sz w:val="20"/>
          <w:szCs w:val="20"/>
        </w:rPr>
        <w:t xml:space="preserve"> refers to ethylene, ethanol, acetate and n-propanol. (c) The total CO</w:t>
      </w:r>
      <w:r w:rsidR="00C0144F" w:rsidRPr="00C0144F">
        <w:rPr>
          <w:rFonts w:ascii="Times New Roman" w:hAnsi="Times New Roman" w:cs="Times New Roman"/>
          <w:sz w:val="20"/>
          <w:szCs w:val="20"/>
          <w:vertAlign w:val="subscript"/>
        </w:rPr>
        <w:t>2</w:t>
      </w:r>
      <w:r w:rsidR="00C0144F" w:rsidRPr="00C0144F">
        <w:rPr>
          <w:rFonts w:ascii="Times New Roman" w:hAnsi="Times New Roman" w:cs="Times New Roman"/>
          <w:sz w:val="20"/>
          <w:szCs w:val="20"/>
        </w:rPr>
        <w:t xml:space="preserve"> SPU with various input flow rates of CO</w:t>
      </w:r>
      <w:r w:rsidR="00C0144F" w:rsidRPr="00C0144F">
        <w:rPr>
          <w:rFonts w:ascii="Times New Roman" w:hAnsi="Times New Roman" w:cs="Times New Roman"/>
          <w:sz w:val="20"/>
          <w:szCs w:val="20"/>
          <w:vertAlign w:val="subscript"/>
        </w:rPr>
        <w:t>2</w:t>
      </w:r>
      <w:r w:rsidR="00C0144F" w:rsidRPr="00C0144F">
        <w:rPr>
          <w:rFonts w:ascii="Times New Roman" w:hAnsi="Times New Roman" w:cs="Times New Roman"/>
          <w:sz w:val="20"/>
          <w:szCs w:val="20"/>
        </w:rPr>
        <w:t>.</w:t>
      </w:r>
    </w:p>
    <w:p w14:paraId="6BF68B0B" w14:textId="2FE9BDAF" w:rsidR="00C0144F" w:rsidRDefault="00C0144F" w:rsidP="00C0144F">
      <w:pPr>
        <w:spacing w:afterLines="80" w:after="192" w:line="240" w:lineRule="auto"/>
        <w:jc w:val="both"/>
        <w:rPr>
          <w:rFonts w:ascii="Times New Roman" w:hAnsi="Times New Roman" w:cs="Times New Roman"/>
          <w:b/>
          <w:bCs/>
          <w:sz w:val="24"/>
          <w:szCs w:val="24"/>
        </w:rPr>
      </w:pPr>
      <w:r w:rsidRPr="00C0144F">
        <w:rPr>
          <w:rFonts w:ascii="Times New Roman" w:hAnsi="Times New Roman" w:cs="Times New Roman"/>
          <w:sz w:val="24"/>
          <w:szCs w:val="24"/>
        </w:rPr>
        <w:t>Previous reports</w:t>
      </w:r>
      <w:r w:rsidRPr="00C0144F">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{"citationItems":[{"id":"ITEM-1","itemData":{"DOI":"10.1021/acsenergylett.7b01017","ISSN":"23808195","abstract":"The conversion of CO2 to CO is demonstrated in an electrolyzer flow cell containing a bipolar membrane at current densities of 200 mA/cm2 with a Faradaic efficiency of 50%. Electrolysis was carried out by delivering gaseous CO2 at the cathode with a silver catalyst integrated in a carbon-based gas diffusion layer. Nonprecious nickel foam in a strongly alkaline electrolyte (1 M NaOH) was used to mediate the anode reaction. While a configuration where the anode and cathode were separated by only a bipolar membrane was found to be unfavorable for robust CO2 reduction, a modified configuration with a solid-supported aqueous layer inserted between the silver-based catalyst layer and the bipolar membrane enhanced the cathode selectivity for CO2 reduction to CO. We report higher current densities (200 mA/cm2) than previously reported for gas-phase CO2 to CO electrolysis and demonstrate the dependence of long-term stability on adequate hydration of the CO2 inlet stream.","author":[{"dropping-particle":"","family":"Salvatore","given":"Danielle A.","non-dropping-particle":"","parse-names":false,"suffix":""},{"dropping-particle":"","family":"Weekes","given":"David M.","non-dropping-particle":"","parse-names":false,"suffix":""},{"dropping-particle":"","family":"He","given":"Jingfu","non-dropping-particle":"","parse-names":false,"suffix":""},{"dropping-particle":"","family":"Dettelbach","given":"Kevan E.","non-dropping-particle":"","parse-names":false,"suffix":""},{"dropping-particle":"","family":"Li","given":"Yuguang C.","non-dropping-particle":"","parse-names":false,"suffix":""},{"dropping-particle":"","family":"Mallouk","given":"Thomas E.","non-dropping-particle":"","parse-names":false,"suffix":""},{"dropping-particle":"","family":"Berlinguette","given":"Curtis P.","non-dropping-particle":"","parse-names":false,"suffix":""}],"container-title":"ACS Energy Letters","id":"ITEM-1","issue":"1","issued":{"date-parts":[["2018"]]},"page":"149-154","title":"Electrolysis of Gaseous CO2 to CO in a Flow Cell with a Bipolar Membrane","type":"article-journal","volume":"3"},"uris":["http://www.mendeley.com/documents/?uuid=ecf15113-c42a-4d2f-8631-f7b7ab592dc2"]},{"id":"ITEM-2","itemData":{"DOI":"10.1149/1.2801871","ISSN":"00134651","abstract":"An electrolysis-cell design for simultaneous electrochemical reduction of and to make syngas at room temperature was developed, based on a technology very close to that of proton-exchange-membrane fuel cells (PEMFC), i.e., based on the use of gas-diffusion electrodes so as to achieve high current densities. While a configuration involving a proton-exchange membrane (Nafion) as electrolyte was shown to be unfavorable for reduction, a modified configuration based on the insertion of a pH-buffer layer (aqueous ) between the silver-based cathode catalyst layer and the Nafion membrane allows for a great enhancement of the cathode selectivity for reduction to CO [ca. at a potential of vs SCE (saturated-calomel reference electrode)]. A ratio of , suitable for methanol synthesis, is obtained at a potential of ca. vs SCE and a total current density of ca. . An issue that has been identified is the change in product selectivity upon long-term electrolysis. Results obtained with two other cell designs are also presented and compared.","author":[{"dropping-particle":"","family":"Delacourt","given":"Charles","non-dropping-particle":"","parse-names":false,"suffix":""},{"dropping-particle":"","family":"Ridgway","given":"Paul L.","non-dropping-particle":"","parse-names":false,"suffix":""},{"dropping-particle":"","family":"Kerr","given":"John B.","non-dropping-particle":"","parse-names":false,"suffix":""},{"dropping-particle":"","family":"Newman","given":"John","non-dropping-particle":"","parse-names":false,"suffix":""}],"container-title":"Journal of The Electrochemical Society","id":"ITEM-2","issue":"1","issued":{"date-parts":[["2008"]]},"page":"B42","title":"Design of an Electrochemical Cell Making Syngas (CO+H2) from CO2 and H2O Reduction at Room Temperature","type":"article-journal","volume":"155"},"uris":["http://www.mendeley.com/documents/?uuid=c8cb5877-0c84-40d1-af5d-8c98e0823dfc"]}],"mendeley":{"formattedCitation":"&lt;sup&gt;24,25&lt;/sup&gt;","plainTextFormattedCitation":"24,25","previouslyFormattedCitation":"&lt;sup&gt;23,26&lt;/sup&gt;"},"properties":{"noteIndex":0},"schema":"https://github.com/citation-style-language/schema/raw/master/csl-citation.json"}</w:instrText>
      </w:r>
      <w:r w:rsidRPr="00C0144F">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24,25</w:t>
      </w:r>
      <w:r w:rsidRPr="00C0144F">
        <w:rPr>
          <w:rFonts w:ascii="Times New Roman" w:hAnsi="Times New Roman" w:cs="Times New Roman"/>
          <w:sz w:val="24"/>
          <w:szCs w:val="24"/>
        </w:rPr>
        <w:fldChar w:fldCharType="end"/>
      </w:r>
      <w:r w:rsidRPr="00C0144F">
        <w:rPr>
          <w:rFonts w:ascii="Times New Roman" w:hAnsi="Times New Roman" w:cs="Times New Roman"/>
          <w:sz w:val="24"/>
          <w:szCs w:val="24"/>
        </w:rPr>
        <w:t xml:space="preserve"> proposed inserting a &gt;600 μm-thick solid porous support layer (a buffer layer) saturated with 1 M KHCO</w:t>
      </w:r>
      <w:r w:rsidRPr="00C0144F">
        <w:rPr>
          <w:rFonts w:ascii="Times New Roman" w:hAnsi="Times New Roman" w:cs="Times New Roman"/>
          <w:sz w:val="24"/>
          <w:szCs w:val="24"/>
          <w:vertAlign w:val="subscript"/>
        </w:rPr>
        <w:t>3</w:t>
      </w:r>
      <w:r w:rsidRPr="00C0144F">
        <w:rPr>
          <w:rFonts w:ascii="Times New Roman" w:hAnsi="Times New Roman" w:cs="Times New Roman"/>
          <w:sz w:val="24"/>
          <w:szCs w:val="24"/>
        </w:rPr>
        <w:t xml:space="preserve"> as the stationary catholyte between the BPM and an Ag catalyst layer in an MEA. This configuration was shown to improve the selectivity of CO</w:t>
      </w:r>
      <w:r w:rsidRPr="00C0144F">
        <w:rPr>
          <w:rFonts w:ascii="Times New Roman" w:hAnsi="Times New Roman" w:cs="Times New Roman"/>
          <w:sz w:val="24"/>
          <w:szCs w:val="24"/>
          <w:vertAlign w:val="subscript"/>
        </w:rPr>
        <w:t>2</w:t>
      </w:r>
      <w:r w:rsidRPr="00C0144F">
        <w:rPr>
          <w:rFonts w:ascii="Times New Roman" w:hAnsi="Times New Roman" w:cs="Times New Roman"/>
          <w:sz w:val="24"/>
          <w:szCs w:val="24"/>
        </w:rPr>
        <w:t>-to-CO and suppress that of HER. With a high CO</w:t>
      </w:r>
      <w:r w:rsidRPr="00C0144F">
        <w:rPr>
          <w:rFonts w:ascii="Times New Roman" w:hAnsi="Times New Roman" w:cs="Times New Roman"/>
          <w:sz w:val="24"/>
          <w:szCs w:val="24"/>
          <w:vertAlign w:val="subscript"/>
        </w:rPr>
        <w:t>2</w:t>
      </w:r>
      <w:r w:rsidRPr="00C0144F">
        <w:rPr>
          <w:rFonts w:ascii="Times New Roman" w:hAnsi="Times New Roman" w:cs="Times New Roman"/>
          <w:sz w:val="24"/>
          <w:szCs w:val="24"/>
        </w:rPr>
        <w:t xml:space="preserve"> input flow rate of 10 sccm cm</w:t>
      </w:r>
      <w:r w:rsidRPr="00C0144F">
        <w:rPr>
          <w:rFonts w:ascii="Times New Roman" w:hAnsi="Times New Roman" w:cs="Times New Roman"/>
          <w:sz w:val="24"/>
          <w:szCs w:val="24"/>
          <w:vertAlign w:val="superscript"/>
        </w:rPr>
        <w:t>-2</w:t>
      </w:r>
      <w:r w:rsidRPr="00C0144F">
        <w:rPr>
          <w:rFonts w:ascii="Times New Roman" w:hAnsi="Times New Roman" w:cs="Times New Roman"/>
          <w:sz w:val="24"/>
          <w:szCs w:val="24"/>
        </w:rPr>
        <w:t xml:space="preserve"> (normalized by electrode area), we observed that this configuration can also promote the CO</w:t>
      </w:r>
      <w:r w:rsidRPr="00C0144F">
        <w:rPr>
          <w:rFonts w:ascii="Times New Roman" w:hAnsi="Times New Roman" w:cs="Times New Roman"/>
          <w:sz w:val="24"/>
          <w:szCs w:val="24"/>
          <w:vertAlign w:val="subscript"/>
        </w:rPr>
        <w:t>2</w:t>
      </w:r>
      <w:r w:rsidRPr="00C0144F">
        <w:rPr>
          <w:rFonts w:ascii="Times New Roman" w:hAnsi="Times New Roman" w:cs="Times New Roman"/>
          <w:sz w:val="24"/>
          <w:szCs w:val="24"/>
        </w:rPr>
        <w:t>R selectivity at the current density between 50 and 100 mA cm</w:t>
      </w:r>
      <w:r w:rsidRPr="00C0144F">
        <w:rPr>
          <w:rFonts w:ascii="Times New Roman" w:hAnsi="Times New Roman" w:cs="Times New Roman"/>
          <w:sz w:val="24"/>
          <w:szCs w:val="24"/>
          <w:vertAlign w:val="superscript"/>
        </w:rPr>
        <w:t>-2</w:t>
      </w:r>
      <w:r w:rsidRPr="00C0144F">
        <w:rPr>
          <w:rFonts w:ascii="Times New Roman" w:hAnsi="Times New Roman" w:cs="Times New Roman"/>
          <w:sz w:val="24"/>
          <w:szCs w:val="24"/>
        </w:rPr>
        <w:t xml:space="preserve">, as demonstrated in </w:t>
      </w:r>
      <w:r w:rsidR="00DE0DCA">
        <w:rPr>
          <w:rFonts w:ascii="Times New Roman" w:hAnsi="Times New Roman" w:cs="Times New Roman"/>
          <w:sz w:val="24"/>
          <w:szCs w:val="24"/>
        </w:rPr>
        <w:t>Supplementary Fig.</w:t>
      </w:r>
      <w:r w:rsidRPr="00C0144F">
        <w:rPr>
          <w:rFonts w:ascii="Times New Roman" w:hAnsi="Times New Roman" w:cs="Times New Roman"/>
          <w:sz w:val="24"/>
          <w:szCs w:val="24"/>
        </w:rPr>
        <w:t xml:space="preserve"> 6a. We then explored its capability to achieve high CO</w:t>
      </w:r>
      <w:r w:rsidRPr="00C0144F">
        <w:rPr>
          <w:rFonts w:ascii="Times New Roman" w:hAnsi="Times New Roman" w:cs="Times New Roman"/>
          <w:sz w:val="24"/>
          <w:szCs w:val="24"/>
          <w:vertAlign w:val="subscript"/>
        </w:rPr>
        <w:t>2</w:t>
      </w:r>
      <w:r w:rsidRPr="00C0144F">
        <w:rPr>
          <w:rFonts w:ascii="Times New Roman" w:hAnsi="Times New Roman" w:cs="Times New Roman"/>
          <w:sz w:val="24"/>
          <w:szCs w:val="24"/>
        </w:rPr>
        <w:t xml:space="preserve"> SPU by gradually restricting the input CO</w:t>
      </w:r>
      <w:r w:rsidRPr="00C0144F">
        <w:rPr>
          <w:rFonts w:ascii="Times New Roman" w:hAnsi="Times New Roman" w:cs="Times New Roman"/>
          <w:sz w:val="24"/>
          <w:szCs w:val="24"/>
          <w:vertAlign w:val="subscript"/>
        </w:rPr>
        <w:t>2</w:t>
      </w:r>
      <w:r w:rsidRPr="00C0144F">
        <w:rPr>
          <w:rFonts w:ascii="Times New Roman" w:hAnsi="Times New Roman" w:cs="Times New Roman"/>
          <w:sz w:val="24"/>
          <w:szCs w:val="24"/>
        </w:rPr>
        <w:t xml:space="preserve"> flow rate.</w:t>
      </w:r>
      <w:r w:rsidRPr="00C0144F">
        <w:rPr>
          <w:rFonts w:ascii="Times New Roman" w:hAnsi="Times New Roman" w:cs="Times New Roman"/>
          <w:sz w:val="24"/>
          <w:szCs w:val="24"/>
        </w:rPr>
        <w:fldChar w:fldCharType="begin" w:fldLock="1"/>
      </w:r>
      <w:r w:rsidR="002B6039">
        <w:rPr>
          <w:rFonts w:ascii="Times New Roman" w:hAnsi="Times New Roman" w:cs="Times New Roman"/>
          <w:sz w:val="24"/>
          <w:szCs w:val="24"/>
        </w:rPr>
        <w:instrText>ADDIN CSL_CITATION {"citationItems":[{"id":"ITEM-1","itemData":{"abstract":"Carbon dioxide electroreduction (CO 2 R) is being actively studied as a promising route to convert carbon emissions to valuable chemicals and fuels. However, the fraction of input CO 2 that is productively reduced has typically been very low, &lt;2% for multicarbon products; the balance reacts with hydroxide to form carbonate in both alkaline and neutral reactors. Acidic electrolytes would overcome this limitation, but hydrogen evolution has hitherto dominated under those conditions. We report that concentrating potassium cations in the vicinity of electrochemically active sites accelerates CO 2 activation to enable efficient CO 2 R in acid. We achieve CO 2 R on copper at pH &lt;1 with a single-pass CO 2 utilization of 77%, including a conversion efficiency of 50% toward multicarbon products (ethylene, ethanol, and 1-propanol) at a current density of 1.2 amperes per square centimeter and a full-cell voltage of 4.2 volts.","author":[{"dropping-particle":"","family":"Huang","given":"Jianan Erick","non-dropping-particle":"","parse-names":false,"suffix":""},{"dropping-particle":"","family":"Li","given":"Fengwang","non-dropping-particle":"","parse-names":false,"suffix":""},{"dropping-particle":"","family":"Ozden","given":"Adnan","non-dropping-particle":"","parse-names":false,"suffix":""},{"dropping-particle":"","family":"Rasouli","given":"Armin Sedighian","non-dropping-particle":"","parse-names":false,"suffix":""},{"dropping-particle":"","family":"Pelayo","given":"F","non-dropping-particle":"","parse-names":false,"suffix":""},{"dropping-particle":"De","family":"Arquer","given":"García","non-dropping-particle":"","parse-names":false,"suffix":""},{"dropping-particle":"","family":"Liu","given":"Shijie","non-dropping-particle":"","parse-names":false,"suffix":""},{"dropping-particle":"","family":"Zhang","given":"Shuzhen","non-dropping-particle":"","parse-names":false,"suffix":""},{"dropping-particle":"","family":"Luo","given":"Mingchuan","non-dropping-particle":"","parse-names":false,"suffix":""},{"dropping-particle":"","family":"Xu","given":"Yi","non-dropping-particle":"","parse-names":false,"suffix":""},{"dropping-particle":"","family":"Bertens","given":"Koen","non-dropping-particle":"","parse-names":false,"suffix":""}],"container-title":"Science","id":"ITEM-1","issue":"June","issued":{"date-parts":[["2021"]]},"page":"1074-1078","title":"CO 2 electrolysis to multi-carbon products in strong acid","type":"article-journal","volume":"372"},"uris":["http://www.mendeley.com/documents/?uuid=40838bc2-1742-486f-b643-67a41a39ec68"]}],"mendeley":{"formattedCitation":"&lt;sup&gt;6&lt;/sup&gt;","plainTextFormattedCitation":"6","previouslyFormattedCitation":"&lt;sup&gt;6&lt;/sup&gt;"},"properties":{"noteIndex":0},"schema":"https://github.com/citation-style-language/schema/raw/master/csl-citation.json"}</w:instrText>
      </w:r>
      <w:r w:rsidRPr="00C0144F">
        <w:rPr>
          <w:rFonts w:ascii="Times New Roman" w:hAnsi="Times New Roman" w:cs="Times New Roman"/>
          <w:sz w:val="24"/>
          <w:szCs w:val="24"/>
        </w:rPr>
        <w:fldChar w:fldCharType="separate"/>
      </w:r>
      <w:r w:rsidR="007F7E70" w:rsidRPr="007F7E70">
        <w:rPr>
          <w:rFonts w:ascii="Times New Roman" w:hAnsi="Times New Roman" w:cs="Times New Roman"/>
          <w:noProof/>
          <w:sz w:val="24"/>
          <w:szCs w:val="24"/>
          <w:vertAlign w:val="superscript"/>
        </w:rPr>
        <w:t>6</w:t>
      </w:r>
      <w:r w:rsidRPr="00C0144F">
        <w:rPr>
          <w:rFonts w:ascii="Times New Roman" w:hAnsi="Times New Roman" w:cs="Times New Roman"/>
          <w:sz w:val="24"/>
          <w:szCs w:val="24"/>
        </w:rPr>
        <w:fldChar w:fldCharType="end"/>
      </w:r>
      <w:r w:rsidRPr="00C0144F">
        <w:rPr>
          <w:rFonts w:ascii="Times New Roman" w:hAnsi="Times New Roman" w:cs="Times New Roman"/>
          <w:sz w:val="24"/>
          <w:szCs w:val="24"/>
        </w:rPr>
        <w:t xml:space="preserve"> Shown in </w:t>
      </w:r>
      <w:r w:rsidR="00DE0DCA">
        <w:rPr>
          <w:rFonts w:ascii="Times New Roman" w:hAnsi="Times New Roman" w:cs="Times New Roman"/>
          <w:sz w:val="24"/>
          <w:szCs w:val="24"/>
        </w:rPr>
        <w:t>Supplementary Fig.</w:t>
      </w:r>
      <w:r w:rsidRPr="00C0144F">
        <w:rPr>
          <w:rFonts w:ascii="Times New Roman" w:hAnsi="Times New Roman" w:cs="Times New Roman"/>
          <w:sz w:val="24"/>
          <w:szCs w:val="24"/>
        </w:rPr>
        <w:t xml:space="preserve"> 6b, as the input CO</w:t>
      </w:r>
      <w:r w:rsidRPr="00C0144F">
        <w:rPr>
          <w:rFonts w:ascii="Times New Roman" w:hAnsi="Times New Roman" w:cs="Times New Roman"/>
          <w:sz w:val="24"/>
          <w:szCs w:val="24"/>
          <w:vertAlign w:val="subscript"/>
        </w:rPr>
        <w:t>2</w:t>
      </w:r>
      <w:r w:rsidRPr="00C0144F">
        <w:rPr>
          <w:rFonts w:ascii="Times New Roman" w:hAnsi="Times New Roman" w:cs="Times New Roman"/>
          <w:sz w:val="24"/>
          <w:szCs w:val="24"/>
        </w:rPr>
        <w:t xml:space="preserve"> flow rate decreases, the CO</w:t>
      </w:r>
      <w:r w:rsidRPr="00C0144F">
        <w:rPr>
          <w:rFonts w:ascii="Times New Roman" w:hAnsi="Times New Roman" w:cs="Times New Roman"/>
          <w:sz w:val="24"/>
          <w:szCs w:val="24"/>
          <w:vertAlign w:val="subscript"/>
        </w:rPr>
        <w:t>2</w:t>
      </w:r>
      <w:r w:rsidRPr="00C0144F">
        <w:rPr>
          <w:rFonts w:ascii="Times New Roman" w:hAnsi="Times New Roman" w:cs="Times New Roman"/>
          <w:sz w:val="24"/>
          <w:szCs w:val="24"/>
        </w:rPr>
        <w:t>RR selectivity of this electrolyzer dramatically decreases along with the significant decay of the CO</w:t>
      </w:r>
      <w:r w:rsidRPr="00C0144F">
        <w:rPr>
          <w:rFonts w:ascii="Times New Roman" w:hAnsi="Times New Roman" w:cs="Times New Roman"/>
          <w:sz w:val="24"/>
          <w:szCs w:val="24"/>
          <w:vertAlign w:val="subscript"/>
        </w:rPr>
        <w:t>2</w:t>
      </w:r>
      <w:r w:rsidRPr="00C0144F">
        <w:rPr>
          <w:rFonts w:ascii="Times New Roman" w:hAnsi="Times New Roman" w:cs="Times New Roman"/>
          <w:sz w:val="24"/>
          <w:szCs w:val="24"/>
        </w:rPr>
        <w:t xml:space="preserve"> consumption. Consequently, the SPU of this electrolyzer reaches its maximum of ca. 15% at the input CO</w:t>
      </w:r>
      <w:r w:rsidRPr="00C0144F">
        <w:rPr>
          <w:rFonts w:ascii="Times New Roman" w:hAnsi="Times New Roman" w:cs="Times New Roman"/>
          <w:sz w:val="24"/>
          <w:szCs w:val="24"/>
          <w:vertAlign w:val="subscript"/>
        </w:rPr>
        <w:t>2</w:t>
      </w:r>
      <w:r w:rsidRPr="00C0144F">
        <w:rPr>
          <w:rFonts w:ascii="Times New Roman" w:hAnsi="Times New Roman" w:cs="Times New Roman"/>
          <w:sz w:val="24"/>
          <w:szCs w:val="24"/>
        </w:rPr>
        <w:t xml:space="preserve"> flow </w:t>
      </w:r>
      <w:r w:rsidRPr="00C0144F">
        <w:rPr>
          <w:rFonts w:ascii="Times New Roman" w:hAnsi="Times New Roman" w:cs="Times New Roman"/>
          <w:sz w:val="24"/>
          <w:szCs w:val="24"/>
        </w:rPr>
        <w:lastRenderedPageBreak/>
        <w:t>rate of 1.0 sccm cm</w:t>
      </w:r>
      <w:r w:rsidRPr="00C0144F">
        <w:rPr>
          <w:rFonts w:ascii="Times New Roman" w:hAnsi="Times New Roman" w:cs="Times New Roman"/>
          <w:sz w:val="24"/>
          <w:szCs w:val="24"/>
          <w:vertAlign w:val="superscript"/>
        </w:rPr>
        <w:t>-2</w:t>
      </w:r>
      <w:r w:rsidRPr="00C0144F">
        <w:rPr>
          <w:rFonts w:ascii="Times New Roman" w:hAnsi="Times New Roman" w:cs="Times New Roman"/>
          <w:sz w:val="24"/>
          <w:szCs w:val="24"/>
        </w:rPr>
        <w:t xml:space="preserve"> (</w:t>
      </w:r>
      <w:r w:rsidR="00DE0DCA">
        <w:rPr>
          <w:rFonts w:ascii="Times New Roman" w:hAnsi="Times New Roman" w:cs="Times New Roman"/>
          <w:sz w:val="24"/>
          <w:szCs w:val="24"/>
        </w:rPr>
        <w:t>Supplementary Fig.</w:t>
      </w:r>
      <w:r w:rsidRPr="00C0144F">
        <w:rPr>
          <w:rFonts w:ascii="Times New Roman" w:hAnsi="Times New Roman" w:cs="Times New Roman"/>
          <w:sz w:val="24"/>
          <w:szCs w:val="24"/>
        </w:rPr>
        <w:t xml:space="preserve"> 6c). The SPU of such an electrolyzer is unable to surpass the upper limit in CO</w:t>
      </w:r>
      <w:r w:rsidRPr="00C0144F">
        <w:rPr>
          <w:rFonts w:ascii="Times New Roman" w:hAnsi="Times New Roman" w:cs="Times New Roman"/>
          <w:sz w:val="24"/>
          <w:szCs w:val="24"/>
          <w:vertAlign w:val="subscript"/>
        </w:rPr>
        <w:t>2</w:t>
      </w:r>
      <w:r w:rsidRPr="00C0144F">
        <w:rPr>
          <w:rFonts w:ascii="Times New Roman" w:hAnsi="Times New Roman" w:cs="Times New Roman"/>
          <w:sz w:val="24"/>
          <w:szCs w:val="24"/>
        </w:rPr>
        <w:t>-to-C</w:t>
      </w:r>
      <w:r w:rsidRPr="00C0144F">
        <w:rPr>
          <w:rFonts w:ascii="Times New Roman" w:hAnsi="Times New Roman" w:cs="Times New Roman"/>
          <w:sz w:val="24"/>
          <w:szCs w:val="24"/>
          <w:vertAlign w:val="subscript"/>
        </w:rPr>
        <w:t>2+</w:t>
      </w:r>
      <w:r w:rsidRPr="00C0144F">
        <w:rPr>
          <w:rFonts w:ascii="Times New Roman" w:hAnsi="Times New Roman" w:cs="Times New Roman"/>
          <w:sz w:val="24"/>
          <w:szCs w:val="24"/>
        </w:rPr>
        <w:t xml:space="preserve"> conversion. In the ‘</w:t>
      </w:r>
      <w:r w:rsidR="001670BD">
        <w:rPr>
          <w:rFonts w:ascii="Times New Roman" w:hAnsi="Times New Roman" w:cs="Times New Roman"/>
          <w:sz w:val="24"/>
          <w:szCs w:val="24"/>
        </w:rPr>
        <w:t>Numerical</w:t>
      </w:r>
      <w:r w:rsidR="001670BD" w:rsidRPr="00C0144F">
        <w:rPr>
          <w:rFonts w:ascii="Times New Roman" w:hAnsi="Times New Roman" w:cs="Times New Roman"/>
          <w:sz w:val="24"/>
          <w:szCs w:val="24"/>
        </w:rPr>
        <w:t xml:space="preserve"> </w:t>
      </w:r>
      <w:r w:rsidRPr="00C0144F">
        <w:rPr>
          <w:rFonts w:ascii="Times New Roman" w:hAnsi="Times New Roman" w:cs="Times New Roman"/>
          <w:sz w:val="24"/>
          <w:szCs w:val="24"/>
        </w:rPr>
        <w:t xml:space="preserve">simulation of the SC-layer’ and ‘Assessment of SPU in </w:t>
      </w:r>
      <w:r w:rsidR="004A7ADC">
        <w:rPr>
          <w:rFonts w:ascii="Times New Roman" w:hAnsi="Times New Roman" w:cs="Times New Roman"/>
          <w:sz w:val="24"/>
          <w:szCs w:val="24"/>
        </w:rPr>
        <w:t>SC-BPMEA</w:t>
      </w:r>
      <w:r w:rsidRPr="00C0144F">
        <w:rPr>
          <w:rFonts w:ascii="Times New Roman" w:hAnsi="Times New Roman" w:cs="Times New Roman"/>
          <w:sz w:val="24"/>
          <w:szCs w:val="24"/>
        </w:rPr>
        <w:t xml:space="preserve">’ sections of the text, we </w:t>
      </w:r>
      <w:r w:rsidR="004D5137">
        <w:rPr>
          <w:rFonts w:ascii="Times New Roman" w:hAnsi="Times New Roman" w:cs="Times New Roman"/>
          <w:sz w:val="24"/>
          <w:szCs w:val="24"/>
        </w:rPr>
        <w:t>discuss</w:t>
      </w:r>
      <w:r w:rsidR="004D5137" w:rsidRPr="00C0144F">
        <w:rPr>
          <w:rFonts w:ascii="Times New Roman" w:hAnsi="Times New Roman" w:cs="Times New Roman"/>
          <w:sz w:val="24"/>
          <w:szCs w:val="24"/>
        </w:rPr>
        <w:t xml:space="preserve"> </w:t>
      </w:r>
      <w:r w:rsidRPr="00C0144F">
        <w:rPr>
          <w:rFonts w:ascii="Times New Roman" w:hAnsi="Times New Roman" w:cs="Times New Roman"/>
          <w:sz w:val="24"/>
          <w:szCs w:val="24"/>
        </w:rPr>
        <w:t>quantitative simulations and experimental results that reveal the underlining working mechanism of such a system. We conclude that the sluggish mass transfer of the regenerated CO</w:t>
      </w:r>
      <w:r w:rsidRPr="00C0144F">
        <w:rPr>
          <w:rFonts w:ascii="Times New Roman" w:hAnsi="Times New Roman" w:cs="Times New Roman"/>
          <w:sz w:val="24"/>
          <w:szCs w:val="24"/>
          <w:vertAlign w:val="subscript"/>
        </w:rPr>
        <w:t>2</w:t>
      </w:r>
      <w:r w:rsidRPr="00C0144F">
        <w:rPr>
          <w:rFonts w:ascii="Times New Roman" w:hAnsi="Times New Roman" w:cs="Times New Roman"/>
          <w:sz w:val="24"/>
          <w:szCs w:val="24"/>
        </w:rPr>
        <w:t xml:space="preserve"> inside the catholyte layer, induced by the over</w:t>
      </w:r>
      <w:r w:rsidR="004D5137">
        <w:rPr>
          <w:rFonts w:ascii="Times New Roman" w:hAnsi="Times New Roman" w:cs="Times New Roman"/>
          <w:sz w:val="24"/>
          <w:szCs w:val="24"/>
        </w:rPr>
        <w:t xml:space="preserve">ly </w:t>
      </w:r>
      <w:r w:rsidRPr="00C0144F">
        <w:rPr>
          <w:rFonts w:ascii="Times New Roman" w:hAnsi="Times New Roman" w:cs="Times New Roman"/>
          <w:sz w:val="24"/>
          <w:szCs w:val="24"/>
        </w:rPr>
        <w:t>thick catholyte layer, is responsible for the low CO</w:t>
      </w:r>
      <w:r w:rsidRPr="00C0144F">
        <w:rPr>
          <w:rFonts w:ascii="Times New Roman" w:hAnsi="Times New Roman" w:cs="Times New Roman"/>
          <w:sz w:val="24"/>
          <w:szCs w:val="24"/>
          <w:vertAlign w:val="subscript"/>
        </w:rPr>
        <w:t>2</w:t>
      </w:r>
      <w:r w:rsidRPr="00C0144F">
        <w:rPr>
          <w:rFonts w:ascii="Times New Roman" w:hAnsi="Times New Roman" w:cs="Times New Roman"/>
          <w:sz w:val="24"/>
          <w:szCs w:val="24"/>
        </w:rPr>
        <w:t>RR selectivity under restricted CO</w:t>
      </w:r>
      <w:r w:rsidRPr="00C0144F">
        <w:rPr>
          <w:rFonts w:ascii="Times New Roman" w:hAnsi="Times New Roman" w:cs="Times New Roman"/>
          <w:sz w:val="24"/>
          <w:szCs w:val="24"/>
          <w:vertAlign w:val="subscript"/>
        </w:rPr>
        <w:t>2</w:t>
      </w:r>
      <w:r w:rsidRPr="00C0144F">
        <w:rPr>
          <w:rFonts w:ascii="Times New Roman" w:hAnsi="Times New Roman" w:cs="Times New Roman"/>
          <w:sz w:val="24"/>
          <w:szCs w:val="24"/>
        </w:rPr>
        <w:t xml:space="preserve"> flow rates. Based on the understanding gained about the mechanism, </w:t>
      </w:r>
      <w:r w:rsidRPr="004A7ADC">
        <w:rPr>
          <w:rFonts w:ascii="Times New Roman" w:hAnsi="Times New Roman" w:cs="Times New Roman"/>
          <w:i/>
          <w:iCs/>
          <w:sz w:val="24"/>
          <w:szCs w:val="24"/>
        </w:rPr>
        <w:t xml:space="preserve">we </w:t>
      </w:r>
      <w:r w:rsidR="004D5137" w:rsidRPr="004A7ADC">
        <w:rPr>
          <w:rFonts w:ascii="Times New Roman" w:hAnsi="Times New Roman" w:cs="Times New Roman"/>
          <w:i/>
          <w:iCs/>
          <w:sz w:val="24"/>
          <w:szCs w:val="24"/>
        </w:rPr>
        <w:t xml:space="preserve">illustrate a new </w:t>
      </w:r>
      <w:r w:rsidRPr="004A7ADC">
        <w:rPr>
          <w:rFonts w:ascii="Times New Roman" w:hAnsi="Times New Roman" w:cs="Times New Roman"/>
          <w:i/>
          <w:iCs/>
          <w:sz w:val="24"/>
          <w:szCs w:val="24"/>
        </w:rPr>
        <w:t xml:space="preserve">design principle of such </w:t>
      </w:r>
      <w:r w:rsidR="004A7ADC">
        <w:rPr>
          <w:rFonts w:ascii="Times New Roman" w:hAnsi="Times New Roman" w:cs="Times New Roman"/>
          <w:i/>
          <w:iCs/>
          <w:sz w:val="24"/>
          <w:szCs w:val="24"/>
        </w:rPr>
        <w:t>SC-BPMEA</w:t>
      </w:r>
      <w:r w:rsidRPr="004A7ADC">
        <w:rPr>
          <w:rFonts w:ascii="Times New Roman" w:hAnsi="Times New Roman" w:cs="Times New Roman"/>
          <w:i/>
          <w:iCs/>
          <w:sz w:val="24"/>
          <w:szCs w:val="24"/>
        </w:rPr>
        <w:t xml:space="preserve"> electrolyzers to enable high SPU for CO</w:t>
      </w:r>
      <w:r w:rsidRPr="004A7ADC">
        <w:rPr>
          <w:rFonts w:ascii="Times New Roman" w:hAnsi="Times New Roman" w:cs="Times New Roman"/>
          <w:i/>
          <w:iCs/>
          <w:sz w:val="24"/>
          <w:szCs w:val="24"/>
          <w:vertAlign w:val="subscript"/>
        </w:rPr>
        <w:t>2</w:t>
      </w:r>
      <w:r w:rsidRPr="004A7ADC">
        <w:rPr>
          <w:rFonts w:ascii="Times New Roman" w:hAnsi="Times New Roman" w:cs="Times New Roman"/>
          <w:i/>
          <w:iCs/>
          <w:sz w:val="24"/>
          <w:szCs w:val="24"/>
        </w:rPr>
        <w:t>-to-C</w:t>
      </w:r>
      <w:r w:rsidRPr="004A7ADC">
        <w:rPr>
          <w:rFonts w:ascii="Times New Roman" w:hAnsi="Times New Roman" w:cs="Times New Roman"/>
          <w:i/>
          <w:iCs/>
          <w:sz w:val="24"/>
          <w:szCs w:val="24"/>
          <w:vertAlign w:val="subscript"/>
        </w:rPr>
        <w:t xml:space="preserve">2+ </w:t>
      </w:r>
      <w:r w:rsidRPr="004A7ADC">
        <w:rPr>
          <w:rFonts w:ascii="Times New Roman" w:hAnsi="Times New Roman" w:cs="Times New Roman"/>
          <w:i/>
          <w:iCs/>
          <w:sz w:val="24"/>
          <w:szCs w:val="24"/>
        </w:rPr>
        <w:t>conversion</w:t>
      </w:r>
      <w:r w:rsidRPr="004A7ADC">
        <w:rPr>
          <w:rFonts w:ascii="Times New Roman" w:hAnsi="Times New Roman" w:cs="Times New Roman"/>
          <w:b/>
          <w:bCs/>
          <w:i/>
          <w:iCs/>
          <w:sz w:val="24"/>
          <w:szCs w:val="24"/>
        </w:rPr>
        <w:t>.</w:t>
      </w:r>
    </w:p>
    <w:p w14:paraId="60237774" w14:textId="5562A853" w:rsidR="003608A1" w:rsidRPr="003608A1" w:rsidRDefault="004D5137" w:rsidP="00C0144F">
      <w:pPr>
        <w:spacing w:afterLines="80" w:after="192" w:line="240" w:lineRule="auto"/>
        <w:jc w:val="both"/>
        <w:rPr>
          <w:rFonts w:ascii="Times New Roman" w:hAnsi="Times New Roman" w:cs="Times New Roman"/>
          <w:sz w:val="24"/>
          <w:szCs w:val="24"/>
        </w:rPr>
      </w:pPr>
      <w:r>
        <w:rPr>
          <w:rFonts w:ascii="Times New Roman" w:hAnsi="Times New Roman" w:cs="Times New Roman"/>
          <w:sz w:val="24"/>
          <w:szCs w:val="24"/>
        </w:rPr>
        <w:t>A previous</w:t>
      </w:r>
      <w:r w:rsidRPr="003608A1">
        <w:rPr>
          <w:rFonts w:ascii="Times New Roman" w:hAnsi="Times New Roman" w:cs="Times New Roman"/>
          <w:sz w:val="24"/>
          <w:szCs w:val="24"/>
        </w:rPr>
        <w:t xml:space="preserve"> </w:t>
      </w:r>
      <w:r w:rsidR="00A57A24">
        <w:rPr>
          <w:rFonts w:ascii="Times New Roman" w:hAnsi="Times New Roman" w:cs="Times New Roman"/>
          <w:sz w:val="24"/>
          <w:szCs w:val="24"/>
        </w:rPr>
        <w:t>report</w:t>
      </w:r>
      <w:r w:rsidR="00A57A24" w:rsidRPr="00C0144F">
        <w:rPr>
          <w:rFonts w:ascii="Times New Roman" w:hAnsi="Times New Roman" w:cs="Times New Roman"/>
          <w:sz w:val="24"/>
          <w:szCs w:val="24"/>
        </w:rPr>
        <w:fldChar w:fldCharType="begin" w:fldLock="1"/>
      </w:r>
      <w:r w:rsidR="002B6039">
        <w:rPr>
          <w:rFonts w:ascii="Times New Roman" w:hAnsi="Times New Roman" w:cs="Times New Roman"/>
          <w:sz w:val="24"/>
          <w:szCs w:val="24"/>
        </w:rPr>
        <w:instrText>ADDIN CSL_CITATION {"citationItems":[{"id":"ITEM-1","itemData":{"abstract":"Carbon dioxide electroreduction (CO 2 R) is being actively studied as a promising route to convert carbon emissions to valuable chemicals and fuels. However, the fraction of input CO 2 that is productively reduced has typically been very low, &lt;2% for multicarbon products; the balance reacts with hydroxide to form carbonate in both alkaline and neutral reactors. Acidic electrolytes would overcome this limitation, but hydrogen evolution has hitherto dominated under those conditions. We report that concentrating potassium cations in the vicinity of electrochemically active sites accelerates CO 2 activation to enable efficient CO 2 R in acid. We achieve CO 2 R on copper at pH &lt;1 with a single-pass CO 2 utilization of 77%, including a conversion efficiency of 50% toward multicarbon products (ethylene, ethanol, and 1-propanol) at a current density of 1.2 amperes per square centimeter and a full-cell voltage of 4.2 volts.","author":[{"dropping-particle":"","family":"Huang","given":"Jianan Erick","non-dropping-particle":"","parse-names":false,"suffix":""},{"dropping-particle":"","family":"Li","given":"Fengwang","non-dropping-particle":"","parse-names":false,"suffix":""},{"dropping-particle":"","family":"Ozden","given":"Adnan","non-dropping-particle":"","parse-names":false,"suffix":""},{"dropping-particle":"","family":"Rasouli","given":"Armin Sedighian","non-dropping-particle":"","parse-names":false,"suffix":""},{"dropping-particle":"","family":"Pelayo","given":"F","non-dropping-particle":"","parse-names":false,"suffix":""},{"dropping-particle":"De","family":"Arquer","given":"García","non-dropping-particle":"","parse-names":false,"suffix":""},{"dropping-particle":"","family":"Liu","given":"Shijie","non-dropping-particle":"","parse-names":false,"suffix":""},{"dropping-particle":"","family":"Zhang","given":"Shuzhen","non-dropping-particle":"","parse-names":false,"suffix":""},{"dropping-particle":"","family":"Luo","given":"Mingchuan","non-dropping-particle":"","parse-names":false,"suffix":""},{"dropping-particle":"","family":"Xu","given":"Yi","non-dropping-particle":"","parse-names":false,"suffix":""},{"dropping-particle":"","family":"Bertens","given":"Koen","non-dropping-particle":"","parse-names":false,"suffix":""}],"container-title":"Science","id":"ITEM-1","issue":"June","issued":{"date-parts":[["2021"]]},"page":"1074-1078","title":"CO 2 electrolysis to multi-carbon products in strong acid","type":"article-journal","volume":"372"},"uris":["http://www.mendeley.com/documents/?uuid=40838bc2-1742-486f-b643-67a41a39ec68"]}],"mendeley":{"formattedCitation":"&lt;sup&gt;6&lt;/sup&gt;","plainTextFormattedCitation":"6","previouslyFormattedCitation":"&lt;sup&gt;6&lt;/sup&gt;"},"properties":{"noteIndex":0},"schema":"https://github.com/citation-style-language/schema/raw/master/csl-citation.json"}</w:instrText>
      </w:r>
      <w:r w:rsidR="00A57A24" w:rsidRPr="00C0144F">
        <w:rPr>
          <w:rFonts w:ascii="Times New Roman" w:hAnsi="Times New Roman" w:cs="Times New Roman"/>
          <w:sz w:val="24"/>
          <w:szCs w:val="24"/>
        </w:rPr>
        <w:fldChar w:fldCharType="separate"/>
      </w:r>
      <w:r w:rsidR="007F7E70" w:rsidRPr="007F7E70">
        <w:rPr>
          <w:rFonts w:ascii="Times New Roman" w:hAnsi="Times New Roman" w:cs="Times New Roman"/>
          <w:noProof/>
          <w:sz w:val="24"/>
          <w:szCs w:val="24"/>
          <w:vertAlign w:val="superscript"/>
        </w:rPr>
        <w:t>6</w:t>
      </w:r>
      <w:r w:rsidR="00A57A24" w:rsidRPr="00C0144F">
        <w:rPr>
          <w:rFonts w:ascii="Times New Roman" w:hAnsi="Times New Roman" w:cs="Times New Roman"/>
          <w:sz w:val="24"/>
          <w:szCs w:val="24"/>
        </w:rPr>
        <w:fldChar w:fldCharType="end"/>
      </w:r>
      <w:r w:rsidR="00A57A24">
        <w:rPr>
          <w:rFonts w:ascii="Times New Roman" w:hAnsi="Times New Roman" w:cs="Times New Roman"/>
          <w:sz w:val="24"/>
          <w:szCs w:val="24"/>
        </w:rPr>
        <w:t xml:space="preserve"> also suggested that a DI-water layer can improve the CO</w:t>
      </w:r>
      <w:r w:rsidR="00A57A24" w:rsidRPr="00A57A24">
        <w:rPr>
          <w:rFonts w:ascii="Times New Roman" w:hAnsi="Times New Roman" w:cs="Times New Roman"/>
          <w:sz w:val="24"/>
          <w:szCs w:val="24"/>
          <w:vertAlign w:val="subscript"/>
        </w:rPr>
        <w:t>2</w:t>
      </w:r>
      <w:r w:rsidR="00A57A24">
        <w:rPr>
          <w:rFonts w:ascii="Times New Roman" w:hAnsi="Times New Roman" w:cs="Times New Roman"/>
          <w:sz w:val="24"/>
          <w:szCs w:val="24"/>
        </w:rPr>
        <w:t xml:space="preserve">-to-CO selectivity for Ag. </w:t>
      </w:r>
      <w:r w:rsidR="004249F1">
        <w:rPr>
          <w:rFonts w:ascii="Times New Roman" w:hAnsi="Times New Roman" w:cs="Times New Roman"/>
          <w:sz w:val="24"/>
          <w:szCs w:val="24"/>
        </w:rPr>
        <w:t>We also adopted DI-water for Cu catalyst</w:t>
      </w:r>
      <w:r w:rsidR="00D61D49">
        <w:rPr>
          <w:rFonts w:ascii="Times New Roman" w:hAnsi="Times New Roman" w:cs="Times New Roman"/>
          <w:sz w:val="24"/>
          <w:szCs w:val="24"/>
        </w:rPr>
        <w:t>.</w:t>
      </w:r>
      <w:r w:rsidR="004249F1">
        <w:rPr>
          <w:rFonts w:ascii="Times New Roman" w:hAnsi="Times New Roman" w:cs="Times New Roman"/>
          <w:sz w:val="24"/>
          <w:szCs w:val="24"/>
        </w:rPr>
        <w:t xml:space="preserve"> H</w:t>
      </w:r>
      <w:r w:rsidR="004249F1" w:rsidRPr="004249F1">
        <w:rPr>
          <w:rFonts w:ascii="Times New Roman" w:hAnsi="Times New Roman" w:cs="Times New Roman"/>
          <w:sz w:val="24"/>
          <w:szCs w:val="24"/>
          <w:vertAlign w:val="subscript"/>
        </w:rPr>
        <w:t>2</w:t>
      </w:r>
      <w:r w:rsidR="004249F1">
        <w:rPr>
          <w:rFonts w:ascii="Times New Roman" w:hAnsi="Times New Roman" w:cs="Times New Roman"/>
          <w:sz w:val="24"/>
          <w:szCs w:val="24"/>
        </w:rPr>
        <w:t xml:space="preserve"> dominated the cathodic products, with </w:t>
      </w:r>
      <w:r w:rsidR="007E1AD1">
        <w:rPr>
          <w:rFonts w:ascii="Times New Roman" w:hAnsi="Times New Roman" w:cs="Times New Roman"/>
          <w:sz w:val="24"/>
          <w:szCs w:val="24"/>
        </w:rPr>
        <w:t>a</w:t>
      </w:r>
      <w:r w:rsidR="004249F1">
        <w:rPr>
          <w:rFonts w:ascii="Times New Roman" w:hAnsi="Times New Roman" w:cs="Times New Roman"/>
          <w:sz w:val="24"/>
          <w:szCs w:val="24"/>
        </w:rPr>
        <w:t xml:space="preserve"> FE of &gt;94% in the current density in between 50 to 250 mA cm</w:t>
      </w:r>
      <w:r w:rsidR="004249F1" w:rsidRPr="004249F1">
        <w:rPr>
          <w:rFonts w:ascii="Times New Roman" w:hAnsi="Times New Roman" w:cs="Times New Roman"/>
          <w:sz w:val="24"/>
          <w:szCs w:val="24"/>
          <w:vertAlign w:val="superscript"/>
        </w:rPr>
        <w:t>-2</w:t>
      </w:r>
      <w:r w:rsidR="004249F1">
        <w:rPr>
          <w:rFonts w:ascii="Times New Roman" w:hAnsi="Times New Roman" w:cs="Times New Roman"/>
          <w:sz w:val="24"/>
          <w:szCs w:val="24"/>
        </w:rPr>
        <w:t>.</w:t>
      </w:r>
    </w:p>
    <w:p w14:paraId="40559660" w14:textId="0F065305" w:rsidR="00FD659C" w:rsidRPr="00CF6A65" w:rsidRDefault="00FD659C">
      <w:pPr>
        <w:rPr>
          <w:rFonts w:ascii="Times New Roman" w:hAnsi="Times New Roman" w:cs="Times New Roman"/>
          <w:b/>
          <w:bCs/>
          <w:i/>
          <w:iCs/>
          <w:sz w:val="24"/>
          <w:szCs w:val="24"/>
        </w:rPr>
      </w:pPr>
      <w:r w:rsidRPr="009D52EB">
        <w:rPr>
          <w:rFonts w:ascii="Times New Roman" w:hAnsi="Times New Roman" w:cs="Times New Roman"/>
          <w:b/>
          <w:bCs/>
          <w:sz w:val="24"/>
          <w:szCs w:val="24"/>
        </w:rPr>
        <w:br w:type="page"/>
      </w:r>
    </w:p>
    <w:p w14:paraId="5FF3A68C" w14:textId="5833D7E9" w:rsidR="00E35BFF" w:rsidRPr="009D52EB" w:rsidRDefault="007B0674" w:rsidP="00E35BFF">
      <w:pPr>
        <w:jc w:val="both"/>
        <w:rPr>
          <w:rFonts w:ascii="Times New Roman" w:hAnsi="Times New Roman" w:cs="Times New Roman"/>
          <w:sz w:val="24"/>
          <w:szCs w:val="24"/>
        </w:rPr>
      </w:pPr>
      <w:r w:rsidRPr="009D52EB">
        <w:rPr>
          <w:rFonts w:ascii="Times New Roman" w:hAnsi="Times New Roman" w:cs="Times New Roman"/>
          <w:b/>
          <w:bCs/>
          <w:sz w:val="24"/>
          <w:szCs w:val="24"/>
        </w:rPr>
        <w:lastRenderedPageBreak/>
        <w:t>SI</w:t>
      </w:r>
      <w:r>
        <w:rPr>
          <w:rFonts w:ascii="Times New Roman" w:hAnsi="Times New Roman" w:cs="Times New Roman"/>
          <w:b/>
          <w:bCs/>
          <w:sz w:val="24"/>
          <w:szCs w:val="24"/>
        </w:rPr>
        <w:t>4</w:t>
      </w:r>
      <w:r w:rsidRPr="009D52EB">
        <w:rPr>
          <w:rFonts w:ascii="Times New Roman" w:hAnsi="Times New Roman" w:cs="Times New Roman"/>
          <w:b/>
          <w:bCs/>
          <w:sz w:val="24"/>
          <w:szCs w:val="24"/>
        </w:rPr>
        <w:t xml:space="preserve"> </w:t>
      </w:r>
      <w:r>
        <w:rPr>
          <w:rFonts w:ascii="Times New Roman" w:hAnsi="Times New Roman" w:cs="Times New Roman"/>
          <w:b/>
          <w:bCs/>
          <w:sz w:val="24"/>
          <w:szCs w:val="24"/>
        </w:rPr>
        <w:t>A</w:t>
      </w:r>
      <w:r w:rsidR="00C72FE5" w:rsidRPr="009D52EB">
        <w:rPr>
          <w:rFonts w:ascii="Times New Roman" w:hAnsi="Times New Roman" w:cs="Times New Roman"/>
          <w:b/>
          <w:bCs/>
          <w:sz w:val="24"/>
          <w:szCs w:val="24"/>
        </w:rPr>
        <w:t xml:space="preserve">dditional </w:t>
      </w:r>
      <w:r>
        <w:rPr>
          <w:rFonts w:ascii="Times New Roman" w:hAnsi="Times New Roman" w:cs="Times New Roman"/>
          <w:b/>
          <w:bCs/>
          <w:sz w:val="24"/>
          <w:szCs w:val="24"/>
        </w:rPr>
        <w:t>numerical</w:t>
      </w:r>
      <w:r w:rsidRPr="009D52EB">
        <w:rPr>
          <w:rFonts w:ascii="Times New Roman" w:hAnsi="Times New Roman" w:cs="Times New Roman"/>
          <w:b/>
          <w:bCs/>
          <w:sz w:val="24"/>
          <w:szCs w:val="24"/>
        </w:rPr>
        <w:t xml:space="preserve"> simulation </w:t>
      </w:r>
      <w:r w:rsidR="00617E40" w:rsidRPr="009D52EB">
        <w:rPr>
          <w:rFonts w:ascii="Times New Roman" w:hAnsi="Times New Roman" w:cs="Times New Roman"/>
          <w:b/>
          <w:bCs/>
          <w:sz w:val="24"/>
          <w:szCs w:val="24"/>
        </w:rPr>
        <w:t>results</w:t>
      </w:r>
      <w:r w:rsidR="00567934" w:rsidRPr="009D52EB">
        <w:rPr>
          <w:rFonts w:ascii="Times New Roman" w:hAnsi="Times New Roman" w:cs="Times New Roman"/>
          <w:b/>
          <w:bCs/>
          <w:sz w:val="24"/>
          <w:szCs w:val="24"/>
        </w:rPr>
        <w:t xml:space="preserve"> on non-buffer stationary catholyte layer</w:t>
      </w:r>
      <w:r w:rsidR="00617E40" w:rsidRPr="009D52EB">
        <w:rPr>
          <w:rFonts w:ascii="Times New Roman" w:hAnsi="Times New Roman" w:cs="Times New Roman"/>
          <w:b/>
          <w:bCs/>
          <w:sz w:val="24"/>
          <w:szCs w:val="24"/>
        </w:rPr>
        <w:t>.</w:t>
      </w:r>
      <w:r w:rsidR="00E35BFF" w:rsidRPr="009D52EB">
        <w:rPr>
          <w:rFonts w:ascii="Times New Roman" w:hAnsi="Times New Roman" w:cs="Times New Roman"/>
          <w:sz w:val="24"/>
          <w:szCs w:val="24"/>
        </w:rPr>
        <w:t xml:space="preserve"> </w:t>
      </w:r>
    </w:p>
    <w:p w14:paraId="382C9C16" w14:textId="14CB28AE" w:rsidR="009A5E67" w:rsidRPr="00805810" w:rsidRDefault="00835AED">
      <w:pPr>
        <w:rPr>
          <w:rFonts w:ascii="Times New Roman" w:hAnsi="Times New Roman" w:cs="Times New Roman"/>
          <w:b/>
          <w:bCs/>
          <w:sz w:val="24"/>
          <w:szCs w:val="24"/>
        </w:rPr>
      </w:pPr>
      <w:r>
        <w:rPr>
          <w:noProof/>
        </w:rPr>
        <w:drawing>
          <wp:inline distT="0" distB="0" distL="0" distR="0" wp14:anchorId="6F509611" wp14:editId="29DF6DC5">
            <wp:extent cx="5943600" cy="47440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744085"/>
                    </a:xfrm>
                    <a:prstGeom prst="rect">
                      <a:avLst/>
                    </a:prstGeom>
                    <a:noFill/>
                    <a:ln>
                      <a:noFill/>
                    </a:ln>
                  </pic:spPr>
                </pic:pic>
              </a:graphicData>
            </a:graphic>
          </wp:inline>
        </w:drawing>
      </w:r>
    </w:p>
    <w:p w14:paraId="18C7704E" w14:textId="0CE4184F" w:rsidR="00E35BFF" w:rsidRPr="009D52EB" w:rsidRDefault="00DE0DCA" w:rsidP="00CA1ECB">
      <w:pPr>
        <w:jc w:val="both"/>
        <w:rPr>
          <w:rFonts w:ascii="Times New Roman" w:hAnsi="Times New Roman" w:cs="Times New Roman"/>
          <w:b/>
          <w:bCs/>
          <w:sz w:val="20"/>
          <w:szCs w:val="20"/>
        </w:rPr>
      </w:pPr>
      <w:r>
        <w:rPr>
          <w:rFonts w:ascii="Times New Roman" w:hAnsi="Times New Roman" w:cs="Times New Roman"/>
          <w:b/>
          <w:bCs/>
          <w:sz w:val="20"/>
          <w:szCs w:val="20"/>
        </w:rPr>
        <w:t>Supplementary Fig.</w:t>
      </w:r>
      <w:r w:rsidR="009A5E67" w:rsidRPr="009D52EB">
        <w:rPr>
          <w:rFonts w:ascii="Times New Roman" w:hAnsi="Times New Roman" w:cs="Times New Roman"/>
          <w:b/>
          <w:bCs/>
          <w:sz w:val="20"/>
          <w:szCs w:val="20"/>
        </w:rPr>
        <w:t xml:space="preserve"> </w:t>
      </w:r>
      <w:r w:rsidR="00F97EEA">
        <w:rPr>
          <w:rFonts w:ascii="Times New Roman" w:hAnsi="Times New Roman" w:cs="Times New Roman"/>
          <w:b/>
          <w:bCs/>
          <w:sz w:val="20"/>
          <w:szCs w:val="20"/>
        </w:rPr>
        <w:t>7 |</w:t>
      </w:r>
      <w:r w:rsidR="009A5E67" w:rsidRPr="009D52EB">
        <w:rPr>
          <w:rFonts w:ascii="Times New Roman" w:hAnsi="Times New Roman" w:cs="Times New Roman"/>
          <w:b/>
          <w:bCs/>
          <w:sz w:val="20"/>
          <w:szCs w:val="20"/>
        </w:rPr>
        <w:t xml:space="preserve"> </w:t>
      </w:r>
      <w:r w:rsidR="002925C5">
        <w:rPr>
          <w:rFonts w:ascii="Times New Roman" w:hAnsi="Times New Roman" w:cs="Times New Roman"/>
          <w:sz w:val="20"/>
          <w:szCs w:val="20"/>
        </w:rPr>
        <w:t>Finite-element numerical</w:t>
      </w:r>
      <w:r w:rsidR="002925C5" w:rsidRPr="009D52EB">
        <w:rPr>
          <w:rFonts w:ascii="Times New Roman" w:hAnsi="Times New Roman" w:cs="Times New Roman"/>
          <w:sz w:val="20"/>
          <w:szCs w:val="20"/>
        </w:rPr>
        <w:t xml:space="preserve"> </w:t>
      </w:r>
      <w:r w:rsidR="00BD62DC" w:rsidRPr="009D52EB">
        <w:rPr>
          <w:rFonts w:ascii="Times New Roman" w:hAnsi="Times New Roman" w:cs="Times New Roman"/>
          <w:sz w:val="20"/>
          <w:szCs w:val="20"/>
        </w:rPr>
        <w:t xml:space="preserve">simulation results of the </w:t>
      </w:r>
      <w:r w:rsidR="007479C5" w:rsidRPr="009D52EB">
        <w:rPr>
          <w:rFonts w:ascii="Times New Roman" w:hAnsi="Times New Roman" w:cs="Times New Roman"/>
          <w:sz w:val="20"/>
          <w:szCs w:val="20"/>
        </w:rPr>
        <w:t xml:space="preserve">stationary </w:t>
      </w:r>
      <w:r w:rsidR="00BD62DC" w:rsidRPr="009D52EB">
        <w:rPr>
          <w:rFonts w:ascii="Times New Roman" w:hAnsi="Times New Roman" w:cs="Times New Roman"/>
          <w:sz w:val="20"/>
          <w:szCs w:val="20"/>
        </w:rPr>
        <w:t>catho</w:t>
      </w:r>
      <w:r w:rsidR="009C21D0" w:rsidRPr="009D52EB">
        <w:rPr>
          <w:rFonts w:ascii="Times New Roman" w:hAnsi="Times New Roman" w:cs="Times New Roman"/>
          <w:sz w:val="20"/>
          <w:szCs w:val="20"/>
        </w:rPr>
        <w:t>lyte</w:t>
      </w:r>
      <w:r w:rsidR="007479C5" w:rsidRPr="009D52EB">
        <w:rPr>
          <w:rFonts w:ascii="Times New Roman" w:hAnsi="Times New Roman" w:cs="Times New Roman"/>
          <w:sz w:val="20"/>
          <w:szCs w:val="20"/>
        </w:rPr>
        <w:t xml:space="preserve"> layers with</w:t>
      </w:r>
      <w:r w:rsidR="00BD62DC" w:rsidRPr="009D52EB">
        <w:rPr>
          <w:rFonts w:ascii="Times New Roman" w:hAnsi="Times New Roman" w:cs="Times New Roman"/>
          <w:sz w:val="20"/>
          <w:szCs w:val="20"/>
        </w:rPr>
        <w:t xml:space="preserve"> 0.5 M K</w:t>
      </w:r>
      <w:r w:rsidR="00BD62DC" w:rsidRPr="009D52EB">
        <w:rPr>
          <w:rFonts w:ascii="Times New Roman" w:hAnsi="Times New Roman" w:cs="Times New Roman"/>
          <w:sz w:val="20"/>
          <w:szCs w:val="20"/>
          <w:vertAlign w:val="subscript"/>
        </w:rPr>
        <w:t>2</w:t>
      </w:r>
      <w:r w:rsidR="00BD62DC" w:rsidRPr="009D52EB">
        <w:rPr>
          <w:rFonts w:ascii="Times New Roman" w:hAnsi="Times New Roman" w:cs="Times New Roman"/>
          <w:sz w:val="20"/>
          <w:szCs w:val="20"/>
        </w:rPr>
        <w:t>SO</w:t>
      </w:r>
      <w:r w:rsidR="00BD62DC" w:rsidRPr="009D52EB">
        <w:rPr>
          <w:rFonts w:ascii="Times New Roman" w:hAnsi="Times New Roman" w:cs="Times New Roman"/>
          <w:sz w:val="20"/>
          <w:szCs w:val="20"/>
          <w:vertAlign w:val="subscript"/>
        </w:rPr>
        <w:t>4</w:t>
      </w:r>
      <w:r w:rsidR="007479C5" w:rsidRPr="009D52EB">
        <w:rPr>
          <w:rFonts w:ascii="Times New Roman" w:hAnsi="Times New Roman" w:cs="Times New Roman"/>
          <w:sz w:val="20"/>
          <w:szCs w:val="20"/>
        </w:rPr>
        <w:t xml:space="preserve"> and thickness</w:t>
      </w:r>
      <w:r w:rsidR="00DA6E45" w:rsidRPr="009D52EB">
        <w:rPr>
          <w:rFonts w:ascii="Times New Roman" w:hAnsi="Times New Roman" w:cs="Times New Roman"/>
          <w:sz w:val="20"/>
          <w:szCs w:val="20"/>
        </w:rPr>
        <w:t xml:space="preserve"> from 250 to 16 μm</w:t>
      </w:r>
      <w:r w:rsidR="007479C5" w:rsidRPr="009D52EB">
        <w:rPr>
          <w:rFonts w:ascii="Times New Roman" w:hAnsi="Times New Roman" w:cs="Times New Roman"/>
          <w:sz w:val="20"/>
          <w:szCs w:val="20"/>
        </w:rPr>
        <w:t>.</w:t>
      </w:r>
      <w:r w:rsidR="00CC2D93" w:rsidRPr="009D52EB">
        <w:rPr>
          <w:rFonts w:ascii="Times New Roman" w:hAnsi="Times New Roman" w:cs="Times New Roman"/>
          <w:sz w:val="20"/>
          <w:szCs w:val="20"/>
        </w:rPr>
        <w:t xml:space="preserve"> (</w:t>
      </w:r>
      <w:r w:rsidR="004B4812">
        <w:rPr>
          <w:rFonts w:ascii="Times New Roman" w:hAnsi="Times New Roman" w:cs="Times New Roman"/>
          <w:sz w:val="20"/>
          <w:szCs w:val="20"/>
        </w:rPr>
        <w:t>a</w:t>
      </w:r>
      <w:r w:rsidR="00CC2D93" w:rsidRPr="009D52EB">
        <w:rPr>
          <w:rFonts w:ascii="Times New Roman" w:hAnsi="Times New Roman" w:cs="Times New Roman"/>
          <w:sz w:val="20"/>
          <w:szCs w:val="20"/>
        </w:rPr>
        <w:t>)</w:t>
      </w:r>
      <w:r w:rsidR="00CC6ACB" w:rsidRPr="009D52EB">
        <w:rPr>
          <w:rFonts w:ascii="Times New Roman" w:hAnsi="Times New Roman" w:cs="Times New Roman"/>
          <w:sz w:val="20"/>
          <w:szCs w:val="20"/>
        </w:rPr>
        <w:t xml:space="preserve"> </w:t>
      </w:r>
      <w:r w:rsidR="00E35045" w:rsidRPr="009D52EB">
        <w:rPr>
          <w:rFonts w:ascii="Times New Roman" w:hAnsi="Times New Roman" w:cs="Times New Roman"/>
          <w:sz w:val="20"/>
          <w:szCs w:val="20"/>
        </w:rPr>
        <w:t>The carbonate</w:t>
      </w:r>
      <w:r w:rsidR="002925C5">
        <w:rPr>
          <w:rFonts w:ascii="Times New Roman" w:hAnsi="Times New Roman" w:cs="Times New Roman"/>
          <w:sz w:val="20"/>
          <w:szCs w:val="20"/>
        </w:rPr>
        <w:t xml:space="preserve"> concentration profile.</w:t>
      </w:r>
      <w:r w:rsidR="00E35045" w:rsidRPr="009D52EB">
        <w:rPr>
          <w:rFonts w:ascii="Times New Roman" w:hAnsi="Times New Roman" w:cs="Times New Roman"/>
          <w:sz w:val="20"/>
          <w:szCs w:val="20"/>
        </w:rPr>
        <w:t xml:space="preserve"> (</w:t>
      </w:r>
      <w:r w:rsidR="004B4812">
        <w:rPr>
          <w:rFonts w:ascii="Times New Roman" w:hAnsi="Times New Roman" w:cs="Times New Roman"/>
          <w:sz w:val="20"/>
          <w:szCs w:val="20"/>
        </w:rPr>
        <w:t>b</w:t>
      </w:r>
      <w:r w:rsidR="00E35045" w:rsidRPr="009D52EB">
        <w:rPr>
          <w:rFonts w:ascii="Times New Roman" w:hAnsi="Times New Roman" w:cs="Times New Roman"/>
          <w:sz w:val="20"/>
          <w:szCs w:val="20"/>
        </w:rPr>
        <w:t>) The bicarbonate</w:t>
      </w:r>
      <w:r w:rsidR="002925C5">
        <w:rPr>
          <w:rFonts w:ascii="Times New Roman" w:hAnsi="Times New Roman" w:cs="Times New Roman"/>
          <w:sz w:val="20"/>
          <w:szCs w:val="20"/>
        </w:rPr>
        <w:t xml:space="preserve"> concentration profile.</w:t>
      </w:r>
      <w:r w:rsidR="00E35045" w:rsidRPr="009D52EB">
        <w:rPr>
          <w:rFonts w:ascii="Times New Roman" w:hAnsi="Times New Roman" w:cs="Times New Roman"/>
          <w:sz w:val="20"/>
          <w:szCs w:val="20"/>
        </w:rPr>
        <w:t xml:space="preserve"> </w:t>
      </w:r>
      <w:r w:rsidR="004B4812">
        <w:rPr>
          <w:rFonts w:ascii="Times New Roman" w:hAnsi="Times New Roman" w:cs="Times New Roman"/>
          <w:sz w:val="20"/>
          <w:szCs w:val="20"/>
        </w:rPr>
        <w:t>(c</w:t>
      </w:r>
      <w:r w:rsidR="00E35045" w:rsidRPr="009D52EB">
        <w:rPr>
          <w:rFonts w:ascii="Times New Roman" w:hAnsi="Times New Roman" w:cs="Times New Roman"/>
          <w:sz w:val="20"/>
          <w:szCs w:val="20"/>
        </w:rPr>
        <w:t>) The</w:t>
      </w:r>
      <w:r w:rsidR="002925C5">
        <w:rPr>
          <w:rFonts w:ascii="Times New Roman" w:hAnsi="Times New Roman" w:cs="Times New Roman"/>
          <w:sz w:val="20"/>
          <w:szCs w:val="20"/>
        </w:rPr>
        <w:t xml:space="preserve"> </w:t>
      </w:r>
      <w:r w:rsidR="00E35045" w:rsidRPr="009D52EB">
        <w:rPr>
          <w:rFonts w:ascii="Times New Roman" w:hAnsi="Times New Roman" w:cs="Times New Roman"/>
          <w:sz w:val="20"/>
          <w:szCs w:val="20"/>
        </w:rPr>
        <w:t>K</w:t>
      </w:r>
      <w:r w:rsidR="00E35045" w:rsidRPr="009D52EB">
        <w:rPr>
          <w:rFonts w:ascii="Times New Roman" w:hAnsi="Times New Roman" w:cs="Times New Roman"/>
          <w:sz w:val="20"/>
          <w:szCs w:val="20"/>
          <w:vertAlign w:val="superscript"/>
        </w:rPr>
        <w:t>+</w:t>
      </w:r>
      <w:r w:rsidR="002925C5">
        <w:rPr>
          <w:rFonts w:ascii="Times New Roman" w:hAnsi="Times New Roman" w:cs="Times New Roman"/>
          <w:sz w:val="20"/>
          <w:szCs w:val="20"/>
        </w:rPr>
        <w:t xml:space="preserve"> concentration profile.</w:t>
      </w:r>
      <w:r w:rsidR="00E35BFF" w:rsidRPr="009D52EB">
        <w:rPr>
          <w:rFonts w:ascii="Times New Roman" w:hAnsi="Times New Roman" w:cs="Times New Roman"/>
          <w:b/>
          <w:bCs/>
          <w:sz w:val="20"/>
          <w:szCs w:val="20"/>
        </w:rPr>
        <w:br w:type="page"/>
      </w:r>
    </w:p>
    <w:p w14:paraId="36DED730" w14:textId="719ABD14" w:rsidR="00EC7FFA" w:rsidRPr="009D52EB" w:rsidRDefault="006C5384" w:rsidP="00EC7FFA">
      <w:pPr>
        <w:rPr>
          <w:rFonts w:ascii="Times New Roman" w:hAnsi="Times New Roman" w:cs="Times New Roman"/>
          <w:b/>
          <w:bCs/>
          <w:sz w:val="24"/>
          <w:szCs w:val="24"/>
        </w:rPr>
      </w:pPr>
      <w:r w:rsidRPr="009D52EB">
        <w:rPr>
          <w:rFonts w:ascii="Times New Roman" w:hAnsi="Times New Roman" w:cs="Times New Roman"/>
          <w:b/>
          <w:bCs/>
          <w:sz w:val="24"/>
          <w:szCs w:val="24"/>
        </w:rPr>
        <w:lastRenderedPageBreak/>
        <w:t>SI</w:t>
      </w:r>
      <w:r>
        <w:rPr>
          <w:rFonts w:ascii="Times New Roman" w:hAnsi="Times New Roman" w:cs="Times New Roman"/>
          <w:b/>
          <w:bCs/>
          <w:sz w:val="24"/>
          <w:szCs w:val="24"/>
        </w:rPr>
        <w:t>5</w:t>
      </w:r>
      <w:r w:rsidRPr="009D52EB">
        <w:rPr>
          <w:rFonts w:ascii="Times New Roman" w:hAnsi="Times New Roman" w:cs="Times New Roman"/>
          <w:b/>
          <w:bCs/>
          <w:sz w:val="24"/>
          <w:szCs w:val="24"/>
        </w:rPr>
        <w:t xml:space="preserve"> </w:t>
      </w:r>
      <w:r w:rsidR="000B392E" w:rsidRPr="009D52EB">
        <w:rPr>
          <w:rFonts w:ascii="Times New Roman" w:hAnsi="Times New Roman" w:cs="Times New Roman"/>
          <w:b/>
          <w:bCs/>
          <w:sz w:val="24"/>
          <w:szCs w:val="24"/>
        </w:rPr>
        <w:t>The use of buffer catholyte</w:t>
      </w:r>
      <w:r w:rsidR="009F1171" w:rsidRPr="009D52EB">
        <w:rPr>
          <w:rFonts w:ascii="Times New Roman" w:hAnsi="Times New Roman" w:cs="Times New Roman"/>
          <w:b/>
          <w:bCs/>
          <w:sz w:val="24"/>
          <w:szCs w:val="24"/>
        </w:rPr>
        <w:t xml:space="preserve"> (1 M KHCO</w:t>
      </w:r>
      <w:r w:rsidR="009F1171" w:rsidRPr="009D52EB">
        <w:rPr>
          <w:rFonts w:ascii="Times New Roman" w:hAnsi="Times New Roman" w:cs="Times New Roman"/>
          <w:b/>
          <w:bCs/>
          <w:sz w:val="24"/>
          <w:szCs w:val="24"/>
          <w:vertAlign w:val="subscript"/>
        </w:rPr>
        <w:t>3</w:t>
      </w:r>
      <w:r w:rsidR="009F1171" w:rsidRPr="009D52EB">
        <w:rPr>
          <w:rFonts w:ascii="Times New Roman" w:hAnsi="Times New Roman" w:cs="Times New Roman"/>
          <w:b/>
          <w:bCs/>
          <w:sz w:val="24"/>
          <w:szCs w:val="24"/>
        </w:rPr>
        <w:t>)</w:t>
      </w:r>
      <w:r w:rsidR="000B392E" w:rsidRPr="009D52EB">
        <w:rPr>
          <w:rFonts w:ascii="Times New Roman" w:hAnsi="Times New Roman" w:cs="Times New Roman"/>
          <w:b/>
          <w:bCs/>
          <w:sz w:val="24"/>
          <w:szCs w:val="24"/>
        </w:rPr>
        <w:t xml:space="preserve"> in </w:t>
      </w:r>
      <w:r w:rsidR="00E20D29" w:rsidRPr="009D52EB">
        <w:rPr>
          <w:rFonts w:ascii="Times New Roman" w:hAnsi="Times New Roman" w:cs="Times New Roman"/>
          <w:b/>
          <w:bCs/>
          <w:sz w:val="24"/>
          <w:szCs w:val="24"/>
        </w:rPr>
        <w:t xml:space="preserve">the </w:t>
      </w:r>
      <w:r w:rsidR="000B392E" w:rsidRPr="009D52EB">
        <w:rPr>
          <w:rFonts w:ascii="Times New Roman" w:hAnsi="Times New Roman" w:cs="Times New Roman"/>
          <w:b/>
          <w:bCs/>
          <w:sz w:val="24"/>
          <w:szCs w:val="24"/>
        </w:rPr>
        <w:t>stationary catholyte layer.</w:t>
      </w:r>
    </w:p>
    <w:p w14:paraId="0FCF6A1F" w14:textId="41422BAE" w:rsidR="009F231E" w:rsidRPr="009D52EB" w:rsidRDefault="009F231E" w:rsidP="00D300C0">
      <w:pPr>
        <w:jc w:val="both"/>
        <w:rPr>
          <w:rFonts w:ascii="Times New Roman" w:hAnsi="Times New Roman" w:cs="Times New Roman"/>
          <w:sz w:val="24"/>
          <w:szCs w:val="24"/>
        </w:rPr>
      </w:pPr>
      <w:r w:rsidRPr="009D52EB">
        <w:rPr>
          <w:rFonts w:ascii="Times New Roman" w:hAnsi="Times New Roman" w:cs="Times New Roman"/>
          <w:sz w:val="24"/>
          <w:szCs w:val="24"/>
        </w:rPr>
        <w:t>All the</w:t>
      </w:r>
      <w:r w:rsidR="00EC7FFA" w:rsidRPr="009D52EB">
        <w:rPr>
          <w:rFonts w:ascii="Times New Roman" w:hAnsi="Times New Roman" w:cs="Times New Roman"/>
          <w:sz w:val="24"/>
          <w:szCs w:val="24"/>
        </w:rPr>
        <w:t xml:space="preserve"> previous </w:t>
      </w:r>
      <w:r w:rsidR="00C3698D" w:rsidRPr="009D52EB">
        <w:rPr>
          <w:rFonts w:ascii="Times New Roman" w:hAnsi="Times New Roman" w:cs="Times New Roman"/>
          <w:sz w:val="24"/>
          <w:szCs w:val="24"/>
        </w:rPr>
        <w:t>MEA</w:t>
      </w:r>
      <w:r w:rsidRPr="009D52EB">
        <w:rPr>
          <w:rFonts w:ascii="Times New Roman" w:hAnsi="Times New Roman" w:cs="Times New Roman"/>
          <w:sz w:val="24"/>
          <w:szCs w:val="24"/>
        </w:rPr>
        <w:t>s</w:t>
      </w:r>
      <w:r w:rsidR="00213A3A" w:rsidRPr="00E85E3D">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{"citationItems":[{"id":"ITEM-1","itemData":{"DOI":"10.1149/1.2801871","ISSN":"00134651","abstract":"An electrolysis-cell design for simultaneous electrochemical reduction of and to make syngas at room temperature was developed, based on a technology very close to that of proton-exchange-membrane fuel cells (PEMFC), i.e., based on the use of gas-diffusion electrodes so as to achieve high current densities. While a configuration involving a proton-exchange membrane (Nafion) as electrolyte was shown to be unfavorable for reduction, a modified configuration based on the insertion of a pH-buffer layer (aqueous ) between the silver-based cathode catalyst layer and the Nafion membrane allows for a great enhancement of the cathode selectivity for reduction to CO [ca. at a potential of vs SCE (saturated-calomel reference electrode)]. A ratio of , suitable for methanol synthesis, is obtained at a potential of ca. vs SCE and a total current density of ca. . An issue that has been identified is the change in product selectivity upon long-term electrolysis. Results obtained with two other cell designs are also presented and compared.","author":[{"dropping-particle":"","family":"Delacourt","given":"Charles","non-dropping-particle":"","parse-names":false,"suffix":""},{"dropping-particle":"","family":"Ridgway","given":"Paul L.","non-dropping-particle":"","parse-names":false,"suffix":""},{"dropping-particle":"","family":"Kerr","given":"John B.","non-dropping-particle":"","parse-names":false,"suffix":""},{"dropping-particle":"","family":"Newman","given":"John","non-dropping-particle":"","parse-names":false,"suffix":""}],"container-title":"Journal of The Electrochemical Society","id":"ITEM-1","issue":"1","issued":{"date-parts":[["2008"]]},"page":"B42","title":"Design of an Electrochemical Cell Making Syngas (CO+H2) from CO2 and H2O Reduction at Room Temperature","type":"article-journal","volume":"155"},"uris":["http://www.mendeley.com/documents/?uuid=c8cb5877-0c84-40d1-af5d-8c98e0823dfc"]},{"id":"ITEM-2","itemData":{"DOI":"10.1021/acsenergylett.7b01017","ISSN":"23808195","abstract":"The conversion of CO2 to CO is demonstrated in an electrolyzer flow cell containing a bipolar membrane at current densities of 200 mA/cm2 with a Faradaic efficiency of 50%. Electrolysis was carried out by delivering gaseous CO2 at the cathode with a silver catalyst integrated in a carbon-based gas diffusion layer. Nonprecious nickel foam in a strongly alkaline electrolyte (1 M NaOH) was used to mediate the anode reaction. While a configuration where the anode and cathode were separated by only a bipolar membrane was found to be unfavorable for robust CO2 reduction, a modified configuration with a solid-supported aqueous layer inserted between the silver-based catalyst layer and the bipolar membrane enhanced the cathode selectivity for CO2 reduction to CO. We report higher current densities (200 mA/cm2) than previously reported for gas-phase CO2 to CO electrolysis and demonstrate the dependence of long-term stability on adequate hydration of the CO2 inlet stream.","author":[{"dropping-particle":"","family":"Salvatore","given":"Danielle A.","non-dropping-particle":"","parse-names":false,"suffix":""},{"dropping-particle":"","family":"Weekes","given":"David M.","non-dropping-particle":"","parse-names":false,"suffix":""},{"dropping-particle":"","family":"He","given":"Jingfu","non-dropping-particle":"","parse-names":false,"suffix":""},{"dropping-particle":"","family":"Dettelbach","given":"Kevan E.","non-dropping-particle":"","parse-names":false,"suffix":""},{"dropping-particle":"","family":"Li","given":"Yuguang C.","non-dropping-particle":"","parse-names":false,"suffix":""},{"dropping-particle":"","family":"Mallouk","given":"Thomas E.","non-dropping-particle":"","parse-names":false,"suffix":""},{"dropping-particle":"","family":"Berlinguette","given":"Curtis P.","non-dropping-particle":"","parse-names":false,"suffix":""}],"container-title":"ACS Energy Letters","id":"ITEM-2","issue":"1","issued":{"date-parts":[["2018"]]},"page":"149-154","title":"Electrolysis of Gaseous CO2 to CO in a Flow Cell with a Bipolar Membrane","type":"article-journal","volume":"3"},"uris":["http://www.mendeley.com/documents/?uuid=ecf15113-c42a-4d2f-8631-f7b7ab592dc2"]}],"mendeley":{"formattedCitation":"&lt;sup&gt;24,25&lt;/sup&gt;","plainTextFormattedCitation":"24,25","previouslyFormattedCitation":"&lt;sup&gt;23,26&lt;/sup&gt;"},"properties":{"noteIndex":0},"schema":"https://github.com/citation-style-language/schema/raw/master/csl-citation.json"}</w:instrText>
      </w:r>
      <w:r w:rsidR="00213A3A" w:rsidRPr="00E85E3D">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24,25</w:t>
      </w:r>
      <w:r w:rsidR="00213A3A" w:rsidRPr="00E85E3D">
        <w:rPr>
          <w:rFonts w:ascii="Times New Roman" w:hAnsi="Times New Roman" w:cs="Times New Roman"/>
          <w:sz w:val="24"/>
          <w:szCs w:val="24"/>
        </w:rPr>
        <w:fldChar w:fldCharType="end"/>
      </w:r>
      <w:r w:rsidR="00EC7FFA" w:rsidRPr="00805810">
        <w:rPr>
          <w:rFonts w:ascii="Times New Roman" w:hAnsi="Times New Roman" w:cs="Times New Roman"/>
          <w:sz w:val="24"/>
          <w:szCs w:val="24"/>
        </w:rPr>
        <w:t xml:space="preserve"> inserting a </w:t>
      </w:r>
      <w:r w:rsidRPr="00E85E3D">
        <w:rPr>
          <w:rFonts w:ascii="Times New Roman" w:hAnsi="Times New Roman" w:cs="Times New Roman"/>
          <w:sz w:val="24"/>
          <w:szCs w:val="24"/>
        </w:rPr>
        <w:t>stationary catholyte layer between acidic membrane and cathode used 1 M KHCO</w:t>
      </w:r>
      <w:r w:rsidRPr="009D52EB">
        <w:rPr>
          <w:rFonts w:ascii="Times New Roman" w:hAnsi="Times New Roman" w:cs="Times New Roman"/>
          <w:sz w:val="24"/>
          <w:szCs w:val="24"/>
          <w:vertAlign w:val="subscript"/>
        </w:rPr>
        <w:t>3</w:t>
      </w:r>
      <w:r w:rsidRPr="009D52EB">
        <w:rPr>
          <w:rFonts w:ascii="Times New Roman" w:hAnsi="Times New Roman" w:cs="Times New Roman"/>
          <w:sz w:val="24"/>
          <w:szCs w:val="24"/>
        </w:rPr>
        <w:t xml:space="preserve"> </w:t>
      </w:r>
      <w:r w:rsidR="0060730A" w:rsidRPr="009D52EB">
        <w:rPr>
          <w:rFonts w:ascii="Times New Roman" w:hAnsi="Times New Roman" w:cs="Times New Roman"/>
          <w:sz w:val="24"/>
          <w:szCs w:val="24"/>
        </w:rPr>
        <w:t xml:space="preserve">(or DI-water) </w:t>
      </w:r>
      <w:r w:rsidRPr="009D52EB">
        <w:rPr>
          <w:rFonts w:ascii="Times New Roman" w:hAnsi="Times New Roman" w:cs="Times New Roman"/>
          <w:sz w:val="24"/>
          <w:szCs w:val="24"/>
        </w:rPr>
        <w:t>as the catholyte.</w:t>
      </w:r>
      <w:r w:rsidR="0048529D" w:rsidRPr="009D52EB">
        <w:rPr>
          <w:rFonts w:ascii="Times New Roman" w:hAnsi="Times New Roman" w:cs="Times New Roman"/>
          <w:sz w:val="24"/>
          <w:szCs w:val="24"/>
        </w:rPr>
        <w:t xml:space="preserve"> These devices used Ag as the catalyst, and their stationary catholyte layer</w:t>
      </w:r>
      <w:r w:rsidR="009C45FC" w:rsidRPr="009D52EB">
        <w:rPr>
          <w:rFonts w:ascii="Times New Roman" w:hAnsi="Times New Roman" w:cs="Times New Roman" w:hint="eastAsia"/>
          <w:sz w:val="24"/>
          <w:szCs w:val="24"/>
        </w:rPr>
        <w:t>s</w:t>
      </w:r>
      <w:r w:rsidR="0048529D" w:rsidRPr="009D52EB">
        <w:rPr>
          <w:rFonts w:ascii="Times New Roman" w:hAnsi="Times New Roman" w:cs="Times New Roman"/>
          <w:sz w:val="24"/>
          <w:szCs w:val="24"/>
        </w:rPr>
        <w:t xml:space="preserve"> </w:t>
      </w:r>
      <w:r w:rsidR="009C45FC" w:rsidRPr="009D52EB">
        <w:rPr>
          <w:rFonts w:ascii="Times New Roman" w:hAnsi="Times New Roman" w:cs="Times New Roman"/>
          <w:sz w:val="24"/>
          <w:szCs w:val="24"/>
        </w:rPr>
        <w:t>were</w:t>
      </w:r>
      <w:r w:rsidR="0048529D" w:rsidRPr="009D52EB">
        <w:rPr>
          <w:rFonts w:ascii="Times New Roman" w:hAnsi="Times New Roman" w:cs="Times New Roman"/>
          <w:sz w:val="24"/>
          <w:szCs w:val="24"/>
        </w:rPr>
        <w:t xml:space="preserve"> 670 to 800 μm-thick.</w:t>
      </w:r>
      <w:r w:rsidR="00E75716" w:rsidRPr="009D52EB">
        <w:rPr>
          <w:rFonts w:ascii="Times New Roman" w:hAnsi="Times New Roman" w:cs="Times New Roman"/>
          <w:sz w:val="24"/>
          <w:szCs w:val="24"/>
        </w:rPr>
        <w:t xml:space="preserve"> </w:t>
      </w:r>
      <w:r w:rsidR="00E75716" w:rsidRPr="00901E4C">
        <w:rPr>
          <w:rFonts w:ascii="Times New Roman" w:hAnsi="Times New Roman" w:cs="Times New Roman"/>
          <w:sz w:val="24"/>
          <w:szCs w:val="24"/>
        </w:rPr>
        <w:t>This work focuses on C</w:t>
      </w:r>
      <w:r w:rsidR="00E75716" w:rsidRPr="00901E4C">
        <w:rPr>
          <w:rFonts w:ascii="Times New Roman" w:hAnsi="Times New Roman" w:cs="Times New Roman"/>
          <w:sz w:val="24"/>
          <w:szCs w:val="24"/>
          <w:vertAlign w:val="subscript"/>
        </w:rPr>
        <w:t>2+</w:t>
      </w:r>
      <w:r w:rsidR="00E75716" w:rsidRPr="00901E4C">
        <w:rPr>
          <w:rFonts w:ascii="Times New Roman" w:hAnsi="Times New Roman" w:cs="Times New Roman"/>
          <w:sz w:val="24"/>
          <w:szCs w:val="24"/>
        </w:rPr>
        <w:t xml:space="preserve"> production using Cu catalyst</w:t>
      </w:r>
      <w:r w:rsidR="009430EF" w:rsidRPr="00901E4C">
        <w:rPr>
          <w:rFonts w:ascii="Times New Roman" w:hAnsi="Times New Roman" w:cs="Times New Roman"/>
          <w:sz w:val="24"/>
          <w:szCs w:val="24"/>
        </w:rPr>
        <w:t>s</w:t>
      </w:r>
      <w:r w:rsidR="00E75716" w:rsidRPr="00901E4C">
        <w:rPr>
          <w:rFonts w:ascii="Times New Roman" w:hAnsi="Times New Roman" w:cs="Times New Roman"/>
          <w:sz w:val="24"/>
          <w:szCs w:val="24"/>
        </w:rPr>
        <w:t xml:space="preserve">. </w:t>
      </w:r>
      <w:r w:rsidR="00E75716" w:rsidRPr="009D52EB">
        <w:rPr>
          <w:rFonts w:ascii="Times New Roman" w:hAnsi="Times New Roman" w:cs="Times New Roman"/>
          <w:sz w:val="24"/>
          <w:szCs w:val="24"/>
        </w:rPr>
        <w:t xml:space="preserve">It needs higher local </w:t>
      </w:r>
      <w:r w:rsidR="00674E9B">
        <w:rPr>
          <w:rFonts w:ascii="Times New Roman" w:hAnsi="Times New Roman" w:cs="Times New Roman"/>
          <w:sz w:val="24"/>
          <w:szCs w:val="24"/>
        </w:rPr>
        <w:t xml:space="preserve">cathode </w:t>
      </w:r>
      <w:r w:rsidR="00E75716" w:rsidRPr="009D52EB">
        <w:rPr>
          <w:rFonts w:ascii="Times New Roman" w:hAnsi="Times New Roman" w:cs="Times New Roman"/>
          <w:sz w:val="24"/>
          <w:szCs w:val="24"/>
        </w:rPr>
        <w:t>pH and more</w:t>
      </w:r>
      <w:r w:rsidR="00674E9B">
        <w:rPr>
          <w:rFonts w:ascii="Times New Roman" w:hAnsi="Times New Roman" w:cs="Times New Roman"/>
          <w:sz w:val="24"/>
          <w:szCs w:val="24"/>
        </w:rPr>
        <w:t>-</w:t>
      </w:r>
      <w:r w:rsidR="00E75716" w:rsidRPr="009D52EB">
        <w:rPr>
          <w:rFonts w:ascii="Times New Roman" w:hAnsi="Times New Roman" w:cs="Times New Roman"/>
          <w:sz w:val="24"/>
          <w:szCs w:val="24"/>
        </w:rPr>
        <w:t>efficient CO</w:t>
      </w:r>
      <w:r w:rsidR="00E75716" w:rsidRPr="009D52EB">
        <w:rPr>
          <w:rFonts w:ascii="Times New Roman" w:hAnsi="Times New Roman" w:cs="Times New Roman"/>
          <w:sz w:val="24"/>
          <w:szCs w:val="24"/>
          <w:vertAlign w:val="subscript"/>
        </w:rPr>
        <w:t>2</w:t>
      </w:r>
      <w:r w:rsidR="00E75716" w:rsidRPr="009D52EB">
        <w:rPr>
          <w:rFonts w:ascii="Times New Roman" w:hAnsi="Times New Roman" w:cs="Times New Roman"/>
          <w:sz w:val="24"/>
          <w:szCs w:val="24"/>
        </w:rPr>
        <w:t xml:space="preserve"> mass transfer to promote C-C coupling. Notably, Ag ha</w:t>
      </w:r>
      <w:r w:rsidR="009430EF" w:rsidRPr="009D52EB">
        <w:rPr>
          <w:rFonts w:ascii="Times New Roman" w:hAnsi="Times New Roman" w:cs="Times New Roman"/>
          <w:sz w:val="24"/>
          <w:szCs w:val="24"/>
        </w:rPr>
        <w:t>s</w:t>
      </w:r>
      <w:r w:rsidR="00E75716" w:rsidRPr="009D52EB">
        <w:rPr>
          <w:rFonts w:ascii="Times New Roman" w:hAnsi="Times New Roman" w:cs="Times New Roman"/>
          <w:sz w:val="24"/>
          <w:szCs w:val="24"/>
        </w:rPr>
        <w:t xml:space="preserve"> ca. 20% CO</w:t>
      </w:r>
      <w:r w:rsidR="00E75716" w:rsidRPr="009D52EB">
        <w:rPr>
          <w:rFonts w:ascii="Times New Roman" w:hAnsi="Times New Roman" w:cs="Times New Roman"/>
          <w:sz w:val="24"/>
          <w:szCs w:val="24"/>
          <w:vertAlign w:val="subscript"/>
        </w:rPr>
        <w:t>2</w:t>
      </w:r>
      <w:r w:rsidR="00E75716" w:rsidRPr="009D52EB">
        <w:rPr>
          <w:rFonts w:ascii="Times New Roman" w:hAnsi="Times New Roman" w:cs="Times New Roman"/>
          <w:sz w:val="24"/>
          <w:szCs w:val="24"/>
        </w:rPr>
        <w:t xml:space="preserve">RR FE </w:t>
      </w:r>
      <w:r w:rsidR="00607451" w:rsidRPr="009D52EB">
        <w:rPr>
          <w:rFonts w:ascii="Times New Roman" w:hAnsi="Times New Roman" w:cs="Times New Roman"/>
          <w:sz w:val="24"/>
          <w:szCs w:val="24"/>
        </w:rPr>
        <w:t>even if</w:t>
      </w:r>
      <w:r w:rsidR="00E75716" w:rsidRPr="009D52EB">
        <w:rPr>
          <w:rFonts w:ascii="Times New Roman" w:hAnsi="Times New Roman" w:cs="Times New Roman"/>
          <w:sz w:val="24"/>
          <w:szCs w:val="24"/>
        </w:rPr>
        <w:t xml:space="preserve"> directly contact</w:t>
      </w:r>
      <w:r w:rsidR="00857B03" w:rsidRPr="009D52EB">
        <w:rPr>
          <w:rFonts w:ascii="Times New Roman" w:hAnsi="Times New Roman" w:cs="Times New Roman"/>
          <w:sz w:val="24"/>
          <w:szCs w:val="24"/>
        </w:rPr>
        <w:t>s</w:t>
      </w:r>
      <w:r w:rsidR="00E75716" w:rsidRPr="009D52EB">
        <w:rPr>
          <w:rFonts w:ascii="Times New Roman" w:hAnsi="Times New Roman" w:cs="Times New Roman"/>
          <w:sz w:val="24"/>
          <w:szCs w:val="24"/>
        </w:rPr>
        <w:t xml:space="preserve"> BPM,</w:t>
      </w:r>
      <w:r w:rsidR="00E75716" w:rsidRPr="00E85E3D">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{"citationItems":[{"id":"ITEM-1","itemData":{"DOI":"10.1021/acsenergylett.7b01017","ISSN":"23808195","abstract":"The conversion of CO2 to CO is demonstrated in an electrolyzer flow cell containing a bipolar membrane at current densities of 200 mA/cm2 with a Faradaic efficiency of 50%. Electrolysis was carried out by delivering gaseous CO2 at the cathode with a silver catalyst integrated in a carbon-based gas diffusion layer. Nonprecious nickel foam in a strongly alkaline electrolyte (1 M NaOH) was used to mediate the anode reaction. While a configuration where the anode and cathode were separated by only a bipolar membrane was found to be unfavorable for robust CO2 reduction, a modified configuration with a solid-supported aqueous layer inserted between the silver-based catalyst layer and the bipolar membrane enhanced the cathode selectivity for CO2 reduction to CO. We report higher current densities (200 mA/cm2) than previously reported for gas-phase CO2 to CO electrolysis and demonstrate the dependence of long-term stability on adequate hydration of the CO2 inlet stream.","author":[{"dropping-particle":"","family":"Salvatore","given":"Danielle A.","non-dropping-particle":"","parse-names":false,"suffix":""},{"dropping-particle":"","family":"Weekes","given":"David M.","non-dropping-particle":"","parse-names":false,"suffix":""},{"dropping-particle":"","family":"He","given":"Jingfu","non-dropping-particle":"","parse-names":false,"suffix":""},{"dropping-particle":"","family":"Dettelbach","given":"Kevan E.","non-dropping-particle":"","parse-names":false,"suffix":""},{"dropping-particle":"","family":"Li","given":"Yuguang C.","non-dropping-particle":"","parse-names":false,"suffix":""},{"dropping-particle":"","family":"Mallouk","given":"Thomas E.","non-dropping-particle":"","parse-names":false,"suffix":""},{"dropping-particle":"","family":"Berlinguette","given":"Curtis P.","non-dropping-particle":"","parse-names":false,"suffix":""}],"container-title":"ACS Energy Letters","id":"ITEM-1","issue":"1","issued":{"date-parts":[["2018"]]},"page":"149-154","title":"Electrolysis of Gaseous CO2 to CO in a Flow Cell with a Bipolar Membrane","type":"article-journal","volume":"3"},"uris":["http://www.mendeley.com/documents/?uuid=ecf15113-c42a-4d2f-8631-f7b7ab592dc2"]}],"mendeley":{"formattedCitation":"&lt;sup&gt;24&lt;/sup&gt;","plainTextFormattedCitation":"24","previouslyFormattedCitation":"&lt;sup&gt;23&lt;/sup&gt;"},"properties":{"noteIndex":0},"schema":"https://github.com/citation-style-language/schema/raw/master/csl-citation.json"}</w:instrText>
      </w:r>
      <w:r w:rsidR="00E75716" w:rsidRPr="00E85E3D">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24</w:t>
      </w:r>
      <w:r w:rsidR="00E75716" w:rsidRPr="00E85E3D">
        <w:rPr>
          <w:rFonts w:ascii="Times New Roman" w:hAnsi="Times New Roman" w:cs="Times New Roman"/>
          <w:sz w:val="24"/>
          <w:szCs w:val="24"/>
        </w:rPr>
        <w:fldChar w:fldCharType="end"/>
      </w:r>
      <w:r w:rsidR="00E75716" w:rsidRPr="00805810">
        <w:rPr>
          <w:rFonts w:ascii="Times New Roman" w:hAnsi="Times New Roman" w:cs="Times New Roman"/>
          <w:sz w:val="24"/>
          <w:szCs w:val="24"/>
        </w:rPr>
        <w:t xml:space="preserve"> while Cu gives 0</w:t>
      </w:r>
      <w:r w:rsidR="003A36A5" w:rsidRPr="009D52EB">
        <w:rPr>
          <w:rFonts w:ascii="Times New Roman" w:hAnsi="Times New Roman" w:cs="Times New Roman"/>
          <w:sz w:val="24"/>
          <w:szCs w:val="24"/>
        </w:rPr>
        <w:t>%</w:t>
      </w:r>
      <w:r w:rsidR="00607451" w:rsidRPr="009D52EB">
        <w:rPr>
          <w:rFonts w:ascii="Times New Roman" w:hAnsi="Times New Roman" w:cs="Times New Roman"/>
          <w:sz w:val="24"/>
          <w:szCs w:val="24"/>
        </w:rPr>
        <w:t xml:space="preserve">. </w:t>
      </w:r>
      <w:r w:rsidR="00E75716" w:rsidRPr="004A7ADC">
        <w:rPr>
          <w:rFonts w:ascii="Times New Roman" w:hAnsi="Times New Roman" w:cs="Times New Roman"/>
          <w:i/>
          <w:iCs/>
          <w:sz w:val="24"/>
          <w:szCs w:val="24"/>
        </w:rPr>
        <w:t xml:space="preserve">The </w:t>
      </w:r>
      <w:r w:rsidR="0060730A" w:rsidRPr="004A7ADC">
        <w:rPr>
          <w:rFonts w:ascii="Times New Roman" w:hAnsi="Times New Roman" w:cs="Times New Roman"/>
          <w:i/>
          <w:iCs/>
          <w:sz w:val="24"/>
          <w:szCs w:val="24"/>
        </w:rPr>
        <w:t>previously adopted thickness and catholyte are found</w:t>
      </w:r>
      <w:r w:rsidR="00D34616" w:rsidRPr="004A7ADC">
        <w:rPr>
          <w:rFonts w:ascii="Times New Roman" w:hAnsi="Times New Roman" w:cs="Times New Roman"/>
          <w:i/>
          <w:iCs/>
          <w:sz w:val="24"/>
          <w:szCs w:val="24"/>
        </w:rPr>
        <w:t xml:space="preserve"> here</w:t>
      </w:r>
      <w:r w:rsidR="0060730A" w:rsidRPr="004A7ADC">
        <w:rPr>
          <w:rFonts w:ascii="Times New Roman" w:hAnsi="Times New Roman" w:cs="Times New Roman"/>
          <w:i/>
          <w:iCs/>
          <w:sz w:val="24"/>
          <w:szCs w:val="24"/>
        </w:rPr>
        <w:t xml:space="preserve"> unsuitable </w:t>
      </w:r>
      <w:r w:rsidR="00857B03" w:rsidRPr="004A7ADC">
        <w:rPr>
          <w:rFonts w:ascii="Times New Roman" w:hAnsi="Times New Roman" w:cs="Times New Roman"/>
          <w:i/>
          <w:iCs/>
          <w:sz w:val="24"/>
          <w:szCs w:val="24"/>
        </w:rPr>
        <w:t>for</w:t>
      </w:r>
      <w:r w:rsidR="0060730A" w:rsidRPr="004A7ADC">
        <w:rPr>
          <w:rFonts w:ascii="Times New Roman" w:hAnsi="Times New Roman" w:cs="Times New Roman"/>
          <w:i/>
          <w:iCs/>
          <w:sz w:val="24"/>
          <w:szCs w:val="24"/>
        </w:rPr>
        <w:t xml:space="preserve"> Cu </w:t>
      </w:r>
      <w:r w:rsidR="00857B03" w:rsidRPr="004A7ADC">
        <w:rPr>
          <w:rFonts w:ascii="Times New Roman" w:hAnsi="Times New Roman" w:cs="Times New Roman"/>
          <w:i/>
          <w:iCs/>
          <w:sz w:val="24"/>
          <w:szCs w:val="24"/>
        </w:rPr>
        <w:t>towards</w:t>
      </w:r>
      <w:r w:rsidR="0060730A" w:rsidRPr="004A7ADC">
        <w:rPr>
          <w:rFonts w:ascii="Times New Roman" w:hAnsi="Times New Roman" w:cs="Times New Roman"/>
          <w:i/>
          <w:iCs/>
          <w:sz w:val="24"/>
          <w:szCs w:val="24"/>
        </w:rPr>
        <w:t xml:space="preserve"> C</w:t>
      </w:r>
      <w:r w:rsidR="0060730A" w:rsidRPr="004A7ADC">
        <w:rPr>
          <w:rFonts w:ascii="Times New Roman" w:hAnsi="Times New Roman" w:cs="Times New Roman"/>
          <w:i/>
          <w:iCs/>
          <w:sz w:val="24"/>
          <w:szCs w:val="24"/>
          <w:vertAlign w:val="subscript"/>
        </w:rPr>
        <w:t>2+</w:t>
      </w:r>
      <w:r w:rsidR="0060730A" w:rsidRPr="004A7ADC">
        <w:rPr>
          <w:rFonts w:ascii="Times New Roman" w:hAnsi="Times New Roman" w:cs="Times New Roman"/>
          <w:i/>
          <w:iCs/>
          <w:sz w:val="24"/>
          <w:szCs w:val="24"/>
        </w:rPr>
        <w:t xml:space="preserve"> production.</w:t>
      </w:r>
      <w:r w:rsidR="0060730A" w:rsidRPr="009D52EB">
        <w:rPr>
          <w:rFonts w:ascii="Times New Roman" w:hAnsi="Times New Roman" w:cs="Times New Roman"/>
          <w:sz w:val="24"/>
          <w:szCs w:val="24"/>
        </w:rPr>
        <w:t xml:space="preserve"> The thickness impact</w:t>
      </w:r>
      <w:r w:rsidR="006B3464" w:rsidRPr="009D52EB">
        <w:rPr>
          <w:rFonts w:ascii="Times New Roman" w:hAnsi="Times New Roman" w:cs="Times New Roman"/>
          <w:sz w:val="24"/>
          <w:szCs w:val="24"/>
        </w:rPr>
        <w:t>s</w:t>
      </w:r>
      <w:r w:rsidR="0060730A" w:rsidRPr="009D52EB">
        <w:rPr>
          <w:rFonts w:ascii="Times New Roman" w:hAnsi="Times New Roman" w:cs="Times New Roman"/>
          <w:sz w:val="24"/>
          <w:szCs w:val="24"/>
        </w:rPr>
        <w:t xml:space="preserve"> </w:t>
      </w:r>
      <w:r w:rsidR="006B3464" w:rsidRPr="009D52EB">
        <w:rPr>
          <w:rFonts w:ascii="Times New Roman" w:hAnsi="Times New Roman" w:cs="Times New Roman"/>
          <w:sz w:val="24"/>
          <w:szCs w:val="24"/>
        </w:rPr>
        <w:t>are</w:t>
      </w:r>
      <w:r w:rsidR="0060730A" w:rsidRPr="009D52EB">
        <w:rPr>
          <w:rFonts w:ascii="Times New Roman" w:hAnsi="Times New Roman" w:cs="Times New Roman"/>
          <w:sz w:val="24"/>
          <w:szCs w:val="24"/>
        </w:rPr>
        <w:t xml:space="preserve"> extensively discussed in the main text. This section confirms </w:t>
      </w:r>
      <w:r w:rsidR="009430EF" w:rsidRPr="009D52EB">
        <w:rPr>
          <w:rFonts w:ascii="Times New Roman" w:hAnsi="Times New Roman" w:cs="Times New Roman"/>
          <w:sz w:val="24"/>
          <w:szCs w:val="24"/>
        </w:rPr>
        <w:t xml:space="preserve">that </w:t>
      </w:r>
      <w:r w:rsidR="0060730A" w:rsidRPr="009D52EB">
        <w:rPr>
          <w:rFonts w:ascii="Times New Roman" w:hAnsi="Times New Roman" w:cs="Times New Roman"/>
          <w:sz w:val="24"/>
          <w:szCs w:val="24"/>
        </w:rPr>
        <w:t>the buffer catholyte, i.e.</w:t>
      </w:r>
      <w:r w:rsidR="00B6561A" w:rsidRPr="009D52EB">
        <w:rPr>
          <w:rFonts w:ascii="Times New Roman" w:hAnsi="Times New Roman" w:cs="Times New Roman"/>
          <w:sz w:val="24"/>
          <w:szCs w:val="24"/>
        </w:rPr>
        <w:t>,</w:t>
      </w:r>
      <w:r w:rsidR="0060730A" w:rsidRPr="009D52EB">
        <w:rPr>
          <w:rFonts w:ascii="Times New Roman" w:hAnsi="Times New Roman" w:cs="Times New Roman"/>
          <w:sz w:val="24"/>
          <w:szCs w:val="24"/>
        </w:rPr>
        <w:t xml:space="preserve"> 1 M KHCO</w:t>
      </w:r>
      <w:r w:rsidR="0060730A" w:rsidRPr="009D52EB">
        <w:rPr>
          <w:rFonts w:ascii="Times New Roman" w:hAnsi="Times New Roman" w:cs="Times New Roman"/>
          <w:sz w:val="24"/>
          <w:szCs w:val="24"/>
          <w:vertAlign w:val="subscript"/>
        </w:rPr>
        <w:t>3</w:t>
      </w:r>
      <w:r w:rsidR="0060730A" w:rsidRPr="009D52EB">
        <w:rPr>
          <w:rFonts w:ascii="Times New Roman" w:hAnsi="Times New Roman" w:cs="Times New Roman"/>
          <w:sz w:val="24"/>
          <w:szCs w:val="24"/>
        </w:rPr>
        <w:t>, leads to</w:t>
      </w:r>
      <w:r w:rsidR="0005425B" w:rsidRPr="009D52EB">
        <w:rPr>
          <w:rFonts w:ascii="Times New Roman" w:hAnsi="Times New Roman" w:cs="Times New Roman"/>
          <w:sz w:val="24"/>
          <w:szCs w:val="24"/>
        </w:rPr>
        <w:t xml:space="preserve"> a</w:t>
      </w:r>
      <w:r w:rsidR="0060730A" w:rsidRPr="009D52EB">
        <w:rPr>
          <w:rFonts w:ascii="Times New Roman" w:hAnsi="Times New Roman" w:cs="Times New Roman"/>
          <w:sz w:val="24"/>
          <w:szCs w:val="24"/>
        </w:rPr>
        <w:t xml:space="preserve"> higher energy intensity for ethylene production in </w:t>
      </w:r>
      <w:r w:rsidR="004A7ADC">
        <w:rPr>
          <w:rFonts w:ascii="Times New Roman" w:hAnsi="Times New Roman" w:cs="Times New Roman"/>
          <w:sz w:val="24"/>
          <w:szCs w:val="24"/>
        </w:rPr>
        <w:t>SC-BPMEA</w:t>
      </w:r>
      <w:r w:rsidR="0060730A" w:rsidRPr="009D52EB">
        <w:rPr>
          <w:rFonts w:ascii="Times New Roman" w:hAnsi="Times New Roman" w:cs="Times New Roman"/>
          <w:sz w:val="24"/>
          <w:szCs w:val="24"/>
        </w:rPr>
        <w:t>.</w:t>
      </w:r>
    </w:p>
    <w:p w14:paraId="0668E571" w14:textId="6C5892FB" w:rsidR="00783B9A" w:rsidRPr="00805810" w:rsidRDefault="00DA75C3" w:rsidP="002E47F3">
      <w:pPr>
        <w:jc w:val="center"/>
        <w:rPr>
          <w:rFonts w:ascii="Times New Roman" w:hAnsi="Times New Roman" w:cs="Times New Roman"/>
          <w:sz w:val="24"/>
          <w:szCs w:val="24"/>
        </w:rPr>
      </w:pPr>
      <w:r>
        <w:rPr>
          <w:noProof/>
        </w:rPr>
        <w:drawing>
          <wp:inline distT="0" distB="0" distL="0" distR="0" wp14:anchorId="4A230297" wp14:editId="3661B26C">
            <wp:extent cx="5943600" cy="47440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744085"/>
                    </a:xfrm>
                    <a:prstGeom prst="rect">
                      <a:avLst/>
                    </a:prstGeom>
                    <a:noFill/>
                    <a:ln>
                      <a:noFill/>
                    </a:ln>
                  </pic:spPr>
                </pic:pic>
              </a:graphicData>
            </a:graphic>
          </wp:inline>
        </w:drawing>
      </w:r>
    </w:p>
    <w:p w14:paraId="79BB9DAD" w14:textId="16CD1993" w:rsidR="00F17DD8" w:rsidRPr="009D52EB" w:rsidRDefault="00DE0DCA" w:rsidP="00CA1ECB">
      <w:pPr>
        <w:jc w:val="both"/>
        <w:rPr>
          <w:rFonts w:ascii="Times New Roman" w:hAnsi="Times New Roman" w:cs="Times New Roman"/>
          <w:sz w:val="20"/>
          <w:szCs w:val="24"/>
        </w:rPr>
      </w:pPr>
      <w:r>
        <w:rPr>
          <w:rFonts w:ascii="Times New Roman" w:hAnsi="Times New Roman" w:cs="Times New Roman"/>
          <w:b/>
          <w:bCs/>
          <w:sz w:val="20"/>
          <w:szCs w:val="24"/>
        </w:rPr>
        <w:t>Supplementary Fig.</w:t>
      </w:r>
      <w:r w:rsidR="00783B9A" w:rsidRPr="009D52EB">
        <w:rPr>
          <w:rFonts w:ascii="Times New Roman" w:hAnsi="Times New Roman" w:cs="Times New Roman"/>
          <w:b/>
          <w:bCs/>
          <w:sz w:val="20"/>
          <w:szCs w:val="24"/>
        </w:rPr>
        <w:t xml:space="preserve"> </w:t>
      </w:r>
      <w:r w:rsidR="00F97EEA">
        <w:rPr>
          <w:rFonts w:ascii="Times New Roman" w:hAnsi="Times New Roman" w:cs="Times New Roman"/>
          <w:b/>
          <w:bCs/>
          <w:sz w:val="20"/>
          <w:szCs w:val="24"/>
        </w:rPr>
        <w:t>8 |</w:t>
      </w:r>
      <w:r w:rsidR="00783B9A" w:rsidRPr="009D52EB">
        <w:rPr>
          <w:rFonts w:ascii="Times New Roman" w:hAnsi="Times New Roman" w:cs="Times New Roman"/>
          <w:b/>
          <w:bCs/>
          <w:sz w:val="20"/>
          <w:szCs w:val="24"/>
        </w:rPr>
        <w:t xml:space="preserve"> </w:t>
      </w:r>
      <w:r w:rsidR="000C6106">
        <w:rPr>
          <w:rFonts w:ascii="Times New Roman" w:hAnsi="Times New Roman" w:cs="Times New Roman"/>
          <w:sz w:val="20"/>
          <w:szCs w:val="24"/>
        </w:rPr>
        <w:t>Finite-element numerical</w:t>
      </w:r>
      <w:r w:rsidR="00783B9A" w:rsidRPr="009D52EB">
        <w:rPr>
          <w:rFonts w:ascii="Times New Roman" w:hAnsi="Times New Roman" w:cs="Times New Roman"/>
          <w:sz w:val="20"/>
          <w:szCs w:val="24"/>
        </w:rPr>
        <w:t xml:space="preserve"> simulation results of the stationary catholyte layers with 1 M KHCO</w:t>
      </w:r>
      <w:r w:rsidR="00783B9A" w:rsidRPr="009D52EB">
        <w:rPr>
          <w:rFonts w:ascii="Times New Roman" w:hAnsi="Times New Roman" w:cs="Times New Roman"/>
          <w:sz w:val="20"/>
          <w:szCs w:val="24"/>
          <w:vertAlign w:val="subscript"/>
        </w:rPr>
        <w:t>3</w:t>
      </w:r>
      <w:r w:rsidR="00783B9A" w:rsidRPr="009D52EB">
        <w:rPr>
          <w:rFonts w:ascii="Times New Roman" w:hAnsi="Times New Roman" w:cs="Times New Roman"/>
          <w:sz w:val="20"/>
          <w:szCs w:val="24"/>
        </w:rPr>
        <w:t xml:space="preserve"> and thickness from 250 to 16 μm. </w:t>
      </w:r>
      <w:r w:rsidR="00937AD3" w:rsidRPr="009D52EB">
        <w:rPr>
          <w:rFonts w:ascii="Times New Roman" w:hAnsi="Times New Roman" w:cs="Times New Roman"/>
          <w:sz w:val="20"/>
          <w:szCs w:val="24"/>
        </w:rPr>
        <w:t>(</w:t>
      </w:r>
      <w:r w:rsidR="005F29A3">
        <w:rPr>
          <w:rFonts w:ascii="Times New Roman" w:hAnsi="Times New Roman" w:cs="Times New Roman"/>
          <w:sz w:val="20"/>
          <w:szCs w:val="24"/>
        </w:rPr>
        <w:t>a</w:t>
      </w:r>
      <w:r w:rsidR="00937AD3" w:rsidRPr="009D52EB">
        <w:rPr>
          <w:rFonts w:ascii="Times New Roman" w:hAnsi="Times New Roman" w:cs="Times New Roman"/>
          <w:sz w:val="20"/>
          <w:szCs w:val="24"/>
        </w:rPr>
        <w:t>) The pH</w:t>
      </w:r>
      <w:r w:rsidR="000C6106">
        <w:rPr>
          <w:rFonts w:ascii="Times New Roman" w:hAnsi="Times New Roman" w:cs="Times New Roman"/>
          <w:sz w:val="20"/>
          <w:szCs w:val="24"/>
        </w:rPr>
        <w:t xml:space="preserve"> profiles</w:t>
      </w:r>
      <w:r w:rsidR="00FE3D08">
        <w:rPr>
          <w:rFonts w:ascii="Times New Roman" w:hAnsi="Times New Roman" w:cs="Times New Roman"/>
          <w:sz w:val="20"/>
          <w:szCs w:val="24"/>
        </w:rPr>
        <w:t>.</w:t>
      </w:r>
      <w:r w:rsidR="00937AD3" w:rsidRPr="009D52EB">
        <w:rPr>
          <w:rFonts w:ascii="Times New Roman" w:hAnsi="Times New Roman" w:cs="Times New Roman"/>
          <w:sz w:val="20"/>
          <w:szCs w:val="24"/>
        </w:rPr>
        <w:t xml:space="preserve"> (</w:t>
      </w:r>
      <w:r w:rsidR="005F29A3">
        <w:rPr>
          <w:rFonts w:ascii="Times New Roman" w:hAnsi="Times New Roman" w:cs="Times New Roman"/>
          <w:sz w:val="20"/>
          <w:szCs w:val="24"/>
        </w:rPr>
        <w:t>b</w:t>
      </w:r>
      <w:r w:rsidR="00937AD3" w:rsidRPr="009D52EB">
        <w:rPr>
          <w:rFonts w:ascii="Times New Roman" w:hAnsi="Times New Roman" w:cs="Times New Roman"/>
          <w:sz w:val="20"/>
          <w:szCs w:val="24"/>
        </w:rPr>
        <w:t xml:space="preserve">) The </w:t>
      </w:r>
      <w:r w:rsidR="00FE3D08">
        <w:rPr>
          <w:rFonts w:ascii="Times New Roman" w:hAnsi="Times New Roman" w:cs="Times New Roman"/>
          <w:sz w:val="20"/>
          <w:szCs w:val="24"/>
        </w:rPr>
        <w:t>dissolved</w:t>
      </w:r>
      <w:r w:rsidR="00937AD3" w:rsidRPr="009D52EB">
        <w:rPr>
          <w:rFonts w:ascii="Times New Roman" w:hAnsi="Times New Roman" w:cs="Times New Roman"/>
          <w:sz w:val="20"/>
          <w:szCs w:val="24"/>
        </w:rPr>
        <w:t xml:space="preserve"> CO</w:t>
      </w:r>
      <w:r w:rsidR="00937AD3" w:rsidRPr="009D52EB">
        <w:rPr>
          <w:rFonts w:ascii="Times New Roman" w:hAnsi="Times New Roman" w:cs="Times New Roman"/>
          <w:sz w:val="20"/>
          <w:szCs w:val="24"/>
          <w:vertAlign w:val="subscript"/>
        </w:rPr>
        <w:t xml:space="preserve">2 </w:t>
      </w:r>
      <w:r w:rsidR="00052AA2" w:rsidRPr="009D52EB">
        <w:rPr>
          <w:rFonts w:ascii="Times New Roman" w:hAnsi="Times New Roman" w:cs="Times New Roman"/>
          <w:sz w:val="20"/>
          <w:szCs w:val="24"/>
        </w:rPr>
        <w:t>(aq.)</w:t>
      </w:r>
      <w:r w:rsidR="00FE3D08">
        <w:rPr>
          <w:rFonts w:ascii="Times New Roman" w:hAnsi="Times New Roman" w:cs="Times New Roman"/>
          <w:sz w:val="20"/>
          <w:szCs w:val="24"/>
        </w:rPr>
        <w:t xml:space="preserve"> concentration profiles</w:t>
      </w:r>
      <w:r w:rsidR="00937AD3" w:rsidRPr="009D52EB">
        <w:rPr>
          <w:rFonts w:ascii="Times New Roman" w:hAnsi="Times New Roman" w:cs="Times New Roman"/>
          <w:sz w:val="20"/>
          <w:szCs w:val="24"/>
        </w:rPr>
        <w:t xml:space="preserve">. </w:t>
      </w:r>
      <w:r w:rsidR="00783B9A" w:rsidRPr="009D52EB">
        <w:rPr>
          <w:rFonts w:ascii="Times New Roman" w:hAnsi="Times New Roman" w:cs="Times New Roman"/>
          <w:sz w:val="20"/>
          <w:szCs w:val="24"/>
        </w:rPr>
        <w:t>(</w:t>
      </w:r>
      <w:r w:rsidR="005F29A3">
        <w:rPr>
          <w:rFonts w:ascii="Times New Roman" w:hAnsi="Times New Roman" w:cs="Times New Roman"/>
          <w:sz w:val="20"/>
          <w:szCs w:val="24"/>
        </w:rPr>
        <w:t>c</w:t>
      </w:r>
      <w:r w:rsidR="00783B9A" w:rsidRPr="009D52EB">
        <w:rPr>
          <w:rFonts w:ascii="Times New Roman" w:hAnsi="Times New Roman" w:cs="Times New Roman"/>
          <w:sz w:val="20"/>
          <w:szCs w:val="24"/>
        </w:rPr>
        <w:t>) The carbonate</w:t>
      </w:r>
      <w:r w:rsidR="00FE3D08">
        <w:rPr>
          <w:rFonts w:ascii="Times New Roman" w:hAnsi="Times New Roman" w:cs="Times New Roman"/>
          <w:sz w:val="20"/>
          <w:szCs w:val="24"/>
        </w:rPr>
        <w:t xml:space="preserve"> concentration profiles.</w:t>
      </w:r>
      <w:r w:rsidR="00783B9A" w:rsidRPr="009D52EB">
        <w:rPr>
          <w:rFonts w:ascii="Times New Roman" w:hAnsi="Times New Roman" w:cs="Times New Roman"/>
          <w:sz w:val="20"/>
          <w:szCs w:val="24"/>
        </w:rPr>
        <w:t xml:space="preserve"> (</w:t>
      </w:r>
      <w:r w:rsidR="005F29A3">
        <w:rPr>
          <w:rFonts w:ascii="Times New Roman" w:hAnsi="Times New Roman" w:cs="Times New Roman"/>
          <w:sz w:val="20"/>
          <w:szCs w:val="24"/>
        </w:rPr>
        <w:t>d</w:t>
      </w:r>
      <w:r w:rsidR="00783B9A" w:rsidRPr="009D52EB">
        <w:rPr>
          <w:rFonts w:ascii="Times New Roman" w:hAnsi="Times New Roman" w:cs="Times New Roman"/>
          <w:sz w:val="20"/>
          <w:szCs w:val="24"/>
        </w:rPr>
        <w:t>) The bicarbonate</w:t>
      </w:r>
      <w:r w:rsidR="00FE3D08">
        <w:rPr>
          <w:rFonts w:ascii="Times New Roman" w:hAnsi="Times New Roman" w:cs="Times New Roman"/>
          <w:sz w:val="20"/>
          <w:szCs w:val="24"/>
        </w:rPr>
        <w:t xml:space="preserve"> </w:t>
      </w:r>
      <w:r w:rsidR="00674E9B">
        <w:rPr>
          <w:rFonts w:ascii="Times New Roman" w:hAnsi="Times New Roman" w:cs="Times New Roman"/>
          <w:sz w:val="20"/>
          <w:szCs w:val="24"/>
        </w:rPr>
        <w:t>concentration profiles.</w:t>
      </w:r>
    </w:p>
    <w:p w14:paraId="7B55AE7F" w14:textId="13DD21F4" w:rsidR="00F17DD8" w:rsidRPr="00805810" w:rsidRDefault="003C0B0B" w:rsidP="002E47F3">
      <w:pPr>
        <w:jc w:val="center"/>
        <w:rPr>
          <w:rFonts w:ascii="Times New Roman" w:hAnsi="Times New Roman" w:cs="Times New Roman"/>
          <w:sz w:val="24"/>
          <w:szCs w:val="24"/>
        </w:rPr>
      </w:pPr>
      <w:r>
        <w:rPr>
          <w:noProof/>
        </w:rPr>
        <w:lastRenderedPageBreak/>
        <w:drawing>
          <wp:inline distT="0" distB="0" distL="0" distR="0" wp14:anchorId="6B2AB56F" wp14:editId="3BA85942">
            <wp:extent cx="5943600" cy="519493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5194935"/>
                    </a:xfrm>
                    <a:prstGeom prst="rect">
                      <a:avLst/>
                    </a:prstGeom>
                    <a:noFill/>
                    <a:ln>
                      <a:noFill/>
                    </a:ln>
                  </pic:spPr>
                </pic:pic>
              </a:graphicData>
            </a:graphic>
          </wp:inline>
        </w:drawing>
      </w:r>
    </w:p>
    <w:p w14:paraId="211432E1" w14:textId="13557109" w:rsidR="00277905" w:rsidRPr="009D52EB" w:rsidRDefault="00DE0DCA" w:rsidP="00F17DD8">
      <w:pPr>
        <w:jc w:val="both"/>
        <w:rPr>
          <w:rFonts w:ascii="Times New Roman" w:hAnsi="Times New Roman" w:cs="Times New Roman"/>
          <w:sz w:val="20"/>
          <w:szCs w:val="20"/>
        </w:rPr>
      </w:pPr>
      <w:r>
        <w:rPr>
          <w:rFonts w:ascii="Times New Roman" w:hAnsi="Times New Roman" w:cs="Times New Roman"/>
          <w:b/>
          <w:bCs/>
          <w:sz w:val="20"/>
          <w:szCs w:val="20"/>
        </w:rPr>
        <w:t>Supplementary Fig.</w:t>
      </w:r>
      <w:r w:rsidR="00F17DD8" w:rsidRPr="009D52EB">
        <w:rPr>
          <w:rFonts w:ascii="Times New Roman" w:hAnsi="Times New Roman" w:cs="Times New Roman"/>
          <w:b/>
          <w:bCs/>
          <w:sz w:val="20"/>
          <w:szCs w:val="20"/>
        </w:rPr>
        <w:t xml:space="preserve"> </w:t>
      </w:r>
      <w:r w:rsidR="007C6855">
        <w:rPr>
          <w:rFonts w:ascii="Times New Roman" w:hAnsi="Times New Roman" w:cs="Times New Roman"/>
          <w:b/>
          <w:bCs/>
          <w:sz w:val="20"/>
          <w:szCs w:val="20"/>
        </w:rPr>
        <w:t>9 |</w:t>
      </w:r>
      <w:r w:rsidR="00F17DD8" w:rsidRPr="009D52EB">
        <w:rPr>
          <w:rFonts w:ascii="Times New Roman" w:hAnsi="Times New Roman" w:cs="Times New Roman"/>
          <w:sz w:val="20"/>
          <w:szCs w:val="20"/>
        </w:rPr>
        <w:t xml:space="preserve"> The CO</w:t>
      </w:r>
      <w:r w:rsidR="00F17DD8" w:rsidRPr="009D52EB">
        <w:rPr>
          <w:rFonts w:ascii="Times New Roman" w:hAnsi="Times New Roman" w:cs="Times New Roman"/>
          <w:sz w:val="20"/>
          <w:szCs w:val="20"/>
          <w:vertAlign w:val="subscript"/>
        </w:rPr>
        <w:t>2</w:t>
      </w:r>
      <w:r w:rsidR="00F17DD8" w:rsidRPr="009D52EB">
        <w:rPr>
          <w:rFonts w:ascii="Times New Roman" w:hAnsi="Times New Roman" w:cs="Times New Roman"/>
          <w:sz w:val="20"/>
          <w:szCs w:val="20"/>
        </w:rPr>
        <w:t xml:space="preserve">RR performance of </w:t>
      </w:r>
      <w:r w:rsidR="004A7ADC">
        <w:rPr>
          <w:rFonts w:ascii="Times New Roman" w:hAnsi="Times New Roman" w:cs="Times New Roman"/>
          <w:sz w:val="20"/>
          <w:szCs w:val="20"/>
        </w:rPr>
        <w:t>SC-BPMEA</w:t>
      </w:r>
      <w:r w:rsidR="00F17DD8" w:rsidRPr="009D52EB">
        <w:rPr>
          <w:rFonts w:ascii="Times New Roman" w:hAnsi="Times New Roman" w:cs="Times New Roman"/>
          <w:sz w:val="20"/>
          <w:szCs w:val="20"/>
        </w:rPr>
        <w:t xml:space="preserve"> with 1 M KHCO</w:t>
      </w:r>
      <w:r w:rsidR="00F17DD8" w:rsidRPr="009D52EB">
        <w:rPr>
          <w:rFonts w:ascii="Times New Roman" w:hAnsi="Times New Roman" w:cs="Times New Roman"/>
          <w:sz w:val="20"/>
          <w:szCs w:val="20"/>
          <w:vertAlign w:val="subscript"/>
        </w:rPr>
        <w:t>3</w:t>
      </w:r>
      <w:r w:rsidR="00F17DD8" w:rsidRPr="009D52EB">
        <w:rPr>
          <w:rFonts w:ascii="Times New Roman" w:hAnsi="Times New Roman" w:cs="Times New Roman"/>
          <w:sz w:val="20"/>
          <w:szCs w:val="20"/>
        </w:rPr>
        <w:t xml:space="preserve"> as the catholyte. (</w:t>
      </w:r>
      <w:r w:rsidR="00B863A7">
        <w:rPr>
          <w:rFonts w:ascii="Times New Roman" w:hAnsi="Times New Roman" w:cs="Times New Roman"/>
          <w:sz w:val="20"/>
          <w:szCs w:val="20"/>
        </w:rPr>
        <w:t>a</w:t>
      </w:r>
      <w:r w:rsidR="00F17DD8" w:rsidRPr="009D52EB">
        <w:rPr>
          <w:rFonts w:ascii="Times New Roman" w:hAnsi="Times New Roman" w:cs="Times New Roman"/>
          <w:sz w:val="20"/>
          <w:szCs w:val="20"/>
        </w:rPr>
        <w:t>) The dependence of cell voltage with different catholyte thicknesses. (B-C) The dependence of gas FE on the current density for the catholyte thickness</w:t>
      </w:r>
      <w:r w:rsidR="00A73668" w:rsidRPr="009D52EB">
        <w:rPr>
          <w:rFonts w:ascii="Times New Roman" w:hAnsi="Times New Roman" w:cs="Times New Roman"/>
          <w:sz w:val="20"/>
          <w:szCs w:val="20"/>
        </w:rPr>
        <w:t>es</w:t>
      </w:r>
      <w:r w:rsidR="00F17DD8" w:rsidRPr="009D52EB">
        <w:rPr>
          <w:rFonts w:ascii="Times New Roman" w:hAnsi="Times New Roman" w:cs="Times New Roman"/>
          <w:sz w:val="20"/>
          <w:szCs w:val="20"/>
        </w:rPr>
        <w:t xml:space="preserve"> of 65</w:t>
      </w:r>
      <w:r w:rsidR="000C6106">
        <w:rPr>
          <w:rFonts w:ascii="Times New Roman" w:hAnsi="Times New Roman" w:cs="Times New Roman"/>
          <w:sz w:val="20"/>
          <w:szCs w:val="20"/>
        </w:rPr>
        <w:t xml:space="preserve"> </w:t>
      </w:r>
      <w:r w:rsidR="00F17DD8" w:rsidRPr="009D52EB">
        <w:rPr>
          <w:rFonts w:ascii="Times New Roman" w:hAnsi="Times New Roman" w:cs="Times New Roman"/>
          <w:sz w:val="20"/>
          <w:szCs w:val="20"/>
        </w:rPr>
        <w:t>(</w:t>
      </w:r>
      <w:r w:rsidR="00B863A7">
        <w:rPr>
          <w:rFonts w:ascii="Times New Roman" w:hAnsi="Times New Roman" w:cs="Times New Roman"/>
          <w:sz w:val="20"/>
          <w:szCs w:val="20"/>
        </w:rPr>
        <w:t>b</w:t>
      </w:r>
      <w:r w:rsidR="00F17DD8" w:rsidRPr="009D52EB">
        <w:rPr>
          <w:rFonts w:ascii="Times New Roman" w:hAnsi="Times New Roman" w:cs="Times New Roman"/>
          <w:sz w:val="20"/>
          <w:szCs w:val="20"/>
        </w:rPr>
        <w:t>) and 16 μm (</w:t>
      </w:r>
      <w:r w:rsidR="00B863A7">
        <w:rPr>
          <w:rFonts w:ascii="Times New Roman" w:hAnsi="Times New Roman" w:cs="Times New Roman"/>
          <w:sz w:val="20"/>
          <w:szCs w:val="20"/>
        </w:rPr>
        <w:t>c</w:t>
      </w:r>
      <w:r w:rsidR="00F17DD8" w:rsidRPr="009D52EB">
        <w:rPr>
          <w:rFonts w:ascii="Times New Roman" w:hAnsi="Times New Roman" w:cs="Times New Roman"/>
          <w:sz w:val="20"/>
          <w:szCs w:val="20"/>
        </w:rPr>
        <w:t xml:space="preserve">). In all measurements, the temperature is 35 </w:t>
      </w:r>
      <w:r w:rsidR="00F17DD8" w:rsidRPr="009D52EB">
        <w:rPr>
          <w:rFonts w:ascii="Times New Roman" w:hAnsi="Times New Roman" w:cs="Times New Roman"/>
          <w:sz w:val="20"/>
          <w:szCs w:val="20"/>
          <w:vertAlign w:val="superscript"/>
        </w:rPr>
        <w:t>o</w:t>
      </w:r>
      <w:r w:rsidR="00F17DD8" w:rsidRPr="009D52EB">
        <w:rPr>
          <w:rFonts w:ascii="Times New Roman" w:hAnsi="Times New Roman" w:cs="Times New Roman"/>
          <w:sz w:val="20"/>
          <w:szCs w:val="20"/>
        </w:rPr>
        <w:t>C, the anolyte is 0.1</w:t>
      </w:r>
      <w:r w:rsidR="00C83403" w:rsidRPr="009D52EB">
        <w:rPr>
          <w:rFonts w:ascii="Times New Roman" w:hAnsi="Times New Roman" w:cs="Times New Roman"/>
          <w:sz w:val="20"/>
          <w:szCs w:val="20"/>
        </w:rPr>
        <w:t xml:space="preserve"> </w:t>
      </w:r>
      <w:r w:rsidR="00F17DD8" w:rsidRPr="009D52EB">
        <w:rPr>
          <w:rFonts w:ascii="Times New Roman" w:hAnsi="Times New Roman" w:cs="Times New Roman"/>
          <w:sz w:val="20"/>
          <w:szCs w:val="20"/>
        </w:rPr>
        <w:t>M KHCO</w:t>
      </w:r>
      <w:r w:rsidR="00F17DD8" w:rsidRPr="009D52EB">
        <w:rPr>
          <w:rFonts w:ascii="Times New Roman" w:hAnsi="Times New Roman" w:cs="Times New Roman"/>
          <w:sz w:val="20"/>
          <w:szCs w:val="20"/>
          <w:vertAlign w:val="subscript"/>
        </w:rPr>
        <w:t>3</w:t>
      </w:r>
      <w:r w:rsidR="00F17DD8" w:rsidRPr="009D52EB">
        <w:rPr>
          <w:rFonts w:ascii="Times New Roman" w:hAnsi="Times New Roman" w:cs="Times New Roman"/>
          <w:sz w:val="20"/>
          <w:szCs w:val="20"/>
        </w:rPr>
        <w:t xml:space="preserve"> (pH = 8.2)</w:t>
      </w:r>
      <w:r w:rsidR="009430EF" w:rsidRPr="009D52EB">
        <w:rPr>
          <w:rFonts w:ascii="Times New Roman" w:hAnsi="Times New Roman" w:cs="Times New Roman"/>
          <w:sz w:val="20"/>
          <w:szCs w:val="20"/>
        </w:rPr>
        <w:t>,</w:t>
      </w:r>
      <w:r w:rsidR="00F17DD8" w:rsidRPr="009D52EB">
        <w:rPr>
          <w:rFonts w:ascii="Times New Roman" w:hAnsi="Times New Roman" w:cs="Times New Roman"/>
          <w:sz w:val="20"/>
          <w:szCs w:val="20"/>
        </w:rPr>
        <w:t xml:space="preserve"> and the CO</w:t>
      </w:r>
      <w:r w:rsidR="00F17DD8" w:rsidRPr="009D52EB">
        <w:rPr>
          <w:rFonts w:ascii="Times New Roman" w:hAnsi="Times New Roman" w:cs="Times New Roman"/>
          <w:sz w:val="20"/>
          <w:szCs w:val="20"/>
          <w:vertAlign w:val="subscript"/>
        </w:rPr>
        <w:t>2</w:t>
      </w:r>
      <w:r w:rsidR="00F17DD8" w:rsidRPr="009D52EB">
        <w:rPr>
          <w:rFonts w:ascii="Times New Roman" w:hAnsi="Times New Roman" w:cs="Times New Roman"/>
          <w:sz w:val="20"/>
          <w:szCs w:val="20"/>
        </w:rPr>
        <w:t xml:space="preserve"> inlet flow rate is 1</w:t>
      </w:r>
      <w:r w:rsidR="00231FDD" w:rsidRPr="009D52EB">
        <w:rPr>
          <w:rFonts w:ascii="Times New Roman" w:hAnsi="Times New Roman" w:cs="Times New Roman"/>
          <w:sz w:val="20"/>
          <w:szCs w:val="20"/>
        </w:rPr>
        <w:t>0</w:t>
      </w:r>
      <w:r w:rsidR="00F17DD8" w:rsidRPr="009D52EB">
        <w:rPr>
          <w:rFonts w:ascii="Times New Roman" w:hAnsi="Times New Roman" w:cs="Times New Roman"/>
          <w:sz w:val="20"/>
          <w:szCs w:val="20"/>
        </w:rPr>
        <w:t xml:space="preserve"> sccm</w:t>
      </w:r>
      <w:r w:rsidR="00231FDD" w:rsidRPr="009D52EB">
        <w:rPr>
          <w:rFonts w:ascii="Times New Roman" w:hAnsi="Times New Roman" w:cs="Times New Roman"/>
          <w:sz w:val="20"/>
          <w:szCs w:val="20"/>
        </w:rPr>
        <w:t xml:space="preserve"> cm</w:t>
      </w:r>
      <w:r w:rsidR="00231FDD" w:rsidRPr="009D52EB">
        <w:rPr>
          <w:rFonts w:ascii="Times New Roman" w:hAnsi="Times New Roman" w:cs="Times New Roman"/>
          <w:sz w:val="20"/>
          <w:szCs w:val="20"/>
          <w:vertAlign w:val="superscript"/>
        </w:rPr>
        <w:t>-2</w:t>
      </w:r>
      <w:r w:rsidR="002E47F3" w:rsidRPr="009D52EB">
        <w:rPr>
          <w:rFonts w:ascii="Times New Roman" w:hAnsi="Times New Roman" w:cs="Times New Roman"/>
          <w:sz w:val="20"/>
          <w:szCs w:val="20"/>
        </w:rPr>
        <w:t xml:space="preserve"> (normalized by electrode area)</w:t>
      </w:r>
      <w:r w:rsidR="00F17DD8" w:rsidRPr="009D52EB">
        <w:rPr>
          <w:rFonts w:ascii="Times New Roman" w:hAnsi="Times New Roman" w:cs="Times New Roman"/>
          <w:sz w:val="20"/>
          <w:szCs w:val="20"/>
        </w:rPr>
        <w:t>.</w:t>
      </w:r>
    </w:p>
    <w:p w14:paraId="79CCBDB1" w14:textId="77777777" w:rsidR="00277905" w:rsidRPr="009D52EB" w:rsidRDefault="00277905">
      <w:pPr>
        <w:rPr>
          <w:rFonts w:ascii="Times New Roman" w:hAnsi="Times New Roman" w:cs="Times New Roman"/>
          <w:sz w:val="24"/>
          <w:szCs w:val="24"/>
        </w:rPr>
      </w:pPr>
      <w:r w:rsidRPr="009D52EB">
        <w:rPr>
          <w:rFonts w:ascii="Times New Roman" w:hAnsi="Times New Roman" w:cs="Times New Roman"/>
          <w:sz w:val="24"/>
          <w:szCs w:val="24"/>
        </w:rPr>
        <w:br w:type="page"/>
      </w:r>
    </w:p>
    <w:p w14:paraId="1927419A" w14:textId="77777777" w:rsidR="00F17DD8" w:rsidRPr="00805810" w:rsidRDefault="00F17DD8" w:rsidP="00F17DD8">
      <w:pPr>
        <w:jc w:val="center"/>
        <w:rPr>
          <w:rFonts w:ascii="Times New Roman" w:hAnsi="Times New Roman" w:cs="Times New Roman"/>
          <w:sz w:val="24"/>
          <w:szCs w:val="24"/>
        </w:rPr>
      </w:pPr>
      <w:r w:rsidRPr="00805810">
        <w:rPr>
          <w:noProof/>
          <w:lang w:eastAsia="en-US"/>
        </w:rPr>
        <w:lastRenderedPageBreak/>
        <w:drawing>
          <wp:inline distT="0" distB="0" distL="0" distR="0" wp14:anchorId="6DAA5437" wp14:editId="3A6DAFE7">
            <wp:extent cx="4413250" cy="1525307"/>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34982" cy="1532818"/>
                    </a:xfrm>
                    <a:prstGeom prst="rect">
                      <a:avLst/>
                    </a:prstGeom>
                    <a:noFill/>
                    <a:ln>
                      <a:noFill/>
                    </a:ln>
                  </pic:spPr>
                </pic:pic>
              </a:graphicData>
            </a:graphic>
          </wp:inline>
        </w:drawing>
      </w:r>
    </w:p>
    <w:p w14:paraId="120C7D00" w14:textId="1E5F7A69" w:rsidR="00F17DD8" w:rsidRPr="009D52EB" w:rsidRDefault="00DE0DCA" w:rsidP="00F17DD8">
      <w:pPr>
        <w:jc w:val="both"/>
        <w:rPr>
          <w:rFonts w:ascii="Times New Roman" w:hAnsi="Times New Roman" w:cs="Times New Roman"/>
          <w:sz w:val="20"/>
          <w:szCs w:val="20"/>
        </w:rPr>
      </w:pPr>
      <w:r>
        <w:rPr>
          <w:rFonts w:ascii="Times New Roman" w:hAnsi="Times New Roman" w:cs="Times New Roman"/>
          <w:b/>
          <w:bCs/>
          <w:sz w:val="20"/>
          <w:szCs w:val="20"/>
        </w:rPr>
        <w:t>Supplementary Fig.</w:t>
      </w:r>
      <w:r w:rsidR="00F17DD8" w:rsidRPr="009D52EB">
        <w:rPr>
          <w:rFonts w:ascii="Times New Roman" w:hAnsi="Times New Roman" w:cs="Times New Roman"/>
          <w:b/>
          <w:bCs/>
          <w:sz w:val="20"/>
          <w:szCs w:val="20"/>
        </w:rPr>
        <w:t xml:space="preserve"> </w:t>
      </w:r>
      <w:r w:rsidR="00DC3B18">
        <w:rPr>
          <w:rFonts w:ascii="Times New Roman" w:hAnsi="Times New Roman" w:cs="Times New Roman"/>
          <w:b/>
          <w:bCs/>
          <w:sz w:val="20"/>
          <w:szCs w:val="20"/>
        </w:rPr>
        <w:t>10 |</w:t>
      </w:r>
      <w:r w:rsidR="00BE17ED" w:rsidRPr="009D52EB">
        <w:rPr>
          <w:rFonts w:ascii="Times New Roman" w:hAnsi="Times New Roman" w:cs="Times New Roman"/>
          <w:sz w:val="20"/>
          <w:szCs w:val="20"/>
        </w:rPr>
        <w:t xml:space="preserve"> </w:t>
      </w:r>
      <w:r w:rsidR="00340256" w:rsidRPr="009D52EB">
        <w:rPr>
          <w:rFonts w:ascii="Times New Roman" w:hAnsi="Times New Roman" w:cs="Times New Roman"/>
          <w:sz w:val="20"/>
          <w:szCs w:val="20"/>
        </w:rPr>
        <w:t xml:space="preserve">Ethylene </w:t>
      </w:r>
      <w:r w:rsidR="00F17DD8" w:rsidRPr="009D52EB">
        <w:rPr>
          <w:rFonts w:ascii="Times New Roman" w:hAnsi="Times New Roman" w:cs="Times New Roman"/>
          <w:sz w:val="20"/>
          <w:szCs w:val="20"/>
        </w:rPr>
        <w:t xml:space="preserve">FE and cell voltage </w:t>
      </w:r>
      <w:r w:rsidR="00340256" w:rsidRPr="009D52EB">
        <w:rPr>
          <w:rFonts w:ascii="Times New Roman" w:hAnsi="Times New Roman" w:cs="Times New Roman"/>
          <w:sz w:val="20"/>
          <w:szCs w:val="20"/>
        </w:rPr>
        <w:t>during</w:t>
      </w:r>
      <w:r w:rsidR="00F17DD8" w:rsidRPr="009D52EB">
        <w:rPr>
          <w:rFonts w:ascii="Times New Roman" w:hAnsi="Times New Roman" w:cs="Times New Roman"/>
          <w:sz w:val="20"/>
          <w:szCs w:val="20"/>
        </w:rPr>
        <w:t xml:space="preserve"> extended operat</w:t>
      </w:r>
      <w:r w:rsidR="00340256" w:rsidRPr="009D52EB">
        <w:rPr>
          <w:rFonts w:ascii="Times New Roman" w:hAnsi="Times New Roman" w:cs="Times New Roman"/>
          <w:sz w:val="20"/>
          <w:szCs w:val="20"/>
        </w:rPr>
        <w:t>ion</w:t>
      </w:r>
      <w:r w:rsidR="00F17DD8" w:rsidRPr="009D52EB">
        <w:rPr>
          <w:rFonts w:ascii="Times New Roman" w:hAnsi="Times New Roman" w:cs="Times New Roman"/>
          <w:sz w:val="20"/>
          <w:szCs w:val="20"/>
        </w:rPr>
        <w:t xml:space="preserve"> </w:t>
      </w:r>
      <w:r w:rsidR="00340256" w:rsidRPr="009D52EB">
        <w:rPr>
          <w:rFonts w:ascii="Times New Roman" w:hAnsi="Times New Roman" w:cs="Times New Roman"/>
          <w:sz w:val="20"/>
          <w:szCs w:val="20"/>
        </w:rPr>
        <w:t xml:space="preserve">in </w:t>
      </w:r>
      <w:r w:rsidR="00F17DD8" w:rsidRPr="009D52EB">
        <w:rPr>
          <w:rFonts w:ascii="Times New Roman" w:hAnsi="Times New Roman" w:cs="Times New Roman"/>
          <w:sz w:val="20"/>
          <w:szCs w:val="20"/>
        </w:rPr>
        <w:t xml:space="preserve">the </w:t>
      </w:r>
      <w:r w:rsidR="004A7ADC">
        <w:rPr>
          <w:rFonts w:ascii="Times New Roman" w:hAnsi="Times New Roman" w:cs="Times New Roman"/>
          <w:sz w:val="20"/>
          <w:szCs w:val="20"/>
        </w:rPr>
        <w:t>SC-BPMEA</w:t>
      </w:r>
      <w:r w:rsidR="00F17DD8" w:rsidRPr="009D52EB">
        <w:rPr>
          <w:rFonts w:ascii="Times New Roman" w:hAnsi="Times New Roman" w:cs="Times New Roman"/>
          <w:sz w:val="20"/>
          <w:szCs w:val="20"/>
        </w:rPr>
        <w:t xml:space="preserve"> with 1</w:t>
      </w:r>
      <w:r w:rsidR="00715987">
        <w:rPr>
          <w:rFonts w:ascii="Times New Roman" w:hAnsi="Times New Roman" w:cs="Times New Roman"/>
          <w:sz w:val="20"/>
          <w:szCs w:val="20"/>
        </w:rPr>
        <w:t xml:space="preserve"> </w:t>
      </w:r>
      <w:r w:rsidR="00F17DD8" w:rsidRPr="009D52EB">
        <w:rPr>
          <w:rFonts w:ascii="Times New Roman" w:hAnsi="Times New Roman" w:cs="Times New Roman"/>
          <w:sz w:val="20"/>
          <w:szCs w:val="20"/>
        </w:rPr>
        <w:t>M KHCO</w:t>
      </w:r>
      <w:r w:rsidR="00F17DD8" w:rsidRPr="009D52EB">
        <w:rPr>
          <w:rFonts w:ascii="Times New Roman" w:hAnsi="Times New Roman" w:cs="Times New Roman"/>
          <w:sz w:val="20"/>
          <w:szCs w:val="20"/>
          <w:vertAlign w:val="subscript"/>
        </w:rPr>
        <w:t>3</w:t>
      </w:r>
      <w:r w:rsidR="00F17DD8" w:rsidRPr="009D52EB">
        <w:rPr>
          <w:rFonts w:ascii="Times New Roman" w:hAnsi="Times New Roman" w:cs="Times New Roman"/>
          <w:sz w:val="20"/>
          <w:szCs w:val="20"/>
        </w:rPr>
        <w:t xml:space="preserve"> in the stationary catholyte layer and 1</w:t>
      </w:r>
      <w:r w:rsidR="00715987">
        <w:rPr>
          <w:rFonts w:ascii="Times New Roman" w:hAnsi="Times New Roman" w:cs="Times New Roman"/>
          <w:sz w:val="20"/>
          <w:szCs w:val="20"/>
        </w:rPr>
        <w:t xml:space="preserve"> </w:t>
      </w:r>
      <w:r w:rsidR="00F17DD8" w:rsidRPr="009D52EB">
        <w:rPr>
          <w:rFonts w:ascii="Times New Roman" w:hAnsi="Times New Roman" w:cs="Times New Roman"/>
          <w:sz w:val="20"/>
          <w:szCs w:val="20"/>
        </w:rPr>
        <w:t>M KHCO</w:t>
      </w:r>
      <w:r w:rsidR="00F17DD8" w:rsidRPr="009D52EB">
        <w:rPr>
          <w:rFonts w:ascii="Times New Roman" w:hAnsi="Times New Roman" w:cs="Times New Roman"/>
          <w:sz w:val="20"/>
          <w:szCs w:val="20"/>
          <w:vertAlign w:val="subscript"/>
        </w:rPr>
        <w:t>3</w:t>
      </w:r>
      <w:r w:rsidR="00F17DD8" w:rsidRPr="009D52EB">
        <w:rPr>
          <w:rFonts w:ascii="Times New Roman" w:hAnsi="Times New Roman" w:cs="Times New Roman"/>
          <w:sz w:val="20"/>
          <w:szCs w:val="20"/>
        </w:rPr>
        <w:t xml:space="preserve"> as the anolyte (similar to the previous work</w:t>
      </w:r>
      <w:r w:rsidR="00F17DD8" w:rsidRPr="00E85E3D">
        <w:rPr>
          <w:rFonts w:ascii="Times New Roman" w:hAnsi="Times New Roman" w:cs="Times New Roman"/>
          <w:sz w:val="20"/>
          <w:szCs w:val="20"/>
        </w:rPr>
        <w:fldChar w:fldCharType="begin" w:fldLock="1"/>
      </w:r>
      <w:r w:rsidR="00D328F7">
        <w:rPr>
          <w:rFonts w:ascii="Times New Roman" w:hAnsi="Times New Roman" w:cs="Times New Roman"/>
          <w:sz w:val="20"/>
          <w:szCs w:val="20"/>
        </w:rPr>
        <w:instrText>ADDIN CSL_CITATION {"citationItems":[{"id":"ITEM-1","itemData":{"DOI":"10.1021/acsenergylett.7b01017","ISSN":"23808195","abstract":"The conversion of CO2 to CO is demonstrated in an electrolyzer flow cell containing a bipolar membrane at current densities of 200 mA/cm2 with a Faradaic efficiency of 50%. Electrolysis was carried out by delivering gaseous CO2 at the cathode with a silver catalyst integrated in a carbon-based gas diffusion layer. Nonprecious nickel foam in a strongly alkaline electrolyte (1 M NaOH) was used to mediate the anode reaction. While a configuration where the anode and cathode were separated by only a bipolar membrane was found to be unfavorable for robust CO2 reduction, a modified configuration with a solid-supported aqueous layer inserted between the silver-based catalyst layer and the bipolar membrane enhanced the cathode selectivity for CO2 reduction to CO. We report higher current densities (200 mA/cm2) than previously reported for gas-phase CO2 to CO electrolysis and demonstrate the dependence of long-term stability on adequate hydration of the CO2 inlet stream.","author":[{"dropping-particle":"","family":"Salvatore","given":"Danielle A.","non-dropping-particle":"","parse-names":false,"suffix":""},{"dropping-particle":"","family":"Weekes","given":"David M.","non-dropping-particle":"","parse-names":false,"suffix":""},{"dropping-particle":"","family":"He","given":"Jingfu","non-dropping-particle":"","parse-names":false,"suffix":""},{"dropping-particle":"","family":"Dettelbach","given":"Kevan E.","non-dropping-particle":"","parse-names":false,"suffix":""},{"dropping-particle":"","family":"Li","given":"Yuguang C.","non-dropping-particle":"","parse-names":false,"suffix":""},{"dropping-particle":"","family":"Mallouk","given":"Thomas E.","non-dropping-particle":"","parse-names":false,"suffix":""},{"dropping-particle":"","family":"Berlinguette","given":"Curtis P.","non-dropping-particle":"","parse-names":false,"suffix":""}],"container-title":"ACS Energy Letters","id":"ITEM-1","issue":"1","issued":{"date-parts":[["2018"]]},"page":"149-154","title":"Electrolysis of Gaseous CO2 to CO in a Flow Cell with a Bipolar Membrane","type":"article-journal","volume":"3"},"uris":["http://www.mendeley.com/documents/?uuid=ecf15113-c42a-4d2f-8631-f7b7ab592dc2"]}],"mendeley":{"formattedCitation":"&lt;sup&gt;24&lt;/sup&gt;","plainTextFormattedCitation":"24","previouslyFormattedCitation":"&lt;sup&gt;23&lt;/sup&gt;"},"properties":{"noteIndex":0},"schema":"https://github.com/citation-style-language/schema/raw/master/csl-citation.json"}</w:instrText>
      </w:r>
      <w:r w:rsidR="00F17DD8" w:rsidRPr="00E85E3D">
        <w:rPr>
          <w:rFonts w:ascii="Times New Roman" w:hAnsi="Times New Roman" w:cs="Times New Roman"/>
          <w:sz w:val="20"/>
          <w:szCs w:val="20"/>
        </w:rPr>
        <w:fldChar w:fldCharType="separate"/>
      </w:r>
      <w:r w:rsidR="00D328F7" w:rsidRPr="00D328F7">
        <w:rPr>
          <w:rFonts w:ascii="Times New Roman" w:hAnsi="Times New Roman" w:cs="Times New Roman"/>
          <w:noProof/>
          <w:sz w:val="20"/>
          <w:szCs w:val="20"/>
          <w:vertAlign w:val="superscript"/>
        </w:rPr>
        <w:t>24</w:t>
      </w:r>
      <w:r w:rsidR="00F17DD8" w:rsidRPr="00E85E3D">
        <w:rPr>
          <w:rFonts w:ascii="Times New Roman" w:hAnsi="Times New Roman" w:cs="Times New Roman"/>
          <w:sz w:val="20"/>
          <w:szCs w:val="20"/>
        </w:rPr>
        <w:fldChar w:fldCharType="end"/>
      </w:r>
      <w:r w:rsidR="00F17DD8" w:rsidRPr="00805810">
        <w:rPr>
          <w:rFonts w:ascii="Times New Roman" w:hAnsi="Times New Roman" w:cs="Times New Roman"/>
          <w:sz w:val="20"/>
          <w:szCs w:val="20"/>
        </w:rPr>
        <w:t xml:space="preserve">). The measurement was carried out at 20 </w:t>
      </w:r>
      <w:r w:rsidR="00F17DD8" w:rsidRPr="009D52EB">
        <w:rPr>
          <w:rFonts w:ascii="Times New Roman" w:hAnsi="Times New Roman" w:cs="Times New Roman"/>
          <w:sz w:val="20"/>
          <w:szCs w:val="20"/>
          <w:vertAlign w:val="superscript"/>
        </w:rPr>
        <w:t>o</w:t>
      </w:r>
      <w:r w:rsidR="00F17DD8" w:rsidRPr="009D52EB">
        <w:rPr>
          <w:rFonts w:ascii="Times New Roman" w:hAnsi="Times New Roman" w:cs="Times New Roman"/>
          <w:sz w:val="20"/>
          <w:szCs w:val="20"/>
        </w:rPr>
        <w:t>C with a CO</w:t>
      </w:r>
      <w:r w:rsidR="00F17DD8" w:rsidRPr="009D52EB">
        <w:rPr>
          <w:rFonts w:ascii="Times New Roman" w:hAnsi="Times New Roman" w:cs="Times New Roman"/>
          <w:sz w:val="20"/>
          <w:szCs w:val="20"/>
          <w:vertAlign w:val="subscript"/>
        </w:rPr>
        <w:t>2</w:t>
      </w:r>
      <w:r w:rsidR="00F17DD8" w:rsidRPr="009D52EB">
        <w:rPr>
          <w:rFonts w:ascii="Times New Roman" w:hAnsi="Times New Roman" w:cs="Times New Roman"/>
          <w:sz w:val="20"/>
          <w:szCs w:val="20"/>
        </w:rPr>
        <w:t xml:space="preserve"> flow </w:t>
      </w:r>
      <w:r w:rsidR="00340256" w:rsidRPr="009D52EB">
        <w:rPr>
          <w:rFonts w:ascii="Times New Roman" w:hAnsi="Times New Roman" w:cs="Times New Roman"/>
          <w:sz w:val="20"/>
          <w:szCs w:val="20"/>
        </w:rPr>
        <w:t xml:space="preserve">rate </w:t>
      </w:r>
      <w:r w:rsidR="00F17DD8" w:rsidRPr="009D52EB">
        <w:rPr>
          <w:rFonts w:ascii="Times New Roman" w:hAnsi="Times New Roman" w:cs="Times New Roman"/>
          <w:sz w:val="20"/>
          <w:szCs w:val="20"/>
        </w:rPr>
        <w:t xml:space="preserve">of </w:t>
      </w:r>
      <w:r w:rsidR="00F7616C" w:rsidRPr="009D52EB">
        <w:rPr>
          <w:rFonts w:ascii="Times New Roman" w:hAnsi="Times New Roman" w:cs="Times New Roman"/>
          <w:sz w:val="20"/>
          <w:szCs w:val="20"/>
        </w:rPr>
        <w:t>3</w:t>
      </w:r>
      <w:r w:rsidR="00F17DD8" w:rsidRPr="009D52EB">
        <w:rPr>
          <w:rFonts w:ascii="Times New Roman" w:hAnsi="Times New Roman" w:cs="Times New Roman"/>
          <w:sz w:val="20"/>
          <w:szCs w:val="20"/>
        </w:rPr>
        <w:t xml:space="preserve"> sccm </w:t>
      </w:r>
      <w:r w:rsidR="00357346" w:rsidRPr="009D52EB">
        <w:rPr>
          <w:rFonts w:ascii="Times New Roman" w:hAnsi="Times New Roman" w:cs="Times New Roman"/>
          <w:sz w:val="20"/>
          <w:szCs w:val="20"/>
        </w:rPr>
        <w:t>cm</w:t>
      </w:r>
      <w:r w:rsidR="00357346" w:rsidRPr="009D52EB">
        <w:rPr>
          <w:rFonts w:ascii="Times New Roman" w:hAnsi="Times New Roman" w:cs="Times New Roman"/>
          <w:sz w:val="20"/>
          <w:szCs w:val="20"/>
          <w:vertAlign w:val="superscript"/>
        </w:rPr>
        <w:t>-2</w:t>
      </w:r>
      <w:r w:rsidR="00357346" w:rsidRPr="009D52EB">
        <w:rPr>
          <w:rFonts w:ascii="Times New Roman" w:hAnsi="Times New Roman" w:cs="Times New Roman"/>
          <w:sz w:val="20"/>
          <w:szCs w:val="20"/>
        </w:rPr>
        <w:t xml:space="preserve"> </w:t>
      </w:r>
      <w:r w:rsidR="00F17DD8" w:rsidRPr="009D52EB">
        <w:rPr>
          <w:rFonts w:ascii="Times New Roman" w:hAnsi="Times New Roman" w:cs="Times New Roman"/>
          <w:sz w:val="20"/>
          <w:szCs w:val="20"/>
        </w:rPr>
        <w:t>and a current density of 100 mA cm</w:t>
      </w:r>
      <w:r w:rsidR="00F17DD8" w:rsidRPr="009D52EB">
        <w:rPr>
          <w:rFonts w:ascii="Times New Roman" w:hAnsi="Times New Roman" w:cs="Times New Roman"/>
          <w:sz w:val="20"/>
          <w:szCs w:val="20"/>
          <w:vertAlign w:val="superscript"/>
        </w:rPr>
        <w:t>-2</w:t>
      </w:r>
      <w:r w:rsidR="00F17DD8" w:rsidRPr="009D52EB">
        <w:rPr>
          <w:rFonts w:ascii="Times New Roman" w:hAnsi="Times New Roman" w:cs="Times New Roman"/>
          <w:sz w:val="20"/>
          <w:szCs w:val="20"/>
        </w:rPr>
        <w:t>.</w:t>
      </w:r>
    </w:p>
    <w:p w14:paraId="08579869" w14:textId="77777777" w:rsidR="00C83403" w:rsidRPr="009D52EB" w:rsidRDefault="00C83403" w:rsidP="00277905">
      <w:pPr>
        <w:jc w:val="both"/>
        <w:rPr>
          <w:rFonts w:ascii="Times New Roman" w:hAnsi="Times New Roman" w:cs="Times New Roman"/>
          <w:sz w:val="24"/>
          <w:szCs w:val="24"/>
        </w:rPr>
      </w:pPr>
    </w:p>
    <w:p w14:paraId="221B3432" w14:textId="4465B214" w:rsidR="00277905" w:rsidRPr="009D52EB" w:rsidRDefault="00277905" w:rsidP="00277905">
      <w:pPr>
        <w:jc w:val="both"/>
        <w:rPr>
          <w:rFonts w:ascii="Times New Roman" w:hAnsi="Times New Roman" w:cs="Times New Roman"/>
          <w:sz w:val="24"/>
          <w:szCs w:val="24"/>
        </w:rPr>
      </w:pPr>
      <w:r w:rsidRPr="009D52EB">
        <w:rPr>
          <w:rFonts w:ascii="Times New Roman" w:hAnsi="Times New Roman" w:cs="Times New Roman"/>
          <w:sz w:val="24"/>
          <w:szCs w:val="24"/>
        </w:rPr>
        <w:t>The COMSOL simulation</w:t>
      </w:r>
      <w:r w:rsidR="00C83403" w:rsidRPr="009D52EB">
        <w:rPr>
          <w:rFonts w:ascii="Times New Roman" w:hAnsi="Times New Roman" w:cs="Times New Roman"/>
          <w:sz w:val="24"/>
          <w:szCs w:val="24"/>
        </w:rPr>
        <w:t>s</w:t>
      </w:r>
      <w:r w:rsidRPr="009D52EB">
        <w:rPr>
          <w:rFonts w:ascii="Times New Roman" w:hAnsi="Times New Roman" w:cs="Times New Roman"/>
          <w:sz w:val="24"/>
          <w:szCs w:val="24"/>
        </w:rPr>
        <w:t xml:space="preserve"> suggest that the pH gradients (</w:t>
      </w:r>
      <w:r w:rsidR="00DE0DCA">
        <w:rPr>
          <w:rFonts w:ascii="Times New Roman" w:hAnsi="Times New Roman" w:cs="Times New Roman"/>
          <w:sz w:val="24"/>
          <w:szCs w:val="24"/>
        </w:rPr>
        <w:t>Supplementary Fig.</w:t>
      </w:r>
      <w:r w:rsidRPr="009D52EB">
        <w:rPr>
          <w:rFonts w:ascii="Times New Roman" w:hAnsi="Times New Roman" w:cs="Times New Roman"/>
          <w:sz w:val="24"/>
          <w:szCs w:val="24"/>
        </w:rPr>
        <w:t xml:space="preserve"> </w:t>
      </w:r>
      <w:r w:rsidR="004448A9">
        <w:rPr>
          <w:rFonts w:ascii="Times New Roman" w:hAnsi="Times New Roman" w:cs="Times New Roman"/>
          <w:sz w:val="24"/>
          <w:szCs w:val="24"/>
        </w:rPr>
        <w:t>8a</w:t>
      </w:r>
      <w:r w:rsidRPr="009D52EB">
        <w:rPr>
          <w:rFonts w:ascii="Times New Roman" w:hAnsi="Times New Roman" w:cs="Times New Roman"/>
          <w:sz w:val="24"/>
          <w:szCs w:val="24"/>
        </w:rPr>
        <w:t>) from cathode surface through the stationary catholyte layer in 1</w:t>
      </w:r>
      <w:r w:rsidR="00844097" w:rsidRPr="009D52EB">
        <w:rPr>
          <w:rFonts w:ascii="Times New Roman" w:hAnsi="Times New Roman" w:cs="Times New Roman"/>
          <w:sz w:val="24"/>
          <w:szCs w:val="24"/>
        </w:rPr>
        <w:t xml:space="preserve"> </w:t>
      </w:r>
      <w:r w:rsidRPr="009D52EB">
        <w:rPr>
          <w:rFonts w:ascii="Times New Roman" w:hAnsi="Times New Roman" w:cs="Times New Roman"/>
          <w:sz w:val="24"/>
          <w:szCs w:val="24"/>
        </w:rPr>
        <w:t>M KHCO</w:t>
      </w:r>
      <w:r w:rsidRPr="009D52EB">
        <w:rPr>
          <w:rFonts w:ascii="Times New Roman" w:hAnsi="Times New Roman" w:cs="Times New Roman"/>
          <w:sz w:val="24"/>
          <w:szCs w:val="24"/>
          <w:vertAlign w:val="subscript"/>
        </w:rPr>
        <w:t>3</w:t>
      </w:r>
      <w:r w:rsidRPr="009D52EB">
        <w:rPr>
          <w:rFonts w:ascii="Times New Roman" w:hAnsi="Times New Roman" w:cs="Times New Roman"/>
          <w:sz w:val="24"/>
          <w:szCs w:val="24"/>
        </w:rPr>
        <w:t xml:space="preserve"> (ca. 4 </w:t>
      </w:r>
      <w:r w:rsidR="00766CDD" w:rsidRPr="009D52EB">
        <w:rPr>
          <w:rFonts w:ascii="Times New Roman" w:hAnsi="Times New Roman" w:cs="Times New Roman"/>
          <w:sz w:val="24"/>
          <w:szCs w:val="24"/>
        </w:rPr>
        <w:t xml:space="preserve">pH units </w:t>
      </w:r>
      <w:r w:rsidRPr="009D52EB">
        <w:rPr>
          <w:rFonts w:ascii="Times New Roman" w:hAnsi="Times New Roman" w:cs="Times New Roman"/>
          <w:sz w:val="24"/>
          <w:szCs w:val="24"/>
        </w:rPr>
        <w:t xml:space="preserve">for 250, 125 and 65 μm, 6 </w:t>
      </w:r>
      <w:r w:rsidR="00766CDD" w:rsidRPr="009D52EB">
        <w:rPr>
          <w:rFonts w:ascii="Times New Roman" w:hAnsi="Times New Roman" w:cs="Times New Roman"/>
          <w:sz w:val="24"/>
          <w:szCs w:val="24"/>
        </w:rPr>
        <w:t xml:space="preserve">pH units </w:t>
      </w:r>
      <w:r w:rsidRPr="009D52EB">
        <w:rPr>
          <w:rFonts w:ascii="Times New Roman" w:hAnsi="Times New Roman" w:cs="Times New Roman"/>
          <w:sz w:val="24"/>
          <w:szCs w:val="24"/>
        </w:rPr>
        <w:t>for 16 μm) are lower than those in 0.5 M K</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SO</w:t>
      </w:r>
      <w:r w:rsidRPr="009D52EB">
        <w:rPr>
          <w:rFonts w:ascii="Times New Roman" w:hAnsi="Times New Roman" w:cs="Times New Roman"/>
          <w:sz w:val="24"/>
          <w:szCs w:val="24"/>
          <w:vertAlign w:val="subscript"/>
        </w:rPr>
        <w:t xml:space="preserve">4 </w:t>
      </w:r>
      <w:r w:rsidRPr="009D52EB">
        <w:rPr>
          <w:rFonts w:ascii="Times New Roman" w:hAnsi="Times New Roman" w:cs="Times New Roman"/>
          <w:sz w:val="24"/>
          <w:szCs w:val="24"/>
        </w:rPr>
        <w:t xml:space="preserve">(ca. 9 </w:t>
      </w:r>
      <w:r w:rsidR="00766CDD" w:rsidRPr="009D52EB">
        <w:rPr>
          <w:rFonts w:ascii="Times New Roman" w:hAnsi="Times New Roman" w:cs="Times New Roman"/>
          <w:sz w:val="24"/>
          <w:szCs w:val="24"/>
        </w:rPr>
        <w:t xml:space="preserve">pH units </w:t>
      </w:r>
      <w:r w:rsidRPr="009D52EB">
        <w:rPr>
          <w:rFonts w:ascii="Times New Roman" w:hAnsi="Times New Roman" w:cs="Times New Roman"/>
          <w:sz w:val="24"/>
          <w:szCs w:val="24"/>
        </w:rPr>
        <w:t xml:space="preserve">for 250, 125 and 65 μm and 6 </w:t>
      </w:r>
      <w:r w:rsidR="00766CDD" w:rsidRPr="009D52EB">
        <w:rPr>
          <w:rFonts w:ascii="Times New Roman" w:hAnsi="Times New Roman" w:cs="Times New Roman"/>
          <w:sz w:val="24"/>
          <w:szCs w:val="24"/>
        </w:rPr>
        <w:t xml:space="preserve">pH units </w:t>
      </w:r>
      <w:r w:rsidRPr="009D52EB">
        <w:rPr>
          <w:rFonts w:ascii="Times New Roman" w:hAnsi="Times New Roman" w:cs="Times New Roman"/>
          <w:sz w:val="24"/>
          <w:szCs w:val="24"/>
        </w:rPr>
        <w:t xml:space="preserve">for 16 μm). </w:t>
      </w:r>
      <w:r w:rsidR="009430EF" w:rsidRPr="009D52EB">
        <w:rPr>
          <w:rFonts w:ascii="Times New Roman" w:hAnsi="Times New Roman" w:cs="Times New Roman"/>
          <w:sz w:val="24"/>
          <w:szCs w:val="24"/>
        </w:rPr>
        <w:t xml:space="preserve">As confirmed experimentally, </w:t>
      </w:r>
      <w:r w:rsidR="00C05C2A">
        <w:rPr>
          <w:rFonts w:ascii="Times New Roman" w:hAnsi="Times New Roman" w:cs="Times New Roman"/>
          <w:sz w:val="24"/>
          <w:szCs w:val="24"/>
        </w:rPr>
        <w:t>the</w:t>
      </w:r>
      <w:r w:rsidR="009430EF" w:rsidRPr="009D52EB">
        <w:rPr>
          <w:rFonts w:ascii="Times New Roman" w:hAnsi="Times New Roman" w:cs="Times New Roman"/>
          <w:sz w:val="24"/>
          <w:szCs w:val="24"/>
        </w:rPr>
        <w:t xml:space="preserve"> smaller pH gradient offers a slightly lower cell voltage</w:t>
      </w:r>
      <w:r w:rsidRPr="009D52EB">
        <w:rPr>
          <w:rFonts w:ascii="Times New Roman" w:hAnsi="Times New Roman" w:cs="Times New Roman"/>
          <w:sz w:val="24"/>
          <w:szCs w:val="24"/>
        </w:rPr>
        <w:t xml:space="preserve"> (</w:t>
      </w:r>
      <w:r w:rsidR="00DE0DCA">
        <w:rPr>
          <w:rFonts w:ascii="Times New Roman" w:hAnsi="Times New Roman" w:cs="Times New Roman"/>
          <w:sz w:val="24"/>
          <w:szCs w:val="24"/>
        </w:rPr>
        <w:t>Supplementary Fig.</w:t>
      </w:r>
      <w:r w:rsidRPr="009D52EB">
        <w:rPr>
          <w:rFonts w:ascii="Times New Roman" w:hAnsi="Times New Roman" w:cs="Times New Roman"/>
          <w:sz w:val="24"/>
          <w:szCs w:val="24"/>
        </w:rPr>
        <w:t xml:space="preserve"> </w:t>
      </w:r>
      <w:r w:rsidR="00856D17">
        <w:rPr>
          <w:rFonts w:ascii="Times New Roman" w:hAnsi="Times New Roman" w:cs="Times New Roman"/>
          <w:sz w:val="24"/>
          <w:szCs w:val="24"/>
        </w:rPr>
        <w:t>9a</w:t>
      </w:r>
      <w:r w:rsidRPr="009D52EB">
        <w:rPr>
          <w:rFonts w:ascii="Times New Roman" w:hAnsi="Times New Roman" w:cs="Times New Roman"/>
          <w:sz w:val="24"/>
          <w:szCs w:val="24"/>
        </w:rPr>
        <w:t>). Like in 0.5 M K</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SO</w:t>
      </w:r>
      <w:r w:rsidRPr="009D52EB">
        <w:rPr>
          <w:rFonts w:ascii="Times New Roman" w:hAnsi="Times New Roman" w:cs="Times New Roman"/>
          <w:sz w:val="24"/>
          <w:szCs w:val="24"/>
          <w:vertAlign w:val="subscript"/>
        </w:rPr>
        <w:t>4</w:t>
      </w:r>
      <w:r w:rsidRPr="009D52EB">
        <w:rPr>
          <w:rFonts w:ascii="Times New Roman" w:hAnsi="Times New Roman" w:cs="Times New Roman"/>
          <w:sz w:val="24"/>
          <w:szCs w:val="24"/>
        </w:rPr>
        <w:t xml:space="preserve">, the 16 μm-thick </w:t>
      </w:r>
      <w:r w:rsidR="0075657E" w:rsidRPr="009D52EB">
        <w:rPr>
          <w:rFonts w:ascii="Times New Roman" w:hAnsi="Times New Roman" w:cs="Times New Roman"/>
          <w:sz w:val="24"/>
          <w:szCs w:val="24"/>
        </w:rPr>
        <w:t>1 M KHCO</w:t>
      </w:r>
      <w:r w:rsidR="0075657E" w:rsidRPr="009D52EB">
        <w:rPr>
          <w:rFonts w:ascii="Times New Roman" w:hAnsi="Times New Roman" w:cs="Times New Roman"/>
          <w:sz w:val="24"/>
          <w:szCs w:val="24"/>
          <w:vertAlign w:val="subscript"/>
        </w:rPr>
        <w:t>3</w:t>
      </w:r>
      <w:r w:rsidRPr="009D52EB">
        <w:rPr>
          <w:rFonts w:ascii="Times New Roman" w:hAnsi="Times New Roman" w:cs="Times New Roman"/>
          <w:sz w:val="24"/>
          <w:szCs w:val="24"/>
        </w:rPr>
        <w:t xml:space="preserve"> results in a low local pH near the cathode surface, and consequently</w:t>
      </w:r>
      <w:r w:rsidR="009430EF" w:rsidRPr="009D52EB">
        <w:rPr>
          <w:rFonts w:ascii="Times New Roman" w:hAnsi="Times New Roman" w:cs="Times New Roman"/>
          <w:sz w:val="24"/>
          <w:szCs w:val="24"/>
        </w:rPr>
        <w:t>,</w:t>
      </w:r>
      <w:r w:rsidRPr="009D52EB">
        <w:rPr>
          <w:rFonts w:ascii="Times New Roman" w:hAnsi="Times New Roman" w:cs="Times New Roman"/>
          <w:sz w:val="24"/>
          <w:szCs w:val="24"/>
        </w:rPr>
        <w:t xml:space="preserve"> low CO</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RR selectivity (</w:t>
      </w:r>
      <w:r w:rsidR="00DE0DCA">
        <w:rPr>
          <w:rFonts w:ascii="Times New Roman" w:hAnsi="Times New Roman" w:cs="Times New Roman"/>
          <w:sz w:val="24"/>
          <w:szCs w:val="24"/>
        </w:rPr>
        <w:t>Supplementary Fig.</w:t>
      </w:r>
      <w:r w:rsidRPr="009D52EB">
        <w:rPr>
          <w:rFonts w:ascii="Times New Roman" w:hAnsi="Times New Roman" w:cs="Times New Roman"/>
          <w:sz w:val="24"/>
          <w:szCs w:val="24"/>
        </w:rPr>
        <w:t xml:space="preserve"> </w:t>
      </w:r>
      <w:r w:rsidR="00B971E5">
        <w:rPr>
          <w:rFonts w:ascii="Times New Roman" w:hAnsi="Times New Roman" w:cs="Times New Roman"/>
          <w:sz w:val="24"/>
          <w:szCs w:val="24"/>
        </w:rPr>
        <w:t>9</w:t>
      </w:r>
      <w:r w:rsidR="00856D17">
        <w:rPr>
          <w:rFonts w:ascii="Times New Roman" w:hAnsi="Times New Roman" w:cs="Times New Roman"/>
          <w:sz w:val="24"/>
          <w:szCs w:val="24"/>
        </w:rPr>
        <w:t>c</w:t>
      </w:r>
      <w:r w:rsidRPr="009D52EB">
        <w:rPr>
          <w:rFonts w:ascii="Times New Roman" w:hAnsi="Times New Roman" w:cs="Times New Roman"/>
          <w:sz w:val="24"/>
          <w:szCs w:val="24"/>
        </w:rPr>
        <w:t>).</w:t>
      </w:r>
    </w:p>
    <w:p w14:paraId="08AE16B1" w14:textId="2FEF8014" w:rsidR="00277905" w:rsidRPr="009D52EB" w:rsidRDefault="00277905" w:rsidP="00277905">
      <w:pPr>
        <w:jc w:val="both"/>
        <w:rPr>
          <w:rFonts w:ascii="Times New Roman" w:hAnsi="Times New Roman" w:cs="Times New Roman"/>
          <w:sz w:val="24"/>
          <w:szCs w:val="24"/>
        </w:rPr>
      </w:pPr>
      <w:r w:rsidRPr="009D52EB">
        <w:rPr>
          <w:rFonts w:ascii="Times New Roman" w:hAnsi="Times New Roman" w:cs="Times New Roman"/>
          <w:sz w:val="24"/>
          <w:szCs w:val="24"/>
        </w:rPr>
        <w:t>Due to the buffer capacity of 1 M KHCO</w:t>
      </w:r>
      <w:r w:rsidRPr="009D52EB">
        <w:rPr>
          <w:rFonts w:ascii="Times New Roman" w:hAnsi="Times New Roman" w:cs="Times New Roman"/>
          <w:sz w:val="24"/>
          <w:szCs w:val="24"/>
          <w:vertAlign w:val="subscript"/>
        </w:rPr>
        <w:t>3</w:t>
      </w:r>
      <w:r w:rsidRPr="009D52EB">
        <w:rPr>
          <w:rFonts w:ascii="Times New Roman" w:hAnsi="Times New Roman" w:cs="Times New Roman"/>
          <w:sz w:val="24"/>
          <w:szCs w:val="24"/>
        </w:rPr>
        <w:t>, the virtual boundaries where carbonate/bicarbonate are regenerated to CO</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 xml:space="preserve"> are right on the surface of the BPM’s CEL (</w:t>
      </w:r>
      <w:r w:rsidR="00DE0DCA">
        <w:rPr>
          <w:rFonts w:ascii="Times New Roman" w:hAnsi="Times New Roman" w:cs="Times New Roman"/>
          <w:sz w:val="24"/>
          <w:szCs w:val="24"/>
        </w:rPr>
        <w:t>Supplementary Fig.</w:t>
      </w:r>
      <w:r w:rsidRPr="009D52EB">
        <w:rPr>
          <w:rFonts w:ascii="Times New Roman" w:hAnsi="Times New Roman" w:cs="Times New Roman"/>
          <w:sz w:val="24"/>
          <w:szCs w:val="24"/>
        </w:rPr>
        <w:t xml:space="preserve"> </w:t>
      </w:r>
      <w:r w:rsidR="00AF600B">
        <w:rPr>
          <w:rFonts w:ascii="Times New Roman" w:hAnsi="Times New Roman" w:cs="Times New Roman"/>
          <w:sz w:val="24"/>
          <w:szCs w:val="24"/>
        </w:rPr>
        <w:t>8</w:t>
      </w:r>
      <w:r w:rsidR="001B7D1A">
        <w:rPr>
          <w:rFonts w:ascii="Times New Roman" w:hAnsi="Times New Roman" w:cs="Times New Roman"/>
          <w:sz w:val="24"/>
          <w:szCs w:val="24"/>
        </w:rPr>
        <w:t>b</w:t>
      </w:r>
      <w:r w:rsidRPr="009D52EB">
        <w:rPr>
          <w:rFonts w:ascii="Times New Roman" w:hAnsi="Times New Roman" w:cs="Times New Roman"/>
          <w:sz w:val="24"/>
          <w:szCs w:val="24"/>
        </w:rPr>
        <w:t xml:space="preserve">). This effect causes stability issues in thicker (125 and 250 μm) stationary catholyte layer </w:t>
      </w:r>
      <w:r w:rsidR="004A7ADC">
        <w:rPr>
          <w:rFonts w:ascii="Times New Roman" w:hAnsi="Times New Roman" w:cs="Times New Roman"/>
          <w:sz w:val="24"/>
          <w:szCs w:val="24"/>
        </w:rPr>
        <w:t>SC-BPMEA</w:t>
      </w:r>
      <w:r w:rsidRPr="009D52EB">
        <w:rPr>
          <w:rFonts w:ascii="Times New Roman" w:hAnsi="Times New Roman" w:cs="Times New Roman"/>
          <w:sz w:val="24"/>
          <w:szCs w:val="24"/>
        </w:rPr>
        <w:t>s due to CO</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 xml:space="preserve"> bubble evolution. We found that using 125</w:t>
      </w:r>
      <w:r w:rsidR="00127C9D">
        <w:rPr>
          <w:rFonts w:ascii="Times New Roman" w:hAnsi="Times New Roman" w:cs="Times New Roman"/>
          <w:sz w:val="24"/>
          <w:szCs w:val="24"/>
        </w:rPr>
        <w:t>-</w:t>
      </w:r>
      <w:r w:rsidRPr="009D52EB">
        <w:rPr>
          <w:rFonts w:ascii="Times New Roman" w:hAnsi="Times New Roman" w:cs="Times New Roman"/>
          <w:sz w:val="24"/>
          <w:szCs w:val="24"/>
        </w:rPr>
        <w:t>μm 1 M KHCO</w:t>
      </w:r>
      <w:r w:rsidRPr="009D52EB">
        <w:rPr>
          <w:rFonts w:ascii="Times New Roman" w:hAnsi="Times New Roman" w:cs="Times New Roman"/>
          <w:sz w:val="24"/>
          <w:szCs w:val="24"/>
          <w:vertAlign w:val="subscript"/>
        </w:rPr>
        <w:t>3</w:t>
      </w:r>
      <w:r w:rsidRPr="009D52EB">
        <w:rPr>
          <w:rFonts w:ascii="Times New Roman" w:hAnsi="Times New Roman" w:cs="Times New Roman"/>
          <w:sz w:val="24"/>
          <w:szCs w:val="24"/>
        </w:rPr>
        <w:t>, the SC-</w:t>
      </w:r>
      <w:r w:rsidR="00127C9D">
        <w:rPr>
          <w:rFonts w:ascii="Times New Roman" w:hAnsi="Times New Roman" w:cs="Times New Roman"/>
          <w:sz w:val="24"/>
          <w:szCs w:val="24"/>
        </w:rPr>
        <w:t>BP</w:t>
      </w:r>
      <w:r w:rsidRPr="009D52EB">
        <w:rPr>
          <w:rFonts w:ascii="Times New Roman" w:hAnsi="Times New Roman" w:cs="Times New Roman"/>
          <w:sz w:val="24"/>
          <w:szCs w:val="24"/>
        </w:rPr>
        <w:t xml:space="preserve">MEA shows </w:t>
      </w:r>
      <w:r w:rsidR="00DE24CD" w:rsidRPr="009D52EB">
        <w:rPr>
          <w:rFonts w:ascii="Times New Roman" w:hAnsi="Times New Roman" w:cs="Times New Roman"/>
          <w:sz w:val="24"/>
          <w:szCs w:val="24"/>
        </w:rPr>
        <w:t>a</w:t>
      </w:r>
      <w:r w:rsidRPr="009D52EB">
        <w:rPr>
          <w:rFonts w:ascii="Times New Roman" w:hAnsi="Times New Roman" w:cs="Times New Roman"/>
          <w:sz w:val="24"/>
          <w:szCs w:val="24"/>
        </w:rPr>
        <w:t xml:space="preserve"> </w:t>
      </w:r>
      <w:r w:rsidR="00766CDD" w:rsidRPr="009D52EB">
        <w:rPr>
          <w:rFonts w:ascii="Times New Roman" w:hAnsi="Times New Roman" w:cs="Times New Roman"/>
          <w:sz w:val="24"/>
          <w:szCs w:val="24"/>
        </w:rPr>
        <w:t xml:space="preserve">respectable </w:t>
      </w:r>
      <w:r w:rsidRPr="009D52EB">
        <w:rPr>
          <w:rFonts w:ascii="Times New Roman" w:hAnsi="Times New Roman" w:cs="Times New Roman"/>
          <w:sz w:val="24"/>
          <w:szCs w:val="24"/>
        </w:rPr>
        <w:t>C</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H</w:t>
      </w:r>
      <w:r w:rsidRPr="009D52EB">
        <w:rPr>
          <w:rFonts w:ascii="Times New Roman" w:hAnsi="Times New Roman" w:cs="Times New Roman"/>
          <w:sz w:val="24"/>
          <w:szCs w:val="24"/>
          <w:vertAlign w:val="subscript"/>
        </w:rPr>
        <w:t xml:space="preserve">4 </w:t>
      </w:r>
      <w:r w:rsidRPr="009D52EB">
        <w:rPr>
          <w:rFonts w:ascii="Times New Roman" w:hAnsi="Times New Roman" w:cs="Times New Roman"/>
          <w:sz w:val="24"/>
          <w:szCs w:val="24"/>
        </w:rPr>
        <w:t>FE of ca. 23% at the current density of 100 mA cm</w:t>
      </w:r>
      <w:r w:rsidRPr="009D52EB">
        <w:rPr>
          <w:rFonts w:ascii="Times New Roman" w:hAnsi="Times New Roman" w:cs="Times New Roman"/>
          <w:sz w:val="24"/>
          <w:szCs w:val="24"/>
          <w:vertAlign w:val="superscript"/>
        </w:rPr>
        <w:t>-2</w:t>
      </w:r>
      <w:r w:rsidRPr="009D52EB">
        <w:rPr>
          <w:rFonts w:ascii="Times New Roman" w:hAnsi="Times New Roman" w:cs="Times New Roman"/>
          <w:sz w:val="24"/>
          <w:szCs w:val="24"/>
        </w:rPr>
        <w:t xml:space="preserve">. However, its stability is poor in that the FE gradually decreases by &gt; 50% after the initial 5 </w:t>
      </w:r>
      <w:r w:rsidR="00127C9D">
        <w:rPr>
          <w:rFonts w:ascii="Times New Roman" w:hAnsi="Times New Roman" w:cs="Times New Roman"/>
          <w:sz w:val="24"/>
          <w:szCs w:val="24"/>
        </w:rPr>
        <w:t>h</w:t>
      </w:r>
      <w:r w:rsidRPr="009D52EB">
        <w:rPr>
          <w:rFonts w:ascii="Times New Roman" w:hAnsi="Times New Roman" w:cs="Times New Roman"/>
          <w:sz w:val="24"/>
          <w:szCs w:val="24"/>
        </w:rPr>
        <w:t xml:space="preserve">. This experiment </w:t>
      </w:r>
      <w:r w:rsidR="00CA684A" w:rsidRPr="009D52EB">
        <w:rPr>
          <w:rFonts w:ascii="Times New Roman" w:hAnsi="Times New Roman" w:cs="Times New Roman"/>
          <w:sz w:val="24"/>
          <w:szCs w:val="24"/>
        </w:rPr>
        <w:t>was</w:t>
      </w:r>
      <w:r w:rsidRPr="009D52EB">
        <w:rPr>
          <w:rFonts w:ascii="Times New Roman" w:hAnsi="Times New Roman" w:cs="Times New Roman"/>
          <w:sz w:val="24"/>
          <w:szCs w:val="24"/>
        </w:rPr>
        <w:t xml:space="preserve"> repeated three times, </w:t>
      </w:r>
      <w:r w:rsidR="009F6F4F" w:rsidRPr="009D52EB">
        <w:rPr>
          <w:rFonts w:ascii="Times New Roman" w:hAnsi="Times New Roman" w:cs="Times New Roman"/>
          <w:sz w:val="24"/>
          <w:szCs w:val="24"/>
        </w:rPr>
        <w:t>and typical</w:t>
      </w:r>
      <w:r w:rsidRPr="009D52EB">
        <w:rPr>
          <w:rFonts w:ascii="Times New Roman" w:hAnsi="Times New Roman" w:cs="Times New Roman"/>
          <w:sz w:val="24"/>
          <w:szCs w:val="24"/>
        </w:rPr>
        <w:t xml:space="preserve"> FEs and </w:t>
      </w:r>
      <w:r w:rsidR="00127C9D">
        <w:rPr>
          <w:rFonts w:ascii="Times New Roman" w:hAnsi="Times New Roman" w:cs="Times New Roman"/>
          <w:sz w:val="24"/>
          <w:szCs w:val="24"/>
        </w:rPr>
        <w:t xml:space="preserve">a </w:t>
      </w:r>
      <w:r w:rsidRPr="009D52EB">
        <w:rPr>
          <w:rFonts w:ascii="Times New Roman" w:hAnsi="Times New Roman" w:cs="Times New Roman"/>
          <w:sz w:val="24"/>
          <w:szCs w:val="24"/>
        </w:rPr>
        <w:t xml:space="preserve">cell voltage vs. time curve </w:t>
      </w:r>
      <w:r w:rsidR="002C4A72">
        <w:rPr>
          <w:rFonts w:ascii="Times New Roman" w:hAnsi="Times New Roman" w:cs="Times New Roman"/>
          <w:sz w:val="24"/>
          <w:szCs w:val="24"/>
        </w:rPr>
        <w:t>are</w:t>
      </w:r>
      <w:r w:rsidR="002C4A72" w:rsidRPr="009D52EB">
        <w:rPr>
          <w:rFonts w:ascii="Times New Roman" w:hAnsi="Times New Roman" w:cs="Times New Roman"/>
          <w:sz w:val="24"/>
          <w:szCs w:val="24"/>
        </w:rPr>
        <w:t xml:space="preserve"> </w:t>
      </w:r>
      <w:r w:rsidRPr="009D52EB">
        <w:rPr>
          <w:rFonts w:ascii="Times New Roman" w:hAnsi="Times New Roman" w:cs="Times New Roman"/>
          <w:sz w:val="24"/>
          <w:szCs w:val="24"/>
        </w:rPr>
        <w:t xml:space="preserve">displayed in </w:t>
      </w:r>
      <w:r w:rsidR="00DE0DCA">
        <w:rPr>
          <w:rFonts w:ascii="Times New Roman" w:hAnsi="Times New Roman" w:cs="Times New Roman"/>
          <w:sz w:val="24"/>
          <w:szCs w:val="24"/>
        </w:rPr>
        <w:t>Supplementary Fig.</w:t>
      </w:r>
      <w:r w:rsidRPr="009D52EB">
        <w:rPr>
          <w:rFonts w:ascii="Times New Roman" w:hAnsi="Times New Roman" w:cs="Times New Roman"/>
          <w:sz w:val="24"/>
          <w:szCs w:val="24"/>
        </w:rPr>
        <w:t xml:space="preserve"> </w:t>
      </w:r>
      <w:r w:rsidR="000329CE">
        <w:rPr>
          <w:rFonts w:ascii="Times New Roman" w:hAnsi="Times New Roman" w:cs="Times New Roman"/>
          <w:sz w:val="24"/>
          <w:szCs w:val="24"/>
        </w:rPr>
        <w:t>10</w:t>
      </w:r>
      <w:r w:rsidRPr="009D52EB">
        <w:rPr>
          <w:rFonts w:ascii="Times New Roman" w:hAnsi="Times New Roman" w:cs="Times New Roman"/>
          <w:sz w:val="24"/>
          <w:szCs w:val="24"/>
        </w:rPr>
        <w:t>. With the thicker CO</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 xml:space="preserve"> diffusion layer, the regenerated CO</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 xml:space="preserve"> may gradually accumulate at the boundary (Scheme S2) because the concentration</w:t>
      </w:r>
      <w:r w:rsidR="002C4A72">
        <w:rPr>
          <w:rFonts w:ascii="Times New Roman" w:hAnsi="Times New Roman" w:cs="Times New Roman"/>
          <w:sz w:val="24"/>
          <w:szCs w:val="24"/>
        </w:rPr>
        <w:t>-</w:t>
      </w:r>
      <w:r w:rsidRPr="009D52EB">
        <w:rPr>
          <w:rFonts w:ascii="Times New Roman" w:hAnsi="Times New Roman" w:cs="Times New Roman"/>
          <w:sz w:val="24"/>
          <w:szCs w:val="24"/>
        </w:rPr>
        <w:t>gradient-driven CO</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 xml:space="preserve"> diffusion flux is lower than the CO</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 xml:space="preserve"> generation rate. When the accumulated CO</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 xml:space="preserve"> (aq.) reaches the saturated concentration, it </w:t>
      </w:r>
      <w:r w:rsidRPr="009D52EB">
        <w:rPr>
          <w:rFonts w:ascii="Times New Roman" w:hAnsi="Times New Roman" w:cs="Times New Roman" w:hint="eastAsia"/>
          <w:sz w:val="24"/>
          <w:szCs w:val="24"/>
        </w:rPr>
        <w:t>could</w:t>
      </w:r>
      <w:r w:rsidRPr="009D52EB">
        <w:rPr>
          <w:rFonts w:ascii="Times New Roman" w:hAnsi="Times New Roman" w:cs="Times New Roman"/>
          <w:sz w:val="24"/>
          <w:szCs w:val="24"/>
        </w:rPr>
        <w:t xml:space="preserve"> bubble out periodically and physically damage the catalyst </w:t>
      </w:r>
      <w:r w:rsidR="009430EF" w:rsidRPr="009D52EB">
        <w:rPr>
          <w:rFonts w:ascii="Times New Roman" w:hAnsi="Times New Roman" w:cs="Times New Roman"/>
          <w:sz w:val="24"/>
          <w:szCs w:val="24"/>
        </w:rPr>
        <w:t>and/or stationary catholyte layers</w:t>
      </w:r>
      <w:r w:rsidRPr="009D52EB">
        <w:rPr>
          <w:rFonts w:ascii="Times New Roman" w:hAnsi="Times New Roman" w:cs="Times New Roman"/>
          <w:sz w:val="24"/>
          <w:szCs w:val="24"/>
        </w:rPr>
        <w:t xml:space="preserve">. This phenomenon may also be the reason for the periodical voltage fluctuation in </w:t>
      </w:r>
      <w:r w:rsidR="00DE0DCA">
        <w:rPr>
          <w:rFonts w:ascii="Times New Roman" w:hAnsi="Times New Roman" w:cs="Times New Roman"/>
          <w:sz w:val="24"/>
          <w:szCs w:val="24"/>
        </w:rPr>
        <w:t>Supplementary Fig.</w:t>
      </w:r>
      <w:r w:rsidRPr="009D52EB">
        <w:rPr>
          <w:rFonts w:ascii="Times New Roman" w:hAnsi="Times New Roman" w:cs="Times New Roman"/>
          <w:sz w:val="24"/>
          <w:szCs w:val="24"/>
        </w:rPr>
        <w:t xml:space="preserve"> </w:t>
      </w:r>
      <w:r w:rsidR="003752AD">
        <w:rPr>
          <w:rFonts w:ascii="Times New Roman" w:hAnsi="Times New Roman" w:cs="Times New Roman"/>
          <w:sz w:val="24"/>
          <w:szCs w:val="24"/>
        </w:rPr>
        <w:t>10</w:t>
      </w:r>
      <w:r w:rsidRPr="009D52EB">
        <w:rPr>
          <w:rFonts w:ascii="Times New Roman" w:hAnsi="Times New Roman" w:cs="Times New Roman"/>
          <w:sz w:val="24"/>
          <w:szCs w:val="24"/>
        </w:rPr>
        <w:t>. Likewise, the 250 μm 1 M KHCO</w:t>
      </w:r>
      <w:r w:rsidRPr="009D52EB">
        <w:rPr>
          <w:rFonts w:ascii="Times New Roman" w:hAnsi="Times New Roman" w:cs="Times New Roman"/>
          <w:sz w:val="24"/>
          <w:szCs w:val="24"/>
          <w:vertAlign w:val="subscript"/>
        </w:rPr>
        <w:t>3</w:t>
      </w:r>
      <w:r w:rsidRPr="009D52EB">
        <w:rPr>
          <w:rFonts w:ascii="Times New Roman" w:hAnsi="Times New Roman" w:cs="Times New Roman"/>
          <w:sz w:val="24"/>
          <w:szCs w:val="24"/>
        </w:rPr>
        <w:t xml:space="preserve"> led to even poorer stability: </w:t>
      </w:r>
      <w:r w:rsidR="002C4A72">
        <w:rPr>
          <w:rFonts w:ascii="Times New Roman" w:hAnsi="Times New Roman" w:cs="Times New Roman"/>
          <w:sz w:val="24"/>
          <w:szCs w:val="24"/>
        </w:rPr>
        <w:t xml:space="preserve">the </w:t>
      </w:r>
      <w:r w:rsidRPr="009D52EB">
        <w:rPr>
          <w:rFonts w:ascii="Times New Roman" w:hAnsi="Times New Roman" w:cs="Times New Roman"/>
          <w:sz w:val="24"/>
          <w:szCs w:val="24"/>
        </w:rPr>
        <w:t>cell voltage kept increasing to 10 V in 30 min, with &gt;80% H</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 xml:space="preserve"> FE.</w:t>
      </w:r>
    </w:p>
    <w:p w14:paraId="5F46AFE2" w14:textId="3D693FEE" w:rsidR="004A2531" w:rsidRPr="009D52EB" w:rsidRDefault="008B1257" w:rsidP="00277905">
      <w:pPr>
        <w:jc w:val="both"/>
        <w:rPr>
          <w:rFonts w:ascii="Times New Roman" w:hAnsi="Times New Roman" w:cs="Times New Roman"/>
          <w:sz w:val="24"/>
          <w:szCs w:val="24"/>
        </w:rPr>
      </w:pPr>
      <w:r w:rsidRPr="009D52EB">
        <w:rPr>
          <w:rFonts w:ascii="Times New Roman" w:hAnsi="Times New Roman" w:cs="Times New Roman"/>
          <w:sz w:val="24"/>
          <w:szCs w:val="24"/>
        </w:rPr>
        <w:t>At 100 mA cm</w:t>
      </w:r>
      <w:r w:rsidRPr="009D52EB">
        <w:rPr>
          <w:rFonts w:ascii="Times New Roman" w:hAnsi="Times New Roman" w:cs="Times New Roman"/>
          <w:sz w:val="24"/>
          <w:szCs w:val="24"/>
          <w:vertAlign w:val="superscript"/>
        </w:rPr>
        <w:t>-2</w:t>
      </w:r>
      <w:r w:rsidRPr="009D52EB">
        <w:rPr>
          <w:rFonts w:ascii="Times New Roman" w:hAnsi="Times New Roman" w:cs="Times New Roman"/>
          <w:sz w:val="24"/>
          <w:szCs w:val="24"/>
        </w:rPr>
        <w:t>,</w:t>
      </w:r>
      <w:r w:rsidR="00C87096" w:rsidRPr="009D52EB">
        <w:rPr>
          <w:rFonts w:ascii="Times New Roman" w:hAnsi="Times New Roman" w:cs="Times New Roman"/>
          <w:sz w:val="24"/>
          <w:szCs w:val="24"/>
        </w:rPr>
        <w:t xml:space="preserve"> </w:t>
      </w:r>
      <w:r w:rsidR="004A7ADC">
        <w:rPr>
          <w:rFonts w:ascii="Times New Roman" w:hAnsi="Times New Roman" w:cs="Times New Roman"/>
          <w:sz w:val="24"/>
          <w:szCs w:val="24"/>
        </w:rPr>
        <w:t>SC-BPMEA</w:t>
      </w:r>
      <w:r w:rsidR="004A2531" w:rsidRPr="009D52EB">
        <w:rPr>
          <w:rFonts w:ascii="Times New Roman" w:hAnsi="Times New Roman" w:cs="Times New Roman"/>
          <w:sz w:val="24"/>
          <w:szCs w:val="24"/>
        </w:rPr>
        <w:t xml:space="preserve"> </w:t>
      </w:r>
      <w:r w:rsidRPr="009D52EB">
        <w:rPr>
          <w:rFonts w:ascii="Times New Roman" w:hAnsi="Times New Roman" w:cs="Times New Roman"/>
          <w:sz w:val="24"/>
          <w:szCs w:val="24"/>
        </w:rPr>
        <w:t>with 65 μm 1 M KHCO</w:t>
      </w:r>
      <w:r w:rsidRPr="009D52EB">
        <w:rPr>
          <w:rFonts w:ascii="Times New Roman" w:hAnsi="Times New Roman" w:cs="Times New Roman"/>
          <w:sz w:val="24"/>
          <w:szCs w:val="24"/>
          <w:vertAlign w:val="subscript"/>
        </w:rPr>
        <w:t>3</w:t>
      </w:r>
      <w:r w:rsidRPr="009D52EB">
        <w:rPr>
          <w:rFonts w:ascii="Times New Roman" w:hAnsi="Times New Roman" w:cs="Times New Roman"/>
          <w:sz w:val="24"/>
          <w:szCs w:val="24"/>
        </w:rPr>
        <w:t xml:space="preserve"> </w:t>
      </w:r>
      <w:r w:rsidR="004A2531" w:rsidRPr="009D52EB">
        <w:rPr>
          <w:rFonts w:ascii="Times New Roman" w:hAnsi="Times New Roman" w:cs="Times New Roman"/>
          <w:sz w:val="24"/>
          <w:szCs w:val="24"/>
        </w:rPr>
        <w:t>delivers a lower H</w:t>
      </w:r>
      <w:r w:rsidR="004A2531" w:rsidRPr="009D52EB">
        <w:rPr>
          <w:rFonts w:ascii="Times New Roman" w:hAnsi="Times New Roman" w:cs="Times New Roman"/>
          <w:sz w:val="24"/>
          <w:szCs w:val="24"/>
          <w:vertAlign w:val="subscript"/>
        </w:rPr>
        <w:t>2</w:t>
      </w:r>
      <w:r w:rsidR="004A2531" w:rsidRPr="009D52EB">
        <w:rPr>
          <w:rFonts w:ascii="Times New Roman" w:hAnsi="Times New Roman" w:cs="Times New Roman"/>
          <w:sz w:val="24"/>
          <w:szCs w:val="24"/>
        </w:rPr>
        <w:t xml:space="preserve"> FE </w:t>
      </w:r>
      <w:r w:rsidR="00220C4F" w:rsidRPr="009D52EB">
        <w:rPr>
          <w:rFonts w:ascii="Times New Roman" w:hAnsi="Times New Roman" w:cs="Times New Roman"/>
          <w:sz w:val="24"/>
          <w:szCs w:val="24"/>
        </w:rPr>
        <w:t>(</w:t>
      </w:r>
      <w:r w:rsidR="00220C4F">
        <w:rPr>
          <w:rFonts w:ascii="Times New Roman" w:hAnsi="Times New Roman" w:cs="Times New Roman"/>
          <w:sz w:val="24"/>
          <w:szCs w:val="24"/>
        </w:rPr>
        <w:t>Supplementary Fig.</w:t>
      </w:r>
      <w:r w:rsidR="00220C4F" w:rsidRPr="009D52EB">
        <w:rPr>
          <w:rFonts w:ascii="Times New Roman" w:hAnsi="Times New Roman" w:cs="Times New Roman"/>
          <w:sz w:val="24"/>
          <w:szCs w:val="24"/>
        </w:rPr>
        <w:t xml:space="preserve"> </w:t>
      </w:r>
      <w:r w:rsidR="00220C4F">
        <w:rPr>
          <w:rFonts w:ascii="Times New Roman" w:hAnsi="Times New Roman" w:cs="Times New Roman"/>
          <w:sz w:val="24"/>
          <w:szCs w:val="24"/>
        </w:rPr>
        <w:t>9b)</w:t>
      </w:r>
      <w:r w:rsidR="00220C4F" w:rsidRPr="009D52EB">
        <w:rPr>
          <w:rFonts w:ascii="Times New Roman" w:hAnsi="Times New Roman" w:cs="Times New Roman"/>
          <w:sz w:val="24"/>
          <w:szCs w:val="24"/>
        </w:rPr>
        <w:t xml:space="preserve"> </w:t>
      </w:r>
      <w:r w:rsidR="004A2531" w:rsidRPr="009D52EB">
        <w:rPr>
          <w:rFonts w:ascii="Times New Roman" w:hAnsi="Times New Roman" w:cs="Times New Roman"/>
          <w:sz w:val="24"/>
          <w:szCs w:val="24"/>
        </w:rPr>
        <w:t xml:space="preserve">than </w:t>
      </w:r>
      <w:r w:rsidR="004A7ADC">
        <w:rPr>
          <w:rFonts w:ascii="Times New Roman" w:hAnsi="Times New Roman" w:cs="Times New Roman"/>
          <w:sz w:val="24"/>
          <w:szCs w:val="24"/>
        </w:rPr>
        <w:t>SC-BPMEA</w:t>
      </w:r>
      <w:r w:rsidRPr="009D52EB">
        <w:rPr>
          <w:rFonts w:ascii="Times New Roman" w:hAnsi="Times New Roman" w:cs="Times New Roman"/>
          <w:sz w:val="24"/>
          <w:szCs w:val="24"/>
        </w:rPr>
        <w:t xml:space="preserve"> with </w:t>
      </w:r>
      <w:r w:rsidR="004A2531" w:rsidRPr="009D52EB">
        <w:rPr>
          <w:rFonts w:ascii="Times New Roman" w:hAnsi="Times New Roman" w:cs="Times New Roman"/>
          <w:sz w:val="24"/>
          <w:szCs w:val="24"/>
        </w:rPr>
        <w:t>65 μm 0.5 M K</w:t>
      </w:r>
      <w:r w:rsidR="004A2531" w:rsidRPr="009D52EB">
        <w:rPr>
          <w:rFonts w:ascii="Times New Roman" w:hAnsi="Times New Roman" w:cs="Times New Roman"/>
          <w:sz w:val="24"/>
          <w:szCs w:val="24"/>
          <w:vertAlign w:val="subscript"/>
        </w:rPr>
        <w:t>2</w:t>
      </w:r>
      <w:r w:rsidR="004A2531" w:rsidRPr="009D52EB">
        <w:rPr>
          <w:rFonts w:ascii="Times New Roman" w:hAnsi="Times New Roman" w:cs="Times New Roman"/>
          <w:sz w:val="24"/>
          <w:szCs w:val="24"/>
        </w:rPr>
        <w:t>SO</w:t>
      </w:r>
      <w:r w:rsidR="004A2531" w:rsidRPr="009D52EB">
        <w:rPr>
          <w:rFonts w:ascii="Times New Roman" w:hAnsi="Times New Roman" w:cs="Times New Roman"/>
          <w:sz w:val="24"/>
          <w:szCs w:val="24"/>
          <w:vertAlign w:val="subscript"/>
        </w:rPr>
        <w:t>4</w:t>
      </w:r>
      <w:r w:rsidR="004A2531" w:rsidRPr="009D52EB">
        <w:rPr>
          <w:rFonts w:ascii="Times New Roman" w:hAnsi="Times New Roman" w:cs="Times New Roman"/>
          <w:sz w:val="24"/>
          <w:szCs w:val="24"/>
        </w:rPr>
        <w:t xml:space="preserve"> </w:t>
      </w:r>
      <w:r w:rsidR="0007728D" w:rsidRPr="009D52EB">
        <w:rPr>
          <w:rFonts w:ascii="Times New Roman" w:hAnsi="Times New Roman" w:cs="Times New Roman"/>
          <w:sz w:val="24"/>
          <w:szCs w:val="24"/>
        </w:rPr>
        <w:t xml:space="preserve">due to </w:t>
      </w:r>
      <w:r w:rsidR="004A2531" w:rsidRPr="009D52EB">
        <w:rPr>
          <w:rFonts w:ascii="Times New Roman" w:hAnsi="Times New Roman" w:cs="Times New Roman"/>
          <w:sz w:val="24"/>
          <w:szCs w:val="24"/>
        </w:rPr>
        <w:t>the higher local pH (</w:t>
      </w:r>
      <w:r w:rsidR="00DE0DCA">
        <w:rPr>
          <w:rFonts w:ascii="Times New Roman" w:hAnsi="Times New Roman" w:cs="Times New Roman"/>
          <w:sz w:val="24"/>
          <w:szCs w:val="24"/>
        </w:rPr>
        <w:t>Supplementary Fig.</w:t>
      </w:r>
      <w:r w:rsidR="004A2531" w:rsidRPr="009D52EB">
        <w:rPr>
          <w:rFonts w:ascii="Times New Roman" w:hAnsi="Times New Roman" w:cs="Times New Roman"/>
          <w:sz w:val="24"/>
          <w:szCs w:val="24"/>
        </w:rPr>
        <w:t xml:space="preserve"> </w:t>
      </w:r>
      <w:r w:rsidR="002D446F">
        <w:rPr>
          <w:rFonts w:ascii="Times New Roman" w:hAnsi="Times New Roman" w:cs="Times New Roman"/>
          <w:sz w:val="24"/>
          <w:szCs w:val="24"/>
        </w:rPr>
        <w:t>8a</w:t>
      </w:r>
      <w:r w:rsidR="004A2531" w:rsidRPr="009D52EB">
        <w:rPr>
          <w:rFonts w:ascii="Times New Roman" w:hAnsi="Times New Roman" w:cs="Times New Roman"/>
          <w:sz w:val="24"/>
          <w:szCs w:val="24"/>
        </w:rPr>
        <w:t xml:space="preserve">). </w:t>
      </w:r>
      <w:r w:rsidR="00C118B1" w:rsidRPr="009D52EB">
        <w:rPr>
          <w:rFonts w:ascii="Times New Roman" w:hAnsi="Times New Roman" w:cs="Times New Roman"/>
          <w:sz w:val="24"/>
          <w:szCs w:val="24"/>
        </w:rPr>
        <w:t xml:space="preserve">However, </w:t>
      </w:r>
      <w:r w:rsidR="009B620B" w:rsidRPr="009D52EB">
        <w:rPr>
          <w:rFonts w:ascii="Times New Roman" w:hAnsi="Times New Roman" w:cs="Times New Roman"/>
          <w:sz w:val="24"/>
          <w:szCs w:val="24"/>
        </w:rPr>
        <w:t>its maximum ethylene FE</w:t>
      </w:r>
      <w:r w:rsidR="008626EF" w:rsidRPr="009D52EB">
        <w:rPr>
          <w:rFonts w:ascii="Times New Roman" w:hAnsi="Times New Roman" w:cs="Times New Roman"/>
          <w:sz w:val="24"/>
          <w:szCs w:val="24"/>
        </w:rPr>
        <w:t xml:space="preserve"> (27% at 150 mA cm</w:t>
      </w:r>
      <w:r w:rsidR="008626EF" w:rsidRPr="009D52EB">
        <w:rPr>
          <w:rFonts w:ascii="Times New Roman" w:hAnsi="Times New Roman" w:cs="Times New Roman"/>
          <w:sz w:val="24"/>
          <w:szCs w:val="24"/>
          <w:vertAlign w:val="superscript"/>
        </w:rPr>
        <w:t>-2</w:t>
      </w:r>
      <w:r w:rsidR="008626EF" w:rsidRPr="009D52EB">
        <w:rPr>
          <w:rFonts w:ascii="Times New Roman" w:hAnsi="Times New Roman" w:cs="Times New Roman"/>
          <w:sz w:val="24"/>
          <w:szCs w:val="24"/>
        </w:rPr>
        <w:t>)</w:t>
      </w:r>
      <w:r w:rsidR="009B620B" w:rsidRPr="009D52EB">
        <w:rPr>
          <w:rFonts w:ascii="Times New Roman" w:hAnsi="Times New Roman" w:cs="Times New Roman"/>
          <w:sz w:val="24"/>
          <w:szCs w:val="24"/>
        </w:rPr>
        <w:t xml:space="preserve"> is lower than that of 65 μm 0.5 M K</w:t>
      </w:r>
      <w:r w:rsidR="009B620B" w:rsidRPr="009D52EB">
        <w:rPr>
          <w:rFonts w:ascii="Times New Roman" w:hAnsi="Times New Roman" w:cs="Times New Roman"/>
          <w:sz w:val="24"/>
          <w:szCs w:val="24"/>
          <w:vertAlign w:val="subscript"/>
        </w:rPr>
        <w:t>2</w:t>
      </w:r>
      <w:r w:rsidR="009B620B" w:rsidRPr="009D52EB">
        <w:rPr>
          <w:rFonts w:ascii="Times New Roman" w:hAnsi="Times New Roman" w:cs="Times New Roman"/>
          <w:sz w:val="24"/>
          <w:szCs w:val="24"/>
        </w:rPr>
        <w:t>SO</w:t>
      </w:r>
      <w:r w:rsidR="009B620B" w:rsidRPr="009D52EB">
        <w:rPr>
          <w:rFonts w:ascii="Times New Roman" w:hAnsi="Times New Roman" w:cs="Times New Roman"/>
          <w:sz w:val="24"/>
          <w:szCs w:val="24"/>
          <w:vertAlign w:val="subscript"/>
        </w:rPr>
        <w:t>4</w:t>
      </w:r>
      <w:r w:rsidR="00DE674E" w:rsidRPr="009D52EB">
        <w:rPr>
          <w:rFonts w:ascii="Times New Roman" w:hAnsi="Times New Roman" w:cs="Times New Roman"/>
          <w:sz w:val="24"/>
          <w:szCs w:val="24"/>
          <w:vertAlign w:val="subscript"/>
        </w:rPr>
        <w:t xml:space="preserve"> </w:t>
      </w:r>
      <w:r w:rsidR="00DE674E" w:rsidRPr="009D52EB">
        <w:rPr>
          <w:rFonts w:ascii="Times New Roman" w:hAnsi="Times New Roman" w:cs="Times New Roman"/>
          <w:sz w:val="24"/>
          <w:szCs w:val="24"/>
        </w:rPr>
        <w:t>(41%</w:t>
      </w:r>
      <w:r w:rsidR="00C65B41" w:rsidRPr="009D52EB">
        <w:rPr>
          <w:rFonts w:ascii="Times New Roman" w:hAnsi="Times New Roman" w:cs="Times New Roman"/>
          <w:sz w:val="24"/>
          <w:szCs w:val="24"/>
        </w:rPr>
        <w:t xml:space="preserve"> at 200 mA cm</w:t>
      </w:r>
      <w:r w:rsidR="00C65B41" w:rsidRPr="009D52EB">
        <w:rPr>
          <w:rFonts w:ascii="Times New Roman" w:hAnsi="Times New Roman" w:cs="Times New Roman"/>
          <w:sz w:val="24"/>
          <w:szCs w:val="24"/>
          <w:vertAlign w:val="superscript"/>
        </w:rPr>
        <w:t>-2</w:t>
      </w:r>
      <w:r w:rsidR="00DE674E" w:rsidRPr="009D52EB">
        <w:rPr>
          <w:rFonts w:ascii="Times New Roman" w:hAnsi="Times New Roman" w:cs="Times New Roman"/>
          <w:sz w:val="24"/>
          <w:szCs w:val="24"/>
        </w:rPr>
        <w:t>)</w:t>
      </w:r>
      <w:r w:rsidR="009B620B" w:rsidRPr="009D52EB">
        <w:rPr>
          <w:rFonts w:ascii="Times New Roman" w:hAnsi="Times New Roman" w:cs="Times New Roman"/>
          <w:sz w:val="24"/>
          <w:szCs w:val="24"/>
        </w:rPr>
        <w:t xml:space="preserve">, leading to a loss of ethylene-specific energy intensity that cannot be compensated by </w:t>
      </w:r>
      <w:r w:rsidR="0007728D" w:rsidRPr="009D52EB">
        <w:rPr>
          <w:rFonts w:ascii="Times New Roman" w:hAnsi="Times New Roman" w:cs="Times New Roman"/>
          <w:sz w:val="24"/>
          <w:szCs w:val="24"/>
        </w:rPr>
        <w:t xml:space="preserve">a </w:t>
      </w:r>
      <w:r w:rsidR="009B620B" w:rsidRPr="009D52EB">
        <w:rPr>
          <w:rFonts w:ascii="Times New Roman" w:hAnsi="Times New Roman" w:cs="Times New Roman"/>
          <w:sz w:val="24"/>
          <w:szCs w:val="24"/>
        </w:rPr>
        <w:t>~0.</w:t>
      </w:r>
      <w:r w:rsidR="008626EF" w:rsidRPr="009D52EB">
        <w:rPr>
          <w:rFonts w:ascii="Times New Roman" w:hAnsi="Times New Roman" w:cs="Times New Roman"/>
          <w:sz w:val="24"/>
          <w:szCs w:val="24"/>
        </w:rPr>
        <w:t>1</w:t>
      </w:r>
      <w:r w:rsidR="00FF00C6" w:rsidRPr="009D52EB">
        <w:rPr>
          <w:rFonts w:ascii="Times New Roman" w:hAnsi="Times New Roman" w:cs="Times New Roman"/>
          <w:sz w:val="24"/>
          <w:szCs w:val="24"/>
        </w:rPr>
        <w:t>5</w:t>
      </w:r>
      <w:r w:rsidR="009B620B" w:rsidRPr="009D52EB">
        <w:rPr>
          <w:rFonts w:ascii="Times New Roman" w:hAnsi="Times New Roman" w:cs="Times New Roman"/>
          <w:sz w:val="24"/>
          <w:szCs w:val="24"/>
        </w:rPr>
        <w:t xml:space="preserve"> V lower cell voltage.</w:t>
      </w:r>
    </w:p>
    <w:p w14:paraId="5C815E27" w14:textId="62FC8BD1" w:rsidR="002960DB" w:rsidRPr="009D52EB" w:rsidRDefault="00650A2A" w:rsidP="00CA1ECB">
      <w:pPr>
        <w:jc w:val="both"/>
        <w:rPr>
          <w:rFonts w:ascii="Times New Roman" w:hAnsi="Times New Roman" w:cs="Times New Roman"/>
          <w:sz w:val="24"/>
          <w:szCs w:val="24"/>
        </w:rPr>
      </w:pPr>
      <w:r w:rsidRPr="009D52EB">
        <w:rPr>
          <w:rFonts w:ascii="Times New Roman" w:hAnsi="Times New Roman" w:cs="Times New Roman"/>
          <w:sz w:val="24"/>
          <w:szCs w:val="24"/>
        </w:rPr>
        <w:t xml:space="preserve">To this end, </w:t>
      </w:r>
      <w:r w:rsidR="009430EF" w:rsidRPr="009D52EB">
        <w:rPr>
          <w:rFonts w:ascii="Times New Roman" w:hAnsi="Times New Roman" w:cs="Times New Roman"/>
          <w:sz w:val="24"/>
          <w:szCs w:val="24"/>
        </w:rPr>
        <w:t xml:space="preserve">a </w:t>
      </w:r>
      <w:r w:rsidRPr="009D52EB">
        <w:rPr>
          <w:rFonts w:ascii="Times New Roman" w:hAnsi="Times New Roman" w:cs="Times New Roman"/>
          <w:sz w:val="24"/>
          <w:szCs w:val="24"/>
        </w:rPr>
        <w:t xml:space="preserve">non-buffer catholyte </w:t>
      </w:r>
      <w:r w:rsidR="009430EF" w:rsidRPr="009D52EB">
        <w:rPr>
          <w:rFonts w:ascii="Times New Roman" w:hAnsi="Times New Roman" w:cs="Times New Roman"/>
          <w:sz w:val="24"/>
          <w:szCs w:val="24"/>
        </w:rPr>
        <w:t>is</w:t>
      </w:r>
      <w:r w:rsidRPr="009D52EB">
        <w:rPr>
          <w:rFonts w:ascii="Times New Roman" w:hAnsi="Times New Roman" w:cs="Times New Roman"/>
          <w:sz w:val="24"/>
          <w:szCs w:val="24"/>
        </w:rPr>
        <w:t xml:space="preserve"> adopted in the </w:t>
      </w:r>
      <w:r w:rsidR="005F60F4" w:rsidRPr="009D52EB">
        <w:rPr>
          <w:rFonts w:ascii="Times New Roman" w:hAnsi="Times New Roman" w:cs="Times New Roman"/>
          <w:sz w:val="24"/>
          <w:szCs w:val="24"/>
        </w:rPr>
        <w:t xml:space="preserve">main part of </w:t>
      </w:r>
      <w:r w:rsidR="00621DC0" w:rsidRPr="009D52EB">
        <w:rPr>
          <w:rFonts w:ascii="Times New Roman" w:hAnsi="Times New Roman" w:cs="Times New Roman"/>
          <w:sz w:val="24"/>
          <w:szCs w:val="24"/>
        </w:rPr>
        <w:t xml:space="preserve">this </w:t>
      </w:r>
      <w:r w:rsidRPr="009D52EB">
        <w:rPr>
          <w:rFonts w:ascii="Times New Roman" w:hAnsi="Times New Roman" w:cs="Times New Roman"/>
          <w:sz w:val="24"/>
          <w:szCs w:val="24"/>
        </w:rPr>
        <w:t>stud</w:t>
      </w:r>
      <w:r w:rsidR="00621DC0" w:rsidRPr="009D52EB">
        <w:rPr>
          <w:rFonts w:ascii="Times New Roman" w:hAnsi="Times New Roman" w:cs="Times New Roman"/>
          <w:sz w:val="24"/>
          <w:szCs w:val="24"/>
        </w:rPr>
        <w:t>y</w:t>
      </w:r>
      <w:r w:rsidRPr="009D52EB">
        <w:rPr>
          <w:rFonts w:ascii="Times New Roman" w:hAnsi="Times New Roman" w:cs="Times New Roman"/>
          <w:sz w:val="24"/>
          <w:szCs w:val="24"/>
        </w:rPr>
        <w:t>.</w:t>
      </w:r>
    </w:p>
    <w:p w14:paraId="6DD495E5" w14:textId="77777777" w:rsidR="002960DB" w:rsidRPr="009D52EB" w:rsidRDefault="002960DB">
      <w:pPr>
        <w:rPr>
          <w:rFonts w:ascii="Times New Roman" w:hAnsi="Times New Roman" w:cs="Times New Roman"/>
          <w:b/>
          <w:bCs/>
          <w:sz w:val="24"/>
          <w:szCs w:val="24"/>
        </w:rPr>
      </w:pPr>
      <w:r w:rsidRPr="009D52EB">
        <w:rPr>
          <w:rFonts w:ascii="Times New Roman" w:hAnsi="Times New Roman" w:cs="Times New Roman"/>
          <w:b/>
          <w:bCs/>
          <w:sz w:val="24"/>
          <w:szCs w:val="24"/>
        </w:rPr>
        <w:br w:type="page"/>
      </w:r>
    </w:p>
    <w:p w14:paraId="23717C92" w14:textId="09C66D73" w:rsidR="00D828C1" w:rsidRPr="009D52EB" w:rsidRDefault="006C5384">
      <w:pPr>
        <w:rPr>
          <w:rFonts w:ascii="Times New Roman" w:hAnsi="Times New Roman" w:cs="Times New Roman"/>
          <w:b/>
          <w:bCs/>
          <w:sz w:val="24"/>
          <w:szCs w:val="24"/>
        </w:rPr>
      </w:pPr>
      <w:r w:rsidRPr="009D52EB">
        <w:rPr>
          <w:rFonts w:ascii="Times New Roman" w:hAnsi="Times New Roman" w:cs="Times New Roman"/>
          <w:b/>
          <w:bCs/>
          <w:sz w:val="24"/>
          <w:szCs w:val="24"/>
        </w:rPr>
        <w:lastRenderedPageBreak/>
        <w:t>SI</w:t>
      </w:r>
      <w:r>
        <w:rPr>
          <w:rFonts w:ascii="Times New Roman" w:hAnsi="Times New Roman" w:cs="Times New Roman"/>
          <w:b/>
          <w:bCs/>
          <w:sz w:val="24"/>
          <w:szCs w:val="24"/>
        </w:rPr>
        <w:t>6</w:t>
      </w:r>
      <w:r w:rsidRPr="009D52EB">
        <w:rPr>
          <w:rFonts w:ascii="Times New Roman" w:hAnsi="Times New Roman" w:cs="Times New Roman"/>
          <w:b/>
          <w:bCs/>
          <w:sz w:val="24"/>
          <w:szCs w:val="24"/>
        </w:rPr>
        <w:t xml:space="preserve"> </w:t>
      </w:r>
      <w:r w:rsidR="00672716" w:rsidRPr="009D52EB">
        <w:rPr>
          <w:rFonts w:ascii="Times New Roman" w:hAnsi="Times New Roman" w:cs="Times New Roman"/>
          <w:b/>
          <w:bCs/>
          <w:sz w:val="24"/>
          <w:szCs w:val="24"/>
        </w:rPr>
        <w:t>Exploration</w:t>
      </w:r>
      <w:r w:rsidR="00077805" w:rsidRPr="009D52EB">
        <w:rPr>
          <w:rFonts w:ascii="Times New Roman" w:hAnsi="Times New Roman" w:cs="Times New Roman"/>
          <w:b/>
          <w:bCs/>
          <w:sz w:val="24"/>
          <w:szCs w:val="24"/>
        </w:rPr>
        <w:t xml:space="preserve"> </w:t>
      </w:r>
      <w:r w:rsidR="00672716" w:rsidRPr="009D52EB">
        <w:rPr>
          <w:rFonts w:ascii="Times New Roman" w:hAnsi="Times New Roman" w:cs="Times New Roman"/>
          <w:b/>
          <w:bCs/>
          <w:sz w:val="24"/>
          <w:szCs w:val="24"/>
        </w:rPr>
        <w:t xml:space="preserve">of </w:t>
      </w:r>
      <w:r w:rsidR="00077805" w:rsidRPr="009D52EB">
        <w:rPr>
          <w:rFonts w:ascii="Times New Roman" w:hAnsi="Times New Roman" w:cs="Times New Roman"/>
          <w:b/>
          <w:bCs/>
          <w:sz w:val="24"/>
          <w:szCs w:val="24"/>
        </w:rPr>
        <w:t xml:space="preserve">the operating conditions </w:t>
      </w:r>
      <w:r w:rsidR="006A0A72" w:rsidRPr="009D52EB">
        <w:rPr>
          <w:rFonts w:ascii="Times New Roman" w:hAnsi="Times New Roman" w:cs="Times New Roman"/>
          <w:b/>
          <w:bCs/>
          <w:sz w:val="24"/>
          <w:szCs w:val="24"/>
        </w:rPr>
        <w:t xml:space="preserve">for </w:t>
      </w:r>
      <w:r w:rsidR="004A7ADC">
        <w:rPr>
          <w:rFonts w:ascii="Times New Roman" w:hAnsi="Times New Roman" w:cs="Times New Roman"/>
          <w:b/>
          <w:bCs/>
          <w:sz w:val="24"/>
          <w:szCs w:val="24"/>
        </w:rPr>
        <w:t>SC-BPMEA</w:t>
      </w:r>
      <w:r w:rsidR="006A0A72" w:rsidRPr="009D52EB">
        <w:rPr>
          <w:rFonts w:ascii="Times New Roman" w:hAnsi="Times New Roman" w:cs="Times New Roman"/>
          <w:b/>
          <w:bCs/>
          <w:sz w:val="24"/>
          <w:szCs w:val="24"/>
        </w:rPr>
        <w:t xml:space="preserve"> with non-buffer</w:t>
      </w:r>
      <w:r w:rsidR="001637A5">
        <w:rPr>
          <w:rFonts w:ascii="Times New Roman" w:hAnsi="Times New Roman" w:cs="Times New Roman"/>
          <w:b/>
          <w:bCs/>
          <w:sz w:val="24"/>
          <w:szCs w:val="24"/>
        </w:rPr>
        <w:t>ing</w:t>
      </w:r>
      <w:r w:rsidR="006A0A72" w:rsidRPr="009D52EB">
        <w:rPr>
          <w:rFonts w:ascii="Times New Roman" w:hAnsi="Times New Roman" w:cs="Times New Roman"/>
          <w:b/>
          <w:bCs/>
          <w:sz w:val="24"/>
          <w:szCs w:val="24"/>
        </w:rPr>
        <w:t xml:space="preserve"> catholyte</w:t>
      </w:r>
      <w:r w:rsidR="00077805" w:rsidRPr="009D52EB">
        <w:rPr>
          <w:rFonts w:ascii="Times New Roman" w:hAnsi="Times New Roman" w:cs="Times New Roman"/>
          <w:b/>
          <w:bCs/>
          <w:sz w:val="24"/>
          <w:szCs w:val="24"/>
        </w:rPr>
        <w:t>.</w:t>
      </w:r>
    </w:p>
    <w:p w14:paraId="114468CD" w14:textId="7F856C41" w:rsidR="0076617E" w:rsidRDefault="00766CDD" w:rsidP="0079256F">
      <w:pPr>
        <w:jc w:val="both"/>
        <w:rPr>
          <w:rFonts w:ascii="Times New Roman" w:hAnsi="Times New Roman" w:cs="Times New Roman"/>
          <w:sz w:val="24"/>
          <w:szCs w:val="24"/>
        </w:rPr>
      </w:pPr>
      <w:r w:rsidRPr="009D52EB">
        <w:rPr>
          <w:rFonts w:ascii="Times New Roman" w:hAnsi="Times New Roman" w:cs="Times New Roman"/>
          <w:sz w:val="24"/>
          <w:szCs w:val="24"/>
        </w:rPr>
        <w:t xml:space="preserve">A </w:t>
      </w:r>
      <w:r w:rsidR="009430EF" w:rsidRPr="009D52EB">
        <w:rPr>
          <w:rFonts w:ascii="Times New Roman" w:hAnsi="Times New Roman" w:cs="Times New Roman"/>
          <w:sz w:val="24"/>
          <w:szCs w:val="24"/>
        </w:rPr>
        <w:t>p</w:t>
      </w:r>
      <w:r w:rsidR="00D31551" w:rsidRPr="009D52EB">
        <w:rPr>
          <w:rFonts w:ascii="Times New Roman" w:hAnsi="Times New Roman" w:cs="Times New Roman"/>
          <w:sz w:val="24"/>
          <w:szCs w:val="24"/>
        </w:rPr>
        <w:t>revious report also suggested</w:t>
      </w:r>
      <w:r w:rsidR="00DE39D5" w:rsidRPr="009D52EB">
        <w:rPr>
          <w:rFonts w:ascii="Times New Roman" w:hAnsi="Times New Roman" w:cs="Times New Roman"/>
          <w:sz w:val="24"/>
          <w:szCs w:val="24"/>
        </w:rPr>
        <w:t xml:space="preserve"> DI water</w:t>
      </w:r>
      <w:r w:rsidR="00D31551" w:rsidRPr="009D52EB">
        <w:rPr>
          <w:rFonts w:ascii="Times New Roman" w:hAnsi="Times New Roman" w:cs="Times New Roman"/>
          <w:sz w:val="24"/>
          <w:szCs w:val="24"/>
        </w:rPr>
        <w:t xml:space="preserve"> can be the stationary catholyte for</w:t>
      </w:r>
      <w:r w:rsidR="00DE39D5" w:rsidRPr="009D52EB">
        <w:rPr>
          <w:rFonts w:ascii="Times New Roman" w:hAnsi="Times New Roman" w:cs="Times New Roman"/>
          <w:sz w:val="24"/>
          <w:szCs w:val="24"/>
        </w:rPr>
        <w:t xml:space="preserve"> Ag catalyst</w:t>
      </w:r>
      <w:r w:rsidR="00090E46" w:rsidRPr="009D52EB">
        <w:rPr>
          <w:rFonts w:ascii="Times New Roman" w:hAnsi="Times New Roman" w:cs="Times New Roman"/>
          <w:sz w:val="24"/>
          <w:szCs w:val="24"/>
        </w:rPr>
        <w:t>,</w:t>
      </w:r>
      <w:r w:rsidR="00DE39D5" w:rsidRPr="009D52EB">
        <w:rPr>
          <w:rFonts w:ascii="Times New Roman" w:hAnsi="Times New Roman" w:cs="Times New Roman"/>
          <w:sz w:val="24"/>
          <w:szCs w:val="24"/>
        </w:rPr>
        <w:t xml:space="preserve"> </w:t>
      </w:r>
      <w:r w:rsidR="00D31551" w:rsidRPr="009D52EB">
        <w:rPr>
          <w:rFonts w:ascii="Times New Roman" w:hAnsi="Times New Roman" w:cs="Times New Roman"/>
          <w:sz w:val="24"/>
          <w:szCs w:val="24"/>
        </w:rPr>
        <w:t>which showed similar performance to 1 M KHCO</w:t>
      </w:r>
      <w:r w:rsidR="00D31551" w:rsidRPr="009D52EB">
        <w:rPr>
          <w:rFonts w:ascii="Times New Roman" w:hAnsi="Times New Roman" w:cs="Times New Roman"/>
          <w:sz w:val="24"/>
          <w:szCs w:val="24"/>
          <w:vertAlign w:val="subscript"/>
        </w:rPr>
        <w:t>3</w:t>
      </w:r>
      <w:r w:rsidR="00DE39D5" w:rsidRPr="009D52EB">
        <w:rPr>
          <w:rFonts w:ascii="Times New Roman" w:hAnsi="Times New Roman" w:cs="Times New Roman"/>
          <w:sz w:val="24"/>
          <w:szCs w:val="24"/>
        </w:rPr>
        <w:t>.</w:t>
      </w:r>
      <w:r w:rsidR="00D31551" w:rsidRPr="00E85E3D">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{"citationItems":[{"id":"ITEM-1","itemData":{"DOI":"10.1021/acsenergylett.7b01017","ISSN":"23808195","abstract":"The conversion of CO2 to CO is demonstrated in an electrolyzer flow cell containing a bipolar membrane at current densities of 200 mA/cm2 with a Faradaic efficiency of 50%. Electrolysis was carried out by delivering gaseous CO2 at the cathode with a silver catalyst integrated in a carbon-based gas diffusion layer. Nonprecious nickel foam in a strongly alkaline electrolyte (1 M NaOH) was used to mediate the anode reaction. While a configuration where the anode and cathode were separated by only a bipolar membrane was found to be unfavorable for robust CO2 reduction, a modified configuration with a solid-supported aqueous layer inserted between the silver-based catalyst layer and the bipolar membrane enhanced the cathode selectivity for CO2 reduction to CO. We report higher current densities (200 mA/cm2) than previously reported for gas-phase CO2 to CO electrolysis and demonstrate the dependence of long-term stability on adequate hydration of the CO2 inlet stream.","author":[{"dropping-particle":"","family":"Salvatore","given":"Danielle A.","non-dropping-particle":"","parse-names":false,"suffix":""},{"dropping-particle":"","family":"Weekes","given":"David M.","non-dropping-particle":"","parse-names":false,"suffix":""},{"dropping-particle":"","family":"He","given":"Jingfu","non-dropping-particle":"","parse-names":false,"suffix":""},{"dropping-particle":"","family":"Dettelbach","given":"Kevan E.","non-dropping-particle":"","parse-names":false,"suffix":""},{"dropping-particle":"","family":"Li","given":"Yuguang C.","non-dropping-particle":"","parse-names":false,"suffix":""},{"dropping-particle":"","family":"Mallouk","given":"Thomas E.","non-dropping-particle":"","parse-names":false,"suffix":""},{"dropping-particle":"","family":"Berlinguette","given":"Curtis P.","non-dropping-particle":"","parse-names":false,"suffix":""}],"container-title":"ACS Energy Letters","id":"ITEM-1","issue":"1","issued":{"date-parts":[["2018"]]},"page":"149-154","title":"Electrolysis of Gaseous CO2 to CO in a Flow Cell with a Bipolar Membrane","type":"article-journal","volume":"3"},"uris":["http://www.mendeley.com/documents/?uuid=ecf15113-c42a-4d2f-8631-f7b7ab592dc2"]}],"mendeley":{"formattedCitation":"&lt;sup&gt;24&lt;/sup&gt;","plainTextFormattedCitation":"24","previouslyFormattedCitation":"&lt;sup&gt;23&lt;/sup&gt;"},"properties":{"noteIndex":0},"schema":"https://github.com/citation-style-language/schema/raw/master/csl-citation.json"}</w:instrText>
      </w:r>
      <w:r w:rsidR="00D31551" w:rsidRPr="00E85E3D">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24</w:t>
      </w:r>
      <w:r w:rsidR="00D31551" w:rsidRPr="00E85E3D">
        <w:rPr>
          <w:rFonts w:ascii="Times New Roman" w:hAnsi="Times New Roman" w:cs="Times New Roman"/>
          <w:sz w:val="24"/>
          <w:szCs w:val="24"/>
        </w:rPr>
        <w:fldChar w:fldCharType="end"/>
      </w:r>
      <w:r w:rsidR="00DE39D5" w:rsidRPr="00805810">
        <w:rPr>
          <w:rFonts w:ascii="Times New Roman" w:hAnsi="Times New Roman" w:cs="Times New Roman"/>
          <w:sz w:val="24"/>
          <w:szCs w:val="24"/>
        </w:rPr>
        <w:t xml:space="preserve"> In </w:t>
      </w:r>
      <w:r w:rsidR="001637A5">
        <w:rPr>
          <w:rFonts w:ascii="Times New Roman" w:hAnsi="Times New Roman" w:cs="Times New Roman"/>
          <w:sz w:val="24"/>
          <w:szCs w:val="24"/>
        </w:rPr>
        <w:t xml:space="preserve">the </w:t>
      </w:r>
      <w:r w:rsidR="00D31551" w:rsidRPr="00E85E3D">
        <w:rPr>
          <w:rFonts w:ascii="Times New Roman" w:hAnsi="Times New Roman" w:cs="Times New Roman"/>
          <w:sz w:val="24"/>
          <w:szCs w:val="24"/>
        </w:rPr>
        <w:t>SC-</w:t>
      </w:r>
      <w:r w:rsidR="004A7ADC">
        <w:rPr>
          <w:rFonts w:ascii="Times New Roman" w:hAnsi="Times New Roman" w:cs="Times New Roman"/>
          <w:sz w:val="24"/>
          <w:szCs w:val="24"/>
        </w:rPr>
        <w:t>BP</w:t>
      </w:r>
      <w:r w:rsidR="00D31551" w:rsidRPr="00E85E3D">
        <w:rPr>
          <w:rFonts w:ascii="Times New Roman" w:hAnsi="Times New Roman" w:cs="Times New Roman"/>
          <w:sz w:val="24"/>
          <w:szCs w:val="24"/>
        </w:rPr>
        <w:t>MEA, DI-water catholyte gives</w:t>
      </w:r>
      <w:r w:rsidR="00DE39D5" w:rsidRPr="00E85E3D">
        <w:rPr>
          <w:rFonts w:ascii="Times New Roman" w:hAnsi="Times New Roman" w:cs="Times New Roman"/>
          <w:sz w:val="24"/>
          <w:szCs w:val="24"/>
        </w:rPr>
        <w:t xml:space="preserve"> a &gt;94% FE towards hydrogen, and a high full-cell voltage of 6-9 V</w:t>
      </w:r>
      <w:r w:rsidR="00D31551" w:rsidRPr="009D52EB">
        <w:rPr>
          <w:rFonts w:ascii="Times New Roman" w:hAnsi="Times New Roman" w:cs="Times New Roman"/>
          <w:sz w:val="24"/>
          <w:szCs w:val="24"/>
        </w:rPr>
        <w:t xml:space="preserve"> on Cu, </w:t>
      </w:r>
      <w:r w:rsidR="00DE39D5" w:rsidRPr="009D52EB">
        <w:rPr>
          <w:rFonts w:ascii="Times New Roman" w:hAnsi="Times New Roman" w:cs="Times New Roman"/>
          <w:sz w:val="24"/>
          <w:szCs w:val="24"/>
        </w:rPr>
        <w:t xml:space="preserve">as shown in </w:t>
      </w:r>
      <w:r w:rsidR="00DE0DCA">
        <w:rPr>
          <w:rFonts w:ascii="Times New Roman" w:hAnsi="Times New Roman" w:cs="Times New Roman"/>
          <w:sz w:val="24"/>
          <w:szCs w:val="24"/>
        </w:rPr>
        <w:t>Supplementary Fig.</w:t>
      </w:r>
      <w:r w:rsidR="00DE39D5" w:rsidRPr="009D52EB">
        <w:rPr>
          <w:rFonts w:ascii="Times New Roman" w:hAnsi="Times New Roman" w:cs="Times New Roman"/>
          <w:sz w:val="24"/>
          <w:szCs w:val="24"/>
        </w:rPr>
        <w:t xml:space="preserve"> </w:t>
      </w:r>
      <w:r w:rsidR="005E5E20">
        <w:rPr>
          <w:rFonts w:ascii="Times New Roman" w:hAnsi="Times New Roman" w:cs="Times New Roman"/>
          <w:sz w:val="24"/>
          <w:szCs w:val="24"/>
        </w:rPr>
        <w:t>11a</w:t>
      </w:r>
      <w:r w:rsidR="00DE39D5" w:rsidRPr="009D52EB">
        <w:rPr>
          <w:rFonts w:ascii="Times New Roman" w:hAnsi="Times New Roman" w:cs="Times New Roman"/>
          <w:sz w:val="24"/>
          <w:szCs w:val="24"/>
        </w:rPr>
        <w:t>. On the other hand, the cation effect</w:t>
      </w:r>
      <w:r w:rsidR="00F14DF9" w:rsidRPr="00E85E3D">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{"citationItems":[{"id":"ITEM-1","itemData":{"DOI":"10.1038/s41560-020-00735-z","ISSN":"20587546","abstract":"CO2 capture technologies based on chemisorption present the potential to lower net emissions of CO2 into the atmosphere. The electrochemical upgrade of captured CO2 to value-added products would be particularly convenient. Here we find that this goal is curtailed when the adduct of the capture molecule with CO2 fails to place the CO2 sufficiently close to the site of the heterogeneous reaction. We investigate tailoring the electrochemical double layer to achieve the valorization of chemisorbed CO2 in an aqueous monoethanolamine electrolyte. We reveal, using electrochemical studies and in situ surface-enhanced Raman spectroscopy, that a smaller double layer distance correlates with improved activity for CO2 to CO from amine solutions. With the aid of an alkali cation and accelerated mass transport by system design—temperature and concentration—we demonstrate amine–CO2 conversion to CO with 72% Faradaic efficiency at 50 mA cm–2.","author":[{"dropping-particle":"","family":"Lee","given":"Geonhui","non-dropping-particle":"","parse-names":false,"suffix":""},{"dropping-particle":"","family":"Li","given":"Yuguang C.","non-dropping-particle":"","parse-names":false,"suffix":""},{"dropping-particle":"","family":"Kim","given":"Ji Yong","non-dropping-particle":"","parse-names":false,"suffix":""},{"dropping-particle":"","family":"Peng","given":"Tao","non-dropping-particle":"","parse-names":false,"suffix":""},{"dropping-particle":"","family":"Nam","given":"Dae Hyun","non-dropping-particle":"","parse-names":false,"suffix":""},{"dropping-particle":"","family":"Sedighian Rasouli","given":"Armin","non-dropping-particle":"","parse-names":false,"suffix":""},{"dropping-particle":"","family":"Li","given":"Fengwang","non-dropping-particle":"","parse-names":false,"suffix":""},{"dropping-particle":"","family":"Luo","given":"Mingchuan","non-dropping-particle":"","parse-names":false,"suffix":""},{"dropping-particle":"","family":"Ip","given":"Alexander H.","non-dropping-particle":"","parse-names":false,"suffix":""},{"dropping-particle":"","family":"Joo","given":"Young Chang","non-dropping-particle":"","parse-names":false,"suffix":""},{"dropping-particle":"","family":"Sargent","given":"Edward H.","non-dropping-particle":"","parse-names":false,"suffix":""}],"container-title":"Nature Energy","id":"ITEM-1","issue":"1","issued":{"date-parts":[["2021"]]},"page":"46-53","publisher":"Springer US","title":"Electrochemical upgrade of CO2 from amine capture solution","type":"article-journal","volume":"6"},"uris":["http://www.mendeley.com/documents/?uuid=00adec56-7a56-4605-ac37-71752c2514a8"]},{"id":"ITEM-2","itemData":{"DOI":"10.1021/jacs.6b07612","ISSN":"15205126","PMID":"27626299","abstract":"Electrolyte cation size is known to influence the electrochemical reduction of CO2 over metals; however, a satisfactory explanation for this phenomenon has not been developed. We report here that these effects can be attributed to a previously unrecognized consequence of cation hydrolysis occurring in the vicinity of the cathode. With increasing cation size, the pKa for cation hydrolysis decreases and is sufficiently low for hydrated K+, Rb+, and Cs+ to serve as buffering agents. Buffering lowers the pH near the cathode, leading to an increase in the local concentration of dissolved CO2. The consequences of these changes are an increase in cathode activity, a decrease in Faradaic efficiencies for H2 and CH4, and an increase in Faradaic efficiencies for CO, C2H4, and C2H5OH, in full agreement with experimental observations for CO2 reduction over Ag and Cu.","author":[{"dropping-particle":"","family":"Singh","given":"Meenesh R.","non-dropping-particle":"","parse-names":false,"suffix":""},{"dropping-particle":"","family":"Kwon","given":"Youngkook","non-dropping-particle":"","parse-names":false,"suffix":""},{"dropping-particle":"","family":"Lum","given":"Yanwei","non-dropping-particle":"","parse-names":false,"suffix":""},{"dropping-particle":"","family":"Ager","given":"Joel W.","non-dropping-particle":"","parse-names":false,"suffix":""},{"dropping-particle":"","family":"Bell","given":"Alexis T.","non-dropping-particle":"","parse-names":false,"suffix":""}],"container-title":"Journal of the American Chemical Society","id":"ITEM-2","issue":"39","issued":{"date-parts":[["2016"]]},"page":"13006-13012","title":"Hydrolysis of Electrolyte Cations Enhances the Electrochemical Reduction of CO2 over Ag and Cu","type":"article-journal","volume":"138"},"uris":["http://www.mendeley.com/documents/?uuid=32a206b5-f717-4058-b544-5ccd269b9d08"]},{"id":"ITEM-3","itemData":{"DOI":"10.1021/jacs.7b06765","ISSN":"15205126","PMID":"28738673","abstract":"The electrochemical reduction of CO2 is known to be influenced by the identity of the alkali metal cation in the electrolyte; however, a satisfactory explanation for this phenomenon has not been developed. Here we present the results of experimental and theoretical studies aimed at elucidating the effects of electrolyte cation size on the intrinsic activity and selectivity of metal catalysts for the reduction of CO2. Experiments were conducted under conditions where the influence of electrolyte polarization is minimal in order to show that cation size affects the intrinsic rates of formation of certain reaction products, most notably for HCOO-, C2H4, and C2H5OH over Cu(100)- and Cu(111)-oriented thin films, and for CO and HCOO- over polycrystalline Ag and Sn. Interpretation of the findings for CO2 reduction was informed by studies of the reduction of glyoxal and CO, key intermediates along the reaction pathway to final products. Density functional theory calculations show that the alkali metal cations influence the distribution of products formed as a consequence of electrostatic interactions between solvated cations present at the outer Helmholtz plane and adsorbed species having large dipole moments. The observed trends in activity with cation size are attributed to an increase in the concentration of cations at the outer Helmholtz plane with increasing cation size.","author":[{"dropping-particle":"","family":"Resasco","given":"Joaquin","non-dropping-particle":"","parse-names":false,"suffix":""},{"dropping-particle":"","family":"Chen","given":"Leanne D.","non-dropping-particle":"","parse-names":false,"suffix":""},{"dropping-particle":"","family":"Clark","given":"Ezra","non-dropping-particle":"","parse-names":false,"suffix":""},{"dropping-particle":"","family":"Tsai","given":"Charlie","non-dropping-particle":"","parse-names":false,"suffix":""},{"dropping-particle":"","family":"Hahn","given":"Christopher","non-dropping-particle":"","parse-names":false,"suffix":""},{"dropping-particle":"","family":"Jaramillo","given":"Thomas F.","non-dropping-particle":"","parse-names":false,"suffix":""},{"dropping-particle":"","family":"Chan","given":"Karen","non-dropping-particle":"","parse-names":false,"suffix":""},{"dropping-particle":"","family":"Bell","given":"Alexis T.","non-dropping-particle":"","parse-names":false,"suffix":""}],"container-title":"Journal of the American Chemical Society","id":"ITEM-3","issue":"32","issued":{"date-parts":[["2017"]]},"page":"11277-11287","title":"Promoter Effects of Alkali Metal Cations on the Electrochemical Reduction of Carbon Dioxide","type":"article-journal","volume":"139"},"uris":["http://www.mendeley.com/documents/?uuid=1a604b7b-1bf3-40cb-9e72-4bca6265fbe6"]},{"id":"ITEM-4","itemData":{"DOI":"10.1039/d0cs00030b","ISSN":"14604744","PMID":"32780048","abstract":"The electrochemical reduction of CO2 stores intermittent renewable energy in valuable raw materials, such as chemicals and transportation fuels, while minimizing carbon emissions and promoting carbon-neutral cycles. Recent technoeconomic reports suggested economically feasible target products of CO2 electroreduction and the relative influence of key performance parameters such as faradaic efficiency (FE), current density, and overpotential in the practical industrial-scale applications. Furthermore, fundamental factors, such as available reaction pathways, shared intermediates, competing hydrogen evolution reaction, scaling relations of the intermediate binding energies, and CO2 mass transport limitations, should be considered in relation to the electrochemical CO2 reduction performance. Intensive research efforts have been devoted to designing and developing advanced electrocatalysts and improving mechanistic understanding. More recently, the research focus was extended to the catalyst environment, because the interfacial region can delicately modulate the catalytic activity and provide effective solutions to challenges that were not fully addressed in the material development studies. Herein, we discuss the importance of catalyst-electrolyte interfaces in improving key operational parameters based on kinetic equations. Furthermore, we extensively review previous studies on controlling organic modulators, electrolyte ions, electrode structures, as well as the three-phase boundary at the catalyst-electrolyte interface. The interfacial region modulates the electrocatalytic properties via electronic modification, intermediate stabilization, proton delivery regulation, catalyst structure modification, reactant concentration control, and mass transport regulation. We discuss the current understanding of the catalyst-electrolyte interface and its effect on the CO2 electroreduction activity.","author":[{"dropping-particle":"","family":"Sa","given":"Young Jin","non-dropping-particle":"","parse-names":false,"suffix":""},{"dropping-particle":"","family":"Lee","given":"Chan Woo","non-dropping-particle":"","parse-names":false,"suffix":""},{"dropping-particle":"","family":"Lee","given":"Si Young","non-dropping-particle":"","parse-names":false,"suffix":""},{"dropping-particle":"","family":"Na","given":"Jonggeol","non-dropping-particle":"","parse-names":false,"suffix":""},{"dropping-particle":"","family":"Lee","given":"Ung","non-dropping-particle":"","parse-names":false,"suffix":""},{"dropping-particle":"","family":"Hwang","given":"Yun Jeong","non-dropping-particle":"","parse-names":false,"suffix":""}],"container-title":"Chemical Society reviews","id":"ITEM-4","issue":"18","issued":{"date-parts":[["2020"]]},"page":"6632-6665","publisher":"Royal Society of Chemistry","title":"Catalyst-electrolyte interface chemistry for electrochemical CO2 reduction","type":"article-journal","volume":"49"},"uris":["http://www.mendeley.com/documents/?uuid=82a4665a-3fb3-478e-91a1-cb9e068be523"]}],"mendeley":{"formattedCitation":"&lt;sup&gt;26–29&lt;/sup&gt;","plainTextFormattedCitation":"26–29","previouslyFormattedCitation":"&lt;sup&gt;41–44&lt;/sup&gt;"},"properties":{"noteIndex":0},"schema":"https://github.com/citation-style-language/schema/raw/master/csl-citation.json"}</w:instrText>
      </w:r>
      <w:r w:rsidR="00F14DF9" w:rsidRPr="00E85E3D">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26–29</w:t>
      </w:r>
      <w:r w:rsidR="00F14DF9" w:rsidRPr="00E85E3D">
        <w:rPr>
          <w:rFonts w:ascii="Times New Roman" w:hAnsi="Times New Roman" w:cs="Times New Roman"/>
          <w:sz w:val="24"/>
          <w:szCs w:val="24"/>
        </w:rPr>
        <w:fldChar w:fldCharType="end"/>
      </w:r>
      <w:r w:rsidR="00F14DF9" w:rsidRPr="00805810">
        <w:rPr>
          <w:rFonts w:ascii="Times New Roman" w:hAnsi="Times New Roman" w:cs="Times New Roman"/>
          <w:sz w:val="24"/>
          <w:szCs w:val="24"/>
        </w:rPr>
        <w:t xml:space="preserve"> </w:t>
      </w:r>
      <w:r w:rsidR="001637A5">
        <w:rPr>
          <w:rFonts w:ascii="Times New Roman" w:hAnsi="Times New Roman" w:cs="Times New Roman"/>
          <w:sz w:val="24"/>
          <w:szCs w:val="24"/>
        </w:rPr>
        <w:t xml:space="preserve">appears to </w:t>
      </w:r>
      <w:r w:rsidR="00DE39D5" w:rsidRPr="00E85E3D">
        <w:rPr>
          <w:rFonts w:ascii="Times New Roman" w:hAnsi="Times New Roman" w:cs="Times New Roman"/>
          <w:sz w:val="24"/>
          <w:szCs w:val="24"/>
        </w:rPr>
        <w:t>play an important role in</w:t>
      </w:r>
      <w:r w:rsidR="00090E46" w:rsidRPr="00E85E3D">
        <w:rPr>
          <w:rFonts w:ascii="Times New Roman" w:hAnsi="Times New Roman" w:cs="Times New Roman"/>
          <w:sz w:val="24"/>
          <w:szCs w:val="24"/>
        </w:rPr>
        <w:t xml:space="preserve"> the performance of</w:t>
      </w:r>
      <w:r w:rsidR="00DE39D5" w:rsidRPr="00E85E3D">
        <w:rPr>
          <w:rFonts w:ascii="Times New Roman" w:hAnsi="Times New Roman" w:cs="Times New Roman"/>
          <w:sz w:val="24"/>
          <w:szCs w:val="24"/>
        </w:rPr>
        <w:t xml:space="preserve"> </w:t>
      </w:r>
      <w:r w:rsidR="004A7ADC">
        <w:rPr>
          <w:rFonts w:ascii="Times New Roman" w:hAnsi="Times New Roman" w:cs="Times New Roman"/>
          <w:sz w:val="24"/>
          <w:szCs w:val="24"/>
        </w:rPr>
        <w:t>SC-BPMEA</w:t>
      </w:r>
      <w:r w:rsidR="00284776" w:rsidRPr="009D52EB">
        <w:rPr>
          <w:rFonts w:ascii="Times New Roman" w:hAnsi="Times New Roman" w:cs="Times New Roman"/>
          <w:sz w:val="24"/>
          <w:szCs w:val="24"/>
        </w:rPr>
        <w:t>.</w:t>
      </w:r>
      <w:r w:rsidR="00DE39D5" w:rsidRPr="009D52EB">
        <w:rPr>
          <w:rFonts w:ascii="Times New Roman" w:hAnsi="Times New Roman" w:cs="Times New Roman"/>
          <w:sz w:val="24"/>
          <w:szCs w:val="24"/>
        </w:rPr>
        <w:t xml:space="preserve"> </w:t>
      </w:r>
      <w:r w:rsidR="00CC3123" w:rsidRPr="009D52EB">
        <w:rPr>
          <w:rFonts w:ascii="Times New Roman" w:hAnsi="Times New Roman" w:cs="Times New Roman"/>
          <w:sz w:val="24"/>
          <w:szCs w:val="24"/>
        </w:rPr>
        <w:t xml:space="preserve">Under </w:t>
      </w:r>
      <w:r w:rsidR="00090E46" w:rsidRPr="009D52EB">
        <w:rPr>
          <w:rFonts w:ascii="Times New Roman" w:hAnsi="Times New Roman" w:cs="Times New Roman"/>
          <w:sz w:val="24"/>
          <w:szCs w:val="24"/>
        </w:rPr>
        <w:t xml:space="preserve">an </w:t>
      </w:r>
      <w:r w:rsidR="00CC3123" w:rsidRPr="009D52EB">
        <w:rPr>
          <w:rFonts w:ascii="Times New Roman" w:hAnsi="Times New Roman" w:cs="Times New Roman"/>
          <w:sz w:val="24"/>
          <w:szCs w:val="24"/>
        </w:rPr>
        <w:t>external potential, cations such as K</w:t>
      </w:r>
      <w:r w:rsidR="00CC3123" w:rsidRPr="009D52EB">
        <w:rPr>
          <w:rFonts w:ascii="Times New Roman" w:hAnsi="Times New Roman" w:cs="Times New Roman"/>
          <w:sz w:val="24"/>
          <w:szCs w:val="24"/>
          <w:vertAlign w:val="superscript"/>
        </w:rPr>
        <w:t>+</w:t>
      </w:r>
      <w:r w:rsidR="00CC3123" w:rsidRPr="009D52EB">
        <w:rPr>
          <w:rFonts w:ascii="Times New Roman" w:hAnsi="Times New Roman" w:cs="Times New Roman"/>
          <w:sz w:val="24"/>
          <w:szCs w:val="24"/>
        </w:rPr>
        <w:t xml:space="preserve"> form an electrochemical double layer on the catalyst surface, </w:t>
      </w:r>
      <w:r w:rsidR="00090E46" w:rsidRPr="009D52EB">
        <w:rPr>
          <w:rFonts w:ascii="Times New Roman" w:hAnsi="Times New Roman" w:cs="Times New Roman"/>
          <w:sz w:val="24"/>
          <w:szCs w:val="24"/>
        </w:rPr>
        <w:t xml:space="preserve">causing </w:t>
      </w:r>
      <w:r w:rsidR="00CC3123" w:rsidRPr="009D52EB">
        <w:rPr>
          <w:rFonts w:ascii="Times New Roman" w:hAnsi="Times New Roman" w:cs="Times New Roman"/>
          <w:sz w:val="24"/>
          <w:szCs w:val="24"/>
        </w:rPr>
        <w:t>changes in polarity, absorption preference, local pH, and local CO</w:t>
      </w:r>
      <w:r w:rsidR="00CC3123" w:rsidRPr="009D52EB">
        <w:rPr>
          <w:rFonts w:ascii="Times New Roman" w:hAnsi="Times New Roman" w:cs="Times New Roman"/>
          <w:sz w:val="24"/>
          <w:szCs w:val="24"/>
          <w:vertAlign w:val="subscript"/>
        </w:rPr>
        <w:t>2</w:t>
      </w:r>
      <w:r w:rsidR="00CC3123" w:rsidRPr="009D52EB">
        <w:rPr>
          <w:rFonts w:ascii="Times New Roman" w:hAnsi="Times New Roman" w:cs="Times New Roman"/>
          <w:sz w:val="24"/>
          <w:szCs w:val="24"/>
        </w:rPr>
        <w:t xml:space="preserve"> concentration, as observed and mode</w:t>
      </w:r>
      <w:r w:rsidR="009430EF" w:rsidRPr="009D52EB">
        <w:rPr>
          <w:rFonts w:ascii="Times New Roman" w:hAnsi="Times New Roman" w:cs="Times New Roman"/>
          <w:sz w:val="24"/>
          <w:szCs w:val="24"/>
        </w:rPr>
        <w:t>l</w:t>
      </w:r>
      <w:r w:rsidR="00CC3123" w:rsidRPr="009D52EB">
        <w:rPr>
          <w:rFonts w:ascii="Times New Roman" w:hAnsi="Times New Roman" w:cs="Times New Roman"/>
          <w:sz w:val="24"/>
          <w:szCs w:val="24"/>
        </w:rPr>
        <w:t>led before.</w:t>
      </w:r>
      <w:r w:rsidR="00CC3123" w:rsidRPr="00E85E3D">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{"citationItems":[{"id":"ITEM-1","itemData":{"DOI":"10.1021/jacs.7b06765","ISSN":"15205126","PMID":"28738673","abstract":"The electrochemical reduction of CO2 is known to be influenced by the identity of the alkali metal cation in the electrolyte; however, a satisfactory explanation for this phenomenon has not been developed. Here we present the results of experimental and theoretical studies aimed at elucidating the effects of electrolyte cation size on the intrinsic activity and selectivity of metal catalysts for the reduction of CO2. Experiments were conducted under conditions where the influence of electrolyte polarization is minimal in order to show that cation size affects the intrinsic rates of formation of certain reaction products, most notably for HCOO-, C2H4, and C2H5OH over Cu(100)- and Cu(111)-oriented thin films, and for CO and HCOO- over polycrystalline Ag and Sn. Interpretation of the findings for CO2 reduction was informed by studies of the reduction of glyoxal and CO, key intermediates along the reaction pathway to final products. Density functional theory calculations show that the alkali metal cations influence the distribution of products formed as a consequence of electrostatic interactions between solvated cations present at the outer Helmholtz plane and adsorbed species having large dipole moments. The observed trends in activity with cation size are attributed to an increase in the concentration of cations at the outer Helmholtz plane with increasing cation size.","author":[{"dropping-particle":"","family":"Resasco","given":"Joaquin","non-dropping-particle":"","parse-names":false,"suffix":""},{"dropping-particle":"","family":"Chen","given":"Leanne D.","non-dropping-particle":"","parse-names":false,"suffix":""},{"dropping-particle":"","family":"Clark","given":"Ezra","non-dropping-particle":"","parse-names":false,"suffix":""},{"dropping-particle":"","family":"Tsai","given":"Charlie","non-dropping-particle":"","parse-names":false,"suffix":""},{"dropping-particle":"","family":"Hahn","given":"Christopher","non-dropping-particle":"","parse-names":false,"suffix":""},{"dropping-particle":"","family":"Jaramillo","given":"Thomas F.","non-dropping-particle":"","parse-names":false,"suffix":""},{"dropping-particle":"","family":"Chan","given":"Karen","non-dropping-particle":"","parse-names":false,"suffix":""},{"dropping-particle":"","family":"Bell","given":"Alexis T.","non-dropping-particle":"","parse-names":false,"suffix":""}],"container-title":"Journal of the American Chemical Society","id":"ITEM-1","issue":"32","issued":{"date-parts":[["2017"]]},"page":"11277-11287","title":"Promoter Effects of Alkali Metal Cations on the Electrochemical Reduction of Carbon Dioxide","type":"article-journal","volume":"139"},"uris":["http://www.mendeley.com/documents/?uuid=1a604b7b-1bf3-40cb-9e72-4bca6265fbe6"]},{"id":"ITEM-2","itemData":{"DOI":"10.1021/jacs.6b07612","ISSN":"15205126","PMID":"27626299","abstract":"Electrolyte cation size is known to influence the electrochemical reduction of CO2 over metals; however, a satisfactory explanation for this phenomenon has not been developed. We report here that these effects can be attributed to a previously unrecognized consequence of cation hydrolysis occurring in the vicinity of the cathode. With increasing cation size, the pKa for cation hydrolysis decreases and is sufficiently low for hydrated K+, Rb+, and Cs+ to serve as buffering agents. Buffering lowers the pH near the cathode, leading to an increase in the local concentration of dissolved CO2. The consequences of these changes are an increase in cathode activity, a decrease in Faradaic efficiencies for H2 and CH4, and an increase in Faradaic efficiencies for CO, C2H4, and C2H5OH, in full agreement with experimental observations for CO2 reduction over Ag and Cu.","author":[{"dropping-particle":"","family":"Singh","given":"Meenesh R.","non-dropping-particle":"","parse-names":false,"suffix":""},{"dropping-particle":"","family":"Kwon","given":"Youngkook","non-dropping-particle":"","parse-names":false,"suffix":""},{"dropping-particle":"","family":"Lum","given":"Yanwei","non-dropping-particle":"","parse-names":false,"suffix":""},{"dropping-particle":"","family":"Ager","given":"Joel W.","non-dropping-particle":"","parse-names":false,"suffix":""},{"dropping-particle":"","family":"Bell","given":"Alexis T.","non-dropping-particle":"","parse-names":false,"suffix":""}],"container-title":"Journal of the American Chemical Society","id":"ITEM-2","issue":"39","issued":{"date-parts":[["2016"]]},"page":"13006-13012","title":"Hydrolysis of Electrolyte Cations Enhances the Electrochemical Reduction of CO2 over Ag and Cu","type":"article-journal","volume":"138"},"uris":["http://www.mendeley.com/documents/?uuid=32a206b5-f717-4058-b544-5ccd269b9d08"]}],"mendeley":{"formattedCitation":"&lt;sup&gt;27,28&lt;/sup&gt;","plainTextFormattedCitation":"27,28","previouslyFormattedCitation":"&lt;sup&gt;42,43&lt;/sup&gt;"},"properties":{"noteIndex":0},"schema":"https://github.com/citation-style-language/schema/raw/master/csl-citation.json"}</w:instrText>
      </w:r>
      <w:r w:rsidR="00CC3123" w:rsidRPr="00E85E3D">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27,28</w:t>
      </w:r>
      <w:r w:rsidR="00CC3123" w:rsidRPr="00E85E3D">
        <w:rPr>
          <w:rFonts w:ascii="Times New Roman" w:hAnsi="Times New Roman" w:cs="Times New Roman"/>
          <w:sz w:val="24"/>
          <w:szCs w:val="24"/>
        </w:rPr>
        <w:fldChar w:fldCharType="end"/>
      </w:r>
      <w:r w:rsidR="00CC3123" w:rsidRPr="00805810">
        <w:rPr>
          <w:rFonts w:ascii="Times New Roman" w:hAnsi="Times New Roman" w:cs="Times New Roman"/>
          <w:sz w:val="24"/>
          <w:szCs w:val="24"/>
        </w:rPr>
        <w:t xml:space="preserve"> Increasing K</w:t>
      </w:r>
      <w:r w:rsidR="00CC3123" w:rsidRPr="00E85E3D">
        <w:rPr>
          <w:rFonts w:ascii="Times New Roman" w:hAnsi="Times New Roman" w:cs="Times New Roman"/>
          <w:sz w:val="24"/>
          <w:szCs w:val="24"/>
          <w:vertAlign w:val="superscript"/>
        </w:rPr>
        <w:t>+</w:t>
      </w:r>
      <w:r w:rsidR="00CC3123" w:rsidRPr="00E85E3D">
        <w:rPr>
          <w:rFonts w:ascii="Times New Roman" w:hAnsi="Times New Roman" w:cs="Times New Roman"/>
          <w:sz w:val="24"/>
          <w:szCs w:val="24"/>
        </w:rPr>
        <w:t xml:space="preserve"> concentration from 0 </w:t>
      </w:r>
      <w:r w:rsidR="00CC3123" w:rsidRPr="009D52EB">
        <w:rPr>
          <w:rFonts w:ascii="Times New Roman" w:hAnsi="Times New Roman" w:cs="Times New Roman"/>
          <w:sz w:val="24"/>
          <w:szCs w:val="24"/>
        </w:rPr>
        <w:t>to 2 M in the stationary catholyte layer enhances CO</w:t>
      </w:r>
      <w:r w:rsidR="00CC3123" w:rsidRPr="009D52EB">
        <w:rPr>
          <w:rFonts w:ascii="Times New Roman" w:hAnsi="Times New Roman" w:cs="Times New Roman"/>
          <w:sz w:val="24"/>
          <w:szCs w:val="24"/>
          <w:vertAlign w:val="subscript"/>
        </w:rPr>
        <w:t>2</w:t>
      </w:r>
      <w:r w:rsidR="00CC3123" w:rsidRPr="009D52EB">
        <w:rPr>
          <w:rFonts w:ascii="Times New Roman" w:hAnsi="Times New Roman" w:cs="Times New Roman"/>
          <w:sz w:val="24"/>
          <w:szCs w:val="24"/>
        </w:rPr>
        <w:t>RR selectivity. At optimized current densities (</w:t>
      </w:r>
      <w:r w:rsidR="00DE0DCA">
        <w:rPr>
          <w:rFonts w:ascii="Times New Roman" w:hAnsi="Times New Roman" w:cs="Times New Roman"/>
          <w:sz w:val="24"/>
          <w:szCs w:val="24"/>
        </w:rPr>
        <w:t>Supplementary Fig.</w:t>
      </w:r>
      <w:r w:rsidR="00284776" w:rsidRPr="009D52EB">
        <w:rPr>
          <w:rFonts w:ascii="Times New Roman" w:hAnsi="Times New Roman" w:cs="Times New Roman"/>
          <w:sz w:val="24"/>
          <w:szCs w:val="24"/>
        </w:rPr>
        <w:t xml:space="preserve"> </w:t>
      </w:r>
      <w:r w:rsidR="005E5E20">
        <w:rPr>
          <w:rFonts w:ascii="Times New Roman" w:hAnsi="Times New Roman" w:cs="Times New Roman"/>
          <w:sz w:val="24"/>
          <w:szCs w:val="24"/>
        </w:rPr>
        <w:t>11a-c</w:t>
      </w:r>
      <w:r w:rsidR="00384E73">
        <w:rPr>
          <w:rFonts w:ascii="Times New Roman" w:hAnsi="Times New Roman" w:cs="Times New Roman"/>
          <w:sz w:val="24"/>
          <w:szCs w:val="24"/>
        </w:rPr>
        <w:t xml:space="preserve"> and the main text Fig. 3d</w:t>
      </w:r>
      <w:r w:rsidR="00CC3123" w:rsidRPr="009D52EB">
        <w:rPr>
          <w:rFonts w:ascii="Times New Roman" w:hAnsi="Times New Roman" w:cs="Times New Roman"/>
          <w:sz w:val="24"/>
          <w:szCs w:val="24"/>
        </w:rPr>
        <w:t>), the ethylene FE increases from 0.5% (0 M) and 2.5% (0.5 M) to 25% (1 M) and 27% (2 M). The enhancement of CO</w:t>
      </w:r>
      <w:r w:rsidR="00CC3123" w:rsidRPr="009D52EB">
        <w:rPr>
          <w:rFonts w:ascii="Times New Roman" w:hAnsi="Times New Roman" w:cs="Times New Roman"/>
          <w:sz w:val="24"/>
          <w:szCs w:val="24"/>
          <w:vertAlign w:val="subscript"/>
        </w:rPr>
        <w:t>2</w:t>
      </w:r>
      <w:r w:rsidR="00CC3123" w:rsidRPr="009D52EB">
        <w:rPr>
          <w:rFonts w:ascii="Times New Roman" w:hAnsi="Times New Roman" w:cs="Times New Roman"/>
          <w:sz w:val="24"/>
          <w:szCs w:val="24"/>
        </w:rPr>
        <w:t xml:space="preserve">RR selectivity </w:t>
      </w:r>
      <w:r w:rsidR="00D202D4" w:rsidRPr="009D52EB">
        <w:rPr>
          <w:rFonts w:ascii="Times New Roman" w:hAnsi="Times New Roman" w:cs="Times New Roman"/>
          <w:sz w:val="24"/>
          <w:szCs w:val="24"/>
        </w:rPr>
        <w:t xml:space="preserve">with increasing </w:t>
      </w:r>
      <w:r w:rsidR="00CC3123" w:rsidRPr="009D52EB">
        <w:rPr>
          <w:rFonts w:ascii="Times New Roman" w:hAnsi="Times New Roman" w:cs="Times New Roman"/>
          <w:sz w:val="24"/>
          <w:szCs w:val="24"/>
        </w:rPr>
        <w:t>K</w:t>
      </w:r>
      <w:r w:rsidR="00CC3123" w:rsidRPr="009D52EB">
        <w:rPr>
          <w:rFonts w:ascii="Times New Roman" w:hAnsi="Times New Roman" w:cs="Times New Roman"/>
          <w:sz w:val="24"/>
          <w:szCs w:val="24"/>
          <w:vertAlign w:val="superscript"/>
        </w:rPr>
        <w:t>+</w:t>
      </w:r>
      <w:r w:rsidR="00CC3123" w:rsidRPr="009D52EB">
        <w:rPr>
          <w:rFonts w:ascii="Times New Roman" w:hAnsi="Times New Roman" w:cs="Times New Roman"/>
          <w:sz w:val="24"/>
          <w:szCs w:val="24"/>
        </w:rPr>
        <w:t xml:space="preserve"> concentration </w:t>
      </w:r>
      <w:r w:rsidR="00B7569E" w:rsidRPr="009D52EB">
        <w:rPr>
          <w:rFonts w:ascii="Times New Roman" w:hAnsi="Times New Roman" w:cs="Times New Roman"/>
          <w:sz w:val="24"/>
          <w:szCs w:val="24"/>
        </w:rPr>
        <w:t>suggests</w:t>
      </w:r>
      <w:r w:rsidR="00CC3123" w:rsidRPr="009D52EB">
        <w:rPr>
          <w:rFonts w:ascii="Times New Roman" w:hAnsi="Times New Roman" w:cs="Times New Roman"/>
          <w:sz w:val="24"/>
          <w:szCs w:val="24"/>
        </w:rPr>
        <w:t xml:space="preserve"> </w:t>
      </w:r>
      <w:r w:rsidRPr="009D52EB">
        <w:rPr>
          <w:rFonts w:ascii="Times New Roman" w:hAnsi="Times New Roman" w:cs="Times New Roman"/>
          <w:sz w:val="24"/>
          <w:szCs w:val="24"/>
        </w:rPr>
        <w:t>an important</w:t>
      </w:r>
      <w:r w:rsidR="00CC3123" w:rsidRPr="009D52EB">
        <w:rPr>
          <w:rFonts w:ascii="Times New Roman" w:hAnsi="Times New Roman" w:cs="Times New Roman"/>
          <w:sz w:val="24"/>
          <w:szCs w:val="24"/>
        </w:rPr>
        <w:t xml:space="preserve"> role </w:t>
      </w:r>
      <w:r w:rsidRPr="009D52EB">
        <w:rPr>
          <w:rFonts w:ascii="Times New Roman" w:hAnsi="Times New Roman" w:cs="Times New Roman"/>
          <w:sz w:val="24"/>
          <w:szCs w:val="24"/>
        </w:rPr>
        <w:t xml:space="preserve">for </w:t>
      </w:r>
      <w:r w:rsidR="00CC3123" w:rsidRPr="009D52EB">
        <w:rPr>
          <w:rFonts w:ascii="Times New Roman" w:hAnsi="Times New Roman" w:cs="Times New Roman"/>
          <w:sz w:val="24"/>
          <w:szCs w:val="24"/>
        </w:rPr>
        <w:t>cation effects in promoting CO</w:t>
      </w:r>
      <w:r w:rsidR="00CC3123" w:rsidRPr="009D52EB">
        <w:rPr>
          <w:rFonts w:ascii="Times New Roman" w:hAnsi="Times New Roman" w:cs="Times New Roman"/>
          <w:sz w:val="24"/>
          <w:szCs w:val="24"/>
          <w:vertAlign w:val="subscript"/>
        </w:rPr>
        <w:t>2</w:t>
      </w:r>
      <w:r w:rsidR="00CC3123" w:rsidRPr="009D52EB">
        <w:rPr>
          <w:rFonts w:ascii="Times New Roman" w:hAnsi="Times New Roman" w:cs="Times New Roman"/>
          <w:sz w:val="24"/>
          <w:szCs w:val="24"/>
        </w:rPr>
        <w:t xml:space="preserve">RR in </w:t>
      </w:r>
      <w:r w:rsidR="004A7ADC">
        <w:rPr>
          <w:rFonts w:ascii="Times New Roman" w:hAnsi="Times New Roman" w:cs="Times New Roman"/>
          <w:sz w:val="24"/>
          <w:szCs w:val="24"/>
        </w:rPr>
        <w:t>SC-BPMEA</w:t>
      </w:r>
      <w:r w:rsidR="00CC3123" w:rsidRPr="009D52EB">
        <w:rPr>
          <w:rFonts w:ascii="Times New Roman" w:hAnsi="Times New Roman" w:cs="Times New Roman"/>
          <w:sz w:val="24"/>
          <w:szCs w:val="24"/>
        </w:rPr>
        <w:t xml:space="preserve">. Despite </w:t>
      </w:r>
      <w:r w:rsidR="00CB12DE" w:rsidRPr="009D52EB">
        <w:rPr>
          <w:rFonts w:ascii="Times New Roman" w:hAnsi="Times New Roman" w:cs="Times New Roman"/>
          <w:sz w:val="24"/>
          <w:szCs w:val="24"/>
        </w:rPr>
        <w:t xml:space="preserve">a </w:t>
      </w:r>
      <w:r w:rsidR="00CC3123" w:rsidRPr="009D52EB">
        <w:rPr>
          <w:rFonts w:ascii="Times New Roman" w:hAnsi="Times New Roman" w:cs="Times New Roman"/>
          <w:sz w:val="24"/>
          <w:szCs w:val="24"/>
        </w:rPr>
        <w:t xml:space="preserve">higher ethylene FE and </w:t>
      </w:r>
      <w:r w:rsidR="00CB12DE" w:rsidRPr="009D52EB">
        <w:rPr>
          <w:rFonts w:ascii="Times New Roman" w:hAnsi="Times New Roman" w:cs="Times New Roman"/>
          <w:sz w:val="24"/>
          <w:szCs w:val="24"/>
        </w:rPr>
        <w:t xml:space="preserve">a </w:t>
      </w:r>
      <w:r w:rsidR="00CC3123" w:rsidRPr="009D52EB">
        <w:rPr>
          <w:rFonts w:ascii="Times New Roman" w:hAnsi="Times New Roman" w:cs="Times New Roman"/>
          <w:sz w:val="24"/>
          <w:szCs w:val="24"/>
        </w:rPr>
        <w:t>lower hydrogen FE, 2 M K</w:t>
      </w:r>
      <w:r w:rsidR="00CC3123" w:rsidRPr="009D52EB">
        <w:rPr>
          <w:rFonts w:ascii="Times New Roman" w:hAnsi="Times New Roman" w:cs="Times New Roman"/>
          <w:sz w:val="24"/>
          <w:szCs w:val="24"/>
          <w:vertAlign w:val="superscript"/>
        </w:rPr>
        <w:t>+</w:t>
      </w:r>
      <w:r w:rsidR="00CC3123" w:rsidRPr="009D52EB">
        <w:rPr>
          <w:rFonts w:ascii="Times New Roman" w:hAnsi="Times New Roman" w:cs="Times New Roman"/>
          <w:sz w:val="24"/>
          <w:szCs w:val="24"/>
        </w:rPr>
        <w:t xml:space="preserve"> in the stationary catholyte results in carbonate salt precipitation at the back</w:t>
      </w:r>
      <w:r w:rsidR="00BE19BF" w:rsidRPr="009D52EB">
        <w:rPr>
          <w:rFonts w:ascii="Times New Roman" w:hAnsi="Times New Roman" w:cs="Times New Roman"/>
          <w:sz w:val="24"/>
          <w:szCs w:val="24"/>
        </w:rPr>
        <w:t xml:space="preserve">side </w:t>
      </w:r>
      <w:r w:rsidR="00CC3123" w:rsidRPr="009D52EB">
        <w:rPr>
          <w:rFonts w:ascii="Times New Roman" w:hAnsi="Times New Roman" w:cs="Times New Roman"/>
          <w:sz w:val="24"/>
          <w:szCs w:val="24"/>
        </w:rPr>
        <w:t>of the carbon paper, which causes the loss of K</w:t>
      </w:r>
      <w:r w:rsidR="00CC3123" w:rsidRPr="009D52EB">
        <w:rPr>
          <w:rFonts w:ascii="Times New Roman" w:hAnsi="Times New Roman" w:cs="Times New Roman"/>
          <w:sz w:val="24"/>
          <w:szCs w:val="24"/>
          <w:vertAlign w:val="superscript"/>
        </w:rPr>
        <w:t>+</w:t>
      </w:r>
      <w:r w:rsidR="00CC3123" w:rsidRPr="009D52EB">
        <w:rPr>
          <w:rFonts w:ascii="Times New Roman" w:hAnsi="Times New Roman" w:cs="Times New Roman"/>
          <w:sz w:val="24"/>
          <w:szCs w:val="24"/>
        </w:rPr>
        <w:t xml:space="preserve"> and obstructs the mass transport of CO</w:t>
      </w:r>
      <w:r w:rsidR="00CC3123" w:rsidRPr="009D52EB">
        <w:rPr>
          <w:rFonts w:ascii="Times New Roman" w:hAnsi="Times New Roman" w:cs="Times New Roman"/>
          <w:sz w:val="24"/>
          <w:szCs w:val="24"/>
          <w:vertAlign w:val="subscript"/>
        </w:rPr>
        <w:t>2</w:t>
      </w:r>
      <w:r w:rsidR="00CC3123" w:rsidRPr="009D52EB">
        <w:rPr>
          <w:rFonts w:ascii="Times New Roman" w:hAnsi="Times New Roman" w:cs="Times New Roman"/>
          <w:sz w:val="24"/>
          <w:szCs w:val="24"/>
        </w:rPr>
        <w:t xml:space="preserve"> over time.</w:t>
      </w:r>
      <w:r w:rsidR="00CC3123" w:rsidRPr="00E85E3D">
        <w:rPr>
          <w:rFonts w:ascii="Times New Roman" w:hAnsi="Times New Roman" w:cs="Times New Roman"/>
          <w:sz w:val="24"/>
          <w:szCs w:val="24"/>
        </w:rPr>
        <w:fldChar w:fldCharType="begin" w:fldLock="1"/>
      </w:r>
      <w:r w:rsidR="00D328F7">
        <w:rPr>
          <w:rFonts w:ascii="Times New Roman" w:hAnsi="Times New Roman" w:cs="Times New Roman"/>
          <w:sz w:val="24"/>
          <w:szCs w:val="24"/>
        </w:rPr>
        <w:instrText xml:space="preserve">ADDIN CSL_CITATION {"citationItems":[{"id":"ITEM-1","itemData":{"DOI":"10.1021/acsenergylett.0c02401","ISSN":"2380-8195","abstract":"The electrochemical conversion of CO2 produces valuable chemicals and fuels. However, operating at high reaction rates produces locally alkaline conditions that convert reactant CO2 into cell-damaging carbonate salts. These salts precipitate in the porous cathode structure, block CO2 transport, reduce reaction efficiency, and render CO2 electrolysis inherently unstable. We propose a self-cleaning CO2 reduction strategy with short, periodic reductions in applied voltage, which avoids saturation and prevents carbonate salt formation. We demonstrate this approach in a membrane electrode assembly (MEA) with silver and copper catalysts, on carbon and polytetrafluoroethylene (PTFE)-based gas diffusion electrodes, respectively. When operated continuously, the C2 selectivity of the copper–PTFE system started to decline rapidly after only </w:instrText>
      </w:r>
      <w:r w:rsidR="00D328F7">
        <w:rPr>
          <w:rFonts w:ascii="Cambria Math" w:hAnsi="Cambria Math" w:cs="Cambria Math"/>
          <w:sz w:val="24"/>
          <w:szCs w:val="24"/>
        </w:rPr>
        <w:instrText>∼</w:instrText>
      </w:r>
      <w:r w:rsidR="00D328F7">
        <w:rPr>
          <w:rFonts w:ascii="Times New Roman" w:hAnsi="Times New Roman" w:cs="Times New Roman"/>
          <w:sz w:val="24"/>
          <w:szCs w:val="24"/>
        </w:rPr>
        <w:instrText>10 h. With the self-cleaning strategy, the same electrode operated for 157 h (236 h total duration), maintaining 80% C2 product selectivity and 138 mA cm–2 of C2 partial current den","author":[{"dropping-particle":"","family":"Xu","given":"Yi","non-dropping-particle":"","parse-names":false,"suffix":""},{"dropping-particle":"","family":"Edwards","given":"Jonathan P.","non-dropping-particle":"","parse-names":false,"suffix":""},{"dropping-particle":"","family":"Liu","given":"Shijie","non-dropping-particle":"","parse-names":false,"suffix":""},{"dropping-particle":"","family":"Miao","given":"Rui Kai","non-dropping-particle":"","parse-names":false,"suffix":""},{"dropping-particle":"","family":"Huang","given":"Jianan Erick","non-dropping-particle":"","parse-names":false,"suffix":""},{"dropping-particle":"","family":"Gabardo","given":"Christine M.","non-dropping-particle":"","parse-names":false,"suffix":""},{"dropping-particle":"","family":"O’Brien","given":"Colin P.","non-dropping-particle":"","parse-names":false,"suffix":""},{"dropping-particle":"","family":"Li","given":"Jun","non-dropping-particle":"","parse-names":false,"suffix":""},{"dropping-particle":"","family":"Sargent","given":"Edward H.","non-dropping-particle":"","parse-names":false,"suffix":""},{"dropping-particle":"","family":"Sinton","given":"David","non-dropping-particle":"","parse-names":false,"suffix":""}],"container-title":"ACS Energy Letters","id":"ITEM-1","issue":"2","issued":{"date-parts":[["2021"]]},"page":"809-815","title":" Self-Cleaning CO 2 Reduction Systems: Unsteady Electrochemical Forcing Enables Stability ","type":"article-journal","volume":"6"},"uris":["http://www.mendeley.com/documents/?uuid=c66f45e4-765c-4b1e-b8e6-23c839f65344"]}],"mendeley":{"formattedCitation":"&lt;sup&gt;30&lt;/sup&gt;","plainTextFormattedCitation":"30","previouslyFormattedCitation":"&lt;sup&gt;45&lt;/sup&gt;"},"properties":{"noteIndex":0},"schema":"https://github.com/citation-style-language/schema/raw/master/csl-citation.json"}</w:instrText>
      </w:r>
      <w:r w:rsidR="00CC3123" w:rsidRPr="00E85E3D">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30</w:t>
      </w:r>
      <w:r w:rsidR="00CC3123" w:rsidRPr="00E85E3D">
        <w:rPr>
          <w:rFonts w:ascii="Times New Roman" w:hAnsi="Times New Roman" w:cs="Times New Roman"/>
          <w:sz w:val="24"/>
          <w:szCs w:val="24"/>
        </w:rPr>
        <w:fldChar w:fldCharType="end"/>
      </w:r>
      <w:r w:rsidR="00CC3123" w:rsidRPr="00805810">
        <w:rPr>
          <w:rFonts w:ascii="Times New Roman" w:hAnsi="Times New Roman" w:cs="Times New Roman"/>
          <w:sz w:val="24"/>
          <w:szCs w:val="24"/>
        </w:rPr>
        <w:t xml:space="preserve"> </w:t>
      </w:r>
      <w:r w:rsidR="00CC3123" w:rsidRPr="00E85E3D">
        <w:rPr>
          <w:rFonts w:ascii="Times New Roman" w:hAnsi="Times New Roman" w:cs="Times New Roman"/>
          <w:sz w:val="24"/>
          <w:szCs w:val="24"/>
        </w:rPr>
        <w:t>Therefore, we adopt 1 M K</w:t>
      </w:r>
      <w:r w:rsidR="00CC3123" w:rsidRPr="00E85E3D">
        <w:rPr>
          <w:rFonts w:ascii="Times New Roman" w:hAnsi="Times New Roman" w:cs="Times New Roman"/>
          <w:sz w:val="24"/>
          <w:szCs w:val="24"/>
          <w:vertAlign w:val="superscript"/>
        </w:rPr>
        <w:t>+</w:t>
      </w:r>
      <w:r w:rsidR="00CC3123" w:rsidRPr="00E85E3D">
        <w:rPr>
          <w:rFonts w:ascii="Times New Roman" w:hAnsi="Times New Roman" w:cs="Times New Roman"/>
          <w:sz w:val="24"/>
          <w:szCs w:val="24"/>
        </w:rPr>
        <w:t xml:space="preserve"> in the stationary catholyte layer.</w:t>
      </w:r>
      <w:r w:rsidR="00833D3D" w:rsidRPr="009D52EB">
        <w:rPr>
          <w:rFonts w:ascii="Times New Roman" w:hAnsi="Times New Roman" w:cs="Times New Roman"/>
          <w:sz w:val="24"/>
          <w:szCs w:val="24"/>
        </w:rPr>
        <w:t xml:space="preserve"> This cation effect can be extended to other cation species such as Na</w:t>
      </w:r>
      <w:r w:rsidR="00833D3D" w:rsidRPr="009D52EB">
        <w:rPr>
          <w:rFonts w:ascii="Times New Roman" w:hAnsi="Times New Roman" w:cs="Times New Roman"/>
          <w:sz w:val="24"/>
          <w:szCs w:val="24"/>
          <w:vertAlign w:val="superscript"/>
        </w:rPr>
        <w:t>+</w:t>
      </w:r>
      <w:r w:rsidR="00833D3D" w:rsidRPr="009D52EB">
        <w:rPr>
          <w:rFonts w:ascii="Times New Roman" w:hAnsi="Times New Roman" w:cs="Times New Roman"/>
          <w:sz w:val="24"/>
          <w:szCs w:val="24"/>
        </w:rPr>
        <w:t xml:space="preserve"> (</w:t>
      </w:r>
      <w:r w:rsidR="00DE0DCA">
        <w:rPr>
          <w:rFonts w:ascii="Times New Roman" w:hAnsi="Times New Roman" w:cs="Times New Roman"/>
          <w:sz w:val="24"/>
          <w:szCs w:val="24"/>
        </w:rPr>
        <w:t>Supplementary Fig.</w:t>
      </w:r>
      <w:r w:rsidR="00833D3D" w:rsidRPr="009D52EB">
        <w:rPr>
          <w:rFonts w:ascii="Times New Roman" w:hAnsi="Times New Roman" w:cs="Times New Roman"/>
          <w:sz w:val="24"/>
          <w:szCs w:val="24"/>
        </w:rPr>
        <w:t xml:space="preserve"> </w:t>
      </w:r>
      <w:r w:rsidR="00FD0FEA">
        <w:rPr>
          <w:rFonts w:ascii="Times New Roman" w:hAnsi="Times New Roman" w:cs="Times New Roman"/>
          <w:sz w:val="24"/>
          <w:szCs w:val="24"/>
        </w:rPr>
        <w:t>11d</w:t>
      </w:r>
      <w:r w:rsidR="00833D3D" w:rsidRPr="009D52EB">
        <w:rPr>
          <w:rFonts w:ascii="Times New Roman" w:hAnsi="Times New Roman" w:cs="Times New Roman"/>
          <w:sz w:val="24"/>
          <w:szCs w:val="24"/>
        </w:rPr>
        <w:t>) and Cs</w:t>
      </w:r>
      <w:r w:rsidR="00833D3D" w:rsidRPr="009D52EB">
        <w:rPr>
          <w:rFonts w:ascii="Times New Roman" w:hAnsi="Times New Roman" w:cs="Times New Roman"/>
          <w:sz w:val="24"/>
          <w:szCs w:val="24"/>
          <w:vertAlign w:val="superscript"/>
        </w:rPr>
        <w:t>+</w:t>
      </w:r>
      <w:r w:rsidR="00833D3D" w:rsidRPr="009D52EB">
        <w:rPr>
          <w:rFonts w:ascii="Times New Roman" w:hAnsi="Times New Roman" w:cs="Times New Roman"/>
          <w:sz w:val="24"/>
          <w:szCs w:val="24"/>
        </w:rPr>
        <w:t xml:space="preserve"> (</w:t>
      </w:r>
      <w:r w:rsidR="00DE0DCA">
        <w:rPr>
          <w:rFonts w:ascii="Times New Roman" w:hAnsi="Times New Roman" w:cs="Times New Roman"/>
          <w:sz w:val="24"/>
          <w:szCs w:val="24"/>
        </w:rPr>
        <w:t>Supplementary Fig.</w:t>
      </w:r>
      <w:r w:rsidR="00833D3D" w:rsidRPr="009D52EB">
        <w:rPr>
          <w:rFonts w:ascii="Times New Roman" w:hAnsi="Times New Roman" w:cs="Times New Roman"/>
          <w:sz w:val="24"/>
          <w:szCs w:val="24"/>
        </w:rPr>
        <w:t xml:space="preserve"> </w:t>
      </w:r>
      <w:r w:rsidR="00FD0FEA">
        <w:rPr>
          <w:rFonts w:ascii="Times New Roman" w:hAnsi="Times New Roman" w:cs="Times New Roman"/>
          <w:sz w:val="24"/>
          <w:szCs w:val="24"/>
        </w:rPr>
        <w:t>11e</w:t>
      </w:r>
      <w:r w:rsidR="00833D3D" w:rsidRPr="009D52EB">
        <w:rPr>
          <w:rFonts w:ascii="Times New Roman" w:hAnsi="Times New Roman" w:cs="Times New Roman"/>
          <w:sz w:val="24"/>
          <w:szCs w:val="24"/>
        </w:rPr>
        <w:t>).</w:t>
      </w:r>
      <w:r w:rsidR="009A2A2C" w:rsidRPr="009D52EB">
        <w:rPr>
          <w:rFonts w:ascii="Times New Roman" w:hAnsi="Times New Roman" w:cs="Times New Roman"/>
          <w:sz w:val="24"/>
          <w:szCs w:val="24"/>
        </w:rPr>
        <w:t xml:space="preserve"> Under the same operation conditions, </w:t>
      </w:r>
      <w:r w:rsidR="004A7ADC">
        <w:rPr>
          <w:rFonts w:ascii="Times New Roman" w:hAnsi="Times New Roman" w:cs="Times New Roman"/>
          <w:sz w:val="24"/>
          <w:szCs w:val="24"/>
        </w:rPr>
        <w:t>SC-BPMEA</w:t>
      </w:r>
      <w:r w:rsidR="009A2A2C" w:rsidRPr="009D52EB">
        <w:rPr>
          <w:rFonts w:ascii="Times New Roman" w:hAnsi="Times New Roman" w:cs="Times New Roman"/>
          <w:sz w:val="24"/>
          <w:szCs w:val="24"/>
        </w:rPr>
        <w:t xml:space="preserve"> with</w:t>
      </w:r>
      <w:r w:rsidR="00833D3D" w:rsidRPr="009D52EB">
        <w:rPr>
          <w:rFonts w:ascii="Times New Roman" w:hAnsi="Times New Roman" w:cs="Times New Roman"/>
          <w:sz w:val="24"/>
          <w:szCs w:val="24"/>
        </w:rPr>
        <w:t xml:space="preserve"> </w:t>
      </w:r>
      <w:r w:rsidR="00E53D8C" w:rsidRPr="009D52EB">
        <w:rPr>
          <w:rFonts w:ascii="Times New Roman" w:hAnsi="Times New Roman" w:cs="Times New Roman"/>
          <w:sz w:val="24"/>
          <w:szCs w:val="24"/>
        </w:rPr>
        <w:t xml:space="preserve">a </w:t>
      </w:r>
      <w:r w:rsidR="009A2A2C" w:rsidRPr="009D52EB">
        <w:rPr>
          <w:rFonts w:ascii="Times New Roman" w:hAnsi="Times New Roman" w:cs="Times New Roman"/>
          <w:sz w:val="24"/>
          <w:szCs w:val="24"/>
        </w:rPr>
        <w:t>65 μm 1 M Na</w:t>
      </w:r>
      <w:r w:rsidR="009A2A2C" w:rsidRPr="009D52EB">
        <w:rPr>
          <w:rFonts w:ascii="Times New Roman" w:hAnsi="Times New Roman" w:cs="Times New Roman"/>
          <w:sz w:val="24"/>
          <w:szCs w:val="24"/>
          <w:vertAlign w:val="superscript"/>
        </w:rPr>
        <w:t>+</w:t>
      </w:r>
      <w:r w:rsidR="009A2A2C" w:rsidRPr="009D52EB">
        <w:rPr>
          <w:rFonts w:ascii="Times New Roman" w:hAnsi="Times New Roman" w:cs="Times New Roman"/>
          <w:sz w:val="24"/>
          <w:szCs w:val="24"/>
        </w:rPr>
        <w:t xml:space="preserve"> catholyte shows similar performance to </w:t>
      </w:r>
      <w:r w:rsidR="004A7ADC">
        <w:rPr>
          <w:rFonts w:ascii="Times New Roman" w:hAnsi="Times New Roman" w:cs="Times New Roman"/>
          <w:sz w:val="24"/>
          <w:szCs w:val="24"/>
        </w:rPr>
        <w:t>SC-BPMEA</w:t>
      </w:r>
      <w:r w:rsidR="00717082" w:rsidRPr="009D52EB">
        <w:rPr>
          <w:rFonts w:ascii="Times New Roman" w:hAnsi="Times New Roman" w:cs="Times New Roman"/>
          <w:sz w:val="24"/>
          <w:szCs w:val="24"/>
        </w:rPr>
        <w:t xml:space="preserve"> with a </w:t>
      </w:r>
      <w:r w:rsidR="009A2A2C" w:rsidRPr="009D52EB">
        <w:rPr>
          <w:rFonts w:ascii="Times New Roman" w:hAnsi="Times New Roman" w:cs="Times New Roman"/>
          <w:sz w:val="24"/>
          <w:szCs w:val="24"/>
        </w:rPr>
        <w:t>65 μm 1 M K</w:t>
      </w:r>
      <w:r w:rsidR="009A2A2C" w:rsidRPr="009D52EB">
        <w:rPr>
          <w:rFonts w:ascii="Times New Roman" w:hAnsi="Times New Roman" w:cs="Times New Roman"/>
          <w:sz w:val="24"/>
          <w:szCs w:val="24"/>
          <w:vertAlign w:val="superscript"/>
        </w:rPr>
        <w:t>+</w:t>
      </w:r>
      <w:r w:rsidR="009A2A2C" w:rsidRPr="009D52EB">
        <w:rPr>
          <w:rFonts w:ascii="Times New Roman" w:hAnsi="Times New Roman" w:cs="Times New Roman"/>
          <w:sz w:val="24"/>
          <w:szCs w:val="24"/>
        </w:rPr>
        <w:t xml:space="preserve"> catholyte, while </w:t>
      </w:r>
      <w:r w:rsidR="004A7ADC">
        <w:rPr>
          <w:rFonts w:ascii="Times New Roman" w:hAnsi="Times New Roman" w:cs="Times New Roman"/>
          <w:sz w:val="24"/>
          <w:szCs w:val="24"/>
        </w:rPr>
        <w:t>SC-BPMEA</w:t>
      </w:r>
      <w:r w:rsidR="00717082" w:rsidRPr="009D52EB">
        <w:rPr>
          <w:rFonts w:ascii="Times New Roman" w:hAnsi="Times New Roman" w:cs="Times New Roman"/>
          <w:sz w:val="24"/>
          <w:szCs w:val="24"/>
        </w:rPr>
        <w:t xml:space="preserve"> with </w:t>
      </w:r>
      <w:r w:rsidR="009A2A2C" w:rsidRPr="009D52EB">
        <w:rPr>
          <w:rFonts w:ascii="Times New Roman" w:hAnsi="Times New Roman" w:cs="Times New Roman"/>
          <w:sz w:val="24"/>
          <w:szCs w:val="24"/>
        </w:rPr>
        <w:t>Cs</w:t>
      </w:r>
      <w:r w:rsidR="009A2A2C" w:rsidRPr="009D52EB">
        <w:rPr>
          <w:rFonts w:ascii="Times New Roman" w:hAnsi="Times New Roman" w:cs="Times New Roman"/>
          <w:sz w:val="24"/>
          <w:szCs w:val="24"/>
          <w:vertAlign w:val="superscript"/>
        </w:rPr>
        <w:t>+</w:t>
      </w:r>
      <w:r w:rsidR="009A2A2C" w:rsidRPr="00805810">
        <w:rPr>
          <w:rFonts w:ascii="Times New Roman" w:hAnsi="Times New Roman" w:cs="Times New Roman"/>
          <w:sz w:val="24"/>
          <w:szCs w:val="24"/>
        </w:rPr>
        <w:t xml:space="preserve"> </w:t>
      </w:r>
      <w:r w:rsidR="00717082" w:rsidRPr="00E85E3D">
        <w:rPr>
          <w:rFonts w:ascii="Times New Roman" w:hAnsi="Times New Roman" w:cs="Times New Roman"/>
          <w:sz w:val="24"/>
          <w:szCs w:val="24"/>
        </w:rPr>
        <w:t xml:space="preserve">catholyte does not yield a high </w:t>
      </w:r>
      <w:r w:rsidR="009A2A2C" w:rsidRPr="00E85E3D">
        <w:rPr>
          <w:rFonts w:ascii="Times New Roman" w:hAnsi="Times New Roman" w:cs="Times New Roman"/>
          <w:sz w:val="24"/>
          <w:szCs w:val="24"/>
        </w:rPr>
        <w:t>CO</w:t>
      </w:r>
      <w:r w:rsidR="009A2A2C" w:rsidRPr="00E85E3D">
        <w:rPr>
          <w:rFonts w:ascii="Times New Roman" w:hAnsi="Times New Roman" w:cs="Times New Roman"/>
          <w:sz w:val="24"/>
          <w:szCs w:val="24"/>
          <w:vertAlign w:val="subscript"/>
        </w:rPr>
        <w:t>2</w:t>
      </w:r>
      <w:r w:rsidR="009A2A2C" w:rsidRPr="009D52EB">
        <w:rPr>
          <w:rFonts w:ascii="Times New Roman" w:hAnsi="Times New Roman" w:cs="Times New Roman"/>
          <w:sz w:val="24"/>
          <w:szCs w:val="24"/>
        </w:rPr>
        <w:t>RR selectivity (</w:t>
      </w:r>
      <w:r w:rsidR="00DE0DCA">
        <w:rPr>
          <w:rFonts w:ascii="Times New Roman" w:hAnsi="Times New Roman" w:cs="Times New Roman"/>
          <w:sz w:val="24"/>
          <w:szCs w:val="24"/>
        </w:rPr>
        <w:t>Supplementary Fig.</w:t>
      </w:r>
      <w:r w:rsidR="009A2A2C" w:rsidRPr="009D52EB">
        <w:rPr>
          <w:rFonts w:ascii="Times New Roman" w:hAnsi="Times New Roman" w:cs="Times New Roman"/>
          <w:sz w:val="24"/>
          <w:szCs w:val="24"/>
        </w:rPr>
        <w:t xml:space="preserve"> </w:t>
      </w:r>
      <w:r w:rsidR="005E3D6E">
        <w:rPr>
          <w:rFonts w:ascii="Times New Roman" w:hAnsi="Times New Roman" w:cs="Times New Roman"/>
          <w:sz w:val="24"/>
          <w:szCs w:val="24"/>
        </w:rPr>
        <w:t>11f</w:t>
      </w:r>
      <w:r w:rsidR="009A2A2C" w:rsidRPr="009D52EB">
        <w:rPr>
          <w:rFonts w:ascii="Times New Roman" w:hAnsi="Times New Roman" w:cs="Times New Roman"/>
          <w:sz w:val="24"/>
          <w:szCs w:val="24"/>
        </w:rPr>
        <w:t>).</w:t>
      </w:r>
      <w:r w:rsidR="006D33BF" w:rsidRPr="009D52EB">
        <w:rPr>
          <w:rFonts w:ascii="Times New Roman" w:hAnsi="Times New Roman" w:cs="Times New Roman"/>
          <w:sz w:val="24"/>
          <w:szCs w:val="24"/>
        </w:rPr>
        <w:t xml:space="preserve"> </w:t>
      </w:r>
      <w:bookmarkStart w:id="5" w:name="_Hlk88685119"/>
    </w:p>
    <w:p w14:paraId="5619FCED" w14:textId="630FD8D5" w:rsidR="001C0FB9" w:rsidRDefault="00D40288" w:rsidP="00F553B2">
      <w:pPr>
        <w:jc w:val="both"/>
        <w:rPr>
          <w:rFonts w:ascii="Times New Roman" w:hAnsi="Times New Roman" w:cs="Times New Roman"/>
          <w:sz w:val="24"/>
          <w:szCs w:val="24"/>
        </w:rPr>
      </w:pPr>
      <w:r w:rsidRPr="00D40288">
        <w:rPr>
          <w:rFonts w:ascii="Times New Roman" w:hAnsi="Times New Roman" w:cs="Times New Roman"/>
          <w:sz w:val="24"/>
          <w:szCs w:val="24"/>
        </w:rPr>
        <w:t>Previous studies advised that larger cations promote higher ethylene FE.</w:t>
      </w:r>
      <w:r w:rsidRPr="00D40288">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{"citationItems":[{"id":"ITEM-1","itemData":{"DOI":"10.1021/jacs.7b06765","ISSN":"15205126","PMID":"28738673","abstract":"The electrochemical reduction of CO2 is known to be influenced by the identity of the alkali metal cation in the electrolyte; however, a satisfactory explanation for this phenomenon has not been developed. Here we present the results of experimental and theoretical studies aimed at elucidating the effects of electrolyte cation size on the intrinsic activity and selectivity of metal catalysts for the reduction of CO2. Experiments were conducted under conditions where the influence of electrolyte polarization is minimal in order to show that cation size affects the intrinsic rates of formation of certain reaction products, most notably for HCOO-, C2H4, and C2H5OH over Cu(100)- and Cu(111)-oriented thin films, and for CO and HCOO- over polycrystalline Ag and Sn. Interpretation of the findings for CO2 reduction was informed by studies of the reduction of glyoxal and CO, key intermediates along the reaction pathway to final products. Density functional theory calculations show that the alkali metal cations influence the distribution of products formed as a consequence of electrostatic interactions between solvated cations present at the outer Helmholtz plane and adsorbed species having large dipole moments. The observed trends in activity with cation size are attributed to an increase in the concentration of cations at the outer Helmholtz plane with increasing cation size.","author":[{"dropping-particle":"","family":"Resasco","given":"Joaquin","non-dropping-particle":"","parse-names":false,"suffix":""},{"dropping-particle":"","family":"Chen","given":"Leanne D.","non-dropping-particle":"","parse-names":false,"suffix":""},{"dropping-particle":"","family":"Clark","given":"Ezra","non-dropping-particle":"","parse-names":false,"suffix":""},{"dropping-particle":"","family":"Tsai","given":"Charlie","non-dropping-particle":"","parse-names":false,"suffix":""},{"dropping-particle":"","family":"Hahn","given":"Christopher","non-dropping-particle":"","parse-names":false,"suffix":""},{"dropping-particle":"","family":"Jaramillo","given":"Thomas F.","non-dropping-particle":"","parse-names":false,"suffix":""},{"dropping-particle":"","family":"Chan","given":"Karen","non-dropping-particle":"","parse-names":false,"suffix":""},{"dropping-particle":"","family":"Bell","given":"Alexis T.","non-dropping-particle":"","parse-names":false,"suffix":""}],"container-title":"Journal of the American Chemical Society","id":"ITEM-1","issue":"32","issued":{"date-parts":[["2017"]]},"page":"11277-11287","title":"Promoter Effects of Alkali Metal Cations on the Electrochemical Reduction of Carbon Dioxide","type":"article-journal","volume":"139"},"uris":["http://www.mendeley.com/documents/?uuid=1a604b7b-1bf3-40cb-9e72-4bca6265fbe6"]},{"id":"ITEM-2","itemData":{"DOI":"10.1021/jacs.6b07612","ISSN":"15205126","PMID":"27626299","abstract":"Electrolyte cation size is known to influence the electrochemical reduction of CO2 over metals; however, a satisfactory explanation for this phenomenon has not been developed. We report here that these effects can be attributed to a previously unrecognized consequence of cation hydrolysis occurring in the vicinity of the cathode. With increasing cation size, the pKa for cation hydrolysis decreases and is sufficiently low for hydrated K+, Rb+, and Cs+ to serve as buffering agents. Buffering lowers the pH near the cathode, leading to an increase in the local concentration of dissolved CO2. The consequences of these changes are an increase in cathode activity, a decrease in Faradaic efficiencies for H2 and CH4, and an increase in Faradaic efficiencies for CO, C2H4, and C2H5OH, in full agreement with experimental observations for CO2 reduction over Ag and Cu.","author":[{"dropping-particle":"","family":"Singh","given":"Meenesh R.","non-dropping-particle":"","parse-names":false,"suffix":""},{"dropping-particle":"","family":"Kwon","given":"Youngkook","non-dropping-particle":"","parse-names":false,"suffix":""},{"dropping-particle":"","family":"Lum","given":"Yanwei","non-dropping-particle":"","parse-names":false,"suffix":""},{"dropping-particle":"","family":"Ager","given":"Joel W.","non-dropping-particle":"","parse-names":false,"suffix":""},{"dropping-particle":"","family":"Bell","given":"Alexis T.","non-dropping-particle":"","parse-names":false,"suffix":""}],"container-title":"Journal of the American Chemical Society","id":"ITEM-2","issue":"39","issued":{"date-parts":[["2016"]]},"page":"13006-13012","title":"Hydrolysis of Electrolyte Cations Enhances the Electrochemical Reduction of CO2 over Ag and Cu","type":"article-journal","volume":"138"},"uris":["http://www.mendeley.com/documents/?uuid=32a206b5-f717-4058-b544-5ccd269b9d08"]}],"mendeley":{"formattedCitation":"&lt;sup&gt;27,28&lt;/sup&gt;","plainTextFormattedCitation":"27,28","previouslyFormattedCitation":"&lt;sup&gt;42,43&lt;/sup&gt;"},"properties":{"noteIndex":0},"schema":"https://github.com/citation-style-language/schema/raw/master/csl-citation.json"}</w:instrText>
      </w:r>
      <w:r w:rsidRPr="00D40288">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27,28</w:t>
      </w:r>
      <w:r w:rsidRPr="00D40288">
        <w:rPr>
          <w:rFonts w:ascii="Times New Roman" w:hAnsi="Times New Roman" w:cs="Times New Roman"/>
          <w:sz w:val="24"/>
          <w:szCs w:val="24"/>
        </w:rPr>
        <w:fldChar w:fldCharType="end"/>
      </w:r>
      <w:r w:rsidRPr="00D40288">
        <w:rPr>
          <w:rFonts w:ascii="Times New Roman" w:hAnsi="Times New Roman" w:cs="Times New Roman"/>
          <w:sz w:val="24"/>
          <w:szCs w:val="24"/>
        </w:rPr>
        <w:t xml:space="preserve"> However, we observed a decreasing ethylene FE with increasing cation size. We performed the CO</w:t>
      </w:r>
      <w:r w:rsidRPr="00D40288">
        <w:rPr>
          <w:rFonts w:ascii="Times New Roman" w:hAnsi="Times New Roman" w:cs="Times New Roman"/>
          <w:sz w:val="24"/>
          <w:szCs w:val="24"/>
          <w:vertAlign w:val="subscript"/>
        </w:rPr>
        <w:t>2</w:t>
      </w:r>
      <w:r w:rsidRPr="00D40288">
        <w:rPr>
          <w:rFonts w:ascii="Times New Roman" w:hAnsi="Times New Roman" w:cs="Times New Roman"/>
          <w:sz w:val="24"/>
          <w:szCs w:val="24"/>
        </w:rPr>
        <w:t xml:space="preserve">RR with the Cu-based gas-diffusion electrode in a flow cell with a 1 cm-thick </w:t>
      </w:r>
      <w:r w:rsidR="008F41FC">
        <w:rPr>
          <w:rFonts w:ascii="Times New Roman" w:hAnsi="Times New Roman" w:cs="Times New Roman"/>
          <w:sz w:val="24"/>
          <w:szCs w:val="24"/>
        </w:rPr>
        <w:t>stationary</w:t>
      </w:r>
      <w:r w:rsidRPr="00D40288">
        <w:rPr>
          <w:rFonts w:ascii="Times New Roman" w:hAnsi="Times New Roman" w:cs="Times New Roman"/>
          <w:sz w:val="24"/>
          <w:szCs w:val="24"/>
        </w:rPr>
        <w:t xml:space="preserve"> 0.5 M Cs</w:t>
      </w:r>
      <w:r w:rsidRPr="00D40288">
        <w:rPr>
          <w:rFonts w:ascii="Times New Roman" w:hAnsi="Times New Roman" w:cs="Times New Roman"/>
          <w:sz w:val="24"/>
          <w:szCs w:val="24"/>
          <w:vertAlign w:val="subscript"/>
        </w:rPr>
        <w:t>2</w:t>
      </w:r>
      <w:r w:rsidRPr="00D40288">
        <w:rPr>
          <w:rFonts w:ascii="Times New Roman" w:hAnsi="Times New Roman" w:cs="Times New Roman"/>
          <w:sz w:val="24"/>
          <w:szCs w:val="24"/>
        </w:rPr>
        <w:t>SO</w:t>
      </w:r>
      <w:r w:rsidRPr="00D40288">
        <w:rPr>
          <w:rFonts w:ascii="Times New Roman" w:hAnsi="Times New Roman" w:cs="Times New Roman"/>
          <w:sz w:val="24"/>
          <w:szCs w:val="24"/>
          <w:vertAlign w:val="subscript"/>
        </w:rPr>
        <w:t>4</w:t>
      </w:r>
      <w:r w:rsidRPr="00D40288">
        <w:rPr>
          <w:rFonts w:ascii="Times New Roman" w:hAnsi="Times New Roman" w:cs="Times New Roman"/>
          <w:sz w:val="24"/>
          <w:szCs w:val="24"/>
        </w:rPr>
        <w:t xml:space="preserve"> (same setup to the measurement for </w:t>
      </w:r>
      <w:r w:rsidR="00DE0DCA">
        <w:rPr>
          <w:rFonts w:ascii="Times New Roman" w:hAnsi="Times New Roman" w:cs="Times New Roman"/>
          <w:sz w:val="24"/>
          <w:szCs w:val="24"/>
        </w:rPr>
        <w:t>Supplementary Fig.</w:t>
      </w:r>
      <w:r w:rsidRPr="00D40288">
        <w:rPr>
          <w:rFonts w:ascii="Times New Roman" w:hAnsi="Times New Roman" w:cs="Times New Roman"/>
          <w:sz w:val="24"/>
          <w:szCs w:val="24"/>
        </w:rPr>
        <w:t xml:space="preserve"> </w:t>
      </w:r>
      <w:r w:rsidR="006F4F23" w:rsidRPr="00D40288">
        <w:rPr>
          <w:rFonts w:ascii="Times New Roman" w:hAnsi="Times New Roman" w:cs="Times New Roman"/>
          <w:sz w:val="24"/>
          <w:szCs w:val="24"/>
        </w:rPr>
        <w:t>1</w:t>
      </w:r>
      <w:r w:rsidR="006F4F23">
        <w:rPr>
          <w:rFonts w:ascii="Times New Roman" w:hAnsi="Times New Roman" w:cs="Times New Roman"/>
          <w:sz w:val="24"/>
          <w:szCs w:val="24"/>
        </w:rPr>
        <w:t>3c</w:t>
      </w:r>
      <w:r w:rsidRPr="00D40288">
        <w:rPr>
          <w:rFonts w:ascii="Times New Roman" w:hAnsi="Times New Roman" w:cs="Times New Roman"/>
          <w:sz w:val="24"/>
          <w:szCs w:val="24"/>
        </w:rPr>
        <w:t>). We discovered that in such a thick catholyte, larger cations promote higher ethylene FE. Specifically, the maximum ethylene FE in 1 M Cs</w:t>
      </w:r>
      <w:r w:rsidRPr="00D40288">
        <w:rPr>
          <w:rFonts w:ascii="Times New Roman" w:hAnsi="Times New Roman" w:cs="Times New Roman"/>
          <w:sz w:val="24"/>
          <w:szCs w:val="24"/>
          <w:vertAlign w:val="superscript"/>
        </w:rPr>
        <w:t>+</w:t>
      </w:r>
      <w:r w:rsidRPr="00D40288">
        <w:rPr>
          <w:rFonts w:ascii="Times New Roman" w:hAnsi="Times New Roman" w:cs="Times New Roman"/>
          <w:sz w:val="24"/>
          <w:szCs w:val="24"/>
        </w:rPr>
        <w:t xml:space="preserve"> is ~50% (</w:t>
      </w:r>
      <w:r w:rsidR="00DE0DCA">
        <w:rPr>
          <w:rFonts w:ascii="Times New Roman" w:hAnsi="Times New Roman" w:cs="Times New Roman"/>
          <w:sz w:val="24"/>
          <w:szCs w:val="24"/>
        </w:rPr>
        <w:t>Supplementary Fig.</w:t>
      </w:r>
      <w:r w:rsidRPr="00D40288">
        <w:rPr>
          <w:rFonts w:ascii="Times New Roman" w:hAnsi="Times New Roman" w:cs="Times New Roman"/>
          <w:sz w:val="24"/>
          <w:szCs w:val="24"/>
        </w:rPr>
        <w:t xml:space="preserve"> </w:t>
      </w:r>
      <w:r w:rsidR="00487672">
        <w:rPr>
          <w:rFonts w:ascii="Times New Roman" w:hAnsi="Times New Roman" w:cs="Times New Roman"/>
          <w:sz w:val="24"/>
          <w:szCs w:val="24"/>
        </w:rPr>
        <w:t>11g</w:t>
      </w:r>
      <w:r w:rsidRPr="00D40288">
        <w:rPr>
          <w:rFonts w:ascii="Times New Roman" w:hAnsi="Times New Roman" w:cs="Times New Roman"/>
          <w:sz w:val="24"/>
          <w:szCs w:val="24"/>
        </w:rPr>
        <w:t>), higher than ~43% in 1 M K</w:t>
      </w:r>
      <w:r w:rsidRPr="00D40288">
        <w:rPr>
          <w:rFonts w:ascii="Times New Roman" w:hAnsi="Times New Roman" w:cs="Times New Roman"/>
          <w:sz w:val="24"/>
          <w:szCs w:val="24"/>
          <w:vertAlign w:val="superscript"/>
        </w:rPr>
        <w:t>+</w:t>
      </w:r>
      <w:r w:rsidRPr="00D40288">
        <w:rPr>
          <w:rFonts w:ascii="Times New Roman" w:hAnsi="Times New Roman" w:cs="Times New Roman"/>
          <w:sz w:val="24"/>
          <w:szCs w:val="24"/>
        </w:rPr>
        <w:t xml:space="preserve"> (</w:t>
      </w:r>
      <w:r w:rsidR="00DE0DCA">
        <w:rPr>
          <w:rFonts w:ascii="Times New Roman" w:hAnsi="Times New Roman" w:cs="Times New Roman"/>
          <w:sz w:val="24"/>
          <w:szCs w:val="24"/>
        </w:rPr>
        <w:t>Supplementary Fig.</w:t>
      </w:r>
      <w:r w:rsidRPr="00D40288">
        <w:rPr>
          <w:rFonts w:ascii="Times New Roman" w:hAnsi="Times New Roman" w:cs="Times New Roman"/>
          <w:sz w:val="24"/>
          <w:szCs w:val="24"/>
        </w:rPr>
        <w:t xml:space="preserve"> </w:t>
      </w:r>
      <w:r w:rsidR="00805553">
        <w:rPr>
          <w:rFonts w:ascii="Times New Roman" w:hAnsi="Times New Roman" w:cs="Times New Roman"/>
          <w:sz w:val="24"/>
          <w:szCs w:val="24"/>
        </w:rPr>
        <w:t>13c</w:t>
      </w:r>
      <w:r w:rsidRPr="00D40288">
        <w:rPr>
          <w:rFonts w:ascii="Times New Roman" w:hAnsi="Times New Roman" w:cs="Times New Roman"/>
          <w:sz w:val="24"/>
          <w:szCs w:val="24"/>
        </w:rPr>
        <w:t xml:space="preserve">). </w:t>
      </w:r>
      <w:r w:rsidR="003C5020">
        <w:rPr>
          <w:rFonts w:ascii="Times New Roman" w:hAnsi="Times New Roman" w:cs="Times New Roman"/>
          <w:sz w:val="24"/>
          <w:szCs w:val="24"/>
        </w:rPr>
        <w:t xml:space="preserve">According to previous studies, </w:t>
      </w:r>
      <w:r w:rsidR="00F32F1B">
        <w:rPr>
          <w:rFonts w:ascii="Times New Roman" w:hAnsi="Times New Roman" w:cs="Times New Roman"/>
          <w:sz w:val="24"/>
          <w:szCs w:val="24"/>
        </w:rPr>
        <w:t>the trend of the cation effects on the C</w:t>
      </w:r>
      <w:r w:rsidR="00807041">
        <w:rPr>
          <w:rFonts w:ascii="Times New Roman" w:hAnsi="Times New Roman" w:cs="Times New Roman"/>
          <w:sz w:val="24"/>
          <w:szCs w:val="24"/>
          <w:vertAlign w:val="subscript"/>
        </w:rPr>
        <w:t>2+</w:t>
      </w:r>
      <w:r w:rsidR="00F32F1B">
        <w:rPr>
          <w:rFonts w:ascii="Times New Roman" w:hAnsi="Times New Roman" w:cs="Times New Roman"/>
          <w:sz w:val="24"/>
          <w:szCs w:val="24"/>
        </w:rPr>
        <w:t xml:space="preserve"> selectivity </w:t>
      </w:r>
      <w:r w:rsidRPr="00D40288">
        <w:rPr>
          <w:rFonts w:ascii="Times New Roman" w:hAnsi="Times New Roman" w:cs="Times New Roman"/>
          <w:sz w:val="24"/>
          <w:szCs w:val="24"/>
        </w:rPr>
        <w:t xml:space="preserve">is greatly affected by </w:t>
      </w:r>
      <w:r w:rsidR="00F32F1B">
        <w:rPr>
          <w:rFonts w:ascii="Times New Roman" w:hAnsi="Times New Roman" w:cs="Times New Roman"/>
          <w:sz w:val="24"/>
          <w:szCs w:val="24"/>
        </w:rPr>
        <w:t>hydrolysis of the hydrated cations</w:t>
      </w:r>
      <w:r w:rsidR="00CB373C">
        <w:rPr>
          <w:rFonts w:ascii="Times New Roman" w:hAnsi="Times New Roman" w:cs="Times New Roman"/>
          <w:sz w:val="24"/>
          <w:szCs w:val="24"/>
        </w:rPr>
        <w:t>.</w:t>
      </w:r>
      <w:r w:rsidR="00CB373C" w:rsidRPr="00D40288">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{"citationItems":[{"id":"ITEM-1","itemData":{"DOI":"10.1021/jacs.6b07612","ISSN":"15205126","PMID":"27626299","abstract":"Electrolyte cation size is known to influence the electrochemical reduction of CO2 over metals; however, a satisfactory explanation for this phenomenon has not been developed. We report here that these effects can be attributed to a previously unrecognized consequence of cation hydrolysis occurring in the vicinity of the cathode. With increasing cation size, the pKa for cation hydrolysis decreases and is sufficiently low for hydrated K+, Rb+, and Cs+ to serve as buffering agents. Buffering lowers the pH near the cathode, leading to an increase in the local concentration of dissolved CO2. The consequences of these changes are an increase in cathode activity, a decrease in Faradaic efficiencies for H2 and CH4, and an increase in Faradaic efficiencies for CO, C2H4, and C2H5OH, in full agreement with experimental observations for CO2 reduction over Ag and Cu.","author":[{"dropping-particle":"","family":"Singh","given":"Meenesh R.","non-dropping-particle":"","parse-names":false,"suffix":""},{"dropping-particle":"","family":"Kwon","given":"Youngkook","non-dropping-particle":"","parse-names":false,"suffix":""},{"dropping-particle":"","family":"Lum","given":"Yanwei","non-dropping-particle":"","parse-names":false,"suffix":""},{"dropping-particle":"","family":"Ager","given":"Joel W.","non-dropping-particle":"","parse-names":false,"suffix":""},{"dropping-particle":"","family":"Bell","given":"Alexis T.","non-dropping-particle":"","parse-names":false,"suffix":""}],"container-title":"Journal of the American Chemical Society","id":"ITEM-1","issue":"39","issued":{"date-parts":[["2016"]]},"page":"13006-13012","title":"Hydrolysis of Electrolyte Cations Enhances the Electrochemical Reduction of CO2 over Ag and Cu","type":"article-journal","volume":"138"},"uris":["http://www.mendeley.com/documents/?uuid=32a206b5-f717-4058-b544-5ccd269b9d08"]}],"mendeley":{"formattedCitation":"&lt;sup&gt;27&lt;/sup&gt;","plainTextFormattedCitation":"27","previouslyFormattedCitation":"&lt;sup&gt;42&lt;/sup&gt;"},"properties":{"noteIndex":0},"schema":"https://github.com/citation-style-language/schema/raw/master/csl-citation.json"}</w:instrText>
      </w:r>
      <w:r w:rsidR="00CB373C" w:rsidRPr="00D40288">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27</w:t>
      </w:r>
      <w:r w:rsidR="00CB373C" w:rsidRPr="00D40288">
        <w:rPr>
          <w:rFonts w:ascii="Times New Roman" w:hAnsi="Times New Roman" w:cs="Times New Roman"/>
          <w:sz w:val="24"/>
          <w:szCs w:val="24"/>
        </w:rPr>
        <w:fldChar w:fldCharType="end"/>
      </w:r>
      <w:r w:rsidR="00F32F1B">
        <w:rPr>
          <w:rFonts w:ascii="Times New Roman" w:hAnsi="Times New Roman" w:cs="Times New Roman"/>
          <w:sz w:val="24"/>
          <w:szCs w:val="24"/>
        </w:rPr>
        <w:t xml:space="preserve"> </w:t>
      </w:r>
      <w:r w:rsidR="00CB373C">
        <w:rPr>
          <w:rFonts w:ascii="Times New Roman" w:hAnsi="Times New Roman" w:cs="Times New Roman"/>
          <w:sz w:val="24"/>
          <w:szCs w:val="24"/>
        </w:rPr>
        <w:t>L</w:t>
      </w:r>
      <w:r w:rsidR="004E3E1A">
        <w:rPr>
          <w:rFonts w:ascii="Times New Roman" w:hAnsi="Times New Roman" w:cs="Times New Roman"/>
          <w:sz w:val="24"/>
          <w:szCs w:val="24"/>
        </w:rPr>
        <w:t>arger cations enhance the C</w:t>
      </w:r>
      <w:r w:rsidR="004E3E1A">
        <w:rPr>
          <w:rFonts w:ascii="Times New Roman" w:hAnsi="Times New Roman" w:cs="Times New Roman"/>
          <w:sz w:val="24"/>
          <w:szCs w:val="24"/>
          <w:vertAlign w:val="subscript"/>
        </w:rPr>
        <w:t>2+</w:t>
      </w:r>
      <w:r w:rsidR="004E3E1A">
        <w:rPr>
          <w:rFonts w:ascii="Times New Roman" w:hAnsi="Times New Roman" w:cs="Times New Roman"/>
          <w:sz w:val="24"/>
          <w:szCs w:val="24"/>
        </w:rPr>
        <w:t xml:space="preserve"> selectivity when hydrolyzed as M</w:t>
      </w:r>
      <w:r w:rsidR="004E3E1A" w:rsidRPr="00632AEC">
        <w:rPr>
          <w:rFonts w:ascii="Times New Roman" w:hAnsi="Times New Roman" w:cs="Times New Roman"/>
          <w:sz w:val="24"/>
          <w:szCs w:val="24"/>
          <w:vertAlign w:val="superscript"/>
        </w:rPr>
        <w:t>+</w:t>
      </w:r>
      <w:r w:rsidR="004E3E1A">
        <w:rPr>
          <w:rFonts w:ascii="Times New Roman" w:hAnsi="Times New Roman" w:cs="Times New Roman"/>
          <w:sz w:val="24"/>
          <w:szCs w:val="24"/>
        </w:rPr>
        <w:t>(H</w:t>
      </w:r>
      <w:r w:rsidR="004E3E1A" w:rsidRPr="00632AEC">
        <w:rPr>
          <w:rFonts w:ascii="Times New Roman" w:hAnsi="Times New Roman" w:cs="Times New Roman"/>
          <w:sz w:val="24"/>
          <w:szCs w:val="24"/>
          <w:vertAlign w:val="subscript"/>
        </w:rPr>
        <w:t>2</w:t>
      </w:r>
      <w:r w:rsidR="004E3E1A">
        <w:rPr>
          <w:rFonts w:ascii="Times New Roman" w:hAnsi="Times New Roman" w:cs="Times New Roman"/>
          <w:sz w:val="24"/>
          <w:szCs w:val="24"/>
        </w:rPr>
        <w:t>O)</w:t>
      </w:r>
      <w:r w:rsidR="004E3E1A" w:rsidRPr="00632AEC">
        <w:rPr>
          <w:rFonts w:ascii="Times New Roman" w:hAnsi="Times New Roman" w:cs="Times New Roman"/>
          <w:sz w:val="24"/>
          <w:szCs w:val="24"/>
          <w:vertAlign w:val="subscript"/>
        </w:rPr>
        <w:t>n</w:t>
      </w:r>
      <w:r w:rsidR="004E3E1A">
        <w:rPr>
          <w:rFonts w:ascii="Times New Roman" w:hAnsi="Times New Roman" w:cs="Times New Roman"/>
          <w:sz w:val="24"/>
          <w:szCs w:val="24"/>
        </w:rPr>
        <w:t xml:space="preserve"> + H</w:t>
      </w:r>
      <w:r w:rsidR="004E3E1A" w:rsidRPr="00632AEC">
        <w:rPr>
          <w:rFonts w:ascii="Times New Roman" w:hAnsi="Times New Roman" w:cs="Times New Roman"/>
          <w:sz w:val="24"/>
          <w:szCs w:val="24"/>
          <w:vertAlign w:val="subscript"/>
        </w:rPr>
        <w:t>2</w:t>
      </w:r>
      <w:r w:rsidR="004E3E1A">
        <w:rPr>
          <w:rFonts w:ascii="Times New Roman" w:hAnsi="Times New Roman" w:cs="Times New Roman"/>
          <w:sz w:val="24"/>
          <w:szCs w:val="24"/>
        </w:rPr>
        <w:t>O</w:t>
      </w:r>
      <w:r w:rsidR="004E3E1A" w:rsidRPr="004E3E1A">
        <w:rPr>
          <w:rFonts w:ascii="Times New Roman" w:hAnsi="Times New Roman" w:cs="Times New Roman"/>
          <w:sz w:val="24"/>
          <w:szCs w:val="24"/>
        </w:rPr>
        <w:t xml:space="preserve"> </w:t>
      </w:r>
      <w:r w:rsidR="004E3E1A" w:rsidRPr="004E3E1A">
        <w:rPr>
          <w:rFonts w:ascii="MS Gothic" w:eastAsia="MS Gothic" w:hAnsi="MS Gothic" w:cs="MS Gothic" w:hint="eastAsia"/>
          <w:sz w:val="24"/>
          <w:szCs w:val="24"/>
        </w:rPr>
        <w:t>⇌</w:t>
      </w:r>
      <w:r w:rsidR="00F32F1B">
        <w:rPr>
          <w:rFonts w:ascii="Times New Roman" w:hAnsi="Times New Roman" w:cs="Times New Roman"/>
          <w:sz w:val="24"/>
          <w:szCs w:val="24"/>
        </w:rPr>
        <w:t xml:space="preserve"> </w:t>
      </w:r>
      <w:r w:rsidR="00632AEC">
        <w:rPr>
          <w:rFonts w:ascii="Times New Roman" w:hAnsi="Times New Roman" w:cs="Times New Roman"/>
          <w:sz w:val="24"/>
          <w:szCs w:val="24"/>
        </w:rPr>
        <w:t>MOH(H</w:t>
      </w:r>
      <w:r w:rsidR="00632AEC" w:rsidRPr="00632AEC">
        <w:rPr>
          <w:rFonts w:ascii="Times New Roman" w:hAnsi="Times New Roman" w:cs="Times New Roman"/>
          <w:sz w:val="24"/>
          <w:szCs w:val="24"/>
          <w:vertAlign w:val="subscript"/>
        </w:rPr>
        <w:t>2</w:t>
      </w:r>
      <w:r w:rsidR="00632AEC">
        <w:rPr>
          <w:rFonts w:ascii="Times New Roman" w:hAnsi="Times New Roman" w:cs="Times New Roman"/>
          <w:sz w:val="24"/>
          <w:szCs w:val="24"/>
        </w:rPr>
        <w:t>O)</w:t>
      </w:r>
      <w:r w:rsidR="00632AEC" w:rsidRPr="00632AEC">
        <w:rPr>
          <w:rFonts w:ascii="Times New Roman" w:hAnsi="Times New Roman" w:cs="Times New Roman"/>
          <w:sz w:val="24"/>
          <w:szCs w:val="24"/>
          <w:vertAlign w:val="subscript"/>
        </w:rPr>
        <w:t>(n-1)</w:t>
      </w:r>
      <w:r w:rsidR="00632AEC">
        <w:rPr>
          <w:rFonts w:ascii="Times New Roman" w:hAnsi="Times New Roman" w:cs="Times New Roman"/>
          <w:sz w:val="24"/>
          <w:szCs w:val="24"/>
        </w:rPr>
        <w:t xml:space="preserve"> + H</w:t>
      </w:r>
      <w:r w:rsidR="00632AEC" w:rsidRPr="00632AEC">
        <w:rPr>
          <w:rFonts w:ascii="Times New Roman" w:hAnsi="Times New Roman" w:cs="Times New Roman"/>
          <w:sz w:val="24"/>
          <w:szCs w:val="24"/>
          <w:vertAlign w:val="subscript"/>
        </w:rPr>
        <w:t>3</w:t>
      </w:r>
      <w:r w:rsidR="00632AEC">
        <w:rPr>
          <w:rFonts w:ascii="Times New Roman" w:hAnsi="Times New Roman" w:cs="Times New Roman"/>
          <w:sz w:val="24"/>
          <w:szCs w:val="24"/>
        </w:rPr>
        <w:t>O</w:t>
      </w:r>
      <w:r w:rsidR="00632AEC" w:rsidRPr="00632AEC">
        <w:rPr>
          <w:rFonts w:ascii="Times New Roman" w:hAnsi="Times New Roman" w:cs="Times New Roman"/>
          <w:sz w:val="24"/>
          <w:szCs w:val="24"/>
          <w:vertAlign w:val="superscript"/>
        </w:rPr>
        <w:t>+</w:t>
      </w:r>
      <w:r w:rsidR="00CB373C">
        <w:rPr>
          <w:rFonts w:ascii="Times New Roman" w:hAnsi="Times New Roman" w:cs="Times New Roman"/>
          <w:sz w:val="24"/>
          <w:szCs w:val="24"/>
        </w:rPr>
        <w:t xml:space="preserve"> while</w:t>
      </w:r>
      <w:r w:rsidR="009F6F4F">
        <w:rPr>
          <w:rFonts w:ascii="Times New Roman" w:hAnsi="Times New Roman" w:cs="Times New Roman"/>
          <w:sz w:val="24"/>
          <w:szCs w:val="24"/>
        </w:rPr>
        <w:t xml:space="preserve"> </w:t>
      </w:r>
      <w:r w:rsidR="00A31C33">
        <w:rPr>
          <w:rFonts w:ascii="Times New Roman" w:hAnsi="Times New Roman" w:cs="Times New Roman"/>
          <w:sz w:val="24"/>
          <w:szCs w:val="24"/>
        </w:rPr>
        <w:t xml:space="preserve">the non-hydrolyzed cations (e.g. </w:t>
      </w:r>
      <w:r w:rsidR="001C0FB9">
        <w:rPr>
          <w:rFonts w:ascii="Times New Roman" w:hAnsi="Times New Roman" w:cs="Times New Roman"/>
          <w:sz w:val="24"/>
          <w:szCs w:val="24"/>
        </w:rPr>
        <w:t>acidic</w:t>
      </w:r>
      <w:r w:rsidR="00A31C33">
        <w:rPr>
          <w:rFonts w:ascii="Times New Roman" w:hAnsi="Times New Roman" w:cs="Times New Roman"/>
          <w:sz w:val="24"/>
          <w:szCs w:val="24"/>
        </w:rPr>
        <w:t xml:space="preserve"> pH </w:t>
      </w:r>
      <w:r w:rsidR="001C0FB9">
        <w:rPr>
          <w:rFonts w:ascii="Times New Roman" w:hAnsi="Times New Roman" w:cs="Times New Roman"/>
          <w:sz w:val="24"/>
          <w:szCs w:val="24"/>
        </w:rPr>
        <w:t>can suppress</w:t>
      </w:r>
      <w:r w:rsidR="00A31C33">
        <w:rPr>
          <w:rFonts w:ascii="Times New Roman" w:hAnsi="Times New Roman" w:cs="Times New Roman"/>
          <w:sz w:val="24"/>
          <w:szCs w:val="24"/>
        </w:rPr>
        <w:t xml:space="preserve">) show opposite </w:t>
      </w:r>
      <w:r w:rsidR="0009087E">
        <w:rPr>
          <w:rFonts w:ascii="Times New Roman" w:hAnsi="Times New Roman" w:cs="Times New Roman"/>
          <w:sz w:val="24"/>
          <w:szCs w:val="24"/>
        </w:rPr>
        <w:t>trend.</w:t>
      </w:r>
      <w:r w:rsidR="00CB373C" w:rsidRPr="00CB373C">
        <w:rPr>
          <w:rFonts w:ascii="Times New Roman" w:hAnsi="Times New Roman" w:cs="Times New Roman"/>
          <w:sz w:val="24"/>
          <w:szCs w:val="24"/>
        </w:rPr>
        <w:t xml:space="preserve"> </w:t>
      </w:r>
      <w:r w:rsidR="00CB373C" w:rsidRPr="00D40288">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{"citationItems":[{"id":"ITEM-1","itemData":{"DOI":"10.1021/jacs.6b07612","ISSN":"15205126","PMID":"27626299","abstract":"Electrolyte cation size is known to influence the electrochemical reduction of CO2 over metals; however, a satisfactory explanation for this phenomenon has not been developed. We report here that these effects can be attributed to a previously unrecognized consequence of cation hydrolysis occurring in the vicinity of the cathode. With increasing cation size, the pKa for cation hydrolysis decreases and is sufficiently low for hydrated K+, Rb+, and Cs+ to serve as buffering agents. Buffering lowers the pH near the cathode, leading to an increase in the local concentration of dissolved CO2. The consequences of these changes are an increase in cathode activity, a decrease in Faradaic efficiencies for H2 and CH4, and an increase in Faradaic efficiencies for CO, C2H4, and C2H5OH, in full agreement with experimental observations for CO2 reduction over Ag and Cu.","author":[{"dropping-particle":"","family":"Singh","given":"Meenesh R.","non-dropping-particle":"","parse-names":false,"suffix":""},{"dropping-particle":"","family":"Kwon","given":"Youngkook","non-dropping-particle":"","parse-names":false,"suffix":""},{"dropping-particle":"","family":"Lum","given":"Yanwei","non-dropping-particle":"","parse-names":false,"suffix":""},{"dropping-particle":"","family":"Ager","given":"Joel W.","non-dropping-particle":"","parse-names":false,"suffix":""},{"dropping-particle":"","family":"Bell","given":"Alexis T.","non-dropping-particle":"","parse-names":false,"suffix":""}],"container-title":"Journal of the American Chemical Society","id":"ITEM-1","issue":"39","issued":{"date-parts":[["2016"]]},"page":"13006-13012","title":"Hydrolysis of Electrolyte Cations Enhances the Electrochemical Reduction of CO2 over Ag and Cu","type":"article-journal","volume":"138"},"uris":["http://www.mendeley.com/documents/?uuid=32a206b5-f717-4058-b544-5ccd269b9d08"]}],"mendeley":{"formattedCitation":"&lt;sup&gt;27&lt;/sup&gt;","plainTextFormattedCitation":"27","previouslyFormattedCitation":"&lt;sup&gt;42&lt;/sup&gt;"},"properties":{"noteIndex":0},"schema":"https://github.com/citation-style-language/schema/raw/master/csl-citation.json"}</w:instrText>
      </w:r>
      <w:r w:rsidR="00CB373C" w:rsidRPr="00D40288">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27</w:t>
      </w:r>
      <w:r w:rsidR="00CB373C" w:rsidRPr="00D40288">
        <w:rPr>
          <w:rFonts w:ascii="Times New Roman" w:hAnsi="Times New Roman" w:cs="Times New Roman"/>
          <w:sz w:val="24"/>
          <w:szCs w:val="24"/>
        </w:rPr>
        <w:fldChar w:fldCharType="end"/>
      </w:r>
      <w:r w:rsidR="0009087E">
        <w:rPr>
          <w:rFonts w:ascii="Times New Roman" w:hAnsi="Times New Roman" w:cs="Times New Roman"/>
          <w:sz w:val="24"/>
          <w:szCs w:val="24"/>
        </w:rPr>
        <w:t xml:space="preserve"> </w:t>
      </w:r>
      <w:r w:rsidR="00250F07">
        <w:rPr>
          <w:rFonts w:ascii="Times New Roman" w:hAnsi="Times New Roman" w:cs="Times New Roman"/>
          <w:sz w:val="24"/>
          <w:szCs w:val="24"/>
        </w:rPr>
        <w:t>The simulation in the main text (</w:t>
      </w:r>
      <w:r w:rsidR="00DE0DCA">
        <w:rPr>
          <w:rFonts w:ascii="Times New Roman" w:hAnsi="Times New Roman" w:cs="Times New Roman"/>
          <w:sz w:val="24"/>
          <w:szCs w:val="24"/>
        </w:rPr>
        <w:t>Fig.</w:t>
      </w:r>
      <w:r w:rsidR="00250F07">
        <w:rPr>
          <w:rFonts w:ascii="Times New Roman" w:hAnsi="Times New Roman" w:cs="Times New Roman"/>
          <w:sz w:val="24"/>
          <w:szCs w:val="24"/>
        </w:rPr>
        <w:t xml:space="preserve"> </w:t>
      </w:r>
      <w:r w:rsidR="00805553">
        <w:rPr>
          <w:rFonts w:ascii="Times New Roman" w:hAnsi="Times New Roman" w:cs="Times New Roman"/>
          <w:sz w:val="24"/>
          <w:szCs w:val="24"/>
        </w:rPr>
        <w:t>2b</w:t>
      </w:r>
      <w:r w:rsidR="00250F07">
        <w:rPr>
          <w:rFonts w:ascii="Times New Roman" w:hAnsi="Times New Roman" w:cs="Times New Roman"/>
          <w:sz w:val="24"/>
          <w:szCs w:val="24"/>
        </w:rPr>
        <w:t>) displays that the bulk pH in SC-BPMEA is acidic</w:t>
      </w:r>
      <w:r w:rsidR="001C0FB9">
        <w:rPr>
          <w:rFonts w:ascii="Times New Roman" w:hAnsi="Times New Roman" w:cs="Times New Roman"/>
          <w:sz w:val="24"/>
          <w:szCs w:val="24"/>
        </w:rPr>
        <w:t xml:space="preserve"> because of the protons generated from the BPM. As such, we observe that larger cations </w:t>
      </w:r>
      <w:r w:rsidR="00FF5B5B">
        <w:rPr>
          <w:rFonts w:ascii="Times New Roman" w:hAnsi="Times New Roman" w:cs="Times New Roman"/>
          <w:sz w:val="24"/>
          <w:szCs w:val="24"/>
        </w:rPr>
        <w:t>lower C</w:t>
      </w:r>
      <w:r w:rsidR="00FF5B5B" w:rsidRPr="00FF5B5B">
        <w:rPr>
          <w:rFonts w:ascii="Times New Roman" w:hAnsi="Times New Roman" w:cs="Times New Roman"/>
          <w:sz w:val="24"/>
          <w:szCs w:val="24"/>
          <w:vertAlign w:val="subscript"/>
        </w:rPr>
        <w:t>2+</w:t>
      </w:r>
      <w:r w:rsidR="00FF5B5B">
        <w:rPr>
          <w:rFonts w:ascii="Times New Roman" w:hAnsi="Times New Roman" w:cs="Times New Roman"/>
          <w:sz w:val="24"/>
          <w:szCs w:val="24"/>
        </w:rPr>
        <w:t xml:space="preserve"> selectivity in SC-BPMEA. </w:t>
      </w:r>
      <w:bookmarkEnd w:id="5"/>
    </w:p>
    <w:p w14:paraId="6EBA3CCC" w14:textId="0C701B4C" w:rsidR="00B70D69" w:rsidRPr="00805810" w:rsidRDefault="00DE72D1" w:rsidP="0079256F">
      <w:pPr>
        <w:jc w:val="both"/>
        <w:rPr>
          <w:rFonts w:ascii="Times New Roman" w:hAnsi="Times New Roman" w:cs="Times New Roman"/>
          <w:sz w:val="24"/>
          <w:szCs w:val="24"/>
        </w:rPr>
      </w:pPr>
      <w:r w:rsidRPr="009D52EB">
        <w:rPr>
          <w:rFonts w:ascii="Times New Roman" w:hAnsi="Times New Roman" w:cs="Times New Roman"/>
          <w:sz w:val="24"/>
          <w:szCs w:val="24"/>
        </w:rPr>
        <w:t>The operating temperature also affects the CO</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RR selectivity. The Cu catalyst in this work reaches the maximum ethylene FE</w:t>
      </w:r>
      <w:r w:rsidR="00E52C2E" w:rsidRPr="009D52EB">
        <w:rPr>
          <w:rFonts w:ascii="Times New Roman" w:hAnsi="Times New Roman" w:cs="Times New Roman"/>
          <w:sz w:val="24"/>
          <w:szCs w:val="24"/>
        </w:rPr>
        <w:t xml:space="preserve"> of </w:t>
      </w:r>
      <w:r w:rsidR="00BF09CC" w:rsidRPr="009D52EB">
        <w:rPr>
          <w:rFonts w:ascii="Times New Roman" w:hAnsi="Times New Roman" w:cs="Times New Roman"/>
          <w:sz w:val="24"/>
          <w:szCs w:val="24"/>
        </w:rPr>
        <w:t>36</w:t>
      </w:r>
      <w:r w:rsidR="00E52C2E" w:rsidRPr="009D52EB">
        <w:rPr>
          <w:rFonts w:ascii="Times New Roman" w:hAnsi="Times New Roman" w:cs="Times New Roman"/>
          <w:sz w:val="24"/>
          <w:szCs w:val="24"/>
        </w:rPr>
        <w:t>%</w:t>
      </w:r>
      <w:r w:rsidRPr="009D52EB">
        <w:rPr>
          <w:rFonts w:ascii="Times New Roman" w:hAnsi="Times New Roman" w:cs="Times New Roman"/>
          <w:sz w:val="24"/>
          <w:szCs w:val="24"/>
        </w:rPr>
        <w:t xml:space="preserve"> </w:t>
      </w:r>
      <w:r w:rsidR="00BF09CC" w:rsidRPr="009D52EB">
        <w:rPr>
          <w:rFonts w:ascii="Times New Roman" w:hAnsi="Times New Roman" w:cs="Times New Roman"/>
          <w:sz w:val="24"/>
          <w:szCs w:val="24"/>
        </w:rPr>
        <w:t>(</w:t>
      </w:r>
      <w:r w:rsidR="00E12AE7" w:rsidRPr="009D52EB">
        <w:rPr>
          <w:rFonts w:ascii="Times New Roman" w:hAnsi="Times New Roman" w:cs="Times New Roman"/>
          <w:sz w:val="24"/>
          <w:szCs w:val="24"/>
        </w:rPr>
        <w:t xml:space="preserve">among </w:t>
      </w:r>
      <w:r w:rsidR="00BF09CC" w:rsidRPr="009D52EB">
        <w:rPr>
          <w:rFonts w:ascii="Times New Roman" w:hAnsi="Times New Roman" w:cs="Times New Roman"/>
          <w:sz w:val="24"/>
          <w:szCs w:val="24"/>
        </w:rPr>
        <w:t>125 μm 0.5 M K</w:t>
      </w:r>
      <w:r w:rsidR="00BF09CC" w:rsidRPr="009D52EB">
        <w:rPr>
          <w:rFonts w:ascii="Times New Roman" w:hAnsi="Times New Roman" w:cs="Times New Roman"/>
          <w:sz w:val="24"/>
          <w:szCs w:val="24"/>
          <w:vertAlign w:val="subscript"/>
        </w:rPr>
        <w:t>2</w:t>
      </w:r>
      <w:r w:rsidR="00BF09CC" w:rsidRPr="009D52EB">
        <w:rPr>
          <w:rFonts w:ascii="Times New Roman" w:hAnsi="Times New Roman" w:cs="Times New Roman"/>
          <w:sz w:val="24"/>
          <w:szCs w:val="24"/>
        </w:rPr>
        <w:t>SO</w:t>
      </w:r>
      <w:r w:rsidR="00BF09CC" w:rsidRPr="009D52EB">
        <w:rPr>
          <w:rFonts w:ascii="Times New Roman" w:hAnsi="Times New Roman" w:cs="Times New Roman"/>
          <w:sz w:val="24"/>
          <w:szCs w:val="24"/>
          <w:vertAlign w:val="subscript"/>
        </w:rPr>
        <w:t>4</w:t>
      </w:r>
      <w:r w:rsidR="00BF09CC" w:rsidRPr="009D52EB">
        <w:rPr>
          <w:rFonts w:ascii="Times New Roman" w:hAnsi="Times New Roman" w:cs="Times New Roman"/>
          <w:sz w:val="24"/>
          <w:szCs w:val="24"/>
        </w:rPr>
        <w:t xml:space="preserve">) </w:t>
      </w:r>
      <w:r w:rsidRPr="009D52EB">
        <w:rPr>
          <w:rFonts w:ascii="Times New Roman" w:hAnsi="Times New Roman" w:cs="Times New Roman"/>
          <w:sz w:val="24"/>
          <w:szCs w:val="24"/>
        </w:rPr>
        <w:t xml:space="preserve">at 35 </w:t>
      </w:r>
      <w:r w:rsidRPr="009D52EB">
        <w:rPr>
          <w:rFonts w:ascii="Times New Roman" w:hAnsi="Times New Roman" w:cs="Times New Roman"/>
          <w:sz w:val="24"/>
          <w:szCs w:val="24"/>
          <w:vertAlign w:val="superscript"/>
        </w:rPr>
        <w:t>o</w:t>
      </w:r>
      <w:r w:rsidRPr="009D52EB">
        <w:rPr>
          <w:rFonts w:ascii="Times New Roman" w:hAnsi="Times New Roman" w:cs="Times New Roman"/>
          <w:sz w:val="24"/>
          <w:szCs w:val="24"/>
        </w:rPr>
        <w:t>C</w:t>
      </w:r>
      <w:r w:rsidR="001A2865" w:rsidRPr="009D52EB">
        <w:rPr>
          <w:rFonts w:ascii="Times New Roman" w:hAnsi="Times New Roman" w:cs="Times New Roman"/>
          <w:sz w:val="24"/>
          <w:szCs w:val="24"/>
        </w:rPr>
        <w:t xml:space="preserve"> (</w:t>
      </w:r>
      <w:r w:rsidR="00DE0DCA">
        <w:rPr>
          <w:rFonts w:ascii="Times New Roman" w:hAnsi="Times New Roman" w:cs="Times New Roman"/>
          <w:sz w:val="24"/>
          <w:szCs w:val="24"/>
        </w:rPr>
        <w:t>Supplementary Fig.</w:t>
      </w:r>
      <w:r w:rsidR="001A2865" w:rsidRPr="009D52EB">
        <w:rPr>
          <w:rFonts w:ascii="Times New Roman" w:hAnsi="Times New Roman" w:cs="Times New Roman"/>
          <w:sz w:val="24"/>
          <w:szCs w:val="24"/>
        </w:rPr>
        <w:t xml:space="preserve"> </w:t>
      </w:r>
      <w:r w:rsidR="00C17A87">
        <w:rPr>
          <w:rFonts w:ascii="Times New Roman" w:hAnsi="Times New Roman" w:cs="Times New Roman"/>
          <w:sz w:val="24"/>
          <w:szCs w:val="24"/>
        </w:rPr>
        <w:t>1</w:t>
      </w:r>
      <w:r w:rsidR="00E621BA">
        <w:rPr>
          <w:rFonts w:ascii="Times New Roman" w:hAnsi="Times New Roman" w:cs="Times New Roman"/>
          <w:sz w:val="24"/>
          <w:szCs w:val="24"/>
        </w:rPr>
        <w:t>2</w:t>
      </w:r>
      <w:r w:rsidR="001A2865" w:rsidRPr="009D52EB">
        <w:rPr>
          <w:rFonts w:ascii="Times New Roman" w:hAnsi="Times New Roman" w:cs="Times New Roman"/>
          <w:sz w:val="24"/>
          <w:szCs w:val="24"/>
        </w:rPr>
        <w:t>)</w:t>
      </w:r>
      <w:r w:rsidRPr="009D52EB">
        <w:rPr>
          <w:rFonts w:ascii="Times New Roman" w:hAnsi="Times New Roman" w:cs="Times New Roman"/>
          <w:sz w:val="24"/>
          <w:szCs w:val="24"/>
        </w:rPr>
        <w:t xml:space="preserve">, </w:t>
      </w:r>
      <w:r w:rsidR="00E52C2E" w:rsidRPr="009D52EB">
        <w:rPr>
          <w:rFonts w:ascii="Times New Roman" w:hAnsi="Times New Roman" w:cs="Times New Roman"/>
          <w:sz w:val="24"/>
          <w:szCs w:val="24"/>
        </w:rPr>
        <w:t>consistent with</w:t>
      </w:r>
      <w:r w:rsidRPr="009D52EB">
        <w:rPr>
          <w:rFonts w:ascii="Times New Roman" w:hAnsi="Times New Roman" w:cs="Times New Roman"/>
          <w:sz w:val="24"/>
          <w:szCs w:val="24"/>
        </w:rPr>
        <w:t xml:space="preserve"> previous discoveries.</w:t>
      </w:r>
      <w:r w:rsidRPr="00E85E3D">
        <w:rPr>
          <w:rFonts w:ascii="Times New Roman" w:hAnsi="Times New Roman" w:cs="Times New Roman"/>
          <w:sz w:val="24"/>
          <w:szCs w:val="24"/>
        </w:rPr>
        <w:fldChar w:fldCharType="begin" w:fldLock="1"/>
      </w:r>
      <w:r w:rsidR="002B6039">
        <w:rPr>
          <w:rFonts w:ascii="Times New Roman" w:hAnsi="Times New Roman" w:cs="Times New Roman"/>
          <w:sz w:val="24"/>
          <w:szCs w:val="24"/>
        </w:rPr>
        <w:instrText>ADDIN CSL_CITATION {"citationItems":[{"id":"ITEM-1","itemData":{"DOI":"10.1016/j.joule.2019.07.021","ISSN":"25424351","abstract":"The advent of low-cost renewable electricity and rising atmospheric CO2 has led to a focus on electrochemical CO2 reduction as a means toward low-carbon-intensity fuels and chemical feedstocks. The conversion of CO2 into C2+ hydrocarbons and oxygenates (i.e., products containing two or more carbon atoms) is attractive in light of large global market demand for these high-energy-density products. A limited number of prior studies have focused on performance in the reaction rate regime above 100 mA cm−2 generally viewed as necessary for industrial deployment. In these works, gas diffusion electrodes are used in liquid electrolyte electrochemical flow cells, which suffer in system stability and/or energy efficiency. We overcome this issue by developing a membrane electrode assembly-based electrolyzer. The combined catalyst and system strategy produces concentrated gas and liquid products and maintains performance during long-term (100 h) uninterrupted operation.","author":[{"dropping-particle":"","family":"Gabardo","given":"Christine M.","non-dropping-particle":"","parse-names":false,"suffix":""},{"dropping-particle":"","family":"O'Brien","given":"Colin P.","non-dropping-particle":"","parse-names":false,"suffix":""},{"dropping-particle":"","family":"Edwards","given":"Jonathan P.","non-dropping-particle":"","parse-names":false,"suffix":""},{"dropping-particle":"","family":"McCallum","given":"Christopher","non-dropping-particle":"","parse-names":false,"suffix":""},{"dropping-particle":"","family":"Xu","given":"Yi","non-dropping-particle":"","parse-names":false,"suffix":""},{"dropping-particle":"","family":"Dinh","given":"Cao Thang","non-dropping-particle":"","parse-names":false,"suffix":""},{"dropping-particle":"","family":"Li","given":"Jun","non-dropping-particle":"","parse-names":false,"suffix":""},{"dropping-particle":"","family":"Sargent","given":"Edward H.","non-dropping-particle":"","parse-names":false,"suffix":""},{"dropping-particle":"","family":"Sinton","given":"David","non-dropping-particle":"","parse-names":false,"suffix":""}],"container-title":"Joule","id":"ITEM-1","issue":"11","issued":{"date-parts":[["2019"]]},"page":"2777-2791","title":"Continuous Carbon Dioxide Electroreduction to Concentrated Multi-carbon Products Using a Membrane Electrode Assembly","type":"article-journal","volume":"3"},"uris":["http://www.mendeley.com/documents/?uuid=2a0ea880-72de-42f6-892c-badf2dc4de21"]}],"mendeley":{"formattedCitation":"&lt;sup&gt;17&lt;/sup&gt;","plainTextFormattedCitation":"17","previouslyFormattedCitation":"&lt;sup&gt;17&lt;/sup&gt;"},"properties":{"noteIndex":0},"schema":"https://github.com/citation-style-language/schema/raw/master/csl-citation.json"}</w:instrText>
      </w:r>
      <w:r w:rsidRPr="00E85E3D">
        <w:rPr>
          <w:rFonts w:ascii="Times New Roman" w:hAnsi="Times New Roman" w:cs="Times New Roman"/>
          <w:sz w:val="24"/>
          <w:szCs w:val="24"/>
        </w:rPr>
        <w:fldChar w:fldCharType="separate"/>
      </w:r>
      <w:r w:rsidR="007F7E70" w:rsidRPr="007F7E70">
        <w:rPr>
          <w:rFonts w:ascii="Times New Roman" w:hAnsi="Times New Roman" w:cs="Times New Roman"/>
          <w:noProof/>
          <w:sz w:val="24"/>
          <w:szCs w:val="24"/>
          <w:vertAlign w:val="superscript"/>
        </w:rPr>
        <w:t>17</w:t>
      </w:r>
      <w:r w:rsidRPr="00E85E3D">
        <w:rPr>
          <w:rFonts w:ascii="Times New Roman" w:hAnsi="Times New Roman" w:cs="Times New Roman"/>
          <w:sz w:val="24"/>
          <w:szCs w:val="24"/>
        </w:rPr>
        <w:fldChar w:fldCharType="end"/>
      </w:r>
    </w:p>
    <w:p w14:paraId="7BED4C63" w14:textId="49809238" w:rsidR="004B72C4" w:rsidRPr="00805810" w:rsidRDefault="001B47B3" w:rsidP="00DE24CD">
      <w:pPr>
        <w:jc w:val="center"/>
        <w:rPr>
          <w:rFonts w:ascii="Times New Roman" w:hAnsi="Times New Roman" w:cs="Times New Roman"/>
          <w:sz w:val="24"/>
          <w:szCs w:val="24"/>
        </w:rPr>
      </w:pPr>
      <w:r>
        <w:rPr>
          <w:noProof/>
        </w:rPr>
        <w:lastRenderedPageBreak/>
        <w:drawing>
          <wp:inline distT="0" distB="0" distL="0" distR="0" wp14:anchorId="5EED489B" wp14:editId="33B8428D">
            <wp:extent cx="4461772" cy="6867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65282" cy="6872928"/>
                    </a:xfrm>
                    <a:prstGeom prst="rect">
                      <a:avLst/>
                    </a:prstGeom>
                    <a:noFill/>
                    <a:ln>
                      <a:noFill/>
                    </a:ln>
                  </pic:spPr>
                </pic:pic>
              </a:graphicData>
            </a:graphic>
          </wp:inline>
        </w:drawing>
      </w:r>
    </w:p>
    <w:p w14:paraId="24753FD3" w14:textId="773AB513" w:rsidR="003E0720" w:rsidRPr="00BE6B19" w:rsidRDefault="00DE0DCA" w:rsidP="00723704">
      <w:pPr>
        <w:jc w:val="both"/>
        <w:rPr>
          <w:rFonts w:ascii="Times New Roman" w:hAnsi="Times New Roman" w:cs="Times New Roman"/>
          <w:sz w:val="20"/>
          <w:szCs w:val="20"/>
        </w:rPr>
      </w:pPr>
      <w:r>
        <w:rPr>
          <w:rFonts w:ascii="Times New Roman" w:hAnsi="Times New Roman" w:cs="Times New Roman"/>
          <w:b/>
          <w:bCs/>
          <w:sz w:val="20"/>
          <w:szCs w:val="20"/>
        </w:rPr>
        <w:t>Supplementary Fig.</w:t>
      </w:r>
      <w:r w:rsidR="003E0720" w:rsidRPr="009D52EB">
        <w:rPr>
          <w:rFonts w:ascii="Times New Roman" w:hAnsi="Times New Roman" w:cs="Times New Roman"/>
          <w:b/>
          <w:bCs/>
          <w:sz w:val="20"/>
          <w:szCs w:val="20"/>
        </w:rPr>
        <w:t xml:space="preserve"> </w:t>
      </w:r>
      <w:r w:rsidR="00B93DCB">
        <w:rPr>
          <w:rFonts w:ascii="Times New Roman" w:hAnsi="Times New Roman" w:cs="Times New Roman"/>
          <w:b/>
          <w:bCs/>
          <w:sz w:val="20"/>
          <w:szCs w:val="20"/>
        </w:rPr>
        <w:t>11 |</w:t>
      </w:r>
      <w:r w:rsidR="003E0720" w:rsidRPr="009D52EB">
        <w:rPr>
          <w:rFonts w:ascii="Times New Roman" w:hAnsi="Times New Roman" w:cs="Times New Roman"/>
          <w:sz w:val="20"/>
          <w:szCs w:val="20"/>
        </w:rPr>
        <w:t xml:space="preserve"> </w:t>
      </w:r>
      <w:r w:rsidR="00D66E58" w:rsidRPr="009D52EB">
        <w:rPr>
          <w:rFonts w:ascii="Times New Roman" w:hAnsi="Times New Roman" w:cs="Times New Roman"/>
          <w:sz w:val="20"/>
          <w:szCs w:val="20"/>
        </w:rPr>
        <w:t>Cation effects on the CO</w:t>
      </w:r>
      <w:r w:rsidR="00D66E58" w:rsidRPr="009D52EB">
        <w:rPr>
          <w:rFonts w:ascii="Times New Roman" w:hAnsi="Times New Roman" w:cs="Times New Roman"/>
          <w:sz w:val="20"/>
          <w:szCs w:val="20"/>
          <w:vertAlign w:val="subscript"/>
        </w:rPr>
        <w:t>2</w:t>
      </w:r>
      <w:r w:rsidR="00D66E58" w:rsidRPr="009D52EB">
        <w:rPr>
          <w:rFonts w:ascii="Times New Roman" w:hAnsi="Times New Roman" w:cs="Times New Roman"/>
          <w:sz w:val="20"/>
          <w:szCs w:val="20"/>
        </w:rPr>
        <w:t xml:space="preserve">RR performance of </w:t>
      </w:r>
      <w:r w:rsidR="004A7ADC">
        <w:rPr>
          <w:rFonts w:ascii="Times New Roman" w:hAnsi="Times New Roman" w:cs="Times New Roman"/>
          <w:sz w:val="20"/>
          <w:szCs w:val="20"/>
        </w:rPr>
        <w:t>SC-BPMEA</w:t>
      </w:r>
      <w:r w:rsidR="00D66E58" w:rsidRPr="009D52EB">
        <w:rPr>
          <w:rFonts w:ascii="Times New Roman" w:hAnsi="Times New Roman" w:cs="Times New Roman"/>
          <w:sz w:val="20"/>
          <w:szCs w:val="20"/>
        </w:rPr>
        <w:t>.</w:t>
      </w:r>
      <w:r w:rsidR="000B5F70" w:rsidRPr="009D52EB">
        <w:rPr>
          <w:rFonts w:ascii="Times New Roman" w:hAnsi="Times New Roman" w:cs="Times New Roman"/>
          <w:sz w:val="20"/>
          <w:szCs w:val="20"/>
        </w:rPr>
        <w:t xml:space="preserve"> (</w:t>
      </w:r>
      <w:r w:rsidR="003B7AAE">
        <w:rPr>
          <w:rFonts w:ascii="Times New Roman" w:hAnsi="Times New Roman" w:cs="Times New Roman"/>
          <w:sz w:val="20"/>
          <w:szCs w:val="20"/>
        </w:rPr>
        <w:t>a</w:t>
      </w:r>
      <w:r w:rsidR="000B5F70" w:rsidRPr="009D52EB">
        <w:rPr>
          <w:rFonts w:ascii="Times New Roman" w:hAnsi="Times New Roman" w:cs="Times New Roman"/>
          <w:sz w:val="20"/>
          <w:szCs w:val="20"/>
        </w:rPr>
        <w:t xml:space="preserve">) </w:t>
      </w:r>
      <w:r w:rsidR="00EF351A" w:rsidRPr="009D52EB">
        <w:rPr>
          <w:rFonts w:ascii="Times New Roman" w:hAnsi="Times New Roman" w:cs="Times New Roman"/>
          <w:sz w:val="20"/>
          <w:szCs w:val="20"/>
        </w:rPr>
        <w:t xml:space="preserve">125 μm </w:t>
      </w:r>
      <w:r w:rsidR="000B5F70" w:rsidRPr="009D52EB">
        <w:rPr>
          <w:rFonts w:ascii="Times New Roman" w:hAnsi="Times New Roman" w:cs="Times New Roman"/>
          <w:sz w:val="20"/>
          <w:szCs w:val="20"/>
        </w:rPr>
        <w:t>DI-water; (</w:t>
      </w:r>
      <w:r w:rsidR="003B7AAE">
        <w:rPr>
          <w:rFonts w:ascii="Times New Roman" w:hAnsi="Times New Roman" w:cs="Times New Roman"/>
          <w:sz w:val="20"/>
          <w:szCs w:val="20"/>
        </w:rPr>
        <w:t>b</w:t>
      </w:r>
      <w:r w:rsidR="000B5F70" w:rsidRPr="009D52EB">
        <w:rPr>
          <w:rFonts w:ascii="Times New Roman" w:hAnsi="Times New Roman" w:cs="Times New Roman"/>
          <w:sz w:val="20"/>
          <w:szCs w:val="20"/>
        </w:rPr>
        <w:t>)</w:t>
      </w:r>
      <w:r w:rsidR="00EF351A" w:rsidRPr="009D52EB">
        <w:rPr>
          <w:rFonts w:ascii="Times New Roman" w:hAnsi="Times New Roman" w:cs="Times New Roman"/>
          <w:sz w:val="20"/>
          <w:szCs w:val="20"/>
        </w:rPr>
        <w:t xml:space="preserve"> 125 μm</w:t>
      </w:r>
      <w:r w:rsidR="000B5F70" w:rsidRPr="009D52EB">
        <w:rPr>
          <w:rFonts w:ascii="Times New Roman" w:hAnsi="Times New Roman" w:cs="Times New Roman"/>
          <w:sz w:val="20"/>
          <w:szCs w:val="20"/>
        </w:rPr>
        <w:t xml:space="preserve"> 0.25</w:t>
      </w:r>
      <w:r w:rsidR="001A0C1B" w:rsidRPr="009D52EB">
        <w:rPr>
          <w:rFonts w:ascii="Times New Roman" w:hAnsi="Times New Roman" w:cs="Times New Roman"/>
          <w:sz w:val="20"/>
          <w:szCs w:val="20"/>
        </w:rPr>
        <w:t xml:space="preserve"> </w:t>
      </w:r>
      <w:r w:rsidR="000B5F70" w:rsidRPr="009D52EB">
        <w:rPr>
          <w:rFonts w:ascii="Times New Roman" w:hAnsi="Times New Roman" w:cs="Times New Roman"/>
          <w:sz w:val="20"/>
          <w:szCs w:val="20"/>
        </w:rPr>
        <w:t>M K</w:t>
      </w:r>
      <w:r w:rsidR="000B5F70" w:rsidRPr="009D52EB">
        <w:rPr>
          <w:rFonts w:ascii="Times New Roman" w:hAnsi="Times New Roman" w:cs="Times New Roman"/>
          <w:sz w:val="20"/>
          <w:szCs w:val="20"/>
          <w:vertAlign w:val="subscript"/>
        </w:rPr>
        <w:t>2</w:t>
      </w:r>
      <w:r w:rsidR="000B5F70" w:rsidRPr="009D52EB">
        <w:rPr>
          <w:rFonts w:ascii="Times New Roman" w:hAnsi="Times New Roman" w:cs="Times New Roman"/>
          <w:sz w:val="20"/>
          <w:szCs w:val="20"/>
        </w:rPr>
        <w:t>SO</w:t>
      </w:r>
      <w:r w:rsidR="000B5F70" w:rsidRPr="009D52EB">
        <w:rPr>
          <w:rFonts w:ascii="Times New Roman" w:hAnsi="Times New Roman" w:cs="Times New Roman"/>
          <w:sz w:val="20"/>
          <w:szCs w:val="20"/>
          <w:vertAlign w:val="subscript"/>
        </w:rPr>
        <w:t>4</w:t>
      </w:r>
      <w:r w:rsidR="000B5F70" w:rsidRPr="009D52EB">
        <w:rPr>
          <w:rFonts w:ascii="Times New Roman" w:hAnsi="Times New Roman" w:cs="Times New Roman"/>
          <w:sz w:val="20"/>
          <w:szCs w:val="20"/>
        </w:rPr>
        <w:t>;</w:t>
      </w:r>
      <w:r w:rsidR="00721C2C" w:rsidRPr="009D52EB">
        <w:rPr>
          <w:rFonts w:ascii="Times New Roman" w:hAnsi="Times New Roman" w:cs="Times New Roman"/>
          <w:sz w:val="20"/>
          <w:szCs w:val="20"/>
        </w:rPr>
        <w:t xml:space="preserve"> </w:t>
      </w:r>
      <w:r w:rsidR="000B5F70" w:rsidRPr="009D52EB">
        <w:rPr>
          <w:rFonts w:ascii="Times New Roman" w:hAnsi="Times New Roman" w:cs="Times New Roman"/>
          <w:sz w:val="20"/>
          <w:szCs w:val="20"/>
        </w:rPr>
        <w:t>(</w:t>
      </w:r>
      <w:r w:rsidR="003B7AAE">
        <w:rPr>
          <w:rFonts w:ascii="Times New Roman" w:hAnsi="Times New Roman" w:cs="Times New Roman"/>
          <w:sz w:val="20"/>
          <w:szCs w:val="20"/>
        </w:rPr>
        <w:t>c</w:t>
      </w:r>
      <w:r w:rsidR="000B5F70" w:rsidRPr="009D52EB">
        <w:rPr>
          <w:rFonts w:ascii="Times New Roman" w:hAnsi="Times New Roman" w:cs="Times New Roman"/>
          <w:sz w:val="20"/>
          <w:szCs w:val="20"/>
        </w:rPr>
        <w:t>)</w:t>
      </w:r>
      <w:r w:rsidR="00721C2C" w:rsidRPr="009D52EB">
        <w:rPr>
          <w:rFonts w:ascii="Times New Roman" w:hAnsi="Times New Roman" w:cs="Times New Roman"/>
          <w:sz w:val="20"/>
          <w:szCs w:val="20"/>
        </w:rPr>
        <w:t xml:space="preserve"> </w:t>
      </w:r>
      <w:r w:rsidR="00EF351A" w:rsidRPr="009D52EB">
        <w:rPr>
          <w:rFonts w:ascii="Times New Roman" w:hAnsi="Times New Roman" w:cs="Times New Roman"/>
          <w:sz w:val="20"/>
          <w:szCs w:val="20"/>
        </w:rPr>
        <w:t xml:space="preserve">125 μm </w:t>
      </w:r>
      <w:r w:rsidR="00721C2C" w:rsidRPr="009D52EB">
        <w:rPr>
          <w:rFonts w:ascii="Times New Roman" w:hAnsi="Times New Roman" w:cs="Times New Roman"/>
          <w:sz w:val="20"/>
          <w:szCs w:val="20"/>
        </w:rPr>
        <w:t>2</w:t>
      </w:r>
      <w:r w:rsidR="001A0C1B" w:rsidRPr="009D52EB">
        <w:rPr>
          <w:rFonts w:ascii="Times New Roman" w:hAnsi="Times New Roman" w:cs="Times New Roman"/>
          <w:sz w:val="20"/>
          <w:szCs w:val="20"/>
        </w:rPr>
        <w:t xml:space="preserve"> </w:t>
      </w:r>
      <w:r w:rsidR="00721C2C" w:rsidRPr="009D52EB">
        <w:rPr>
          <w:rFonts w:ascii="Times New Roman" w:hAnsi="Times New Roman" w:cs="Times New Roman"/>
          <w:sz w:val="20"/>
          <w:szCs w:val="20"/>
        </w:rPr>
        <w:t>M KCl</w:t>
      </w:r>
      <w:r w:rsidR="003730B4" w:rsidRPr="009D52EB">
        <w:rPr>
          <w:rFonts w:ascii="Times New Roman" w:hAnsi="Times New Roman" w:cs="Times New Roman"/>
          <w:sz w:val="20"/>
          <w:szCs w:val="20"/>
        </w:rPr>
        <w:t>; (</w:t>
      </w:r>
      <w:r w:rsidR="003B7AAE">
        <w:rPr>
          <w:rFonts w:ascii="Times New Roman" w:hAnsi="Times New Roman" w:cs="Times New Roman"/>
          <w:sz w:val="20"/>
          <w:szCs w:val="20"/>
        </w:rPr>
        <w:t>d</w:t>
      </w:r>
      <w:r w:rsidR="003730B4" w:rsidRPr="009D52EB">
        <w:rPr>
          <w:rFonts w:ascii="Times New Roman" w:hAnsi="Times New Roman" w:cs="Times New Roman"/>
          <w:sz w:val="20"/>
          <w:szCs w:val="20"/>
        </w:rPr>
        <w:t xml:space="preserve">) </w:t>
      </w:r>
      <w:r w:rsidR="00EF351A" w:rsidRPr="009D52EB">
        <w:rPr>
          <w:rFonts w:ascii="Times New Roman" w:hAnsi="Times New Roman" w:cs="Times New Roman"/>
          <w:sz w:val="20"/>
          <w:szCs w:val="20"/>
        </w:rPr>
        <w:t xml:space="preserve">65 μm </w:t>
      </w:r>
      <w:r w:rsidR="003730B4" w:rsidRPr="009D52EB">
        <w:rPr>
          <w:rFonts w:ascii="Times New Roman" w:hAnsi="Times New Roman" w:cs="Times New Roman"/>
          <w:sz w:val="20"/>
          <w:szCs w:val="20"/>
        </w:rPr>
        <w:t>0.5</w:t>
      </w:r>
      <w:r w:rsidR="001A0C1B" w:rsidRPr="009D52EB">
        <w:rPr>
          <w:rFonts w:ascii="Times New Roman" w:hAnsi="Times New Roman" w:cs="Times New Roman"/>
          <w:sz w:val="20"/>
          <w:szCs w:val="20"/>
        </w:rPr>
        <w:t xml:space="preserve"> </w:t>
      </w:r>
      <w:r w:rsidR="003730B4" w:rsidRPr="009D52EB">
        <w:rPr>
          <w:rFonts w:ascii="Times New Roman" w:hAnsi="Times New Roman" w:cs="Times New Roman"/>
          <w:sz w:val="20"/>
          <w:szCs w:val="20"/>
        </w:rPr>
        <w:t>M Na</w:t>
      </w:r>
      <w:r w:rsidR="003730B4" w:rsidRPr="009D52EB">
        <w:rPr>
          <w:rFonts w:ascii="Times New Roman" w:hAnsi="Times New Roman" w:cs="Times New Roman"/>
          <w:sz w:val="20"/>
          <w:szCs w:val="20"/>
          <w:vertAlign w:val="subscript"/>
        </w:rPr>
        <w:t>2</w:t>
      </w:r>
      <w:r w:rsidR="003730B4" w:rsidRPr="009D52EB">
        <w:rPr>
          <w:rFonts w:ascii="Times New Roman" w:hAnsi="Times New Roman" w:cs="Times New Roman"/>
          <w:sz w:val="20"/>
          <w:szCs w:val="20"/>
        </w:rPr>
        <w:t>SO</w:t>
      </w:r>
      <w:r w:rsidR="003730B4" w:rsidRPr="009D52EB">
        <w:rPr>
          <w:rFonts w:ascii="Times New Roman" w:hAnsi="Times New Roman" w:cs="Times New Roman"/>
          <w:sz w:val="20"/>
          <w:szCs w:val="20"/>
          <w:vertAlign w:val="subscript"/>
        </w:rPr>
        <w:t>4</w:t>
      </w:r>
      <w:r w:rsidR="003730B4" w:rsidRPr="009D52EB">
        <w:rPr>
          <w:rFonts w:ascii="Times New Roman" w:hAnsi="Times New Roman" w:cs="Times New Roman"/>
          <w:sz w:val="20"/>
          <w:szCs w:val="20"/>
        </w:rPr>
        <w:t>; (</w:t>
      </w:r>
      <w:r w:rsidR="003B7AAE">
        <w:rPr>
          <w:rFonts w:ascii="Times New Roman" w:hAnsi="Times New Roman" w:cs="Times New Roman"/>
          <w:sz w:val="20"/>
          <w:szCs w:val="20"/>
        </w:rPr>
        <w:t>e</w:t>
      </w:r>
      <w:r w:rsidR="003730B4" w:rsidRPr="009D52EB">
        <w:rPr>
          <w:rFonts w:ascii="Times New Roman" w:hAnsi="Times New Roman" w:cs="Times New Roman"/>
          <w:sz w:val="20"/>
          <w:szCs w:val="20"/>
        </w:rPr>
        <w:t>)</w:t>
      </w:r>
      <w:r w:rsidR="00EF351A" w:rsidRPr="009D52EB">
        <w:rPr>
          <w:rFonts w:ascii="Times New Roman" w:hAnsi="Times New Roman" w:cs="Times New Roman"/>
          <w:sz w:val="20"/>
          <w:szCs w:val="20"/>
        </w:rPr>
        <w:t xml:space="preserve"> 65 μm</w:t>
      </w:r>
      <w:r w:rsidR="003730B4" w:rsidRPr="009D52EB">
        <w:rPr>
          <w:rFonts w:ascii="Times New Roman" w:hAnsi="Times New Roman" w:cs="Times New Roman"/>
          <w:sz w:val="20"/>
          <w:szCs w:val="20"/>
        </w:rPr>
        <w:t xml:space="preserve"> 0.5</w:t>
      </w:r>
      <w:r w:rsidR="001A0C1B" w:rsidRPr="009D52EB">
        <w:rPr>
          <w:rFonts w:ascii="Times New Roman" w:hAnsi="Times New Roman" w:cs="Times New Roman"/>
          <w:sz w:val="20"/>
          <w:szCs w:val="20"/>
        </w:rPr>
        <w:t xml:space="preserve"> </w:t>
      </w:r>
      <w:r w:rsidR="003730B4" w:rsidRPr="009D52EB">
        <w:rPr>
          <w:rFonts w:ascii="Times New Roman" w:hAnsi="Times New Roman" w:cs="Times New Roman"/>
          <w:sz w:val="20"/>
          <w:szCs w:val="20"/>
        </w:rPr>
        <w:t>M Cs</w:t>
      </w:r>
      <w:r w:rsidR="003730B4" w:rsidRPr="009D52EB">
        <w:rPr>
          <w:rFonts w:ascii="Times New Roman" w:hAnsi="Times New Roman" w:cs="Times New Roman"/>
          <w:sz w:val="20"/>
          <w:szCs w:val="20"/>
          <w:vertAlign w:val="subscript"/>
        </w:rPr>
        <w:t>2</w:t>
      </w:r>
      <w:r w:rsidR="003730B4" w:rsidRPr="009D52EB">
        <w:rPr>
          <w:rFonts w:ascii="Times New Roman" w:hAnsi="Times New Roman" w:cs="Times New Roman"/>
          <w:sz w:val="20"/>
          <w:szCs w:val="20"/>
        </w:rPr>
        <w:t>SO</w:t>
      </w:r>
      <w:r w:rsidR="003730B4" w:rsidRPr="009D52EB">
        <w:rPr>
          <w:rFonts w:ascii="Times New Roman" w:hAnsi="Times New Roman" w:cs="Times New Roman"/>
          <w:sz w:val="20"/>
          <w:szCs w:val="20"/>
          <w:vertAlign w:val="subscript"/>
        </w:rPr>
        <w:t>4</w:t>
      </w:r>
      <w:r w:rsidR="00BE4231">
        <w:rPr>
          <w:rFonts w:ascii="Times New Roman" w:hAnsi="Times New Roman" w:cs="Times New Roman"/>
          <w:sz w:val="20"/>
          <w:szCs w:val="20"/>
        </w:rPr>
        <w:t>.</w:t>
      </w:r>
      <w:r w:rsidR="00485B90" w:rsidRPr="009D52EB">
        <w:rPr>
          <w:rFonts w:ascii="Times New Roman" w:hAnsi="Times New Roman" w:cs="Times New Roman"/>
          <w:sz w:val="20"/>
          <w:szCs w:val="20"/>
        </w:rPr>
        <w:t xml:space="preserve"> (</w:t>
      </w:r>
      <w:r w:rsidR="003B7AAE">
        <w:rPr>
          <w:rFonts w:ascii="Times New Roman" w:hAnsi="Times New Roman" w:cs="Times New Roman"/>
          <w:sz w:val="20"/>
          <w:szCs w:val="20"/>
        </w:rPr>
        <w:t>f</w:t>
      </w:r>
      <w:r w:rsidR="00485B90" w:rsidRPr="009D52EB">
        <w:rPr>
          <w:rFonts w:ascii="Times New Roman" w:hAnsi="Times New Roman" w:cs="Times New Roman"/>
          <w:sz w:val="20"/>
          <w:szCs w:val="20"/>
        </w:rPr>
        <w:t xml:space="preserve">) The dependence of maximum ethylene FE on cation </w:t>
      </w:r>
      <w:r w:rsidR="008F446D" w:rsidRPr="009D52EB">
        <w:rPr>
          <w:rFonts w:ascii="Times New Roman" w:hAnsi="Times New Roman" w:cs="Times New Roman"/>
          <w:sz w:val="20"/>
          <w:szCs w:val="20"/>
        </w:rPr>
        <w:t>species</w:t>
      </w:r>
      <w:r w:rsidR="00FA0DF8" w:rsidRPr="009D52EB">
        <w:rPr>
          <w:rFonts w:ascii="Times New Roman" w:hAnsi="Times New Roman" w:cs="Times New Roman"/>
          <w:sz w:val="20"/>
          <w:szCs w:val="20"/>
        </w:rPr>
        <w:t xml:space="preserve"> in a 65 μm catholyte layer</w:t>
      </w:r>
      <w:r w:rsidR="00485B90" w:rsidRPr="009D52EB">
        <w:rPr>
          <w:rFonts w:ascii="Times New Roman" w:hAnsi="Times New Roman" w:cs="Times New Roman"/>
          <w:sz w:val="20"/>
          <w:szCs w:val="20"/>
        </w:rPr>
        <w:t>.</w:t>
      </w:r>
      <w:r w:rsidR="00BA42F7" w:rsidRPr="009D52EB">
        <w:rPr>
          <w:rFonts w:ascii="Times New Roman" w:hAnsi="Times New Roman" w:cs="Times New Roman"/>
          <w:sz w:val="20"/>
          <w:szCs w:val="20"/>
        </w:rPr>
        <w:t xml:space="preserve"> </w:t>
      </w:r>
      <w:r w:rsidR="00434DC9" w:rsidRPr="009D52EB">
        <w:rPr>
          <w:rFonts w:ascii="Times New Roman" w:hAnsi="Times New Roman" w:cs="Times New Roman"/>
          <w:sz w:val="20"/>
          <w:szCs w:val="20"/>
        </w:rPr>
        <w:t xml:space="preserve">The results for </w:t>
      </w:r>
      <w:r w:rsidR="001A0C1B" w:rsidRPr="009D52EB">
        <w:rPr>
          <w:rFonts w:ascii="Times New Roman" w:hAnsi="Times New Roman" w:cs="Times New Roman"/>
          <w:sz w:val="20"/>
          <w:szCs w:val="20"/>
        </w:rPr>
        <w:t xml:space="preserve">125 μm </w:t>
      </w:r>
      <w:r w:rsidR="00434DC9" w:rsidRPr="009D52EB">
        <w:rPr>
          <w:rFonts w:ascii="Times New Roman" w:hAnsi="Times New Roman" w:cs="Times New Roman"/>
          <w:sz w:val="20"/>
          <w:szCs w:val="20"/>
        </w:rPr>
        <w:t>0.5</w:t>
      </w:r>
      <w:r w:rsidR="001A0C1B" w:rsidRPr="009D52EB">
        <w:rPr>
          <w:rFonts w:ascii="Times New Roman" w:hAnsi="Times New Roman" w:cs="Times New Roman"/>
          <w:sz w:val="20"/>
          <w:szCs w:val="20"/>
        </w:rPr>
        <w:t xml:space="preserve"> </w:t>
      </w:r>
      <w:r w:rsidR="00434DC9" w:rsidRPr="009D52EB">
        <w:rPr>
          <w:rFonts w:ascii="Times New Roman" w:hAnsi="Times New Roman" w:cs="Times New Roman"/>
          <w:sz w:val="20"/>
          <w:szCs w:val="20"/>
        </w:rPr>
        <w:t>M K</w:t>
      </w:r>
      <w:r w:rsidR="00434DC9" w:rsidRPr="009D52EB">
        <w:rPr>
          <w:rFonts w:ascii="Times New Roman" w:hAnsi="Times New Roman" w:cs="Times New Roman"/>
          <w:sz w:val="20"/>
          <w:szCs w:val="20"/>
          <w:vertAlign w:val="subscript"/>
        </w:rPr>
        <w:t>2</w:t>
      </w:r>
      <w:r w:rsidR="00434DC9" w:rsidRPr="009D52EB">
        <w:rPr>
          <w:rFonts w:ascii="Times New Roman" w:hAnsi="Times New Roman" w:cs="Times New Roman"/>
          <w:sz w:val="20"/>
          <w:szCs w:val="20"/>
        </w:rPr>
        <w:t>SO</w:t>
      </w:r>
      <w:r w:rsidR="00434DC9" w:rsidRPr="009D52EB">
        <w:rPr>
          <w:rFonts w:ascii="Times New Roman" w:hAnsi="Times New Roman" w:cs="Times New Roman"/>
          <w:sz w:val="20"/>
          <w:szCs w:val="20"/>
          <w:vertAlign w:val="subscript"/>
        </w:rPr>
        <w:t>4</w:t>
      </w:r>
      <w:r w:rsidR="00434DC9" w:rsidRPr="009D52EB">
        <w:rPr>
          <w:rFonts w:ascii="Times New Roman" w:hAnsi="Times New Roman" w:cs="Times New Roman"/>
          <w:sz w:val="20"/>
          <w:szCs w:val="20"/>
        </w:rPr>
        <w:t xml:space="preserve"> (1</w:t>
      </w:r>
      <w:r w:rsidR="00EE3368" w:rsidRPr="009D52EB">
        <w:rPr>
          <w:rFonts w:ascii="Times New Roman" w:hAnsi="Times New Roman" w:cs="Times New Roman"/>
          <w:sz w:val="20"/>
          <w:szCs w:val="20"/>
        </w:rPr>
        <w:t xml:space="preserve"> </w:t>
      </w:r>
      <w:r w:rsidR="00434DC9" w:rsidRPr="009D52EB">
        <w:rPr>
          <w:rFonts w:ascii="Times New Roman" w:hAnsi="Times New Roman" w:cs="Times New Roman"/>
          <w:sz w:val="20"/>
          <w:szCs w:val="20"/>
        </w:rPr>
        <w:t>M K</w:t>
      </w:r>
      <w:r w:rsidR="00434DC9" w:rsidRPr="009D52EB">
        <w:rPr>
          <w:rFonts w:ascii="Times New Roman" w:hAnsi="Times New Roman" w:cs="Times New Roman"/>
          <w:sz w:val="20"/>
          <w:szCs w:val="20"/>
          <w:vertAlign w:val="superscript"/>
        </w:rPr>
        <w:t>+</w:t>
      </w:r>
      <w:r w:rsidR="00434DC9" w:rsidRPr="009D52EB">
        <w:rPr>
          <w:rFonts w:ascii="Times New Roman" w:hAnsi="Times New Roman" w:cs="Times New Roman"/>
          <w:sz w:val="20"/>
          <w:szCs w:val="20"/>
        </w:rPr>
        <w:t xml:space="preserve">) </w:t>
      </w:r>
      <w:r w:rsidR="004706F9" w:rsidRPr="009D52EB">
        <w:rPr>
          <w:rFonts w:ascii="Times New Roman" w:hAnsi="Times New Roman" w:cs="Times New Roman"/>
          <w:sz w:val="20"/>
          <w:szCs w:val="20"/>
        </w:rPr>
        <w:t xml:space="preserve">at 20 </w:t>
      </w:r>
      <w:r w:rsidR="004706F9" w:rsidRPr="009D52EB">
        <w:rPr>
          <w:rFonts w:ascii="Times New Roman" w:hAnsi="Times New Roman" w:cs="Times New Roman"/>
          <w:sz w:val="20"/>
          <w:szCs w:val="20"/>
          <w:vertAlign w:val="superscript"/>
        </w:rPr>
        <w:t>o</w:t>
      </w:r>
      <w:r w:rsidR="004706F9" w:rsidRPr="009D52EB">
        <w:rPr>
          <w:rFonts w:ascii="Times New Roman" w:hAnsi="Times New Roman" w:cs="Times New Roman"/>
          <w:sz w:val="20"/>
          <w:szCs w:val="20"/>
        </w:rPr>
        <w:t xml:space="preserve">C </w:t>
      </w:r>
      <w:r w:rsidR="00434DC9" w:rsidRPr="009D52EB">
        <w:rPr>
          <w:rFonts w:ascii="Times New Roman" w:hAnsi="Times New Roman" w:cs="Times New Roman"/>
          <w:sz w:val="20"/>
          <w:szCs w:val="20"/>
        </w:rPr>
        <w:t xml:space="preserve">are shown in </w:t>
      </w:r>
      <w:r>
        <w:rPr>
          <w:rFonts w:ascii="Times New Roman" w:hAnsi="Times New Roman" w:cs="Times New Roman"/>
          <w:sz w:val="20"/>
          <w:szCs w:val="20"/>
        </w:rPr>
        <w:t>Supplementary Fig.</w:t>
      </w:r>
      <w:r w:rsidR="00434DC9" w:rsidRPr="009D52EB">
        <w:rPr>
          <w:rFonts w:ascii="Times New Roman" w:hAnsi="Times New Roman" w:cs="Times New Roman"/>
          <w:sz w:val="20"/>
          <w:szCs w:val="20"/>
        </w:rPr>
        <w:t xml:space="preserve"> </w:t>
      </w:r>
      <w:r w:rsidR="002339A6">
        <w:rPr>
          <w:rFonts w:ascii="Times New Roman" w:hAnsi="Times New Roman" w:cs="Times New Roman"/>
          <w:sz w:val="20"/>
          <w:szCs w:val="20"/>
        </w:rPr>
        <w:t>12a</w:t>
      </w:r>
      <w:r w:rsidR="002339A6" w:rsidRPr="009D52EB">
        <w:rPr>
          <w:rFonts w:ascii="Times New Roman" w:hAnsi="Times New Roman" w:cs="Times New Roman"/>
          <w:sz w:val="20"/>
          <w:szCs w:val="20"/>
        </w:rPr>
        <w:t xml:space="preserve"> </w:t>
      </w:r>
      <w:r w:rsidR="00434DC9" w:rsidRPr="009D52EB">
        <w:rPr>
          <w:rFonts w:ascii="Times New Roman" w:hAnsi="Times New Roman" w:cs="Times New Roman"/>
          <w:sz w:val="20"/>
          <w:szCs w:val="20"/>
        </w:rPr>
        <w:t xml:space="preserve">and </w:t>
      </w:r>
      <w:r w:rsidR="002339A6">
        <w:rPr>
          <w:rFonts w:ascii="Times New Roman" w:hAnsi="Times New Roman" w:cs="Times New Roman"/>
          <w:sz w:val="20"/>
          <w:szCs w:val="20"/>
        </w:rPr>
        <w:t>12b</w:t>
      </w:r>
      <w:r w:rsidR="00434DC9" w:rsidRPr="009D52EB">
        <w:rPr>
          <w:rFonts w:ascii="Times New Roman" w:hAnsi="Times New Roman" w:cs="Times New Roman"/>
          <w:sz w:val="20"/>
          <w:szCs w:val="20"/>
        </w:rPr>
        <w:t xml:space="preserve">. </w:t>
      </w:r>
      <w:r w:rsidR="004706F9" w:rsidRPr="009D52EB">
        <w:rPr>
          <w:rFonts w:ascii="Times New Roman" w:hAnsi="Times New Roman" w:cs="Times New Roman"/>
          <w:sz w:val="20"/>
          <w:szCs w:val="20"/>
        </w:rPr>
        <w:t>The results for 65 μm 0.5 M K</w:t>
      </w:r>
      <w:r w:rsidR="004706F9" w:rsidRPr="009D52EB">
        <w:rPr>
          <w:rFonts w:ascii="Times New Roman" w:hAnsi="Times New Roman" w:cs="Times New Roman"/>
          <w:sz w:val="20"/>
          <w:szCs w:val="20"/>
          <w:vertAlign w:val="subscript"/>
        </w:rPr>
        <w:t>2</w:t>
      </w:r>
      <w:r w:rsidR="004706F9" w:rsidRPr="009D52EB">
        <w:rPr>
          <w:rFonts w:ascii="Times New Roman" w:hAnsi="Times New Roman" w:cs="Times New Roman"/>
          <w:sz w:val="20"/>
          <w:szCs w:val="20"/>
        </w:rPr>
        <w:t>SO</w:t>
      </w:r>
      <w:r w:rsidR="004706F9" w:rsidRPr="009D52EB">
        <w:rPr>
          <w:rFonts w:ascii="Times New Roman" w:hAnsi="Times New Roman" w:cs="Times New Roman"/>
          <w:sz w:val="20"/>
          <w:szCs w:val="20"/>
          <w:vertAlign w:val="subscript"/>
        </w:rPr>
        <w:t xml:space="preserve">4 </w:t>
      </w:r>
      <w:r w:rsidR="004706F9" w:rsidRPr="009D52EB">
        <w:rPr>
          <w:rFonts w:ascii="Times New Roman" w:hAnsi="Times New Roman" w:cs="Times New Roman"/>
          <w:sz w:val="20"/>
          <w:szCs w:val="20"/>
        </w:rPr>
        <w:t>(1 M K</w:t>
      </w:r>
      <w:r w:rsidR="004706F9" w:rsidRPr="009D52EB">
        <w:rPr>
          <w:rFonts w:ascii="Times New Roman" w:hAnsi="Times New Roman" w:cs="Times New Roman"/>
          <w:sz w:val="20"/>
          <w:szCs w:val="20"/>
          <w:vertAlign w:val="superscript"/>
        </w:rPr>
        <w:t>+</w:t>
      </w:r>
      <w:r w:rsidR="004706F9" w:rsidRPr="009D52EB">
        <w:rPr>
          <w:rFonts w:ascii="Times New Roman" w:hAnsi="Times New Roman" w:cs="Times New Roman"/>
          <w:sz w:val="20"/>
          <w:szCs w:val="20"/>
        </w:rPr>
        <w:t xml:space="preserve">) at 35 </w:t>
      </w:r>
      <w:r w:rsidR="004706F9" w:rsidRPr="009D52EB">
        <w:rPr>
          <w:rFonts w:ascii="Times New Roman" w:hAnsi="Times New Roman" w:cs="Times New Roman"/>
          <w:sz w:val="20"/>
          <w:szCs w:val="20"/>
          <w:vertAlign w:val="superscript"/>
        </w:rPr>
        <w:t>o</w:t>
      </w:r>
      <w:r w:rsidR="004706F9" w:rsidRPr="009D52EB">
        <w:rPr>
          <w:rFonts w:ascii="Times New Roman" w:hAnsi="Times New Roman" w:cs="Times New Roman"/>
          <w:sz w:val="20"/>
          <w:szCs w:val="20"/>
        </w:rPr>
        <w:t xml:space="preserve">C are shown in </w:t>
      </w:r>
      <w:r>
        <w:rPr>
          <w:rFonts w:ascii="Times New Roman" w:hAnsi="Times New Roman" w:cs="Times New Roman"/>
          <w:sz w:val="20"/>
          <w:szCs w:val="20"/>
        </w:rPr>
        <w:t>Fig.</w:t>
      </w:r>
      <w:r w:rsidR="003E606F" w:rsidRPr="009D52EB">
        <w:rPr>
          <w:rFonts w:ascii="Times New Roman" w:hAnsi="Times New Roman" w:cs="Times New Roman"/>
          <w:sz w:val="20"/>
          <w:szCs w:val="20"/>
        </w:rPr>
        <w:t xml:space="preserve"> </w:t>
      </w:r>
      <w:r w:rsidR="00580701" w:rsidRPr="009D52EB">
        <w:rPr>
          <w:rFonts w:ascii="Times New Roman" w:hAnsi="Times New Roman" w:cs="Times New Roman"/>
          <w:sz w:val="20"/>
          <w:szCs w:val="20"/>
        </w:rPr>
        <w:t>3</w:t>
      </w:r>
      <w:r w:rsidR="00580701">
        <w:rPr>
          <w:rFonts w:ascii="Times New Roman" w:hAnsi="Times New Roman" w:cs="Times New Roman"/>
          <w:sz w:val="20"/>
          <w:szCs w:val="20"/>
        </w:rPr>
        <w:t>e</w:t>
      </w:r>
      <w:r w:rsidR="00580701" w:rsidRPr="009D52EB">
        <w:rPr>
          <w:rFonts w:ascii="Times New Roman" w:hAnsi="Times New Roman" w:cs="Times New Roman"/>
          <w:sz w:val="20"/>
          <w:szCs w:val="20"/>
        </w:rPr>
        <w:t xml:space="preserve"> </w:t>
      </w:r>
      <w:r w:rsidR="003E606F" w:rsidRPr="009D52EB">
        <w:rPr>
          <w:rFonts w:ascii="Times New Roman" w:hAnsi="Times New Roman" w:cs="Times New Roman"/>
          <w:sz w:val="20"/>
          <w:szCs w:val="20"/>
        </w:rPr>
        <w:t xml:space="preserve">in </w:t>
      </w:r>
      <w:r w:rsidR="009430EF" w:rsidRPr="009D52EB">
        <w:rPr>
          <w:rFonts w:ascii="Times New Roman" w:hAnsi="Times New Roman" w:cs="Times New Roman"/>
          <w:sz w:val="20"/>
          <w:szCs w:val="20"/>
        </w:rPr>
        <w:t xml:space="preserve">the </w:t>
      </w:r>
      <w:r w:rsidR="003E606F" w:rsidRPr="009D52EB">
        <w:rPr>
          <w:rFonts w:ascii="Times New Roman" w:hAnsi="Times New Roman" w:cs="Times New Roman"/>
          <w:sz w:val="20"/>
          <w:szCs w:val="20"/>
        </w:rPr>
        <w:t>main text.</w:t>
      </w:r>
      <w:r w:rsidR="00823888" w:rsidRPr="009D52EB">
        <w:rPr>
          <w:rFonts w:ascii="Times New Roman" w:hAnsi="Times New Roman" w:cs="Times New Roman"/>
          <w:sz w:val="20"/>
          <w:szCs w:val="20"/>
        </w:rPr>
        <w:t xml:space="preserve"> In all cases</w:t>
      </w:r>
      <w:r w:rsidR="00682516">
        <w:rPr>
          <w:rFonts w:ascii="Times New Roman" w:hAnsi="Times New Roman" w:cs="Times New Roman"/>
          <w:sz w:val="20"/>
          <w:szCs w:val="20"/>
        </w:rPr>
        <w:t>,</w:t>
      </w:r>
      <w:r w:rsidR="008F446D" w:rsidRPr="009D52EB">
        <w:rPr>
          <w:rFonts w:ascii="Times New Roman" w:hAnsi="Times New Roman" w:cs="Times New Roman"/>
          <w:sz w:val="20"/>
          <w:szCs w:val="20"/>
        </w:rPr>
        <w:t xml:space="preserve"> The CO</w:t>
      </w:r>
      <w:r w:rsidR="008F446D" w:rsidRPr="009D52EB">
        <w:rPr>
          <w:rFonts w:ascii="Times New Roman" w:hAnsi="Times New Roman" w:cs="Times New Roman"/>
          <w:sz w:val="20"/>
          <w:szCs w:val="20"/>
          <w:vertAlign w:val="subscript"/>
        </w:rPr>
        <w:t>2</w:t>
      </w:r>
      <w:r w:rsidR="008F446D" w:rsidRPr="009D52EB">
        <w:rPr>
          <w:rFonts w:ascii="Times New Roman" w:hAnsi="Times New Roman" w:cs="Times New Roman"/>
          <w:sz w:val="20"/>
          <w:szCs w:val="20"/>
        </w:rPr>
        <w:t xml:space="preserve"> flow rate is 10 sccm cm</w:t>
      </w:r>
      <w:r w:rsidR="008F446D" w:rsidRPr="009D52EB">
        <w:rPr>
          <w:rFonts w:ascii="Times New Roman" w:hAnsi="Times New Roman" w:cs="Times New Roman"/>
          <w:sz w:val="20"/>
          <w:szCs w:val="20"/>
          <w:vertAlign w:val="superscript"/>
        </w:rPr>
        <w:t>-2</w:t>
      </w:r>
      <w:r w:rsidR="008F446D" w:rsidRPr="009D52EB">
        <w:rPr>
          <w:rFonts w:ascii="Times New Roman" w:hAnsi="Times New Roman" w:cs="Times New Roman"/>
          <w:sz w:val="20"/>
          <w:szCs w:val="20"/>
        </w:rPr>
        <w:t>.</w:t>
      </w:r>
      <w:r w:rsidR="00BE6B19" w:rsidRPr="00BE6B19">
        <w:rPr>
          <w:rFonts w:ascii="Times New Roman" w:hAnsi="Times New Roman" w:cs="Times New Roman"/>
          <w:sz w:val="20"/>
          <w:szCs w:val="20"/>
        </w:rPr>
        <w:t xml:space="preserve"> </w:t>
      </w:r>
      <w:r w:rsidR="00BE6B19">
        <w:rPr>
          <w:rFonts w:ascii="Times New Roman" w:hAnsi="Times New Roman" w:cs="Times New Roman"/>
          <w:sz w:val="20"/>
          <w:szCs w:val="20"/>
        </w:rPr>
        <w:t>(</w:t>
      </w:r>
      <w:r w:rsidR="003B7AAE">
        <w:rPr>
          <w:rFonts w:ascii="Times New Roman" w:hAnsi="Times New Roman" w:cs="Times New Roman"/>
          <w:sz w:val="20"/>
          <w:szCs w:val="20"/>
        </w:rPr>
        <w:t>g</w:t>
      </w:r>
      <w:r w:rsidR="00BE6B19">
        <w:rPr>
          <w:rFonts w:ascii="Times New Roman" w:hAnsi="Times New Roman" w:cs="Times New Roman"/>
          <w:sz w:val="20"/>
          <w:szCs w:val="20"/>
        </w:rPr>
        <w:t>) The CO</w:t>
      </w:r>
      <w:r w:rsidR="00BE6B19" w:rsidRPr="00BE6B19">
        <w:rPr>
          <w:rFonts w:ascii="Times New Roman" w:hAnsi="Times New Roman" w:cs="Times New Roman"/>
          <w:sz w:val="20"/>
          <w:szCs w:val="20"/>
          <w:vertAlign w:val="subscript"/>
        </w:rPr>
        <w:t>2</w:t>
      </w:r>
      <w:r w:rsidR="00BE6B19">
        <w:rPr>
          <w:rFonts w:ascii="Times New Roman" w:hAnsi="Times New Roman" w:cs="Times New Roman"/>
          <w:sz w:val="20"/>
          <w:szCs w:val="20"/>
        </w:rPr>
        <w:t>RR performance of the Cu nanoparticles in a 1 cm-thick, stationary 0.5 M Cs</w:t>
      </w:r>
      <w:r w:rsidR="00BE6B19" w:rsidRPr="00BE4231">
        <w:rPr>
          <w:rFonts w:ascii="Times New Roman" w:hAnsi="Times New Roman" w:cs="Times New Roman"/>
          <w:sz w:val="20"/>
          <w:szCs w:val="20"/>
          <w:vertAlign w:val="subscript"/>
        </w:rPr>
        <w:t>2</w:t>
      </w:r>
      <w:r w:rsidR="00BE6B19">
        <w:rPr>
          <w:rFonts w:ascii="Times New Roman" w:hAnsi="Times New Roman" w:cs="Times New Roman"/>
          <w:sz w:val="20"/>
          <w:szCs w:val="20"/>
        </w:rPr>
        <w:t>SO</w:t>
      </w:r>
      <w:r w:rsidR="00BE6B19" w:rsidRPr="00BE4231">
        <w:rPr>
          <w:rFonts w:ascii="Times New Roman" w:hAnsi="Times New Roman" w:cs="Times New Roman"/>
          <w:sz w:val="20"/>
          <w:szCs w:val="20"/>
          <w:vertAlign w:val="subscript"/>
        </w:rPr>
        <w:t>4</w:t>
      </w:r>
      <w:r w:rsidR="00BE6B19">
        <w:rPr>
          <w:rFonts w:ascii="Times New Roman" w:hAnsi="Times New Roman" w:cs="Times New Roman"/>
          <w:sz w:val="20"/>
          <w:szCs w:val="20"/>
        </w:rPr>
        <w:t>.</w:t>
      </w:r>
    </w:p>
    <w:p w14:paraId="34C0D838" w14:textId="75FA9747" w:rsidR="00F757EC" w:rsidRPr="00805810" w:rsidRDefault="00131ADE" w:rsidP="00DE24CD">
      <w:pPr>
        <w:jc w:val="center"/>
        <w:rPr>
          <w:rFonts w:ascii="Times New Roman" w:hAnsi="Times New Roman" w:cs="Times New Roman"/>
          <w:sz w:val="24"/>
          <w:szCs w:val="24"/>
        </w:rPr>
      </w:pPr>
      <w:r>
        <w:rPr>
          <w:noProof/>
        </w:rPr>
        <w:lastRenderedPageBreak/>
        <w:drawing>
          <wp:inline distT="0" distB="0" distL="0" distR="0" wp14:anchorId="3AA4FC5E" wp14:editId="56EEC950">
            <wp:extent cx="5943600" cy="519493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5194935"/>
                    </a:xfrm>
                    <a:prstGeom prst="rect">
                      <a:avLst/>
                    </a:prstGeom>
                    <a:noFill/>
                    <a:ln>
                      <a:noFill/>
                    </a:ln>
                  </pic:spPr>
                </pic:pic>
              </a:graphicData>
            </a:graphic>
          </wp:inline>
        </w:drawing>
      </w:r>
    </w:p>
    <w:p w14:paraId="6533A878" w14:textId="1943CF68" w:rsidR="00DC2E6A" w:rsidRPr="009D52EB" w:rsidRDefault="00DE0DCA" w:rsidP="00F757EC">
      <w:pPr>
        <w:jc w:val="both"/>
        <w:rPr>
          <w:rFonts w:ascii="Times New Roman" w:hAnsi="Times New Roman" w:cs="Times New Roman"/>
          <w:sz w:val="20"/>
          <w:szCs w:val="20"/>
        </w:rPr>
      </w:pPr>
      <w:r>
        <w:rPr>
          <w:rFonts w:ascii="Times New Roman" w:hAnsi="Times New Roman" w:cs="Times New Roman"/>
          <w:b/>
          <w:bCs/>
          <w:sz w:val="20"/>
          <w:szCs w:val="20"/>
        </w:rPr>
        <w:t>Supplementary Fig.</w:t>
      </w:r>
      <w:r w:rsidR="00F757EC" w:rsidRPr="009D52EB">
        <w:rPr>
          <w:rFonts w:ascii="Times New Roman" w:hAnsi="Times New Roman" w:cs="Times New Roman"/>
          <w:b/>
          <w:bCs/>
          <w:sz w:val="20"/>
          <w:szCs w:val="20"/>
        </w:rPr>
        <w:t xml:space="preserve"> </w:t>
      </w:r>
      <w:r w:rsidR="00B93DCB">
        <w:rPr>
          <w:rFonts w:ascii="Times New Roman" w:hAnsi="Times New Roman" w:cs="Times New Roman"/>
          <w:b/>
          <w:bCs/>
          <w:sz w:val="20"/>
          <w:szCs w:val="20"/>
        </w:rPr>
        <w:t>12 |</w:t>
      </w:r>
      <w:r w:rsidR="00F757EC" w:rsidRPr="009D52EB">
        <w:rPr>
          <w:rFonts w:ascii="Times New Roman" w:hAnsi="Times New Roman" w:cs="Times New Roman"/>
          <w:sz w:val="20"/>
          <w:szCs w:val="20"/>
        </w:rPr>
        <w:t xml:space="preserve"> </w:t>
      </w:r>
      <w:r w:rsidR="0045325F" w:rsidRPr="009D52EB">
        <w:rPr>
          <w:rFonts w:ascii="Times New Roman" w:hAnsi="Times New Roman" w:cs="Times New Roman"/>
          <w:sz w:val="20"/>
          <w:szCs w:val="20"/>
        </w:rPr>
        <w:t>Temperature effects on the CO</w:t>
      </w:r>
      <w:r w:rsidR="0045325F" w:rsidRPr="009D52EB">
        <w:rPr>
          <w:rFonts w:ascii="Times New Roman" w:hAnsi="Times New Roman" w:cs="Times New Roman"/>
          <w:sz w:val="20"/>
          <w:szCs w:val="20"/>
          <w:vertAlign w:val="subscript"/>
        </w:rPr>
        <w:t>2</w:t>
      </w:r>
      <w:r w:rsidR="0045325F" w:rsidRPr="009D52EB">
        <w:rPr>
          <w:rFonts w:ascii="Times New Roman" w:hAnsi="Times New Roman" w:cs="Times New Roman"/>
          <w:sz w:val="20"/>
          <w:szCs w:val="20"/>
        </w:rPr>
        <w:t xml:space="preserve">RR performance of </w:t>
      </w:r>
      <w:r w:rsidR="004A7ADC">
        <w:rPr>
          <w:rFonts w:ascii="Times New Roman" w:hAnsi="Times New Roman" w:cs="Times New Roman"/>
          <w:sz w:val="20"/>
          <w:szCs w:val="20"/>
        </w:rPr>
        <w:t>SC-BPMEA</w:t>
      </w:r>
      <w:r w:rsidR="0045325F" w:rsidRPr="009D52EB">
        <w:rPr>
          <w:rFonts w:ascii="Times New Roman" w:hAnsi="Times New Roman" w:cs="Times New Roman"/>
          <w:sz w:val="20"/>
          <w:szCs w:val="20"/>
        </w:rPr>
        <w:t xml:space="preserve">. </w:t>
      </w:r>
      <w:r w:rsidR="00F757EC" w:rsidRPr="009D52EB">
        <w:rPr>
          <w:rFonts w:ascii="Times New Roman" w:hAnsi="Times New Roman" w:cs="Times New Roman"/>
          <w:sz w:val="20"/>
          <w:szCs w:val="20"/>
        </w:rPr>
        <w:t>(</w:t>
      </w:r>
      <w:r w:rsidR="00C140D1">
        <w:rPr>
          <w:rFonts w:ascii="Times New Roman" w:hAnsi="Times New Roman" w:cs="Times New Roman"/>
          <w:sz w:val="20"/>
          <w:szCs w:val="20"/>
        </w:rPr>
        <w:t>a</w:t>
      </w:r>
      <w:r w:rsidR="00F757EC" w:rsidRPr="009D52EB">
        <w:rPr>
          <w:rFonts w:ascii="Times New Roman" w:hAnsi="Times New Roman" w:cs="Times New Roman"/>
          <w:sz w:val="20"/>
          <w:szCs w:val="20"/>
        </w:rPr>
        <w:t xml:space="preserve">) The dependence of cell voltage </w:t>
      </w:r>
      <w:r w:rsidR="00AC5BCB" w:rsidRPr="009D52EB">
        <w:rPr>
          <w:rFonts w:ascii="Times New Roman" w:hAnsi="Times New Roman" w:cs="Times New Roman"/>
          <w:sz w:val="20"/>
          <w:szCs w:val="20"/>
        </w:rPr>
        <w:t>on operating</w:t>
      </w:r>
      <w:r w:rsidR="00F757EC" w:rsidRPr="009D52EB">
        <w:rPr>
          <w:rFonts w:ascii="Times New Roman" w:hAnsi="Times New Roman" w:cs="Times New Roman"/>
          <w:sz w:val="20"/>
          <w:szCs w:val="20"/>
        </w:rPr>
        <w:t xml:space="preserve"> temperature. (</w:t>
      </w:r>
      <w:r w:rsidR="00C140D1">
        <w:rPr>
          <w:rFonts w:ascii="Times New Roman" w:hAnsi="Times New Roman" w:cs="Times New Roman"/>
          <w:sz w:val="20"/>
          <w:szCs w:val="20"/>
        </w:rPr>
        <w:t>b-c</w:t>
      </w:r>
      <w:r w:rsidR="00F757EC" w:rsidRPr="009D52EB">
        <w:rPr>
          <w:rFonts w:ascii="Times New Roman" w:hAnsi="Times New Roman" w:cs="Times New Roman"/>
          <w:sz w:val="20"/>
          <w:szCs w:val="20"/>
        </w:rPr>
        <w:t xml:space="preserve">) The dependence of gas FE on the current density for the operating temperatures of 20 </w:t>
      </w:r>
      <w:r w:rsidR="00F757EC" w:rsidRPr="009D52EB">
        <w:rPr>
          <w:rFonts w:ascii="Times New Roman" w:hAnsi="Times New Roman" w:cs="Times New Roman"/>
          <w:sz w:val="20"/>
          <w:szCs w:val="20"/>
          <w:vertAlign w:val="superscript"/>
        </w:rPr>
        <w:t>o</w:t>
      </w:r>
      <w:r w:rsidR="00F757EC" w:rsidRPr="009D52EB">
        <w:rPr>
          <w:rFonts w:ascii="Times New Roman" w:hAnsi="Times New Roman" w:cs="Times New Roman"/>
          <w:sz w:val="20"/>
          <w:szCs w:val="20"/>
        </w:rPr>
        <w:t>C (</w:t>
      </w:r>
      <w:r w:rsidR="00C140D1">
        <w:rPr>
          <w:rFonts w:ascii="Times New Roman" w:hAnsi="Times New Roman" w:cs="Times New Roman"/>
          <w:sz w:val="20"/>
          <w:szCs w:val="20"/>
        </w:rPr>
        <w:t>b</w:t>
      </w:r>
      <w:r w:rsidR="00F757EC" w:rsidRPr="009D52EB">
        <w:rPr>
          <w:rFonts w:ascii="Times New Roman" w:hAnsi="Times New Roman" w:cs="Times New Roman"/>
          <w:sz w:val="20"/>
          <w:szCs w:val="20"/>
        </w:rPr>
        <w:t xml:space="preserve">) and 50 </w:t>
      </w:r>
      <w:r w:rsidR="00F757EC" w:rsidRPr="009D52EB">
        <w:rPr>
          <w:rFonts w:ascii="Times New Roman" w:hAnsi="Times New Roman" w:cs="Times New Roman"/>
          <w:sz w:val="20"/>
          <w:szCs w:val="20"/>
          <w:vertAlign w:val="superscript"/>
        </w:rPr>
        <w:t>o</w:t>
      </w:r>
      <w:r w:rsidR="00F757EC" w:rsidRPr="009D52EB">
        <w:rPr>
          <w:rFonts w:ascii="Times New Roman" w:hAnsi="Times New Roman" w:cs="Times New Roman"/>
          <w:sz w:val="20"/>
          <w:szCs w:val="20"/>
        </w:rPr>
        <w:t>C (</w:t>
      </w:r>
      <w:r w:rsidR="00C140D1">
        <w:rPr>
          <w:rFonts w:ascii="Times New Roman" w:hAnsi="Times New Roman" w:cs="Times New Roman"/>
          <w:sz w:val="20"/>
          <w:szCs w:val="20"/>
        </w:rPr>
        <w:t>c</w:t>
      </w:r>
      <w:r w:rsidR="00F757EC" w:rsidRPr="009D52EB">
        <w:rPr>
          <w:rFonts w:ascii="Times New Roman" w:hAnsi="Times New Roman" w:cs="Times New Roman"/>
          <w:sz w:val="20"/>
          <w:szCs w:val="20"/>
        </w:rPr>
        <w:t xml:space="preserve">). The FE for 35 </w:t>
      </w:r>
      <w:r w:rsidR="00F757EC" w:rsidRPr="009D52EB">
        <w:rPr>
          <w:rFonts w:ascii="Times New Roman" w:hAnsi="Times New Roman" w:cs="Times New Roman"/>
          <w:sz w:val="20"/>
          <w:szCs w:val="20"/>
          <w:vertAlign w:val="superscript"/>
        </w:rPr>
        <w:t>o</w:t>
      </w:r>
      <w:r w:rsidR="00F757EC" w:rsidRPr="009D52EB">
        <w:rPr>
          <w:rFonts w:ascii="Times New Roman" w:hAnsi="Times New Roman" w:cs="Times New Roman"/>
          <w:sz w:val="20"/>
          <w:szCs w:val="20"/>
        </w:rPr>
        <w:t xml:space="preserve">C is shown in </w:t>
      </w:r>
      <w:r>
        <w:rPr>
          <w:rFonts w:ascii="Times New Roman" w:hAnsi="Times New Roman" w:cs="Times New Roman"/>
          <w:sz w:val="20"/>
          <w:szCs w:val="20"/>
        </w:rPr>
        <w:t>Fig.</w:t>
      </w:r>
      <w:r w:rsidR="00F757EC" w:rsidRPr="009D52EB">
        <w:rPr>
          <w:rFonts w:ascii="Times New Roman" w:hAnsi="Times New Roman" w:cs="Times New Roman"/>
          <w:sz w:val="20"/>
          <w:szCs w:val="20"/>
        </w:rPr>
        <w:t xml:space="preserve"> </w:t>
      </w:r>
      <w:r w:rsidR="00190797" w:rsidRPr="009D52EB">
        <w:rPr>
          <w:rFonts w:ascii="Times New Roman" w:hAnsi="Times New Roman" w:cs="Times New Roman"/>
          <w:sz w:val="20"/>
          <w:szCs w:val="20"/>
        </w:rPr>
        <w:t>3</w:t>
      </w:r>
      <w:r w:rsidR="00190797">
        <w:rPr>
          <w:rFonts w:ascii="Times New Roman" w:hAnsi="Times New Roman" w:cs="Times New Roman"/>
          <w:sz w:val="20"/>
          <w:szCs w:val="20"/>
        </w:rPr>
        <w:t>d</w:t>
      </w:r>
      <w:r w:rsidR="00190797" w:rsidRPr="009D52EB">
        <w:rPr>
          <w:rFonts w:ascii="Times New Roman" w:hAnsi="Times New Roman" w:cs="Times New Roman"/>
          <w:sz w:val="20"/>
          <w:szCs w:val="20"/>
        </w:rPr>
        <w:t xml:space="preserve"> </w:t>
      </w:r>
      <w:r w:rsidR="00F757EC" w:rsidRPr="009D52EB">
        <w:rPr>
          <w:rFonts w:ascii="Times New Roman" w:hAnsi="Times New Roman" w:cs="Times New Roman"/>
          <w:sz w:val="20"/>
          <w:szCs w:val="20"/>
        </w:rPr>
        <w:t xml:space="preserve">in </w:t>
      </w:r>
      <w:r w:rsidR="009430EF" w:rsidRPr="009D52EB">
        <w:rPr>
          <w:rFonts w:ascii="Times New Roman" w:hAnsi="Times New Roman" w:cs="Times New Roman"/>
          <w:sz w:val="20"/>
          <w:szCs w:val="20"/>
        </w:rPr>
        <w:t xml:space="preserve">the </w:t>
      </w:r>
      <w:r w:rsidR="00BC361B" w:rsidRPr="009D52EB">
        <w:rPr>
          <w:rFonts w:ascii="Times New Roman" w:hAnsi="Times New Roman" w:cs="Times New Roman"/>
          <w:sz w:val="20"/>
          <w:szCs w:val="20"/>
        </w:rPr>
        <w:t>main text</w:t>
      </w:r>
      <w:r w:rsidR="00F757EC" w:rsidRPr="009D52EB">
        <w:rPr>
          <w:rFonts w:ascii="Times New Roman" w:hAnsi="Times New Roman" w:cs="Times New Roman"/>
          <w:sz w:val="20"/>
          <w:szCs w:val="20"/>
        </w:rPr>
        <w:t xml:space="preserve">. In all </w:t>
      </w:r>
      <w:r w:rsidR="00BC361B" w:rsidRPr="009D52EB">
        <w:rPr>
          <w:rFonts w:ascii="Times New Roman" w:hAnsi="Times New Roman" w:cs="Times New Roman"/>
          <w:sz w:val="20"/>
          <w:szCs w:val="20"/>
        </w:rPr>
        <w:t>measurements</w:t>
      </w:r>
      <w:r w:rsidR="00F757EC" w:rsidRPr="009D52EB">
        <w:rPr>
          <w:rFonts w:ascii="Times New Roman" w:hAnsi="Times New Roman" w:cs="Times New Roman"/>
          <w:sz w:val="20"/>
          <w:szCs w:val="20"/>
        </w:rPr>
        <w:t xml:space="preserve">, the SC-layer is 125 μm </w:t>
      </w:r>
      <w:r w:rsidR="00F72573">
        <w:rPr>
          <w:rFonts w:ascii="Times New Roman" w:hAnsi="Times New Roman" w:cs="Times New Roman"/>
          <w:sz w:val="20"/>
          <w:szCs w:val="20"/>
        </w:rPr>
        <w:t xml:space="preserve">with </w:t>
      </w:r>
      <w:r w:rsidR="00F757EC" w:rsidRPr="009D52EB">
        <w:rPr>
          <w:rFonts w:ascii="Times New Roman" w:hAnsi="Times New Roman" w:cs="Times New Roman"/>
          <w:sz w:val="20"/>
          <w:szCs w:val="20"/>
        </w:rPr>
        <w:t>1</w:t>
      </w:r>
      <w:r w:rsidR="00B26B51" w:rsidRPr="009D52EB">
        <w:rPr>
          <w:rFonts w:ascii="Times New Roman" w:hAnsi="Times New Roman" w:cs="Times New Roman"/>
          <w:sz w:val="20"/>
          <w:szCs w:val="20"/>
        </w:rPr>
        <w:t xml:space="preserve"> </w:t>
      </w:r>
      <w:r w:rsidR="00F757EC" w:rsidRPr="009D52EB">
        <w:rPr>
          <w:rFonts w:ascii="Times New Roman" w:hAnsi="Times New Roman" w:cs="Times New Roman"/>
          <w:sz w:val="20"/>
          <w:szCs w:val="20"/>
        </w:rPr>
        <w:t>M K</w:t>
      </w:r>
      <w:r w:rsidR="00F757EC" w:rsidRPr="009D52EB">
        <w:rPr>
          <w:rFonts w:ascii="Times New Roman" w:hAnsi="Times New Roman" w:cs="Times New Roman"/>
          <w:sz w:val="20"/>
          <w:szCs w:val="20"/>
          <w:vertAlign w:val="superscript"/>
        </w:rPr>
        <w:t>+</w:t>
      </w:r>
      <w:r w:rsidR="009430EF" w:rsidRPr="009D52EB">
        <w:rPr>
          <w:rFonts w:ascii="Times New Roman" w:hAnsi="Times New Roman" w:cs="Times New Roman"/>
          <w:sz w:val="20"/>
          <w:szCs w:val="20"/>
        </w:rPr>
        <w:t>. T</w:t>
      </w:r>
      <w:r w:rsidR="00B26B51" w:rsidRPr="009D52EB">
        <w:rPr>
          <w:rFonts w:ascii="Times New Roman" w:hAnsi="Times New Roman" w:cs="Times New Roman"/>
          <w:sz w:val="20"/>
          <w:szCs w:val="20"/>
        </w:rPr>
        <w:t xml:space="preserve">he </w:t>
      </w:r>
      <w:r w:rsidR="00F757EC" w:rsidRPr="009D52EB">
        <w:rPr>
          <w:rFonts w:ascii="Times New Roman" w:hAnsi="Times New Roman" w:cs="Times New Roman"/>
          <w:sz w:val="20"/>
          <w:szCs w:val="20"/>
        </w:rPr>
        <w:t>anolyte is 0.1</w:t>
      </w:r>
      <w:r w:rsidR="00B26B51" w:rsidRPr="009D52EB">
        <w:rPr>
          <w:rFonts w:ascii="Times New Roman" w:hAnsi="Times New Roman" w:cs="Times New Roman"/>
          <w:sz w:val="20"/>
          <w:szCs w:val="20"/>
        </w:rPr>
        <w:t xml:space="preserve"> </w:t>
      </w:r>
      <w:r w:rsidR="00F757EC" w:rsidRPr="009D52EB">
        <w:rPr>
          <w:rFonts w:ascii="Times New Roman" w:hAnsi="Times New Roman" w:cs="Times New Roman"/>
          <w:sz w:val="20"/>
          <w:szCs w:val="20"/>
        </w:rPr>
        <w:t>M KHCO</w:t>
      </w:r>
      <w:r w:rsidR="00F757EC" w:rsidRPr="009D52EB">
        <w:rPr>
          <w:rFonts w:ascii="Times New Roman" w:hAnsi="Times New Roman" w:cs="Times New Roman"/>
          <w:sz w:val="20"/>
          <w:szCs w:val="20"/>
          <w:vertAlign w:val="subscript"/>
        </w:rPr>
        <w:t>3</w:t>
      </w:r>
      <w:r w:rsidR="00F757EC" w:rsidRPr="009D52EB">
        <w:rPr>
          <w:rFonts w:ascii="Times New Roman" w:hAnsi="Times New Roman" w:cs="Times New Roman"/>
          <w:sz w:val="20"/>
          <w:szCs w:val="20"/>
        </w:rPr>
        <w:t xml:space="preserve"> (pH = 8.20), the CO</w:t>
      </w:r>
      <w:r w:rsidR="00F757EC" w:rsidRPr="009D52EB">
        <w:rPr>
          <w:rFonts w:ascii="Times New Roman" w:hAnsi="Times New Roman" w:cs="Times New Roman"/>
          <w:sz w:val="20"/>
          <w:szCs w:val="20"/>
          <w:vertAlign w:val="subscript"/>
        </w:rPr>
        <w:t>2</w:t>
      </w:r>
      <w:r w:rsidR="00F757EC" w:rsidRPr="009D52EB">
        <w:rPr>
          <w:rFonts w:ascii="Times New Roman" w:hAnsi="Times New Roman" w:cs="Times New Roman"/>
          <w:sz w:val="20"/>
          <w:szCs w:val="20"/>
        </w:rPr>
        <w:t xml:space="preserve"> inlet flow rate is 1</w:t>
      </w:r>
      <w:r w:rsidR="007F63D3" w:rsidRPr="009D52EB">
        <w:rPr>
          <w:rFonts w:ascii="Times New Roman" w:hAnsi="Times New Roman" w:cs="Times New Roman"/>
          <w:sz w:val="20"/>
          <w:szCs w:val="20"/>
        </w:rPr>
        <w:t>0</w:t>
      </w:r>
      <w:r w:rsidR="00F757EC" w:rsidRPr="009D52EB">
        <w:rPr>
          <w:rFonts w:ascii="Times New Roman" w:hAnsi="Times New Roman" w:cs="Times New Roman"/>
          <w:sz w:val="20"/>
          <w:szCs w:val="20"/>
        </w:rPr>
        <w:t xml:space="preserve"> sccm</w:t>
      </w:r>
      <w:r w:rsidR="007F63D3" w:rsidRPr="009D52EB">
        <w:rPr>
          <w:rFonts w:ascii="Times New Roman" w:hAnsi="Times New Roman" w:cs="Times New Roman"/>
          <w:sz w:val="20"/>
          <w:szCs w:val="20"/>
        </w:rPr>
        <w:t xml:space="preserve"> cm</w:t>
      </w:r>
      <w:r w:rsidR="007F63D3" w:rsidRPr="009D52EB">
        <w:rPr>
          <w:rFonts w:ascii="Times New Roman" w:hAnsi="Times New Roman" w:cs="Times New Roman"/>
          <w:sz w:val="20"/>
          <w:szCs w:val="20"/>
          <w:vertAlign w:val="superscript"/>
        </w:rPr>
        <w:t>-2</w:t>
      </w:r>
      <w:r w:rsidR="00F757EC" w:rsidRPr="009D52EB">
        <w:rPr>
          <w:rFonts w:ascii="Times New Roman" w:hAnsi="Times New Roman" w:cs="Times New Roman"/>
          <w:sz w:val="20"/>
          <w:szCs w:val="20"/>
        </w:rPr>
        <w:t>.</w:t>
      </w:r>
    </w:p>
    <w:p w14:paraId="1EBBC83E" w14:textId="77777777" w:rsidR="00DC2E6A" w:rsidRPr="009D52EB" w:rsidRDefault="00DC2E6A">
      <w:pPr>
        <w:rPr>
          <w:rFonts w:ascii="Times New Roman" w:hAnsi="Times New Roman" w:cs="Times New Roman"/>
          <w:sz w:val="24"/>
          <w:szCs w:val="24"/>
        </w:rPr>
      </w:pPr>
      <w:r w:rsidRPr="009D52EB">
        <w:rPr>
          <w:rFonts w:ascii="Times New Roman" w:hAnsi="Times New Roman" w:cs="Times New Roman"/>
          <w:sz w:val="24"/>
          <w:szCs w:val="24"/>
        </w:rPr>
        <w:br w:type="page"/>
      </w:r>
    </w:p>
    <w:p w14:paraId="6A352532" w14:textId="3679F9AA" w:rsidR="00634B46" w:rsidRPr="009D52EB" w:rsidRDefault="006C5384">
      <w:pPr>
        <w:jc w:val="both"/>
        <w:rPr>
          <w:rFonts w:ascii="Times New Roman" w:hAnsi="Times New Roman" w:cs="Times New Roman"/>
          <w:sz w:val="24"/>
          <w:szCs w:val="24"/>
        </w:rPr>
      </w:pPr>
      <w:r w:rsidRPr="009D52EB">
        <w:rPr>
          <w:rFonts w:ascii="Times New Roman" w:hAnsi="Times New Roman" w:cs="Times New Roman"/>
          <w:b/>
          <w:bCs/>
          <w:sz w:val="24"/>
          <w:szCs w:val="24"/>
        </w:rPr>
        <w:lastRenderedPageBreak/>
        <w:t>SI</w:t>
      </w:r>
      <w:r>
        <w:rPr>
          <w:rFonts w:ascii="Times New Roman" w:hAnsi="Times New Roman" w:cs="Times New Roman"/>
          <w:b/>
          <w:bCs/>
          <w:sz w:val="24"/>
          <w:szCs w:val="24"/>
        </w:rPr>
        <w:t>7</w:t>
      </w:r>
      <w:r w:rsidRPr="009D52EB">
        <w:rPr>
          <w:rFonts w:ascii="Times New Roman" w:hAnsi="Times New Roman" w:cs="Times New Roman"/>
          <w:b/>
          <w:bCs/>
          <w:sz w:val="24"/>
          <w:szCs w:val="24"/>
        </w:rPr>
        <w:t xml:space="preserve"> </w:t>
      </w:r>
      <w:r w:rsidR="00FB4AE5" w:rsidRPr="009D52EB">
        <w:rPr>
          <w:rFonts w:ascii="Times New Roman" w:hAnsi="Times New Roman" w:cs="Times New Roman"/>
          <w:b/>
          <w:bCs/>
          <w:sz w:val="24"/>
          <w:szCs w:val="24"/>
        </w:rPr>
        <w:t>Analysis on the</w:t>
      </w:r>
      <w:r w:rsidR="00634B46" w:rsidRPr="009D52EB">
        <w:rPr>
          <w:rFonts w:ascii="Times New Roman" w:hAnsi="Times New Roman" w:cs="Times New Roman"/>
          <w:b/>
          <w:bCs/>
          <w:sz w:val="24"/>
          <w:szCs w:val="24"/>
        </w:rPr>
        <w:t xml:space="preserve"> cell voltage </w:t>
      </w:r>
      <w:r w:rsidR="00FB4AE5" w:rsidRPr="009D52EB">
        <w:rPr>
          <w:rFonts w:ascii="Times New Roman" w:hAnsi="Times New Roman" w:cs="Times New Roman"/>
          <w:b/>
          <w:bCs/>
          <w:sz w:val="24"/>
          <w:szCs w:val="24"/>
        </w:rPr>
        <w:t>of</w:t>
      </w:r>
      <w:r w:rsidR="00634B46" w:rsidRPr="009D52EB">
        <w:rPr>
          <w:rFonts w:ascii="Times New Roman" w:hAnsi="Times New Roman" w:cs="Times New Roman"/>
          <w:b/>
          <w:bCs/>
          <w:sz w:val="24"/>
          <w:szCs w:val="24"/>
        </w:rPr>
        <w:t xml:space="preserve"> </w:t>
      </w:r>
      <w:r w:rsidR="004A7ADC">
        <w:rPr>
          <w:rFonts w:ascii="Times New Roman" w:hAnsi="Times New Roman" w:cs="Times New Roman"/>
          <w:b/>
          <w:bCs/>
          <w:sz w:val="24"/>
          <w:szCs w:val="24"/>
        </w:rPr>
        <w:t>SC-BPMEA</w:t>
      </w:r>
      <w:r w:rsidR="00634B46" w:rsidRPr="009D52EB">
        <w:rPr>
          <w:rFonts w:ascii="Times New Roman" w:hAnsi="Times New Roman" w:cs="Times New Roman"/>
          <w:b/>
          <w:bCs/>
          <w:sz w:val="24"/>
          <w:szCs w:val="24"/>
        </w:rPr>
        <w:t xml:space="preserve"> </w:t>
      </w:r>
      <w:r w:rsidR="00FB7B7B" w:rsidRPr="009D52EB">
        <w:rPr>
          <w:rFonts w:ascii="Times New Roman" w:hAnsi="Times New Roman" w:cs="Times New Roman"/>
          <w:b/>
          <w:bCs/>
          <w:sz w:val="24"/>
          <w:szCs w:val="24"/>
        </w:rPr>
        <w:t>operating</w:t>
      </w:r>
      <w:r w:rsidR="00634B46" w:rsidRPr="009D52EB">
        <w:rPr>
          <w:rFonts w:ascii="Times New Roman" w:hAnsi="Times New Roman" w:cs="Times New Roman"/>
          <w:b/>
          <w:bCs/>
          <w:sz w:val="24"/>
          <w:szCs w:val="24"/>
        </w:rPr>
        <w:t xml:space="preserve"> at 35 </w:t>
      </w:r>
      <w:r w:rsidR="00634B46" w:rsidRPr="009D52EB">
        <w:rPr>
          <w:rFonts w:ascii="Times New Roman" w:hAnsi="Times New Roman" w:cs="Times New Roman"/>
          <w:b/>
          <w:bCs/>
          <w:sz w:val="24"/>
          <w:szCs w:val="24"/>
          <w:vertAlign w:val="superscript"/>
        </w:rPr>
        <w:t>o</w:t>
      </w:r>
      <w:r w:rsidR="00634B46" w:rsidRPr="009D52EB">
        <w:rPr>
          <w:rFonts w:ascii="Times New Roman" w:hAnsi="Times New Roman" w:cs="Times New Roman"/>
          <w:b/>
          <w:bCs/>
          <w:sz w:val="24"/>
          <w:szCs w:val="24"/>
        </w:rPr>
        <w:t>C, 200 mA cm</w:t>
      </w:r>
      <w:r w:rsidR="00634B46" w:rsidRPr="009D52EB">
        <w:rPr>
          <w:rFonts w:ascii="Times New Roman" w:hAnsi="Times New Roman" w:cs="Times New Roman"/>
          <w:b/>
          <w:bCs/>
          <w:sz w:val="24"/>
          <w:szCs w:val="24"/>
          <w:vertAlign w:val="superscript"/>
        </w:rPr>
        <w:t>-2</w:t>
      </w:r>
      <w:r w:rsidR="00634B46" w:rsidRPr="009D52EB">
        <w:rPr>
          <w:rFonts w:ascii="Times New Roman" w:hAnsi="Times New Roman" w:cs="Times New Roman"/>
          <w:b/>
          <w:bCs/>
          <w:sz w:val="24"/>
          <w:szCs w:val="24"/>
        </w:rPr>
        <w:t xml:space="preserve">, with </w:t>
      </w:r>
      <w:r w:rsidR="006633E6" w:rsidRPr="009D52EB">
        <w:rPr>
          <w:rFonts w:ascii="Times New Roman" w:hAnsi="Times New Roman" w:cs="Times New Roman"/>
          <w:b/>
          <w:bCs/>
          <w:sz w:val="24"/>
          <w:szCs w:val="24"/>
        </w:rPr>
        <w:t xml:space="preserve">0.1 M </w:t>
      </w:r>
      <w:r w:rsidR="00634B46" w:rsidRPr="009D52EB">
        <w:rPr>
          <w:rFonts w:ascii="Times New Roman" w:hAnsi="Times New Roman" w:cs="Times New Roman"/>
          <w:b/>
          <w:bCs/>
          <w:sz w:val="24"/>
          <w:szCs w:val="24"/>
        </w:rPr>
        <w:t>KHCO</w:t>
      </w:r>
      <w:r w:rsidR="00634B46" w:rsidRPr="009D52EB">
        <w:rPr>
          <w:rFonts w:ascii="Times New Roman" w:hAnsi="Times New Roman" w:cs="Times New Roman"/>
          <w:b/>
          <w:bCs/>
          <w:sz w:val="24"/>
          <w:szCs w:val="24"/>
          <w:vertAlign w:val="subscript"/>
        </w:rPr>
        <w:t>3</w:t>
      </w:r>
      <w:r w:rsidR="00634B46" w:rsidRPr="009D52EB">
        <w:rPr>
          <w:rFonts w:ascii="Times New Roman" w:hAnsi="Times New Roman" w:cs="Times New Roman"/>
          <w:b/>
          <w:bCs/>
          <w:sz w:val="24"/>
          <w:szCs w:val="24"/>
        </w:rPr>
        <w:t xml:space="preserve"> anolyte and 65 μm 0.5</w:t>
      </w:r>
      <w:r w:rsidR="00B04356" w:rsidRPr="009D52EB">
        <w:rPr>
          <w:rFonts w:ascii="Times New Roman" w:hAnsi="Times New Roman" w:cs="Times New Roman"/>
          <w:b/>
          <w:bCs/>
          <w:sz w:val="24"/>
          <w:szCs w:val="24"/>
        </w:rPr>
        <w:t xml:space="preserve"> </w:t>
      </w:r>
      <w:r w:rsidR="00634B46" w:rsidRPr="009D52EB">
        <w:rPr>
          <w:rFonts w:ascii="Times New Roman" w:hAnsi="Times New Roman" w:cs="Times New Roman"/>
          <w:b/>
          <w:bCs/>
          <w:sz w:val="24"/>
          <w:szCs w:val="24"/>
        </w:rPr>
        <w:t>M K</w:t>
      </w:r>
      <w:r w:rsidR="00634B46" w:rsidRPr="009D52EB">
        <w:rPr>
          <w:rFonts w:ascii="Times New Roman" w:hAnsi="Times New Roman" w:cs="Times New Roman"/>
          <w:b/>
          <w:bCs/>
          <w:sz w:val="24"/>
          <w:szCs w:val="24"/>
          <w:vertAlign w:val="subscript"/>
        </w:rPr>
        <w:t>2</w:t>
      </w:r>
      <w:r w:rsidR="00634B46" w:rsidRPr="009D52EB">
        <w:rPr>
          <w:rFonts w:ascii="Times New Roman" w:hAnsi="Times New Roman" w:cs="Times New Roman"/>
          <w:b/>
          <w:bCs/>
          <w:sz w:val="24"/>
          <w:szCs w:val="24"/>
        </w:rPr>
        <w:t>SO</w:t>
      </w:r>
      <w:r w:rsidR="00634B46" w:rsidRPr="009D52EB">
        <w:rPr>
          <w:rFonts w:ascii="Times New Roman" w:hAnsi="Times New Roman" w:cs="Times New Roman"/>
          <w:b/>
          <w:bCs/>
          <w:sz w:val="24"/>
          <w:szCs w:val="24"/>
          <w:vertAlign w:val="subscript"/>
        </w:rPr>
        <w:t>4</w:t>
      </w:r>
      <w:r w:rsidR="00634B46" w:rsidRPr="009D52EB">
        <w:rPr>
          <w:rFonts w:ascii="Times New Roman" w:hAnsi="Times New Roman" w:cs="Times New Roman"/>
          <w:b/>
          <w:bCs/>
          <w:sz w:val="24"/>
          <w:szCs w:val="24"/>
        </w:rPr>
        <w:t xml:space="preserve"> catholyte layer.</w:t>
      </w:r>
    </w:p>
    <w:p w14:paraId="36F83289" w14:textId="26D63AB4" w:rsidR="00BB3C0D" w:rsidRPr="00805810" w:rsidRDefault="004959D0" w:rsidP="00DE24CD">
      <w:pPr>
        <w:jc w:val="center"/>
        <w:rPr>
          <w:rFonts w:ascii="Times New Roman" w:hAnsi="Times New Roman" w:cs="Times New Roman"/>
          <w:sz w:val="24"/>
          <w:szCs w:val="24"/>
        </w:rPr>
      </w:pPr>
      <w:r>
        <w:rPr>
          <w:noProof/>
        </w:rPr>
        <w:drawing>
          <wp:inline distT="0" distB="0" distL="0" distR="0" wp14:anchorId="3A49BCC0" wp14:editId="1C66CC9D">
            <wp:extent cx="4787488" cy="6153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94776" cy="6162517"/>
                    </a:xfrm>
                    <a:prstGeom prst="rect">
                      <a:avLst/>
                    </a:prstGeom>
                    <a:noFill/>
                    <a:ln>
                      <a:noFill/>
                    </a:ln>
                  </pic:spPr>
                </pic:pic>
              </a:graphicData>
            </a:graphic>
          </wp:inline>
        </w:drawing>
      </w:r>
    </w:p>
    <w:p w14:paraId="6FD1FC38" w14:textId="0B491F66" w:rsidR="005C0CCF" w:rsidRPr="009D52EB" w:rsidRDefault="00DE0DCA">
      <w:pPr>
        <w:jc w:val="both"/>
        <w:rPr>
          <w:rFonts w:ascii="Times New Roman" w:hAnsi="Times New Roman" w:cs="Times New Roman"/>
          <w:sz w:val="20"/>
          <w:szCs w:val="20"/>
        </w:rPr>
      </w:pPr>
      <w:r>
        <w:rPr>
          <w:rFonts w:ascii="Times New Roman" w:hAnsi="Times New Roman" w:cs="Times New Roman"/>
          <w:b/>
          <w:bCs/>
          <w:sz w:val="20"/>
          <w:szCs w:val="20"/>
        </w:rPr>
        <w:t>Supplementary Fig.</w:t>
      </w:r>
      <w:r w:rsidR="005C0CCF" w:rsidRPr="009D52EB">
        <w:rPr>
          <w:rFonts w:ascii="Times New Roman" w:hAnsi="Times New Roman" w:cs="Times New Roman"/>
          <w:b/>
          <w:bCs/>
          <w:sz w:val="20"/>
          <w:szCs w:val="20"/>
        </w:rPr>
        <w:t xml:space="preserve"> </w:t>
      </w:r>
      <w:r w:rsidR="00B93DCB">
        <w:rPr>
          <w:rFonts w:ascii="Times New Roman" w:hAnsi="Times New Roman" w:cs="Times New Roman"/>
          <w:b/>
          <w:bCs/>
          <w:sz w:val="20"/>
          <w:szCs w:val="20"/>
        </w:rPr>
        <w:t>13 |</w:t>
      </w:r>
      <w:r w:rsidR="005C0CCF" w:rsidRPr="009D52EB">
        <w:rPr>
          <w:rFonts w:ascii="Times New Roman" w:hAnsi="Times New Roman" w:cs="Times New Roman"/>
          <w:b/>
          <w:bCs/>
          <w:sz w:val="20"/>
          <w:szCs w:val="20"/>
        </w:rPr>
        <w:t xml:space="preserve"> </w:t>
      </w:r>
      <w:r w:rsidR="005C0CCF" w:rsidRPr="009D52EB">
        <w:rPr>
          <w:rFonts w:ascii="Times New Roman" w:hAnsi="Times New Roman" w:cs="Times New Roman"/>
          <w:sz w:val="20"/>
          <w:szCs w:val="20"/>
        </w:rPr>
        <w:t xml:space="preserve">Investigations on the cell voltage of </w:t>
      </w:r>
      <w:r w:rsidR="00DE24CD" w:rsidRPr="009D52EB">
        <w:rPr>
          <w:rFonts w:ascii="Times New Roman" w:hAnsi="Times New Roman" w:cs="Times New Roman"/>
          <w:sz w:val="20"/>
          <w:szCs w:val="20"/>
        </w:rPr>
        <w:t xml:space="preserve">the </w:t>
      </w:r>
      <w:r w:rsidR="004A7ADC">
        <w:rPr>
          <w:rFonts w:ascii="Times New Roman" w:hAnsi="Times New Roman" w:cs="Times New Roman"/>
          <w:sz w:val="20"/>
          <w:szCs w:val="20"/>
        </w:rPr>
        <w:t>SC-BPMEA</w:t>
      </w:r>
      <w:r w:rsidR="00DE24CD" w:rsidRPr="009D52EB">
        <w:rPr>
          <w:rFonts w:ascii="Times New Roman" w:hAnsi="Times New Roman" w:cs="Times New Roman"/>
          <w:sz w:val="20"/>
          <w:szCs w:val="20"/>
        </w:rPr>
        <w:t xml:space="preserve"> using </w:t>
      </w:r>
      <w:r w:rsidR="00844E3B">
        <w:rPr>
          <w:rFonts w:ascii="Times New Roman" w:hAnsi="Times New Roman" w:cs="Times New Roman"/>
          <w:sz w:val="20"/>
          <w:szCs w:val="20"/>
        </w:rPr>
        <w:t xml:space="preserve">the </w:t>
      </w:r>
      <w:r w:rsidR="00DE24CD" w:rsidRPr="009D52EB">
        <w:rPr>
          <w:rFonts w:ascii="Times New Roman" w:hAnsi="Times New Roman" w:cs="Times New Roman"/>
          <w:sz w:val="20"/>
          <w:szCs w:val="20"/>
        </w:rPr>
        <w:t>custom BPM</w:t>
      </w:r>
      <w:r w:rsidR="005C0CCF" w:rsidRPr="009D52EB">
        <w:rPr>
          <w:rFonts w:ascii="Times New Roman" w:hAnsi="Times New Roman" w:cs="Times New Roman"/>
          <w:sz w:val="20"/>
          <w:szCs w:val="20"/>
        </w:rPr>
        <w:t>.</w:t>
      </w:r>
      <w:r w:rsidR="00105C59" w:rsidRPr="009D52EB">
        <w:rPr>
          <w:rFonts w:ascii="Times New Roman" w:hAnsi="Times New Roman" w:cs="Times New Roman"/>
          <w:sz w:val="20"/>
          <w:szCs w:val="20"/>
        </w:rPr>
        <w:t xml:space="preserve"> </w:t>
      </w:r>
      <w:r w:rsidR="00D20DBE" w:rsidRPr="009D52EB">
        <w:rPr>
          <w:rFonts w:ascii="Times New Roman" w:hAnsi="Times New Roman" w:cs="Times New Roman"/>
          <w:sz w:val="20"/>
          <w:szCs w:val="20"/>
        </w:rPr>
        <w:t>(</w:t>
      </w:r>
      <w:r w:rsidR="00C0134F">
        <w:rPr>
          <w:rFonts w:ascii="Times New Roman" w:hAnsi="Times New Roman" w:cs="Times New Roman"/>
          <w:sz w:val="20"/>
          <w:szCs w:val="20"/>
        </w:rPr>
        <w:t>a</w:t>
      </w:r>
      <w:r w:rsidR="00D20DBE" w:rsidRPr="009D52EB">
        <w:rPr>
          <w:rFonts w:ascii="Times New Roman" w:hAnsi="Times New Roman" w:cs="Times New Roman"/>
          <w:sz w:val="20"/>
          <w:szCs w:val="20"/>
        </w:rPr>
        <w:t>) The ohmic resistance (black) and the contribution to voltage loss (red) of the stationary catholyte layer with various thickness</w:t>
      </w:r>
      <w:r w:rsidR="00B04356" w:rsidRPr="009D52EB">
        <w:rPr>
          <w:rFonts w:ascii="Times New Roman" w:hAnsi="Times New Roman" w:cs="Times New Roman"/>
          <w:sz w:val="20"/>
          <w:szCs w:val="20"/>
        </w:rPr>
        <w:t>es</w:t>
      </w:r>
      <w:r w:rsidR="00D20DBE" w:rsidRPr="009D52EB">
        <w:rPr>
          <w:rFonts w:ascii="Times New Roman" w:hAnsi="Times New Roman" w:cs="Times New Roman"/>
          <w:sz w:val="20"/>
          <w:szCs w:val="20"/>
        </w:rPr>
        <w:t>.</w:t>
      </w:r>
      <w:r w:rsidR="009E2B7C" w:rsidRPr="009D52EB">
        <w:rPr>
          <w:rFonts w:ascii="Times New Roman" w:hAnsi="Times New Roman" w:cs="Times New Roman"/>
          <w:sz w:val="20"/>
          <w:szCs w:val="20"/>
        </w:rPr>
        <w:t xml:space="preserve"> The errors in th</w:t>
      </w:r>
      <w:r w:rsidR="000B68CD" w:rsidRPr="009D52EB">
        <w:rPr>
          <w:rFonts w:ascii="Times New Roman" w:hAnsi="Times New Roman" w:cs="Times New Roman"/>
          <w:sz w:val="20"/>
          <w:szCs w:val="20"/>
        </w:rPr>
        <w:t>ese</w:t>
      </w:r>
      <w:r w:rsidR="009E2B7C" w:rsidRPr="009D52EB">
        <w:rPr>
          <w:rFonts w:ascii="Times New Roman" w:hAnsi="Times New Roman" w:cs="Times New Roman"/>
          <w:sz w:val="20"/>
          <w:szCs w:val="20"/>
        </w:rPr>
        <w:t xml:space="preserve"> </w:t>
      </w:r>
      <w:r w:rsidR="004A21CC" w:rsidRPr="009D52EB">
        <w:rPr>
          <w:rFonts w:ascii="Times New Roman" w:hAnsi="Times New Roman" w:cs="Times New Roman"/>
          <w:sz w:val="20"/>
          <w:szCs w:val="20"/>
        </w:rPr>
        <w:t>measurements</w:t>
      </w:r>
      <w:r w:rsidR="009E2B7C" w:rsidRPr="009D52EB">
        <w:rPr>
          <w:rFonts w:ascii="Times New Roman" w:hAnsi="Times New Roman" w:cs="Times New Roman"/>
          <w:sz w:val="20"/>
          <w:szCs w:val="20"/>
        </w:rPr>
        <w:t xml:space="preserve"> are below</w:t>
      </w:r>
      <w:r w:rsidR="00D20DBE" w:rsidRPr="009D52EB">
        <w:rPr>
          <w:rFonts w:ascii="Times New Roman" w:hAnsi="Times New Roman" w:cs="Times New Roman"/>
          <w:sz w:val="20"/>
          <w:szCs w:val="20"/>
        </w:rPr>
        <w:t xml:space="preserve"> </w:t>
      </w:r>
      <w:r w:rsidR="00AF487C" w:rsidRPr="009D52EB">
        <w:rPr>
          <w:rFonts w:ascii="Times New Roman" w:hAnsi="Times New Roman" w:cs="Times New Roman"/>
          <w:sz w:val="20"/>
          <w:szCs w:val="20"/>
        </w:rPr>
        <w:t>1</w:t>
      </w:r>
      <w:r w:rsidR="009E2B7C" w:rsidRPr="009D52EB">
        <w:rPr>
          <w:rFonts w:ascii="Times New Roman" w:hAnsi="Times New Roman" w:cs="Times New Roman"/>
          <w:sz w:val="20"/>
          <w:szCs w:val="20"/>
        </w:rPr>
        <w:t xml:space="preserve">%. </w:t>
      </w:r>
      <w:r w:rsidR="00105C59" w:rsidRPr="009D52EB">
        <w:rPr>
          <w:rFonts w:ascii="Times New Roman" w:hAnsi="Times New Roman" w:cs="Times New Roman"/>
          <w:sz w:val="20"/>
          <w:szCs w:val="20"/>
        </w:rPr>
        <w:t>(</w:t>
      </w:r>
      <w:r w:rsidR="00C0134F">
        <w:rPr>
          <w:rFonts w:ascii="Times New Roman" w:hAnsi="Times New Roman" w:cs="Times New Roman"/>
          <w:sz w:val="20"/>
          <w:szCs w:val="20"/>
        </w:rPr>
        <w:t>b</w:t>
      </w:r>
      <w:r w:rsidR="00105C59" w:rsidRPr="009D52EB">
        <w:rPr>
          <w:rFonts w:ascii="Times New Roman" w:hAnsi="Times New Roman" w:cs="Times New Roman"/>
          <w:sz w:val="20"/>
          <w:szCs w:val="20"/>
        </w:rPr>
        <w:t xml:space="preserve">) </w:t>
      </w:r>
      <w:r w:rsidR="0003472E" w:rsidRPr="009D52EB">
        <w:rPr>
          <w:rFonts w:ascii="Times New Roman" w:hAnsi="Times New Roman" w:cs="Times New Roman"/>
          <w:sz w:val="20"/>
          <w:szCs w:val="20"/>
        </w:rPr>
        <w:t xml:space="preserve">The </w:t>
      </w:r>
      <w:r w:rsidR="00020F41">
        <w:rPr>
          <w:rFonts w:ascii="Times New Roman" w:hAnsi="Times New Roman" w:cs="Times New Roman"/>
          <w:sz w:val="20"/>
          <w:szCs w:val="20"/>
        </w:rPr>
        <w:t>i</w:t>
      </w:r>
      <w:r w:rsidR="00020F41" w:rsidRPr="009D52EB">
        <w:rPr>
          <w:rFonts w:ascii="Times New Roman" w:hAnsi="Times New Roman" w:cs="Times New Roman"/>
          <w:sz w:val="20"/>
          <w:szCs w:val="20"/>
        </w:rPr>
        <w:t>R</w:t>
      </w:r>
      <w:r w:rsidR="0003472E" w:rsidRPr="009D52EB">
        <w:rPr>
          <w:rFonts w:ascii="Times New Roman" w:hAnsi="Times New Roman" w:cs="Times New Roman"/>
          <w:sz w:val="20"/>
          <w:szCs w:val="20"/>
        </w:rPr>
        <w:t xml:space="preserve">-compensated voltage </w:t>
      </w:r>
      <w:r w:rsidR="002539A7" w:rsidRPr="009D52EB">
        <w:rPr>
          <w:rFonts w:ascii="Times New Roman" w:hAnsi="Times New Roman" w:cs="Times New Roman"/>
          <w:sz w:val="20"/>
          <w:szCs w:val="20"/>
        </w:rPr>
        <w:t xml:space="preserve">of </w:t>
      </w:r>
      <w:r w:rsidR="005E4699" w:rsidRPr="009D52EB">
        <w:rPr>
          <w:rFonts w:ascii="Times New Roman" w:hAnsi="Times New Roman" w:cs="Times New Roman"/>
          <w:sz w:val="20"/>
          <w:szCs w:val="20"/>
        </w:rPr>
        <w:t xml:space="preserve">cathode (black) and anode (red) </w:t>
      </w:r>
      <w:r w:rsidR="00220A5F" w:rsidRPr="009D52EB">
        <w:rPr>
          <w:rFonts w:ascii="Times New Roman" w:hAnsi="Times New Roman" w:cs="Times New Roman"/>
          <w:sz w:val="20"/>
          <w:szCs w:val="20"/>
        </w:rPr>
        <w:t>at different current densities. (</w:t>
      </w:r>
      <w:r w:rsidR="00C0134F">
        <w:rPr>
          <w:rFonts w:ascii="Times New Roman" w:hAnsi="Times New Roman" w:cs="Times New Roman"/>
          <w:sz w:val="20"/>
          <w:szCs w:val="20"/>
        </w:rPr>
        <w:t>c</w:t>
      </w:r>
      <w:r w:rsidR="00220A5F" w:rsidRPr="009D52EB">
        <w:rPr>
          <w:rFonts w:ascii="Times New Roman" w:hAnsi="Times New Roman" w:cs="Times New Roman"/>
          <w:sz w:val="20"/>
          <w:szCs w:val="20"/>
        </w:rPr>
        <w:t>) The FE distribution of the CO</w:t>
      </w:r>
      <w:r w:rsidR="00220A5F" w:rsidRPr="009D52EB">
        <w:rPr>
          <w:rFonts w:ascii="Times New Roman" w:hAnsi="Times New Roman" w:cs="Times New Roman"/>
          <w:sz w:val="20"/>
          <w:szCs w:val="20"/>
          <w:vertAlign w:val="subscript"/>
        </w:rPr>
        <w:t>2</w:t>
      </w:r>
      <w:r w:rsidR="00220A5F" w:rsidRPr="009D52EB">
        <w:rPr>
          <w:rFonts w:ascii="Times New Roman" w:hAnsi="Times New Roman" w:cs="Times New Roman"/>
          <w:sz w:val="20"/>
          <w:szCs w:val="20"/>
        </w:rPr>
        <w:t>RR gas products at different current densities. (</w:t>
      </w:r>
      <w:r w:rsidR="00C0134F">
        <w:rPr>
          <w:rFonts w:ascii="Times New Roman" w:hAnsi="Times New Roman" w:cs="Times New Roman"/>
          <w:sz w:val="20"/>
          <w:szCs w:val="20"/>
        </w:rPr>
        <w:t>d, e</w:t>
      </w:r>
      <w:r w:rsidR="008D5EE6" w:rsidRPr="009D52EB">
        <w:rPr>
          <w:rFonts w:ascii="Times New Roman" w:hAnsi="Times New Roman" w:cs="Times New Roman"/>
          <w:sz w:val="20"/>
          <w:szCs w:val="20"/>
        </w:rPr>
        <w:t xml:space="preserve">) The Nyquist plots of </w:t>
      </w:r>
      <w:r w:rsidR="004A7ADC">
        <w:rPr>
          <w:rFonts w:ascii="Times New Roman" w:hAnsi="Times New Roman" w:cs="Times New Roman"/>
          <w:sz w:val="20"/>
          <w:szCs w:val="20"/>
        </w:rPr>
        <w:t>SC-BPMEA</w:t>
      </w:r>
      <w:r w:rsidR="008D5EE6" w:rsidRPr="009D52EB">
        <w:rPr>
          <w:rFonts w:ascii="Times New Roman" w:hAnsi="Times New Roman" w:cs="Times New Roman"/>
          <w:sz w:val="20"/>
          <w:szCs w:val="20"/>
        </w:rPr>
        <w:t>s with 65</w:t>
      </w:r>
      <w:r w:rsidR="009E48B9">
        <w:rPr>
          <w:rFonts w:ascii="Times New Roman" w:hAnsi="Times New Roman" w:cs="Times New Roman"/>
          <w:sz w:val="20"/>
          <w:szCs w:val="20"/>
        </w:rPr>
        <w:t>-</w:t>
      </w:r>
      <w:r w:rsidR="008D5EE6" w:rsidRPr="009D52EB">
        <w:rPr>
          <w:rFonts w:ascii="Times New Roman" w:hAnsi="Times New Roman" w:cs="Times New Roman"/>
          <w:sz w:val="20"/>
          <w:szCs w:val="20"/>
        </w:rPr>
        <w:t>μm or 125</w:t>
      </w:r>
      <w:r w:rsidR="009E48B9">
        <w:rPr>
          <w:rFonts w:ascii="Times New Roman" w:hAnsi="Times New Roman" w:cs="Times New Roman"/>
          <w:sz w:val="20"/>
          <w:szCs w:val="20"/>
        </w:rPr>
        <w:t>-</w:t>
      </w:r>
      <w:r w:rsidR="008D5EE6" w:rsidRPr="009D52EB">
        <w:rPr>
          <w:rFonts w:ascii="Times New Roman" w:hAnsi="Times New Roman" w:cs="Times New Roman"/>
          <w:sz w:val="20"/>
          <w:szCs w:val="20"/>
        </w:rPr>
        <w:t>μm SC</w:t>
      </w:r>
      <w:r w:rsidR="009E48B9">
        <w:rPr>
          <w:rFonts w:ascii="Times New Roman" w:hAnsi="Times New Roman" w:cs="Times New Roman"/>
          <w:sz w:val="20"/>
          <w:szCs w:val="20"/>
        </w:rPr>
        <w:t xml:space="preserve"> </w:t>
      </w:r>
      <w:r w:rsidR="008D5EE6" w:rsidRPr="009D52EB">
        <w:rPr>
          <w:rFonts w:ascii="Times New Roman" w:hAnsi="Times New Roman" w:cs="Times New Roman"/>
          <w:sz w:val="20"/>
          <w:szCs w:val="20"/>
        </w:rPr>
        <w:t>layer, at the biased current density of 0 (black) and 200 mA cm</w:t>
      </w:r>
      <w:r w:rsidR="008D5EE6" w:rsidRPr="009D52EB">
        <w:rPr>
          <w:rFonts w:ascii="Times New Roman" w:hAnsi="Times New Roman" w:cs="Times New Roman"/>
          <w:sz w:val="20"/>
          <w:szCs w:val="20"/>
          <w:vertAlign w:val="superscript"/>
        </w:rPr>
        <w:t>-2</w:t>
      </w:r>
      <w:r w:rsidR="008D5EE6" w:rsidRPr="009D52EB">
        <w:rPr>
          <w:rFonts w:ascii="Times New Roman" w:hAnsi="Times New Roman" w:cs="Times New Roman"/>
          <w:sz w:val="20"/>
          <w:szCs w:val="20"/>
        </w:rPr>
        <w:t xml:space="preserve"> (red). The 200 mA cm</w:t>
      </w:r>
      <w:r w:rsidR="008D5EE6" w:rsidRPr="009D52EB">
        <w:rPr>
          <w:rFonts w:ascii="Times New Roman" w:hAnsi="Times New Roman" w:cs="Times New Roman"/>
          <w:sz w:val="20"/>
          <w:szCs w:val="20"/>
          <w:vertAlign w:val="superscript"/>
        </w:rPr>
        <w:t>-2</w:t>
      </w:r>
      <w:r w:rsidR="008D5EE6" w:rsidRPr="009D52EB">
        <w:rPr>
          <w:rFonts w:ascii="Times New Roman" w:hAnsi="Times New Roman" w:cs="Times New Roman"/>
          <w:sz w:val="20"/>
          <w:szCs w:val="20"/>
        </w:rPr>
        <w:t xml:space="preserve"> plots were recorded after </w:t>
      </w:r>
      <w:r w:rsidR="00314450" w:rsidRPr="009D52EB">
        <w:rPr>
          <w:rFonts w:ascii="Times New Roman" w:hAnsi="Times New Roman" w:cs="Times New Roman"/>
          <w:sz w:val="20"/>
          <w:szCs w:val="20"/>
        </w:rPr>
        <w:t>stabilized</w:t>
      </w:r>
      <w:r w:rsidR="008D5EE6" w:rsidRPr="009D52EB">
        <w:rPr>
          <w:rFonts w:ascii="Times New Roman" w:hAnsi="Times New Roman" w:cs="Times New Roman"/>
          <w:sz w:val="20"/>
          <w:szCs w:val="20"/>
        </w:rPr>
        <w:t xml:space="preserve"> for 20 min.</w:t>
      </w:r>
    </w:p>
    <w:p w14:paraId="01EB2C82" w14:textId="303DA796" w:rsidR="00786CB3" w:rsidRPr="009D52EB" w:rsidRDefault="00786CB3">
      <w:pPr>
        <w:jc w:val="both"/>
        <w:rPr>
          <w:rFonts w:ascii="Times New Roman" w:hAnsi="Times New Roman" w:cs="Times New Roman"/>
          <w:sz w:val="24"/>
          <w:szCs w:val="24"/>
        </w:rPr>
      </w:pPr>
      <w:r w:rsidRPr="009D52EB">
        <w:rPr>
          <w:rFonts w:ascii="Times New Roman" w:hAnsi="Times New Roman" w:cs="Times New Roman"/>
          <w:sz w:val="24"/>
          <w:szCs w:val="24"/>
        </w:rPr>
        <w:t xml:space="preserve">The ohmic resistance of the stationary catholyte layer </w:t>
      </w:r>
      <w:r w:rsidR="00BF7351" w:rsidRPr="009D52EB">
        <w:rPr>
          <w:rFonts w:ascii="Times New Roman" w:hAnsi="Times New Roman" w:cs="Times New Roman"/>
          <w:sz w:val="24"/>
          <w:szCs w:val="24"/>
        </w:rPr>
        <w:t>(</w:t>
      </w:r>
      <w:r w:rsidR="00DE0DCA">
        <w:rPr>
          <w:rFonts w:ascii="Times New Roman" w:hAnsi="Times New Roman" w:cs="Times New Roman"/>
          <w:sz w:val="24"/>
          <w:szCs w:val="24"/>
        </w:rPr>
        <w:t>Supplementary Fig.</w:t>
      </w:r>
      <w:r w:rsidR="00BF7351" w:rsidRPr="009D52EB">
        <w:rPr>
          <w:rFonts w:ascii="Times New Roman" w:hAnsi="Times New Roman" w:cs="Times New Roman"/>
          <w:sz w:val="24"/>
          <w:szCs w:val="24"/>
        </w:rPr>
        <w:t xml:space="preserve"> </w:t>
      </w:r>
      <w:r w:rsidR="0088431C">
        <w:rPr>
          <w:rFonts w:ascii="Times New Roman" w:hAnsi="Times New Roman" w:cs="Times New Roman"/>
          <w:sz w:val="24"/>
          <w:szCs w:val="24"/>
        </w:rPr>
        <w:t>13a</w:t>
      </w:r>
      <w:r w:rsidR="00BF7351" w:rsidRPr="009D52EB">
        <w:rPr>
          <w:rFonts w:ascii="Times New Roman" w:hAnsi="Times New Roman" w:cs="Times New Roman"/>
          <w:sz w:val="24"/>
          <w:szCs w:val="24"/>
        </w:rPr>
        <w:t xml:space="preserve">) </w:t>
      </w:r>
      <w:r w:rsidRPr="009D52EB">
        <w:rPr>
          <w:rFonts w:ascii="Times New Roman" w:hAnsi="Times New Roman" w:cs="Times New Roman"/>
          <w:sz w:val="24"/>
          <w:szCs w:val="24"/>
        </w:rPr>
        <w:t xml:space="preserve">was determined by measuring the EIS of the cell [stainless steel plate | stationary catholyte layer | stainless steel </w:t>
      </w:r>
      <w:r w:rsidRPr="009D52EB">
        <w:rPr>
          <w:rFonts w:ascii="Times New Roman" w:hAnsi="Times New Roman" w:cs="Times New Roman"/>
          <w:sz w:val="24"/>
          <w:szCs w:val="24"/>
        </w:rPr>
        <w:lastRenderedPageBreak/>
        <w:t>plate], which is a conventional method to measure the resistance of the electrolytes.</w:t>
      </w:r>
      <w:r w:rsidR="00825EBB" w:rsidRPr="009D52EB">
        <w:rPr>
          <w:rFonts w:ascii="Times New Roman" w:hAnsi="Times New Roman" w:cs="Times New Roman"/>
          <w:sz w:val="24"/>
          <w:szCs w:val="24"/>
        </w:rPr>
        <w:t xml:space="preserve"> </w:t>
      </w:r>
      <w:r w:rsidR="00825EBB" w:rsidRPr="00E85E3D">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{"citationItems":[{"id":"ITEM-1","itemData":{"DOI":"10.1002/aenm.201602011","ISSN":"16146840","author":[{"dropping-particle":"","family":"McGrogan","given":"Frank P.","non-dropping-particle":"","parse-names":false,"suffix":""},{"dropping-particle":"","family":"Swamy","given":"Tushar","non-dropping-particle":"","parse-names":false,"suffix":""},{"dropping-particle":"","family":"Bishop","given":"Sean R.","non-dropping-particle":"","parse-names":false,"suffix":""},{"dropping-particle":"","family":"Eggleton","given":"Erica","non-dropping-particle":"","parse-names":false,"suffix":""},{"dropping-particle":"","family":"Porz","given":"Lukas","non-dropping-particle":"","parse-names":false,"suffix":""},{"dropping-particle":"","family":"Chen","given":"Xinwei","non-dropping-particle":"","parse-names":false,"suffix":""},{"dropping-particle":"","family":"Chiang","given":"Yet Ming","non-dropping-particle":"","parse-names":false,"suffix":""},{"dropping-particle":"","family":"Vliet","given":"Krystyn J.","non-dropping-particle":"Van","parse-names":false,"suffix":""}],"container-title":"Advanced Energy Materials","id":"ITEM-1","issue":"12","issued":{"date-parts":[["2017"]]},"page":"1-5","title":"Compliant Yet Brittle Mechanical Behavior of Li2S–P2S5 Lithium-Ion-Conducting Solid Electrolyte","type":"article-journal","volume":"7"},"uris":["http://www.mendeley.com/documents/?uuid=e7dd6c1a-f73f-4bb6-991d-9b914705f3af"]}],"mendeley":{"formattedCitation":"&lt;sup&gt;31&lt;/sup&gt;","plainTextFormattedCitation":"31","previouslyFormattedCitation":"&lt;sup&gt;46&lt;/sup&gt;"},"properties":{"noteIndex":0},"schema":"https://github.com/citation-style-language/schema/raw/master/csl-citation.json"}</w:instrText>
      </w:r>
      <w:r w:rsidR="00825EBB" w:rsidRPr="00E85E3D">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31</w:t>
      </w:r>
      <w:r w:rsidR="00825EBB" w:rsidRPr="00E85E3D">
        <w:rPr>
          <w:rFonts w:ascii="Times New Roman" w:hAnsi="Times New Roman" w:cs="Times New Roman"/>
          <w:sz w:val="24"/>
          <w:szCs w:val="24"/>
        </w:rPr>
        <w:fldChar w:fldCharType="end"/>
      </w:r>
      <w:r w:rsidR="00BF7351" w:rsidRPr="00805810">
        <w:rPr>
          <w:rFonts w:ascii="Times New Roman" w:hAnsi="Times New Roman" w:cs="Times New Roman"/>
          <w:sz w:val="24"/>
          <w:szCs w:val="24"/>
        </w:rPr>
        <w:t xml:space="preserve"> </w:t>
      </w:r>
      <w:r w:rsidR="00C8694F" w:rsidRPr="00E85E3D">
        <w:rPr>
          <w:rFonts w:ascii="Times New Roman" w:hAnsi="Times New Roman" w:cs="Times New Roman"/>
          <w:sz w:val="24"/>
          <w:szCs w:val="24"/>
        </w:rPr>
        <w:t>The voltage loss due to the stationary ohmic resistance is calculated from [area specific resistance] times [current density].</w:t>
      </w:r>
      <w:r w:rsidR="005A39F7" w:rsidRPr="009D52EB">
        <w:rPr>
          <w:rFonts w:ascii="Times New Roman" w:hAnsi="Times New Roman" w:cs="Times New Roman"/>
          <w:sz w:val="24"/>
          <w:szCs w:val="24"/>
        </w:rPr>
        <w:t xml:space="preserve"> The </w:t>
      </w:r>
      <w:r w:rsidR="007D7E4C" w:rsidRPr="009D52EB">
        <w:rPr>
          <w:rFonts w:ascii="Times New Roman" w:hAnsi="Times New Roman" w:cs="Times New Roman"/>
          <w:sz w:val="24"/>
          <w:szCs w:val="24"/>
        </w:rPr>
        <w:t>16</w:t>
      </w:r>
      <w:r w:rsidR="007D7E4C">
        <w:rPr>
          <w:rFonts w:ascii="Times New Roman" w:hAnsi="Times New Roman" w:cs="Times New Roman"/>
          <w:sz w:val="24"/>
          <w:szCs w:val="24"/>
        </w:rPr>
        <w:t>-</w:t>
      </w:r>
      <w:r w:rsidR="005A39F7" w:rsidRPr="009D52EB">
        <w:rPr>
          <w:rFonts w:ascii="Times New Roman" w:hAnsi="Times New Roman" w:cs="Times New Roman"/>
          <w:sz w:val="24"/>
          <w:szCs w:val="24"/>
        </w:rPr>
        <w:t>μm catholyte exhibits higher resistance than the 65</w:t>
      </w:r>
      <w:r w:rsidR="007D7E4C">
        <w:rPr>
          <w:rFonts w:ascii="Times New Roman" w:hAnsi="Times New Roman" w:cs="Times New Roman"/>
          <w:sz w:val="24"/>
          <w:szCs w:val="24"/>
        </w:rPr>
        <w:t>-</w:t>
      </w:r>
      <w:r w:rsidR="005A39F7" w:rsidRPr="009D52EB">
        <w:rPr>
          <w:rFonts w:ascii="Times New Roman" w:hAnsi="Times New Roman" w:cs="Times New Roman"/>
          <w:sz w:val="24"/>
          <w:szCs w:val="24"/>
        </w:rPr>
        <w:t xml:space="preserve"> and </w:t>
      </w:r>
      <w:r w:rsidR="007D7E4C" w:rsidRPr="009D52EB">
        <w:rPr>
          <w:rFonts w:ascii="Times New Roman" w:hAnsi="Times New Roman" w:cs="Times New Roman"/>
          <w:sz w:val="24"/>
          <w:szCs w:val="24"/>
        </w:rPr>
        <w:t>125</w:t>
      </w:r>
      <w:r w:rsidR="007D7E4C">
        <w:rPr>
          <w:rFonts w:ascii="Times New Roman" w:hAnsi="Times New Roman" w:cs="Times New Roman"/>
          <w:sz w:val="24"/>
          <w:szCs w:val="24"/>
        </w:rPr>
        <w:t>-</w:t>
      </w:r>
      <w:r w:rsidR="005A39F7" w:rsidRPr="009D52EB">
        <w:rPr>
          <w:rFonts w:ascii="Times New Roman" w:hAnsi="Times New Roman" w:cs="Times New Roman"/>
          <w:sz w:val="24"/>
          <w:szCs w:val="24"/>
        </w:rPr>
        <w:t>μm ones</w:t>
      </w:r>
      <w:r w:rsidR="00671D0F" w:rsidRPr="009D52EB">
        <w:rPr>
          <w:rFonts w:ascii="Times New Roman" w:hAnsi="Times New Roman" w:cs="Times New Roman"/>
          <w:sz w:val="24"/>
          <w:szCs w:val="24"/>
        </w:rPr>
        <w:t>, al</w:t>
      </w:r>
      <w:r w:rsidR="009430EF" w:rsidRPr="009D52EB">
        <w:rPr>
          <w:rFonts w:ascii="Times New Roman" w:hAnsi="Times New Roman" w:cs="Times New Roman"/>
          <w:sz w:val="24"/>
          <w:szCs w:val="24"/>
        </w:rPr>
        <w:t>though</w:t>
      </w:r>
      <w:r w:rsidR="00671D0F" w:rsidRPr="009D52EB">
        <w:rPr>
          <w:rFonts w:ascii="Times New Roman" w:hAnsi="Times New Roman" w:cs="Times New Roman"/>
          <w:sz w:val="24"/>
          <w:szCs w:val="24"/>
        </w:rPr>
        <w:t xml:space="preserve"> thinner</w:t>
      </w:r>
      <w:r w:rsidR="005A39F7" w:rsidRPr="009D52EB">
        <w:rPr>
          <w:rFonts w:ascii="Times New Roman" w:hAnsi="Times New Roman" w:cs="Times New Roman"/>
          <w:sz w:val="24"/>
          <w:szCs w:val="24"/>
        </w:rPr>
        <w:t xml:space="preserve">. This </w:t>
      </w:r>
      <w:r w:rsidR="004D0975" w:rsidRPr="009D52EB">
        <w:rPr>
          <w:rFonts w:ascii="Times New Roman" w:hAnsi="Times New Roman" w:cs="Times New Roman"/>
          <w:sz w:val="24"/>
          <w:szCs w:val="24"/>
        </w:rPr>
        <w:t xml:space="preserve">likely originates from the fact that </w:t>
      </w:r>
      <w:r w:rsidR="005A39F7" w:rsidRPr="009D52EB">
        <w:rPr>
          <w:rFonts w:ascii="Times New Roman" w:hAnsi="Times New Roman" w:cs="Times New Roman"/>
          <w:sz w:val="24"/>
          <w:szCs w:val="24"/>
        </w:rPr>
        <w:t>the 16 μm-thick support has a porosity of only</w:t>
      </w:r>
      <w:r w:rsidR="00514691" w:rsidRPr="009D52EB">
        <w:rPr>
          <w:rFonts w:ascii="Times New Roman" w:hAnsi="Times New Roman" w:cs="Times New Roman"/>
          <w:sz w:val="24"/>
          <w:szCs w:val="24"/>
        </w:rPr>
        <w:t xml:space="preserve"> 10%-20%, significantly lower than the 65</w:t>
      </w:r>
      <w:r w:rsidR="005A39F7" w:rsidRPr="009D52EB">
        <w:rPr>
          <w:rFonts w:ascii="Times New Roman" w:hAnsi="Times New Roman" w:cs="Times New Roman"/>
          <w:sz w:val="24"/>
          <w:szCs w:val="24"/>
        </w:rPr>
        <w:t xml:space="preserve"> </w:t>
      </w:r>
      <w:r w:rsidR="00514691" w:rsidRPr="009D52EB">
        <w:rPr>
          <w:rFonts w:ascii="Times New Roman" w:hAnsi="Times New Roman" w:cs="Times New Roman"/>
          <w:sz w:val="24"/>
          <w:szCs w:val="24"/>
        </w:rPr>
        <w:t>μm (80%), 125 μm (70%) and 250 μm (70%) ones.</w:t>
      </w:r>
      <w:r w:rsidR="005F5DF3" w:rsidRPr="009D52EB">
        <w:rPr>
          <w:rFonts w:ascii="Times New Roman" w:hAnsi="Times New Roman" w:cs="Times New Roman"/>
          <w:sz w:val="24"/>
          <w:szCs w:val="24"/>
        </w:rPr>
        <w:t xml:space="preserve"> The resistance of the 65 μm, 125 μm and 250 μm thick catholyte layer is </w:t>
      </w:r>
      <w:r w:rsidR="00990CA6" w:rsidRPr="009D52EB">
        <w:rPr>
          <w:rFonts w:ascii="Times New Roman" w:hAnsi="Times New Roman" w:cs="Times New Roman"/>
          <w:sz w:val="24"/>
          <w:szCs w:val="24"/>
        </w:rPr>
        <w:t xml:space="preserve">dominated </w:t>
      </w:r>
      <w:r w:rsidR="00C87E76" w:rsidRPr="009D52EB">
        <w:rPr>
          <w:rFonts w:ascii="Times New Roman" w:hAnsi="Times New Roman" w:cs="Times New Roman"/>
          <w:sz w:val="24"/>
          <w:szCs w:val="24"/>
        </w:rPr>
        <w:t>by the</w:t>
      </w:r>
      <w:r w:rsidR="00990CA6" w:rsidRPr="009D52EB">
        <w:rPr>
          <w:rFonts w:ascii="Times New Roman" w:hAnsi="Times New Roman" w:cs="Times New Roman"/>
          <w:sz w:val="24"/>
          <w:szCs w:val="24"/>
        </w:rPr>
        <w:t xml:space="preserve"> </w:t>
      </w:r>
      <w:r w:rsidR="005F5DF3" w:rsidRPr="009D52EB">
        <w:rPr>
          <w:rFonts w:ascii="Times New Roman" w:hAnsi="Times New Roman" w:cs="Times New Roman"/>
          <w:sz w:val="24"/>
          <w:szCs w:val="24"/>
        </w:rPr>
        <w:t>ion migration path length</w:t>
      </w:r>
      <w:r w:rsidR="00C80D14" w:rsidRPr="009D52EB">
        <w:rPr>
          <w:rFonts w:ascii="Times New Roman" w:hAnsi="Times New Roman" w:cs="Times New Roman"/>
          <w:sz w:val="24"/>
          <w:szCs w:val="24"/>
        </w:rPr>
        <w:t>, showing a nearly linear correlation with thickne</w:t>
      </w:r>
      <w:r w:rsidR="004D0975" w:rsidRPr="009D52EB">
        <w:rPr>
          <w:rFonts w:ascii="Times New Roman" w:hAnsi="Times New Roman" w:cs="Times New Roman"/>
          <w:sz w:val="24"/>
          <w:szCs w:val="24"/>
        </w:rPr>
        <w:t>ss</w:t>
      </w:r>
      <w:r w:rsidR="005F5DF3" w:rsidRPr="009D52EB">
        <w:rPr>
          <w:rFonts w:ascii="Times New Roman" w:hAnsi="Times New Roman" w:cs="Times New Roman"/>
          <w:sz w:val="24"/>
          <w:szCs w:val="24"/>
        </w:rPr>
        <w:t>.</w:t>
      </w:r>
    </w:p>
    <w:p w14:paraId="13B8E9BE" w14:textId="64729DB5" w:rsidR="007D7D1A" w:rsidRPr="009D52EB" w:rsidRDefault="002A7992">
      <w:pPr>
        <w:jc w:val="both"/>
        <w:rPr>
          <w:rFonts w:ascii="Times New Roman" w:hAnsi="Times New Roman" w:cs="Times New Roman"/>
          <w:sz w:val="24"/>
          <w:szCs w:val="24"/>
        </w:rPr>
      </w:pPr>
      <w:r w:rsidRPr="009D52EB">
        <w:rPr>
          <w:rFonts w:ascii="Times New Roman" w:hAnsi="Times New Roman" w:cs="Times New Roman"/>
          <w:sz w:val="24"/>
          <w:szCs w:val="24"/>
        </w:rPr>
        <w:t xml:space="preserve">The cell voltage of the </w:t>
      </w:r>
      <w:r w:rsidR="004A7ADC">
        <w:rPr>
          <w:rFonts w:ascii="Times New Roman" w:hAnsi="Times New Roman" w:cs="Times New Roman"/>
          <w:sz w:val="24"/>
          <w:szCs w:val="24"/>
        </w:rPr>
        <w:t>SC-BPMEA</w:t>
      </w:r>
      <w:r w:rsidRPr="009D52EB">
        <w:rPr>
          <w:rFonts w:ascii="Times New Roman" w:hAnsi="Times New Roman" w:cs="Times New Roman"/>
          <w:sz w:val="24"/>
          <w:szCs w:val="24"/>
        </w:rPr>
        <w:t xml:space="preserve"> is ascribed to </w:t>
      </w:r>
      <w:r w:rsidR="004D0975" w:rsidRPr="009D52EB">
        <w:rPr>
          <w:rFonts w:ascii="Times New Roman" w:hAnsi="Times New Roman" w:cs="Times New Roman"/>
          <w:sz w:val="24"/>
          <w:szCs w:val="24"/>
        </w:rPr>
        <w:t>various components</w:t>
      </w:r>
      <w:r w:rsidRPr="009D52EB">
        <w:rPr>
          <w:rFonts w:ascii="Times New Roman" w:hAnsi="Times New Roman" w:cs="Times New Roman"/>
          <w:sz w:val="24"/>
          <w:szCs w:val="24"/>
        </w:rPr>
        <w:t xml:space="preserve">: thermodynamic, cathode overpotential, anode overpotential, </w:t>
      </w:r>
      <w:r w:rsidR="009F692D" w:rsidRPr="009D52EB">
        <w:rPr>
          <w:rFonts w:ascii="Times New Roman" w:hAnsi="Times New Roman" w:cs="Times New Roman"/>
          <w:sz w:val="24"/>
          <w:szCs w:val="24"/>
        </w:rPr>
        <w:t xml:space="preserve">ohmic </w:t>
      </w:r>
      <w:r w:rsidRPr="009D52EB">
        <w:rPr>
          <w:rFonts w:ascii="Times New Roman" w:hAnsi="Times New Roman" w:cs="Times New Roman"/>
          <w:sz w:val="24"/>
          <w:szCs w:val="24"/>
        </w:rPr>
        <w:t>loss, Nernstian pH loss and other los</w:t>
      </w:r>
      <w:r w:rsidR="009430EF" w:rsidRPr="009D52EB">
        <w:rPr>
          <w:rFonts w:ascii="Times New Roman" w:hAnsi="Times New Roman" w:cs="Times New Roman"/>
          <w:sz w:val="24"/>
          <w:szCs w:val="24"/>
        </w:rPr>
        <w:t>se</w:t>
      </w:r>
      <w:r w:rsidRPr="009D52EB">
        <w:rPr>
          <w:rFonts w:ascii="Times New Roman" w:hAnsi="Times New Roman" w:cs="Times New Roman"/>
          <w:sz w:val="24"/>
          <w:szCs w:val="24"/>
        </w:rPr>
        <w:t>s (interface, BPM water dissociation, etc.).</w:t>
      </w:r>
      <w:r w:rsidR="006B4FCC" w:rsidRPr="009D52EB">
        <w:rPr>
          <w:rFonts w:ascii="Times New Roman" w:hAnsi="Times New Roman" w:cs="Times New Roman"/>
          <w:sz w:val="24"/>
          <w:szCs w:val="24"/>
        </w:rPr>
        <w:t xml:space="preserve"> Combining the experimental results and COMSOL simulation, we evaluated the cell voltage distribution as follows:</w:t>
      </w:r>
    </w:p>
    <w:p w14:paraId="520D4F5B" w14:textId="1C19140E" w:rsidR="006B4FCC" w:rsidRPr="00805810" w:rsidRDefault="007C4A70">
      <w:pPr>
        <w:jc w:val="both"/>
        <w:rPr>
          <w:rFonts w:ascii="Times New Roman" w:hAnsi="Times New Roman" w:cs="Times New Roman"/>
          <w:sz w:val="24"/>
          <w:szCs w:val="24"/>
        </w:rPr>
      </w:pPr>
      <w:r>
        <w:rPr>
          <w:rFonts w:ascii="Times New Roman" w:hAnsi="Times New Roman" w:cs="Times New Roman"/>
          <w:sz w:val="24"/>
          <w:szCs w:val="24"/>
        </w:rPr>
        <w:t>The t</w:t>
      </w:r>
      <w:r w:rsidR="006B4FCC" w:rsidRPr="009D52EB">
        <w:rPr>
          <w:rFonts w:ascii="Times New Roman" w:hAnsi="Times New Roman" w:cs="Times New Roman"/>
          <w:sz w:val="24"/>
          <w:szCs w:val="24"/>
        </w:rPr>
        <w:t>hermodynamic voltage is 1.20 V, according to previous reports.</w:t>
      </w:r>
      <w:r w:rsidR="00C23613" w:rsidRPr="00E85E3D">
        <w:rPr>
          <w:rFonts w:ascii="Times New Roman" w:hAnsi="Times New Roman" w:cs="Times New Roman"/>
          <w:sz w:val="24"/>
          <w:szCs w:val="24"/>
        </w:rPr>
        <w:fldChar w:fldCharType="begin" w:fldLock="1"/>
      </w:r>
      <w:r w:rsidR="002B6039">
        <w:rPr>
          <w:rFonts w:ascii="Times New Roman" w:hAnsi="Times New Roman" w:cs="Times New Roman"/>
          <w:sz w:val="24"/>
          <w:szCs w:val="24"/>
        </w:rPr>
        <w:instrText>ADDIN CSL_CITATION {"citationItems":[{"id":"ITEM-1","itemData":{"DOI":"10.1016/j.joule.2019.07.021","ISSN":"25424351","abstract":"The advent of low-cost renewable electricity and rising atmospheric CO2 has led to a focus on electrochemical CO2 reduction as a means toward low-carbon-intensity fuels and chemical feedstocks. The conversion of CO2 into C2+ hydrocarbons and oxygenates (i.e., products containing two or more carbon atoms) is attractive in light of large global market demand for these high-energy-density products. A limited number of prior studies have focused on performance in the reaction rate regime above 100 mA cm−2 generally viewed as necessary for industrial deployment. In these works, gas diffusion electrodes are used in liquid electrolyte electrochemical flow cells, which suffer in system stability and/or energy efficiency. We overcome this issue by developing a membrane electrode assembly-based electrolyzer. The combined catalyst and system strategy produces concentrated gas and liquid products and maintains performance during long-term (100 h) uninterrupted operation.","author":[{"dropping-particle":"","family":"Gabardo","given":"Christine M.","non-dropping-particle":"","parse-names":false,"suffix":""},{"dropping-particle":"","family":"O'Brien","given":"Colin P.","non-dropping-particle":"","parse-names":false,"suffix":""},{"dropping-particle":"","family":"Edwards","given":"Jonathan P.","non-dropping-particle":"","parse-names":false,"suffix":""},{"dropping-particle":"","family":"McCallum","given":"Christopher","non-dropping-particle":"","parse-names":false,"suffix":""},{"dropping-particle":"","family":"Xu","given":"Yi","non-dropping-particle":"","parse-names":false,"suffix":""},{"dropping-particle":"","family":"Dinh","given":"Cao Thang","non-dropping-particle":"","parse-names":false,"suffix":""},{"dropping-particle":"","family":"Li","given":"Jun","non-dropping-particle":"","parse-names":false,"suffix":""},{"dropping-particle":"","family":"Sargent","given":"Edward H.","non-dropping-particle":"","parse-names":false,"suffix":""},{"dropping-particle":"","family":"Sinton","given":"David","non-dropping-particle":"","parse-names":false,"suffix":""}],"container-title":"Joule","id":"ITEM-1","issue":"11","issued":{"date-parts":[["2019"]]},"page":"2777-2791","title":"Continuous Carbon Dioxide Electroreduction to Concentrated Multi-carbon Products Using a Membrane Electrode Assembly","type":"article-journal","volume":"3"},"uris":["http://www.mendeley.com/documents/?uuid=2a0ea880-72de-42f6-892c-badf2dc4de21"]},{"id":"ITEM-2","itemData":{"abstract":"Carbon dioxide electroreduction (CO 2 R) is being actively studied as a promising route to convert carbon emissions to valuable chemicals and fuels. However, the fraction of input CO 2 that is productively reduced has typically been very low, &lt;2% for multicarbon products; the balance reacts with hydroxide to form carbonate in both alkaline and neutral reactors. Acidic electrolytes would overcome this limitation, but hydrogen evolution has hitherto dominated under those conditions. We report that concentrating potassium cations in the vicinity of electrochemically active sites accelerates CO 2 activation to enable efficient CO 2 R in acid. We achieve CO 2 R on copper at pH &lt;1 with a single-pass CO 2 utilization of 77%, including a conversion efficiency of 50% toward multicarbon products (ethylene, ethanol, and 1-propanol) at a current density of 1.2 amperes per square centimeter and a full-cell voltage of 4.2 volts.","author":[{"dropping-particle":"","family":"Huang","given":"Jianan Erick","non-dropping-particle":"","parse-names":false,"suffix":""},{"dropping-particle":"","family":"Li","given":"Fengwang","non-dropping-particle":"","parse-names":false,"suffix":""},{"dropping-particle":"","family":"Ozden","given":"Adnan","non-dropping-particle":"","parse-names":false,"suffix":""},{"dropping-particle":"","family":"Rasouli","given":"Armin Sedighian","non-dropping-particle":"","parse-names":false,"suffix":""},{"dropping-particle":"","family":"Pelayo","given":"F","non-dropping-particle":"","parse-names":false,"suffix":""},{"dropping-particle":"De","family":"Arquer","given":"García","non-dropping-particle":"","parse-names":false,"suffix":""},{"dropping-particle":"","family":"Liu","given":"Shijie","non-dropping-particle":"","parse-names":false,"suffix":""},{"dropping-particle":"","family":"Zhang","given":"Shuzhen","non-dropping-particle":"","parse-names":false,"suffix":""},{"dropping-particle":"","family":"Luo","given":"Mingchuan","non-dropping-particle":"","parse-names":false,"suffix":""},{"dropping-particle":"","family":"Xu","given":"Yi","non-dropping-particle":"","parse-names":false,"suffix":""},{"dropping-particle":"","family":"Bertens","given":"Koen","non-dropping-particle":"","parse-names":false,"suffix":""}],"container-title":"Science","id":"ITEM-2","issue":"June","issued":{"date-parts":[["2021"]]},"page":"1074-1078","title":"CO 2 electrolysis to multi-carbon products in strong acid","type":"article-journal","volume":"372"},"uris":["http://www.mendeley.com/documents/?uuid=40838bc2-1742-486f-b643-67a41a39ec68"]}],"mendeley":{"formattedCitation":"&lt;sup&gt;6,17&lt;/sup&gt;","plainTextFormattedCitation":"6,17","previouslyFormattedCitation":"&lt;sup&gt;6,17&lt;/sup&gt;"},"properties":{"noteIndex":0},"schema":"https://github.com/citation-style-language/schema/raw/master/csl-citation.json"}</w:instrText>
      </w:r>
      <w:r w:rsidR="00C23613" w:rsidRPr="00E85E3D">
        <w:rPr>
          <w:rFonts w:ascii="Times New Roman" w:hAnsi="Times New Roman" w:cs="Times New Roman"/>
          <w:sz w:val="24"/>
          <w:szCs w:val="24"/>
        </w:rPr>
        <w:fldChar w:fldCharType="separate"/>
      </w:r>
      <w:r w:rsidR="007F7E70" w:rsidRPr="007F7E70">
        <w:rPr>
          <w:rFonts w:ascii="Times New Roman" w:hAnsi="Times New Roman" w:cs="Times New Roman"/>
          <w:noProof/>
          <w:sz w:val="24"/>
          <w:szCs w:val="24"/>
          <w:vertAlign w:val="superscript"/>
        </w:rPr>
        <w:t>6,17</w:t>
      </w:r>
      <w:r w:rsidR="00C23613" w:rsidRPr="00E85E3D">
        <w:rPr>
          <w:rFonts w:ascii="Times New Roman" w:hAnsi="Times New Roman" w:cs="Times New Roman"/>
          <w:sz w:val="24"/>
          <w:szCs w:val="24"/>
        </w:rPr>
        <w:fldChar w:fldCharType="end"/>
      </w:r>
    </w:p>
    <w:p w14:paraId="3C482A92" w14:textId="4E6C768E" w:rsidR="00B969E3" w:rsidRPr="009D52EB" w:rsidRDefault="00990CA6">
      <w:pPr>
        <w:jc w:val="both"/>
        <w:rPr>
          <w:rFonts w:ascii="Times New Roman" w:hAnsi="Times New Roman" w:cs="Times New Roman"/>
          <w:sz w:val="24"/>
          <w:szCs w:val="24"/>
        </w:rPr>
      </w:pPr>
      <w:r w:rsidRPr="009D52EB">
        <w:rPr>
          <w:rFonts w:ascii="Times New Roman" w:hAnsi="Times New Roman" w:cs="Times New Roman"/>
          <w:sz w:val="24"/>
          <w:szCs w:val="24"/>
        </w:rPr>
        <w:t>The c</w:t>
      </w:r>
      <w:r w:rsidR="00452496" w:rsidRPr="009D52EB">
        <w:rPr>
          <w:rFonts w:ascii="Times New Roman" w:hAnsi="Times New Roman" w:cs="Times New Roman"/>
          <w:sz w:val="24"/>
          <w:szCs w:val="24"/>
        </w:rPr>
        <w:t xml:space="preserve">athode overpotential </w:t>
      </w:r>
      <w:r w:rsidRPr="009D52EB">
        <w:rPr>
          <w:rFonts w:ascii="Times New Roman" w:hAnsi="Times New Roman" w:cs="Times New Roman"/>
          <w:sz w:val="24"/>
          <w:szCs w:val="24"/>
        </w:rPr>
        <w:t xml:space="preserve">was found to be </w:t>
      </w:r>
      <w:r w:rsidR="00A9514E" w:rsidRPr="009D52EB">
        <w:rPr>
          <w:rFonts w:ascii="Times New Roman" w:hAnsi="Times New Roman" w:cs="Times New Roman"/>
          <w:sz w:val="24"/>
          <w:szCs w:val="24"/>
        </w:rPr>
        <w:t>0.</w:t>
      </w:r>
      <w:r w:rsidR="00863DA7" w:rsidRPr="009D52EB">
        <w:rPr>
          <w:rFonts w:ascii="Times New Roman" w:hAnsi="Times New Roman" w:cs="Times New Roman" w:hint="eastAsia"/>
          <w:sz w:val="24"/>
          <w:szCs w:val="24"/>
        </w:rPr>
        <w:t>78</w:t>
      </w:r>
      <w:r w:rsidR="001D4D06" w:rsidRPr="009D52EB">
        <w:rPr>
          <w:rFonts w:ascii="Times New Roman" w:hAnsi="Times New Roman" w:cs="Times New Roman"/>
          <w:sz w:val="24"/>
          <w:szCs w:val="24"/>
        </w:rPr>
        <w:t xml:space="preserve"> ±</w:t>
      </w:r>
      <w:r w:rsidR="00A9514E" w:rsidRPr="009D52EB">
        <w:rPr>
          <w:rFonts w:ascii="Times New Roman" w:hAnsi="Times New Roman" w:cs="Times New Roman"/>
          <w:sz w:val="24"/>
          <w:szCs w:val="24"/>
        </w:rPr>
        <w:t xml:space="preserve"> </w:t>
      </w:r>
      <w:r w:rsidR="001D4D06" w:rsidRPr="009D52EB">
        <w:rPr>
          <w:rFonts w:ascii="Times New Roman" w:hAnsi="Times New Roman" w:cs="Times New Roman"/>
          <w:sz w:val="24"/>
          <w:szCs w:val="24"/>
        </w:rPr>
        <w:t xml:space="preserve">0.10 </w:t>
      </w:r>
      <w:r w:rsidR="00A9514E" w:rsidRPr="009D52EB">
        <w:rPr>
          <w:rFonts w:ascii="Times New Roman" w:hAnsi="Times New Roman" w:cs="Times New Roman"/>
          <w:sz w:val="24"/>
          <w:szCs w:val="24"/>
        </w:rPr>
        <w:t xml:space="preserve">V </w:t>
      </w:r>
      <w:r w:rsidR="00CC4A05" w:rsidRPr="009D52EB">
        <w:rPr>
          <w:rFonts w:ascii="Times New Roman" w:hAnsi="Times New Roman" w:cs="Times New Roman"/>
          <w:sz w:val="24"/>
          <w:szCs w:val="24"/>
        </w:rPr>
        <w:t>as</w:t>
      </w:r>
      <w:r w:rsidR="00452496" w:rsidRPr="009D52EB">
        <w:rPr>
          <w:rFonts w:ascii="Times New Roman" w:hAnsi="Times New Roman" w:cs="Times New Roman"/>
          <w:sz w:val="24"/>
          <w:szCs w:val="24"/>
        </w:rPr>
        <w:t xml:space="preserve"> measured </w:t>
      </w:r>
      <w:r w:rsidR="009F465B" w:rsidRPr="009D52EB">
        <w:rPr>
          <w:rFonts w:ascii="Times New Roman" w:hAnsi="Times New Roman" w:cs="Times New Roman"/>
          <w:sz w:val="24"/>
          <w:szCs w:val="24"/>
        </w:rPr>
        <w:t xml:space="preserve">in a </w:t>
      </w:r>
      <w:r w:rsidR="004125C4" w:rsidRPr="009D52EB">
        <w:rPr>
          <w:rFonts w:ascii="Times New Roman" w:hAnsi="Times New Roman" w:cs="Times New Roman"/>
          <w:sz w:val="24"/>
          <w:szCs w:val="24"/>
        </w:rPr>
        <w:t>three-chamber (catholyte, anolyte and gas)</w:t>
      </w:r>
      <w:r w:rsidR="000A38F3" w:rsidRPr="009D52EB">
        <w:rPr>
          <w:rFonts w:ascii="Times New Roman" w:hAnsi="Times New Roman" w:cs="Times New Roman"/>
          <w:sz w:val="24"/>
          <w:szCs w:val="24"/>
        </w:rPr>
        <w:t xml:space="preserve"> 1 cm</w:t>
      </w:r>
      <w:r w:rsidR="000A38F3" w:rsidRPr="009D52EB">
        <w:rPr>
          <w:rFonts w:ascii="Times New Roman" w:hAnsi="Times New Roman" w:cs="Times New Roman"/>
          <w:sz w:val="24"/>
          <w:szCs w:val="24"/>
          <w:vertAlign w:val="superscript"/>
        </w:rPr>
        <w:t>2</w:t>
      </w:r>
      <w:r w:rsidR="004125C4" w:rsidRPr="009D52EB">
        <w:rPr>
          <w:rFonts w:ascii="Times New Roman" w:hAnsi="Times New Roman" w:cs="Times New Roman"/>
          <w:sz w:val="24"/>
          <w:szCs w:val="24"/>
        </w:rPr>
        <w:t xml:space="preserve"> </w:t>
      </w:r>
      <w:r w:rsidR="009F465B" w:rsidRPr="009D52EB">
        <w:rPr>
          <w:rFonts w:ascii="Times New Roman" w:hAnsi="Times New Roman" w:cs="Times New Roman"/>
          <w:sz w:val="24"/>
          <w:szCs w:val="24"/>
        </w:rPr>
        <w:t>flow</w:t>
      </w:r>
      <w:r w:rsidRPr="009D52EB">
        <w:rPr>
          <w:rFonts w:ascii="Times New Roman" w:hAnsi="Times New Roman" w:cs="Times New Roman"/>
          <w:sz w:val="24"/>
          <w:szCs w:val="24"/>
        </w:rPr>
        <w:t>-</w:t>
      </w:r>
      <w:r w:rsidR="009F465B" w:rsidRPr="009D52EB">
        <w:rPr>
          <w:rFonts w:ascii="Times New Roman" w:hAnsi="Times New Roman" w:cs="Times New Roman"/>
          <w:sz w:val="24"/>
          <w:szCs w:val="24"/>
        </w:rPr>
        <w:t>cell</w:t>
      </w:r>
      <w:r w:rsidR="004125C4" w:rsidRPr="009D52EB">
        <w:rPr>
          <w:rFonts w:ascii="Times New Roman" w:hAnsi="Times New Roman" w:cs="Times New Roman"/>
          <w:sz w:val="24"/>
          <w:szCs w:val="24"/>
        </w:rPr>
        <w:t xml:space="preserve"> setup</w:t>
      </w:r>
      <w:r w:rsidR="003A5A50" w:rsidRPr="009D52EB">
        <w:rPr>
          <w:rFonts w:ascii="Times New Roman" w:hAnsi="Times New Roman" w:cs="Times New Roman"/>
          <w:sz w:val="24"/>
          <w:szCs w:val="24"/>
        </w:rPr>
        <w:t xml:space="preserve"> reported before</w:t>
      </w:r>
      <w:r w:rsidR="004125C4" w:rsidRPr="009D52EB">
        <w:rPr>
          <w:rFonts w:ascii="Times New Roman" w:hAnsi="Times New Roman" w:cs="Times New Roman"/>
          <w:sz w:val="24"/>
          <w:szCs w:val="24"/>
        </w:rPr>
        <w:t>.</w:t>
      </w:r>
      <w:r w:rsidR="009F222F" w:rsidRPr="00E85E3D">
        <w:rPr>
          <w:rFonts w:ascii="Times New Roman" w:hAnsi="Times New Roman" w:cs="Times New Roman"/>
          <w:sz w:val="24"/>
          <w:szCs w:val="24"/>
        </w:rPr>
        <w:fldChar w:fldCharType="begin" w:fldLock="1"/>
      </w:r>
      <w:r w:rsidR="002B6039">
        <w:rPr>
          <w:rFonts w:ascii="Times New Roman" w:hAnsi="Times New Roman" w:cs="Times New Roman"/>
          <w:sz w:val="24"/>
          <w:szCs w:val="24"/>
        </w:rPr>
        <w:instrText>ADDIN CSL_CITATION {"citationItems":[{"id":"ITEM-1","itemData":{"abstract":"Carbon dioxide electroreduction (CO 2 R) is being actively studied as a promising route to convert carbon emissions to valuable chemicals and fuels. However, the fraction of input CO 2 that is productively reduced has typically been very low, &lt;2% for multicarbon products; the balance reacts with hydroxide to form carbonate in both alkaline and neutral reactors. Acidic electrolytes would overcome this limitation, but hydrogen evolution has hitherto dominated under those conditions. We report that concentrating potassium cations in the vicinity of electrochemically active sites accelerates CO 2 activation to enable efficient CO 2 R in acid. We achieve CO 2 R on copper at pH &lt;1 with a single-pass CO 2 utilization of 77%, including a conversion efficiency of 50% toward multicarbon products (ethylene, ethanol, and 1-propanol) at a current density of 1.2 amperes per square centimeter and a full-cell voltage of 4.2 volts.","author":[{"dropping-particle":"","family":"Huang","given":"Jianan Erick","non-dropping-particle":"","parse-names":false,"suffix":""},{"dropping-particle":"","family":"Li","given":"Fengwang","non-dropping-particle":"","parse-names":false,"suffix":""},{"dropping-particle":"","family":"Ozden","given":"Adnan","non-dropping-particle":"","parse-names":false,"suffix":""},{"dropping-particle":"","family":"Rasouli","given":"Armin Sedighian","non-dropping-particle":"","parse-names":false,"suffix":""},{"dropping-particle":"","family":"Pelayo","given":"F","non-dropping-particle":"","parse-names":false,"suffix":""},{"dropping-particle":"De","family":"Arquer","given":"García","non-dropping-particle":"","parse-names":false,"suffix":""},{"dropping-particle":"","family":"Liu","given":"Shijie","non-dropping-particle":"","parse-names":false,"suffix":""},{"dropping-particle":"","family":"Zhang","given":"Shuzhen","non-dropping-particle":"","parse-names":false,"suffix":""},{"dropping-particle":"","family":"Luo","given":"Mingchuan","non-dropping-particle":"","parse-names":false,"suffix":""},{"dropping-particle":"","family":"Xu","given":"Yi","non-dropping-particle":"","parse-names":false,"suffix":""},{"dropping-particle":"","family":"Bertens","given":"Koen","non-dropping-particle":"","parse-names":false,"suffix":""}],"container-title":"Science","id":"ITEM-1","issue":"June","issued":{"date-parts":[["2021"]]},"page":"1074-1078","title":"CO 2 electrolysis to multi-carbon products in strong acid","type":"article-journal","volume":"372"},"uris":["http://www.mendeley.com/documents/?uuid=40838bc2-1742-486f-b643-67a41a39ec68"]}],"mendeley":{"formattedCitation":"&lt;sup&gt;6&lt;/sup&gt;","plainTextFormattedCitation":"6","previouslyFormattedCitation":"&lt;sup&gt;6&lt;/sup&gt;"},"properties":{"noteIndex":0},"schema":"https://github.com/citation-style-language/schema/raw/master/csl-citation.json"}</w:instrText>
      </w:r>
      <w:r w:rsidR="009F222F" w:rsidRPr="00E85E3D">
        <w:rPr>
          <w:rFonts w:ascii="Times New Roman" w:hAnsi="Times New Roman" w:cs="Times New Roman"/>
          <w:sz w:val="24"/>
          <w:szCs w:val="24"/>
        </w:rPr>
        <w:fldChar w:fldCharType="separate"/>
      </w:r>
      <w:r w:rsidR="007F7E70" w:rsidRPr="007F7E70">
        <w:rPr>
          <w:rFonts w:ascii="Times New Roman" w:hAnsi="Times New Roman" w:cs="Times New Roman"/>
          <w:noProof/>
          <w:sz w:val="24"/>
          <w:szCs w:val="24"/>
          <w:vertAlign w:val="superscript"/>
        </w:rPr>
        <w:t>6</w:t>
      </w:r>
      <w:r w:rsidR="009F222F" w:rsidRPr="00E85E3D">
        <w:rPr>
          <w:rFonts w:ascii="Times New Roman" w:hAnsi="Times New Roman" w:cs="Times New Roman"/>
          <w:sz w:val="24"/>
          <w:szCs w:val="24"/>
        </w:rPr>
        <w:fldChar w:fldCharType="end"/>
      </w:r>
      <w:r w:rsidR="004125C4" w:rsidRPr="00805810">
        <w:rPr>
          <w:rFonts w:ascii="Times New Roman" w:hAnsi="Times New Roman" w:cs="Times New Roman"/>
          <w:sz w:val="24"/>
          <w:szCs w:val="24"/>
        </w:rPr>
        <w:t xml:space="preserve"> </w:t>
      </w:r>
      <w:r w:rsidR="00F22219" w:rsidRPr="00E85E3D">
        <w:rPr>
          <w:rFonts w:ascii="Times New Roman" w:hAnsi="Times New Roman" w:cs="Times New Roman"/>
          <w:sz w:val="24"/>
          <w:szCs w:val="24"/>
        </w:rPr>
        <w:t>0.5</w:t>
      </w:r>
      <w:r w:rsidR="00146622" w:rsidRPr="00E85E3D">
        <w:rPr>
          <w:rFonts w:ascii="Times New Roman" w:hAnsi="Times New Roman" w:cs="Times New Roman"/>
          <w:sz w:val="24"/>
          <w:szCs w:val="24"/>
        </w:rPr>
        <w:t xml:space="preserve"> </w:t>
      </w:r>
      <w:r w:rsidR="00F22219" w:rsidRPr="009D52EB">
        <w:rPr>
          <w:rFonts w:ascii="Times New Roman" w:hAnsi="Times New Roman" w:cs="Times New Roman"/>
          <w:sz w:val="24"/>
          <w:szCs w:val="24"/>
        </w:rPr>
        <w:t>M K</w:t>
      </w:r>
      <w:r w:rsidR="00F22219" w:rsidRPr="009D52EB">
        <w:rPr>
          <w:rFonts w:ascii="Times New Roman" w:hAnsi="Times New Roman" w:cs="Times New Roman"/>
          <w:sz w:val="24"/>
          <w:szCs w:val="24"/>
          <w:vertAlign w:val="subscript"/>
        </w:rPr>
        <w:t>2</w:t>
      </w:r>
      <w:r w:rsidR="00F22219" w:rsidRPr="009D52EB">
        <w:rPr>
          <w:rFonts w:ascii="Times New Roman" w:hAnsi="Times New Roman" w:cs="Times New Roman"/>
          <w:sz w:val="24"/>
          <w:szCs w:val="24"/>
        </w:rPr>
        <w:t>SO</w:t>
      </w:r>
      <w:r w:rsidR="00F22219" w:rsidRPr="009D52EB">
        <w:rPr>
          <w:rFonts w:ascii="Times New Roman" w:hAnsi="Times New Roman" w:cs="Times New Roman"/>
          <w:sz w:val="24"/>
          <w:szCs w:val="24"/>
          <w:vertAlign w:val="subscript"/>
        </w:rPr>
        <w:t>4</w:t>
      </w:r>
      <w:r w:rsidR="00F22219" w:rsidRPr="009D52EB">
        <w:rPr>
          <w:rFonts w:ascii="Times New Roman" w:hAnsi="Times New Roman" w:cs="Times New Roman"/>
          <w:sz w:val="24"/>
          <w:szCs w:val="24"/>
        </w:rPr>
        <w:t xml:space="preserve"> w</w:t>
      </w:r>
      <w:r w:rsidR="00E02429" w:rsidRPr="009D52EB">
        <w:rPr>
          <w:rFonts w:ascii="Times New Roman" w:hAnsi="Times New Roman" w:cs="Times New Roman"/>
          <w:sz w:val="24"/>
          <w:szCs w:val="24"/>
        </w:rPr>
        <w:t>as</w:t>
      </w:r>
      <w:r w:rsidR="00F22219" w:rsidRPr="009D52EB">
        <w:rPr>
          <w:rFonts w:ascii="Times New Roman" w:hAnsi="Times New Roman" w:cs="Times New Roman"/>
          <w:sz w:val="24"/>
          <w:szCs w:val="24"/>
        </w:rPr>
        <w:t xml:space="preserve"> used as </w:t>
      </w:r>
      <w:r w:rsidR="00146622" w:rsidRPr="009D52EB">
        <w:rPr>
          <w:rFonts w:ascii="Times New Roman" w:hAnsi="Times New Roman" w:cs="Times New Roman"/>
          <w:sz w:val="24"/>
          <w:szCs w:val="24"/>
        </w:rPr>
        <w:t xml:space="preserve">the </w:t>
      </w:r>
      <w:r w:rsidR="00F22219" w:rsidRPr="009D52EB">
        <w:rPr>
          <w:rFonts w:ascii="Times New Roman" w:hAnsi="Times New Roman" w:cs="Times New Roman"/>
          <w:sz w:val="24"/>
          <w:szCs w:val="24"/>
        </w:rPr>
        <w:t xml:space="preserve">catholyte, where the catholyte was kept </w:t>
      </w:r>
      <w:r w:rsidR="00E6623F" w:rsidRPr="009D52EB">
        <w:rPr>
          <w:rFonts w:ascii="Times New Roman" w:hAnsi="Times New Roman" w:cs="Times New Roman"/>
          <w:sz w:val="24"/>
          <w:szCs w:val="24"/>
        </w:rPr>
        <w:t>station</w:t>
      </w:r>
      <w:r w:rsidR="009430EF" w:rsidRPr="009D52EB">
        <w:rPr>
          <w:rFonts w:ascii="Times New Roman" w:hAnsi="Times New Roman" w:cs="Times New Roman"/>
          <w:sz w:val="24"/>
          <w:szCs w:val="24"/>
        </w:rPr>
        <w:t>a</w:t>
      </w:r>
      <w:r w:rsidR="00E6623F" w:rsidRPr="009D52EB">
        <w:rPr>
          <w:rFonts w:ascii="Times New Roman" w:hAnsi="Times New Roman" w:cs="Times New Roman"/>
          <w:sz w:val="24"/>
          <w:szCs w:val="24"/>
        </w:rPr>
        <w:t>ry</w:t>
      </w:r>
      <w:r w:rsidR="009430EF" w:rsidRPr="009D52EB">
        <w:rPr>
          <w:rFonts w:ascii="Times New Roman" w:hAnsi="Times New Roman" w:cs="Times New Roman"/>
          <w:sz w:val="24"/>
          <w:szCs w:val="24"/>
        </w:rPr>
        <w:t>,</w:t>
      </w:r>
      <w:r w:rsidR="00F22219" w:rsidRPr="009D52EB">
        <w:rPr>
          <w:rFonts w:ascii="Times New Roman" w:hAnsi="Times New Roman" w:cs="Times New Roman"/>
          <w:sz w:val="24"/>
          <w:szCs w:val="24"/>
        </w:rPr>
        <w:t xml:space="preserve"> and anolyte was circulated.</w:t>
      </w:r>
      <w:r w:rsidR="005F662E" w:rsidRPr="009D52EB">
        <w:rPr>
          <w:rFonts w:ascii="Times New Roman" w:hAnsi="Times New Roman" w:cs="Times New Roman"/>
          <w:sz w:val="24"/>
          <w:szCs w:val="24"/>
        </w:rPr>
        <w:t xml:space="preserve"> </w:t>
      </w:r>
      <w:r w:rsidR="00043400" w:rsidRPr="009D52EB">
        <w:rPr>
          <w:rFonts w:ascii="Times New Roman" w:hAnsi="Times New Roman" w:cs="Times New Roman"/>
          <w:sz w:val="24"/>
          <w:szCs w:val="24"/>
        </w:rPr>
        <w:t>1</w:t>
      </w:r>
      <w:r w:rsidR="006826D5" w:rsidRPr="009D52EB">
        <w:rPr>
          <w:rFonts w:ascii="Times New Roman" w:hAnsi="Times New Roman" w:cs="Times New Roman"/>
          <w:sz w:val="24"/>
          <w:szCs w:val="24"/>
        </w:rPr>
        <w:t>0</w:t>
      </w:r>
      <w:r w:rsidR="00043400" w:rsidRPr="009D52EB">
        <w:rPr>
          <w:rFonts w:ascii="Times New Roman" w:hAnsi="Times New Roman" w:cs="Times New Roman"/>
          <w:sz w:val="24"/>
          <w:szCs w:val="24"/>
        </w:rPr>
        <w:t xml:space="preserve"> sccm </w:t>
      </w:r>
      <w:r w:rsidR="006826D5" w:rsidRPr="009D52EB">
        <w:rPr>
          <w:rFonts w:ascii="Times New Roman" w:hAnsi="Times New Roman" w:cs="Times New Roman"/>
          <w:sz w:val="24"/>
          <w:szCs w:val="24"/>
        </w:rPr>
        <w:t>cm</w:t>
      </w:r>
      <w:r w:rsidR="006826D5" w:rsidRPr="009D52EB">
        <w:rPr>
          <w:rFonts w:ascii="Times New Roman" w:hAnsi="Times New Roman" w:cs="Times New Roman"/>
          <w:sz w:val="24"/>
          <w:szCs w:val="24"/>
          <w:vertAlign w:val="superscript"/>
        </w:rPr>
        <w:t>-2</w:t>
      </w:r>
      <w:r w:rsidR="006826D5" w:rsidRPr="009D52EB">
        <w:rPr>
          <w:rFonts w:ascii="Times New Roman" w:hAnsi="Times New Roman" w:cs="Times New Roman"/>
          <w:sz w:val="24"/>
          <w:szCs w:val="24"/>
        </w:rPr>
        <w:t xml:space="preserve"> </w:t>
      </w:r>
      <w:r w:rsidR="005F662E" w:rsidRPr="009D52EB">
        <w:rPr>
          <w:rFonts w:ascii="Times New Roman" w:hAnsi="Times New Roman" w:cs="Times New Roman"/>
          <w:sz w:val="24"/>
          <w:szCs w:val="24"/>
        </w:rPr>
        <w:t>CO</w:t>
      </w:r>
      <w:r w:rsidR="005F662E" w:rsidRPr="009D52EB">
        <w:rPr>
          <w:rFonts w:ascii="Times New Roman" w:hAnsi="Times New Roman" w:cs="Times New Roman"/>
          <w:sz w:val="24"/>
          <w:szCs w:val="24"/>
          <w:vertAlign w:val="subscript"/>
        </w:rPr>
        <w:t>2</w:t>
      </w:r>
      <w:r w:rsidR="005F662E" w:rsidRPr="009D52EB">
        <w:rPr>
          <w:rFonts w:ascii="Times New Roman" w:hAnsi="Times New Roman" w:cs="Times New Roman"/>
          <w:sz w:val="24"/>
          <w:szCs w:val="24"/>
        </w:rPr>
        <w:t xml:space="preserve"> was fed into the gas chamber</w:t>
      </w:r>
      <w:r w:rsidR="00043400" w:rsidRPr="009D52EB">
        <w:rPr>
          <w:rFonts w:ascii="Times New Roman" w:hAnsi="Times New Roman" w:cs="Times New Roman"/>
          <w:sz w:val="24"/>
          <w:szCs w:val="24"/>
        </w:rPr>
        <w:t>.</w:t>
      </w:r>
      <w:r w:rsidR="00F22219" w:rsidRPr="009D52EB">
        <w:rPr>
          <w:rFonts w:ascii="Times New Roman" w:hAnsi="Times New Roman" w:cs="Times New Roman"/>
          <w:sz w:val="24"/>
          <w:szCs w:val="24"/>
        </w:rPr>
        <w:t xml:space="preserve"> </w:t>
      </w:r>
      <w:r w:rsidR="00E6623F" w:rsidRPr="009D52EB">
        <w:rPr>
          <w:rFonts w:ascii="Times New Roman" w:hAnsi="Times New Roman" w:cs="Times New Roman"/>
          <w:sz w:val="24"/>
          <w:szCs w:val="24"/>
        </w:rPr>
        <w:t xml:space="preserve">The cathode </w:t>
      </w:r>
      <w:r w:rsidR="000902F7">
        <w:rPr>
          <w:rFonts w:ascii="Times New Roman" w:hAnsi="Times New Roman" w:cs="Times New Roman"/>
          <w:sz w:val="24"/>
          <w:szCs w:val="24"/>
        </w:rPr>
        <w:t>is</w:t>
      </w:r>
      <w:r w:rsidR="00E6623F" w:rsidRPr="009D52EB">
        <w:rPr>
          <w:rFonts w:ascii="Times New Roman" w:hAnsi="Times New Roman" w:cs="Times New Roman"/>
          <w:sz w:val="24"/>
          <w:szCs w:val="24"/>
        </w:rPr>
        <w:t xml:space="preserve"> the same one used in </w:t>
      </w:r>
      <w:r w:rsidR="004A7ADC">
        <w:rPr>
          <w:rFonts w:ascii="Times New Roman" w:hAnsi="Times New Roman" w:cs="Times New Roman"/>
          <w:sz w:val="24"/>
          <w:szCs w:val="24"/>
        </w:rPr>
        <w:t>SC-BPMEA</w:t>
      </w:r>
      <w:r w:rsidR="00043400" w:rsidRPr="009D52EB">
        <w:rPr>
          <w:rFonts w:ascii="Times New Roman" w:hAnsi="Times New Roman" w:cs="Times New Roman"/>
          <w:sz w:val="24"/>
          <w:szCs w:val="24"/>
        </w:rPr>
        <w:t xml:space="preserve">, </w:t>
      </w:r>
      <w:r w:rsidR="00AD654C">
        <w:rPr>
          <w:rFonts w:ascii="Times New Roman" w:hAnsi="Times New Roman" w:cs="Times New Roman"/>
          <w:sz w:val="24"/>
          <w:szCs w:val="24"/>
        </w:rPr>
        <w:t xml:space="preserve">i.e., the Cu nanoparticles coated carbon paper, </w:t>
      </w:r>
      <w:r w:rsidR="00043400" w:rsidRPr="009D52EB">
        <w:rPr>
          <w:rFonts w:ascii="Times New Roman" w:hAnsi="Times New Roman" w:cs="Times New Roman"/>
          <w:sz w:val="24"/>
          <w:szCs w:val="24"/>
        </w:rPr>
        <w:t>and a</w:t>
      </w:r>
      <w:r w:rsidR="00025F72" w:rsidRPr="009D52EB">
        <w:rPr>
          <w:rFonts w:ascii="Times New Roman" w:hAnsi="Times New Roman" w:cs="Times New Roman"/>
          <w:sz w:val="24"/>
          <w:szCs w:val="24"/>
        </w:rPr>
        <w:t>n</w:t>
      </w:r>
      <w:r w:rsidR="00043400" w:rsidRPr="009D52EB">
        <w:rPr>
          <w:rFonts w:ascii="Times New Roman" w:hAnsi="Times New Roman" w:cs="Times New Roman"/>
          <w:sz w:val="24"/>
          <w:szCs w:val="24"/>
        </w:rPr>
        <w:t xml:space="preserve"> Ag/AgCl </w:t>
      </w:r>
      <w:r w:rsidR="0044231C" w:rsidRPr="009D52EB">
        <w:rPr>
          <w:rFonts w:ascii="Times New Roman" w:hAnsi="Times New Roman" w:cs="Times New Roman"/>
          <w:sz w:val="24"/>
          <w:szCs w:val="24"/>
        </w:rPr>
        <w:t xml:space="preserve">(sat. KCl) </w:t>
      </w:r>
      <w:r w:rsidR="00043400" w:rsidRPr="009D52EB">
        <w:rPr>
          <w:rFonts w:ascii="Times New Roman" w:hAnsi="Times New Roman" w:cs="Times New Roman"/>
          <w:sz w:val="24"/>
          <w:szCs w:val="24"/>
        </w:rPr>
        <w:t xml:space="preserve">was inserted into </w:t>
      </w:r>
      <w:r w:rsidR="009430EF" w:rsidRPr="009D52EB">
        <w:rPr>
          <w:rFonts w:ascii="Times New Roman" w:hAnsi="Times New Roman" w:cs="Times New Roman"/>
          <w:sz w:val="24"/>
          <w:szCs w:val="24"/>
        </w:rPr>
        <w:t xml:space="preserve">the </w:t>
      </w:r>
      <w:r w:rsidR="00043400" w:rsidRPr="009D52EB">
        <w:rPr>
          <w:rFonts w:ascii="Times New Roman" w:hAnsi="Times New Roman" w:cs="Times New Roman"/>
          <w:sz w:val="24"/>
          <w:szCs w:val="24"/>
        </w:rPr>
        <w:t>catholyte as the reference</w:t>
      </w:r>
      <w:r w:rsidR="00E6623F" w:rsidRPr="009D52EB">
        <w:rPr>
          <w:rFonts w:ascii="Times New Roman" w:hAnsi="Times New Roman" w:cs="Times New Roman"/>
          <w:sz w:val="24"/>
          <w:szCs w:val="24"/>
        </w:rPr>
        <w:t xml:space="preserve">. </w:t>
      </w:r>
      <w:r w:rsidR="00E02429" w:rsidRPr="009D52EB">
        <w:rPr>
          <w:rFonts w:ascii="Times New Roman" w:hAnsi="Times New Roman" w:cs="Times New Roman"/>
          <w:sz w:val="24"/>
          <w:szCs w:val="24"/>
        </w:rPr>
        <w:t xml:space="preserve">A </w:t>
      </w:r>
      <w:r w:rsidR="00732077" w:rsidRPr="009D52EB">
        <w:rPr>
          <w:rFonts w:ascii="Times New Roman" w:hAnsi="Times New Roman" w:cs="Times New Roman"/>
          <w:sz w:val="24"/>
          <w:szCs w:val="24"/>
        </w:rPr>
        <w:t>Fumasep BPM</w:t>
      </w:r>
      <w:r w:rsidR="00E02429" w:rsidRPr="009D52EB">
        <w:rPr>
          <w:rFonts w:ascii="Times New Roman" w:hAnsi="Times New Roman" w:cs="Times New Roman"/>
          <w:sz w:val="24"/>
          <w:szCs w:val="24"/>
        </w:rPr>
        <w:t xml:space="preserve"> separated catholyte</w:t>
      </w:r>
      <w:r w:rsidR="00A8438A" w:rsidRPr="009D52EB">
        <w:rPr>
          <w:rFonts w:ascii="Times New Roman" w:hAnsi="Times New Roman" w:cs="Times New Roman"/>
          <w:sz w:val="24"/>
          <w:szCs w:val="24"/>
        </w:rPr>
        <w:t xml:space="preserve"> </w:t>
      </w:r>
      <w:r w:rsidR="00732077" w:rsidRPr="009D52EB">
        <w:rPr>
          <w:rFonts w:ascii="Times New Roman" w:hAnsi="Times New Roman" w:cs="Times New Roman"/>
          <w:sz w:val="24"/>
          <w:szCs w:val="24"/>
        </w:rPr>
        <w:t>(CEL fac</w:t>
      </w:r>
      <w:r w:rsidR="00284F64" w:rsidRPr="009D52EB">
        <w:rPr>
          <w:rFonts w:ascii="Times New Roman" w:hAnsi="Times New Roman" w:cs="Times New Roman"/>
          <w:sz w:val="24"/>
          <w:szCs w:val="24"/>
        </w:rPr>
        <w:t>e</w:t>
      </w:r>
      <w:r w:rsidR="00732077" w:rsidRPr="009D52EB">
        <w:rPr>
          <w:rFonts w:ascii="Times New Roman" w:hAnsi="Times New Roman" w:cs="Times New Roman"/>
          <w:sz w:val="24"/>
          <w:szCs w:val="24"/>
        </w:rPr>
        <w:t xml:space="preserve">) </w:t>
      </w:r>
      <w:r w:rsidR="00A8438A" w:rsidRPr="009D52EB">
        <w:rPr>
          <w:rFonts w:ascii="Times New Roman" w:hAnsi="Times New Roman" w:cs="Times New Roman"/>
          <w:sz w:val="24"/>
          <w:szCs w:val="24"/>
        </w:rPr>
        <w:t xml:space="preserve">and anolyte </w:t>
      </w:r>
      <w:r w:rsidR="00732077" w:rsidRPr="009D52EB">
        <w:rPr>
          <w:rFonts w:ascii="Times New Roman" w:hAnsi="Times New Roman" w:cs="Times New Roman"/>
          <w:sz w:val="24"/>
          <w:szCs w:val="24"/>
        </w:rPr>
        <w:t>(AEL fac</w:t>
      </w:r>
      <w:r w:rsidR="00284F64" w:rsidRPr="009D52EB">
        <w:rPr>
          <w:rFonts w:ascii="Times New Roman" w:hAnsi="Times New Roman" w:cs="Times New Roman"/>
          <w:sz w:val="24"/>
          <w:szCs w:val="24"/>
        </w:rPr>
        <w:t>e</w:t>
      </w:r>
      <w:r w:rsidR="00732077" w:rsidRPr="009D52EB">
        <w:rPr>
          <w:rFonts w:ascii="Times New Roman" w:hAnsi="Times New Roman" w:cs="Times New Roman"/>
          <w:sz w:val="24"/>
          <w:szCs w:val="24"/>
        </w:rPr>
        <w:t xml:space="preserve">) </w:t>
      </w:r>
      <w:r w:rsidR="00A8438A" w:rsidRPr="009D52EB">
        <w:rPr>
          <w:rFonts w:ascii="Times New Roman" w:hAnsi="Times New Roman" w:cs="Times New Roman"/>
          <w:sz w:val="24"/>
          <w:szCs w:val="24"/>
        </w:rPr>
        <w:t>chambers.</w:t>
      </w:r>
      <w:r w:rsidR="0081650C" w:rsidRPr="009D52EB">
        <w:rPr>
          <w:rFonts w:ascii="Times New Roman" w:hAnsi="Times New Roman" w:cs="Times New Roman"/>
          <w:sz w:val="24"/>
          <w:szCs w:val="24"/>
        </w:rPr>
        <w:t xml:space="preserve"> </w:t>
      </w:r>
      <w:r w:rsidR="00732077" w:rsidRPr="009D52EB">
        <w:rPr>
          <w:rFonts w:ascii="Times New Roman" w:hAnsi="Times New Roman" w:cs="Times New Roman"/>
          <w:sz w:val="24"/>
          <w:szCs w:val="24"/>
        </w:rPr>
        <w:t>The potential</w:t>
      </w:r>
      <w:r w:rsidR="00023D2C" w:rsidRPr="009D52EB">
        <w:rPr>
          <w:rFonts w:ascii="Times New Roman" w:hAnsi="Times New Roman" w:cs="Times New Roman"/>
          <w:sz w:val="24"/>
          <w:szCs w:val="24"/>
        </w:rPr>
        <w:t>s</w:t>
      </w:r>
      <w:r w:rsidR="00732077" w:rsidRPr="009D52EB">
        <w:rPr>
          <w:rFonts w:ascii="Times New Roman" w:hAnsi="Times New Roman" w:cs="Times New Roman"/>
          <w:sz w:val="24"/>
          <w:szCs w:val="24"/>
        </w:rPr>
        <w:t xml:space="preserve"> w</w:t>
      </w:r>
      <w:r w:rsidR="00023D2C" w:rsidRPr="009D52EB">
        <w:rPr>
          <w:rFonts w:ascii="Times New Roman" w:hAnsi="Times New Roman" w:cs="Times New Roman"/>
          <w:sz w:val="24"/>
          <w:szCs w:val="24"/>
        </w:rPr>
        <w:t>ere</w:t>
      </w:r>
      <w:r w:rsidR="00732077" w:rsidRPr="009D52EB">
        <w:rPr>
          <w:rFonts w:ascii="Times New Roman" w:hAnsi="Times New Roman" w:cs="Times New Roman"/>
          <w:sz w:val="24"/>
          <w:szCs w:val="24"/>
        </w:rPr>
        <w:t xml:space="preserve"> recorded </w:t>
      </w:r>
      <w:r w:rsidR="00023D2C" w:rsidRPr="009D52EB">
        <w:rPr>
          <w:rFonts w:ascii="Times New Roman" w:hAnsi="Times New Roman" w:cs="Times New Roman"/>
          <w:sz w:val="24"/>
          <w:szCs w:val="24"/>
        </w:rPr>
        <w:t>with iR compensation</w:t>
      </w:r>
      <w:r w:rsidR="00146622" w:rsidRPr="009D52EB">
        <w:rPr>
          <w:rFonts w:ascii="Times New Roman" w:hAnsi="Times New Roman" w:cs="Times New Roman"/>
          <w:sz w:val="24"/>
          <w:szCs w:val="24"/>
        </w:rPr>
        <w:t>,</w:t>
      </w:r>
      <w:r w:rsidR="00023D2C" w:rsidRPr="009D52EB">
        <w:rPr>
          <w:rFonts w:ascii="Times New Roman" w:hAnsi="Times New Roman" w:cs="Times New Roman"/>
          <w:sz w:val="24"/>
          <w:szCs w:val="24"/>
        </w:rPr>
        <w:t xml:space="preserve"> in which R was determined by electrochemical impedance spectra (EIS) before </w:t>
      </w:r>
      <w:r w:rsidR="00146622" w:rsidRPr="009D52EB">
        <w:rPr>
          <w:rFonts w:ascii="Times New Roman" w:hAnsi="Times New Roman" w:cs="Times New Roman"/>
          <w:sz w:val="24"/>
          <w:szCs w:val="24"/>
        </w:rPr>
        <w:t xml:space="preserve">the </w:t>
      </w:r>
      <w:r w:rsidR="00023D2C" w:rsidRPr="009D52EB">
        <w:rPr>
          <w:rFonts w:ascii="Times New Roman" w:hAnsi="Times New Roman" w:cs="Times New Roman"/>
          <w:sz w:val="24"/>
          <w:szCs w:val="24"/>
        </w:rPr>
        <w:t>experiment.</w:t>
      </w:r>
      <w:r w:rsidR="00102C21" w:rsidRPr="009D52EB">
        <w:rPr>
          <w:rFonts w:ascii="Times New Roman" w:hAnsi="Times New Roman" w:cs="Times New Roman"/>
          <w:sz w:val="24"/>
          <w:szCs w:val="24"/>
        </w:rPr>
        <w:t xml:space="preserve"> </w:t>
      </w:r>
      <w:r w:rsidR="009430EF" w:rsidRPr="009D52EB">
        <w:rPr>
          <w:rFonts w:ascii="Times New Roman" w:hAnsi="Times New Roman" w:cs="Times New Roman"/>
          <w:sz w:val="24"/>
          <w:szCs w:val="24"/>
        </w:rPr>
        <w:t>Following a previously reported approach, the Ag/AgCl reference was calibrated to a reversible hydrogen electrode (RHE)</w:t>
      </w:r>
      <w:r w:rsidR="00FA4561" w:rsidRPr="009D52EB">
        <w:rPr>
          <w:rFonts w:ascii="Times New Roman" w:hAnsi="Times New Roman" w:cs="Times New Roman"/>
          <w:sz w:val="24"/>
          <w:szCs w:val="24"/>
        </w:rPr>
        <w:t xml:space="preserve">. </w:t>
      </w:r>
      <w:r w:rsidR="00FA4561" w:rsidRPr="00E85E3D">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{"citationItems":[{"id":"ITEM-1","itemData":{"DOI":"10.1039/C4TA04671D","ISSN":"2050-7488","abstract":"A novel metal-free hydrogen evolution reaction catalyst made of poly(3,4-dinitrothiophene)/SWCNT was developed. This catalyst presents a good hydrogen evolution reaction activity with a lower overpotential than metallic catalysts. Its performance was optimized to an overpotential of ca. 0.040 V and a hydrogen generation rate of 44.2 μmol h−1 cm−2.","author":[{"dropping-particle":"","family":"Xie","given":"Ke","non-dropping-particle":"","parse-names":false,"suffix":""},{"dropping-particle":"","family":"Wu","given":"Haiping","non-dropping-particle":"","parse-names":false,"suffix":""},{"dropping-particle":"","family":"Meng","given":"Yuena","non-dropping-particle":"","parse-names":false,"suffix":""},{"dropping-particle":"","family":"Lu","given":"Kun","non-dropping-particle":"","parse-names":false,"suffix":""},{"dropping-particle":"","family":"Wei","given":"Zhixiang","non-dropping-particle":"","parse-names":false,"suffix":""},{"dropping-particle":"","family":"Zhang","given":"Zhong","non-dropping-particle":"","parse-names":false,"suffix":""}],"container-title":"J. Mater. Chem. A","id":"ITEM-1","issue":"1","issued":{"date-parts":[["2015"]]},"page":"78-82","publisher":"Royal Society of Chemistry","title":"Poly(3,4-dinitrothiophene)/SWCNT composite as a low overpotential hydrogen evolution metal-free catalyst","type":"article-journal","volume":"3"},"uris":["http://www.mendeley.com/documents/?uuid=6a439126-ba1b-4ba4-b081-30251695b327"]}],"mendeley":{"formattedCitation":"&lt;sup&gt;32&lt;/sup&gt;","plainTextFormattedCitation":"32","previouslyFormattedCitation":"&lt;sup&gt;47&lt;/sup&gt;"},"properties":{"noteIndex":0},"schema":"https://github.com/citation-style-language/schema/raw/master/csl-citation.json"}</w:instrText>
      </w:r>
      <w:r w:rsidR="00FA4561" w:rsidRPr="00E85E3D">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32</w:t>
      </w:r>
      <w:r w:rsidR="00FA4561" w:rsidRPr="00E85E3D">
        <w:rPr>
          <w:rFonts w:ascii="Times New Roman" w:hAnsi="Times New Roman" w:cs="Times New Roman"/>
          <w:sz w:val="24"/>
          <w:szCs w:val="24"/>
        </w:rPr>
        <w:fldChar w:fldCharType="end"/>
      </w:r>
      <w:r w:rsidR="00361625" w:rsidRPr="00805810">
        <w:rPr>
          <w:rFonts w:ascii="Times New Roman" w:hAnsi="Times New Roman" w:cs="Times New Roman"/>
          <w:sz w:val="24"/>
          <w:szCs w:val="24"/>
        </w:rPr>
        <w:t xml:space="preserve"> The flo</w:t>
      </w:r>
      <w:r w:rsidR="00361625" w:rsidRPr="00E85E3D">
        <w:rPr>
          <w:rFonts w:ascii="Times New Roman" w:hAnsi="Times New Roman" w:cs="Times New Roman"/>
          <w:sz w:val="24"/>
          <w:szCs w:val="24"/>
        </w:rPr>
        <w:t xml:space="preserve">w cell, catholyte, and anolyte </w:t>
      </w:r>
      <w:r w:rsidR="002C4E7D" w:rsidRPr="00E85E3D">
        <w:rPr>
          <w:rFonts w:ascii="Times New Roman" w:hAnsi="Times New Roman" w:cs="Times New Roman"/>
          <w:sz w:val="24"/>
          <w:szCs w:val="24"/>
        </w:rPr>
        <w:t>were</w:t>
      </w:r>
      <w:r w:rsidR="00361625" w:rsidRPr="009D52EB">
        <w:rPr>
          <w:rFonts w:ascii="Times New Roman" w:hAnsi="Times New Roman" w:cs="Times New Roman"/>
          <w:sz w:val="24"/>
          <w:szCs w:val="24"/>
        </w:rPr>
        <w:t xml:space="preserve"> </w:t>
      </w:r>
      <w:r w:rsidR="00A75A88" w:rsidRPr="009D52EB">
        <w:rPr>
          <w:rFonts w:ascii="Times New Roman" w:hAnsi="Times New Roman" w:cs="Times New Roman"/>
          <w:sz w:val="24"/>
          <w:szCs w:val="24"/>
        </w:rPr>
        <w:t>heated</w:t>
      </w:r>
      <w:r w:rsidR="00361625" w:rsidRPr="009D52EB">
        <w:rPr>
          <w:rFonts w:ascii="Times New Roman" w:hAnsi="Times New Roman" w:cs="Times New Roman"/>
          <w:sz w:val="24"/>
          <w:szCs w:val="24"/>
        </w:rPr>
        <w:t xml:space="preserve"> to 35 </w:t>
      </w:r>
      <w:r w:rsidR="00361625" w:rsidRPr="009D52EB">
        <w:rPr>
          <w:rFonts w:ascii="Times New Roman" w:hAnsi="Times New Roman" w:cs="Times New Roman"/>
          <w:sz w:val="24"/>
          <w:szCs w:val="24"/>
          <w:vertAlign w:val="superscript"/>
        </w:rPr>
        <w:t>o</w:t>
      </w:r>
      <w:r w:rsidR="00361625" w:rsidRPr="009D52EB">
        <w:rPr>
          <w:rFonts w:ascii="Times New Roman" w:hAnsi="Times New Roman" w:cs="Times New Roman"/>
          <w:sz w:val="24"/>
          <w:szCs w:val="24"/>
        </w:rPr>
        <w:t xml:space="preserve">C. </w:t>
      </w:r>
      <w:r w:rsidR="00821765" w:rsidRPr="009D52EB">
        <w:rPr>
          <w:rFonts w:ascii="Times New Roman" w:hAnsi="Times New Roman" w:cs="Times New Roman"/>
          <w:sz w:val="24"/>
          <w:szCs w:val="24"/>
        </w:rPr>
        <w:t xml:space="preserve">As shown in </w:t>
      </w:r>
      <w:r w:rsidR="00DE0DCA">
        <w:rPr>
          <w:rFonts w:ascii="Times New Roman" w:hAnsi="Times New Roman" w:cs="Times New Roman"/>
          <w:sz w:val="24"/>
          <w:szCs w:val="24"/>
        </w:rPr>
        <w:t>Supplementary Fig.</w:t>
      </w:r>
      <w:r w:rsidR="00821765" w:rsidRPr="009D52EB">
        <w:rPr>
          <w:rFonts w:ascii="Times New Roman" w:hAnsi="Times New Roman" w:cs="Times New Roman"/>
          <w:sz w:val="24"/>
          <w:szCs w:val="24"/>
        </w:rPr>
        <w:t xml:space="preserve"> </w:t>
      </w:r>
      <w:r w:rsidR="00587CAF">
        <w:rPr>
          <w:rFonts w:ascii="Times New Roman" w:hAnsi="Times New Roman" w:cs="Times New Roman"/>
          <w:sz w:val="24"/>
          <w:szCs w:val="24"/>
        </w:rPr>
        <w:t>13b</w:t>
      </w:r>
      <w:r w:rsidR="00821765" w:rsidRPr="009D52EB">
        <w:rPr>
          <w:rFonts w:ascii="Times New Roman" w:hAnsi="Times New Roman" w:cs="Times New Roman"/>
          <w:sz w:val="24"/>
          <w:szCs w:val="24"/>
        </w:rPr>
        <w:t>, the cathode overpotential is 0.</w:t>
      </w:r>
      <w:r w:rsidR="00863DA7" w:rsidRPr="009D52EB">
        <w:rPr>
          <w:rFonts w:ascii="Times New Roman" w:hAnsi="Times New Roman" w:cs="Times New Roman" w:hint="eastAsia"/>
          <w:sz w:val="24"/>
          <w:szCs w:val="24"/>
        </w:rPr>
        <w:t>78</w:t>
      </w:r>
      <w:r w:rsidR="00821765" w:rsidRPr="009D52EB">
        <w:rPr>
          <w:rFonts w:ascii="Times New Roman" w:hAnsi="Times New Roman" w:cs="Times New Roman"/>
          <w:sz w:val="24"/>
          <w:szCs w:val="24"/>
        </w:rPr>
        <w:t xml:space="preserve"> </w:t>
      </w:r>
      <w:r w:rsidR="00EA5885" w:rsidRPr="009D52EB">
        <w:rPr>
          <w:rFonts w:ascii="Times New Roman" w:hAnsi="Times New Roman" w:cs="Times New Roman"/>
          <w:sz w:val="24"/>
          <w:szCs w:val="24"/>
        </w:rPr>
        <w:t>± 0.10</w:t>
      </w:r>
      <w:r w:rsidR="000713B4" w:rsidRPr="009D52EB">
        <w:rPr>
          <w:rFonts w:ascii="Times New Roman" w:hAnsi="Times New Roman" w:cs="Times New Roman"/>
          <w:sz w:val="24"/>
          <w:szCs w:val="24"/>
        </w:rPr>
        <w:t xml:space="preserve"> </w:t>
      </w:r>
      <w:r w:rsidR="00821765" w:rsidRPr="009D52EB">
        <w:rPr>
          <w:rFonts w:ascii="Times New Roman" w:hAnsi="Times New Roman" w:cs="Times New Roman"/>
          <w:sz w:val="24"/>
          <w:szCs w:val="24"/>
        </w:rPr>
        <w:t>V at 200 mA cm</w:t>
      </w:r>
      <w:r w:rsidR="00821765" w:rsidRPr="009D52EB">
        <w:rPr>
          <w:rFonts w:ascii="Times New Roman" w:hAnsi="Times New Roman" w:cs="Times New Roman"/>
          <w:sz w:val="24"/>
          <w:szCs w:val="24"/>
          <w:vertAlign w:val="superscript"/>
        </w:rPr>
        <w:t>-2</w:t>
      </w:r>
      <w:r w:rsidR="00821765" w:rsidRPr="009D52EB">
        <w:rPr>
          <w:rFonts w:ascii="Times New Roman" w:hAnsi="Times New Roman" w:cs="Times New Roman"/>
          <w:sz w:val="24"/>
          <w:szCs w:val="24"/>
        </w:rPr>
        <w:t>.</w:t>
      </w:r>
      <w:r w:rsidR="00381154" w:rsidRPr="009D52EB">
        <w:rPr>
          <w:rFonts w:ascii="Times New Roman" w:hAnsi="Times New Roman" w:cs="Times New Roman"/>
          <w:sz w:val="24"/>
          <w:szCs w:val="24"/>
        </w:rPr>
        <w:t xml:space="preserve"> The FE distributions</w:t>
      </w:r>
      <w:r w:rsidR="009C4346" w:rsidRPr="009D52EB">
        <w:rPr>
          <w:rFonts w:ascii="Times New Roman" w:hAnsi="Times New Roman" w:cs="Times New Roman"/>
          <w:sz w:val="24"/>
          <w:szCs w:val="24"/>
        </w:rPr>
        <w:t xml:space="preserve"> at various current densities</w:t>
      </w:r>
      <w:r w:rsidR="00381154" w:rsidRPr="009D52EB">
        <w:rPr>
          <w:rFonts w:ascii="Times New Roman" w:hAnsi="Times New Roman" w:cs="Times New Roman"/>
          <w:sz w:val="24"/>
          <w:szCs w:val="24"/>
        </w:rPr>
        <w:t xml:space="preserve"> (</w:t>
      </w:r>
      <w:r w:rsidR="00DE0DCA">
        <w:rPr>
          <w:rFonts w:ascii="Times New Roman" w:hAnsi="Times New Roman" w:cs="Times New Roman"/>
          <w:sz w:val="24"/>
          <w:szCs w:val="24"/>
        </w:rPr>
        <w:t>Supplementary Fig.</w:t>
      </w:r>
      <w:r w:rsidR="00381154" w:rsidRPr="009D52EB">
        <w:rPr>
          <w:rFonts w:ascii="Times New Roman" w:hAnsi="Times New Roman" w:cs="Times New Roman"/>
          <w:sz w:val="24"/>
          <w:szCs w:val="24"/>
        </w:rPr>
        <w:t xml:space="preserve"> </w:t>
      </w:r>
      <w:r w:rsidR="00587CAF">
        <w:rPr>
          <w:rFonts w:ascii="Times New Roman" w:hAnsi="Times New Roman" w:cs="Times New Roman"/>
          <w:sz w:val="24"/>
          <w:szCs w:val="24"/>
        </w:rPr>
        <w:t>13c</w:t>
      </w:r>
      <w:r w:rsidR="00381154" w:rsidRPr="009D52EB">
        <w:rPr>
          <w:rFonts w:ascii="Times New Roman" w:hAnsi="Times New Roman" w:cs="Times New Roman"/>
          <w:sz w:val="24"/>
          <w:szCs w:val="24"/>
        </w:rPr>
        <w:t xml:space="preserve">) </w:t>
      </w:r>
      <w:r w:rsidR="004C2341" w:rsidRPr="009D52EB">
        <w:rPr>
          <w:rFonts w:ascii="Times New Roman" w:hAnsi="Times New Roman" w:cs="Times New Roman"/>
          <w:sz w:val="24"/>
          <w:szCs w:val="24"/>
        </w:rPr>
        <w:t xml:space="preserve">in </w:t>
      </w:r>
      <w:r w:rsidR="009430EF" w:rsidRPr="009D52EB">
        <w:rPr>
          <w:rFonts w:ascii="Times New Roman" w:hAnsi="Times New Roman" w:cs="Times New Roman"/>
          <w:sz w:val="24"/>
          <w:szCs w:val="24"/>
        </w:rPr>
        <w:t xml:space="preserve">the </w:t>
      </w:r>
      <w:r w:rsidR="004C2341" w:rsidRPr="009D52EB">
        <w:rPr>
          <w:rFonts w:ascii="Times New Roman" w:hAnsi="Times New Roman" w:cs="Times New Roman"/>
          <w:sz w:val="24"/>
          <w:szCs w:val="24"/>
        </w:rPr>
        <w:t>flow cell</w:t>
      </w:r>
      <w:r w:rsidR="00381154" w:rsidRPr="009D52EB">
        <w:rPr>
          <w:rFonts w:ascii="Times New Roman" w:hAnsi="Times New Roman" w:cs="Times New Roman"/>
          <w:sz w:val="24"/>
          <w:szCs w:val="24"/>
        </w:rPr>
        <w:t xml:space="preserve"> </w:t>
      </w:r>
      <w:r w:rsidR="00146622" w:rsidRPr="009D52EB">
        <w:rPr>
          <w:rFonts w:ascii="Times New Roman" w:hAnsi="Times New Roman" w:cs="Times New Roman"/>
          <w:sz w:val="24"/>
          <w:szCs w:val="24"/>
        </w:rPr>
        <w:t xml:space="preserve">are </w:t>
      </w:r>
      <w:r w:rsidR="00381154" w:rsidRPr="009D52EB">
        <w:rPr>
          <w:rFonts w:ascii="Times New Roman" w:hAnsi="Times New Roman" w:cs="Times New Roman"/>
          <w:sz w:val="24"/>
          <w:szCs w:val="24"/>
        </w:rPr>
        <w:t>similar to th</w:t>
      </w:r>
      <w:r w:rsidR="00146622" w:rsidRPr="009D52EB">
        <w:rPr>
          <w:rFonts w:ascii="Times New Roman" w:hAnsi="Times New Roman" w:cs="Times New Roman"/>
          <w:sz w:val="24"/>
          <w:szCs w:val="24"/>
        </w:rPr>
        <w:t>ose</w:t>
      </w:r>
      <w:r w:rsidR="00381154" w:rsidRPr="009D52EB">
        <w:rPr>
          <w:rFonts w:ascii="Times New Roman" w:hAnsi="Times New Roman" w:cs="Times New Roman"/>
          <w:sz w:val="24"/>
          <w:szCs w:val="24"/>
        </w:rPr>
        <w:t xml:space="preserve"> in </w:t>
      </w:r>
      <w:r w:rsidR="004A7ADC">
        <w:rPr>
          <w:rFonts w:ascii="Times New Roman" w:hAnsi="Times New Roman" w:cs="Times New Roman"/>
          <w:sz w:val="24"/>
          <w:szCs w:val="24"/>
        </w:rPr>
        <w:t>SC-BPMEA</w:t>
      </w:r>
      <w:r w:rsidR="00970E2F" w:rsidRPr="009D52EB">
        <w:rPr>
          <w:rFonts w:ascii="Times New Roman" w:hAnsi="Times New Roman" w:cs="Times New Roman"/>
          <w:sz w:val="24"/>
          <w:szCs w:val="24"/>
        </w:rPr>
        <w:t xml:space="preserve"> (</w:t>
      </w:r>
      <w:r w:rsidR="00DE0DCA">
        <w:rPr>
          <w:rFonts w:ascii="Times New Roman" w:hAnsi="Times New Roman" w:cs="Times New Roman"/>
          <w:sz w:val="24"/>
          <w:szCs w:val="24"/>
        </w:rPr>
        <w:t>Fig.</w:t>
      </w:r>
      <w:r w:rsidR="00970E2F" w:rsidRPr="009D52EB">
        <w:rPr>
          <w:rFonts w:ascii="Times New Roman" w:hAnsi="Times New Roman" w:cs="Times New Roman"/>
          <w:sz w:val="24"/>
          <w:szCs w:val="24"/>
        </w:rPr>
        <w:t xml:space="preserve"> </w:t>
      </w:r>
      <w:r w:rsidR="00587CAF" w:rsidRPr="009D52EB">
        <w:rPr>
          <w:rFonts w:ascii="Times New Roman" w:hAnsi="Times New Roman" w:cs="Times New Roman"/>
          <w:sz w:val="24"/>
          <w:szCs w:val="24"/>
        </w:rPr>
        <w:t>3</w:t>
      </w:r>
      <w:r w:rsidR="00587CAF">
        <w:rPr>
          <w:rFonts w:ascii="Times New Roman" w:hAnsi="Times New Roman" w:cs="Times New Roman"/>
          <w:sz w:val="24"/>
          <w:szCs w:val="24"/>
        </w:rPr>
        <w:t>c</w:t>
      </w:r>
      <w:r w:rsidR="00587CAF" w:rsidRPr="009D52EB">
        <w:rPr>
          <w:rFonts w:ascii="Times New Roman" w:hAnsi="Times New Roman" w:cs="Times New Roman"/>
          <w:sz w:val="24"/>
          <w:szCs w:val="24"/>
        </w:rPr>
        <w:t xml:space="preserve"> </w:t>
      </w:r>
      <w:r w:rsidR="00970E2F" w:rsidRPr="009D52EB">
        <w:rPr>
          <w:rFonts w:ascii="Times New Roman" w:hAnsi="Times New Roman" w:cs="Times New Roman"/>
          <w:sz w:val="24"/>
          <w:szCs w:val="24"/>
        </w:rPr>
        <w:t xml:space="preserve">in </w:t>
      </w:r>
      <w:r w:rsidR="009430EF" w:rsidRPr="009D52EB">
        <w:rPr>
          <w:rFonts w:ascii="Times New Roman" w:hAnsi="Times New Roman" w:cs="Times New Roman"/>
          <w:sz w:val="24"/>
          <w:szCs w:val="24"/>
        </w:rPr>
        <w:t xml:space="preserve">the </w:t>
      </w:r>
      <w:r w:rsidR="002D1A6C" w:rsidRPr="009D52EB">
        <w:rPr>
          <w:rFonts w:ascii="Times New Roman" w:hAnsi="Times New Roman" w:cs="Times New Roman"/>
          <w:sz w:val="24"/>
          <w:szCs w:val="24"/>
        </w:rPr>
        <w:t>main text</w:t>
      </w:r>
      <w:r w:rsidR="00970E2F" w:rsidRPr="009D52EB">
        <w:rPr>
          <w:rFonts w:ascii="Times New Roman" w:hAnsi="Times New Roman" w:cs="Times New Roman"/>
          <w:sz w:val="24"/>
          <w:szCs w:val="24"/>
        </w:rPr>
        <w:t>)</w:t>
      </w:r>
      <w:r w:rsidR="00381154" w:rsidRPr="009D52EB">
        <w:rPr>
          <w:rFonts w:ascii="Times New Roman" w:hAnsi="Times New Roman" w:cs="Times New Roman"/>
          <w:sz w:val="24"/>
          <w:szCs w:val="24"/>
        </w:rPr>
        <w:t xml:space="preserve">, validating the feasibility of this overpotential measurement. </w:t>
      </w:r>
    </w:p>
    <w:p w14:paraId="7D7CDA3A" w14:textId="306E07D1" w:rsidR="00990CA6" w:rsidRPr="009D52EB" w:rsidRDefault="00990CA6">
      <w:pPr>
        <w:jc w:val="both"/>
        <w:rPr>
          <w:rFonts w:ascii="Times New Roman" w:hAnsi="Times New Roman" w:cs="Times New Roman"/>
          <w:sz w:val="24"/>
          <w:szCs w:val="24"/>
        </w:rPr>
      </w:pPr>
      <w:r w:rsidRPr="009D52EB">
        <w:rPr>
          <w:rFonts w:ascii="Times New Roman" w:hAnsi="Times New Roman" w:cs="Times New Roman"/>
          <w:sz w:val="24"/>
          <w:szCs w:val="24"/>
        </w:rPr>
        <w:t>The a</w:t>
      </w:r>
      <w:r w:rsidR="00381154" w:rsidRPr="009D52EB">
        <w:rPr>
          <w:rFonts w:ascii="Times New Roman" w:hAnsi="Times New Roman" w:cs="Times New Roman"/>
          <w:sz w:val="24"/>
          <w:szCs w:val="24"/>
        </w:rPr>
        <w:t xml:space="preserve">node overpotential </w:t>
      </w:r>
      <w:r w:rsidRPr="009D52EB">
        <w:rPr>
          <w:rFonts w:ascii="Times New Roman" w:hAnsi="Times New Roman" w:cs="Times New Roman"/>
          <w:sz w:val="24"/>
          <w:szCs w:val="24"/>
        </w:rPr>
        <w:t xml:space="preserve">was found to be </w:t>
      </w:r>
      <w:r w:rsidR="00381154" w:rsidRPr="009D52EB">
        <w:rPr>
          <w:rFonts w:ascii="Times New Roman" w:hAnsi="Times New Roman" w:cs="Times New Roman"/>
          <w:sz w:val="24"/>
          <w:szCs w:val="24"/>
        </w:rPr>
        <w:t>0.</w:t>
      </w:r>
      <w:r w:rsidR="003D17EB" w:rsidRPr="009D52EB">
        <w:rPr>
          <w:rFonts w:ascii="Times New Roman" w:hAnsi="Times New Roman" w:cs="Times New Roman" w:hint="eastAsia"/>
          <w:sz w:val="24"/>
          <w:szCs w:val="24"/>
        </w:rPr>
        <w:t>78</w:t>
      </w:r>
      <w:r w:rsidR="00381154" w:rsidRPr="009D52EB">
        <w:rPr>
          <w:rFonts w:ascii="Times New Roman" w:hAnsi="Times New Roman" w:cs="Times New Roman"/>
          <w:sz w:val="24"/>
          <w:szCs w:val="24"/>
        </w:rPr>
        <w:t xml:space="preserve"> </w:t>
      </w:r>
      <w:r w:rsidR="008A6BFB" w:rsidRPr="009D52EB">
        <w:rPr>
          <w:rFonts w:ascii="Times New Roman" w:hAnsi="Times New Roman" w:cs="Times New Roman"/>
          <w:sz w:val="24"/>
          <w:szCs w:val="24"/>
        </w:rPr>
        <w:t>±</w:t>
      </w:r>
      <w:r w:rsidR="00166DF3" w:rsidRPr="009D52EB">
        <w:rPr>
          <w:rFonts w:ascii="Times New Roman" w:hAnsi="Times New Roman" w:cs="Times New Roman"/>
          <w:sz w:val="24"/>
          <w:szCs w:val="24"/>
        </w:rPr>
        <w:t xml:space="preserve"> 0.13</w:t>
      </w:r>
      <w:r w:rsidR="008A6BFB" w:rsidRPr="009D52EB">
        <w:rPr>
          <w:rFonts w:ascii="Times New Roman" w:hAnsi="Times New Roman" w:cs="Times New Roman"/>
          <w:sz w:val="24"/>
          <w:szCs w:val="24"/>
        </w:rPr>
        <w:t xml:space="preserve"> </w:t>
      </w:r>
      <w:r w:rsidR="00381154" w:rsidRPr="009D52EB">
        <w:rPr>
          <w:rFonts w:ascii="Times New Roman" w:hAnsi="Times New Roman" w:cs="Times New Roman"/>
          <w:sz w:val="24"/>
          <w:szCs w:val="24"/>
        </w:rPr>
        <w:t>V as measured</w:t>
      </w:r>
      <w:r w:rsidR="00CB7964" w:rsidRPr="009D52EB">
        <w:rPr>
          <w:rFonts w:ascii="Times New Roman" w:hAnsi="Times New Roman" w:cs="Times New Roman"/>
          <w:sz w:val="24"/>
          <w:szCs w:val="24"/>
        </w:rPr>
        <w:t xml:space="preserve"> per the same approach </w:t>
      </w:r>
      <w:r w:rsidR="00A933A8" w:rsidRPr="009D52EB">
        <w:rPr>
          <w:rFonts w:ascii="Times New Roman" w:hAnsi="Times New Roman" w:cs="Times New Roman"/>
          <w:sz w:val="24"/>
          <w:szCs w:val="24"/>
        </w:rPr>
        <w:t>as</w:t>
      </w:r>
      <w:r w:rsidR="00CB7964" w:rsidRPr="009D52EB">
        <w:rPr>
          <w:rFonts w:ascii="Times New Roman" w:hAnsi="Times New Roman" w:cs="Times New Roman"/>
          <w:sz w:val="24"/>
          <w:szCs w:val="24"/>
        </w:rPr>
        <w:t xml:space="preserve"> cathode overpotential, except that</w:t>
      </w:r>
      <w:r w:rsidR="00CE3AFF" w:rsidRPr="009D52EB">
        <w:rPr>
          <w:rFonts w:ascii="Times New Roman" w:hAnsi="Times New Roman" w:cs="Times New Roman"/>
          <w:sz w:val="24"/>
          <w:szCs w:val="24"/>
        </w:rPr>
        <w:t xml:space="preserve"> the reference electrode w</w:t>
      </w:r>
      <w:r w:rsidR="00A94F07" w:rsidRPr="009D52EB">
        <w:rPr>
          <w:rFonts w:ascii="Times New Roman" w:hAnsi="Times New Roman" w:cs="Times New Roman"/>
          <w:sz w:val="24"/>
          <w:szCs w:val="24"/>
        </w:rPr>
        <w:t>as</w:t>
      </w:r>
      <w:r w:rsidR="00CE3AFF" w:rsidRPr="009D52EB">
        <w:rPr>
          <w:rFonts w:ascii="Times New Roman" w:hAnsi="Times New Roman" w:cs="Times New Roman"/>
          <w:sz w:val="24"/>
          <w:szCs w:val="24"/>
        </w:rPr>
        <w:t xml:space="preserve"> inserted into anolyte, and</w:t>
      </w:r>
      <w:r w:rsidR="00CB7964" w:rsidRPr="009D52EB">
        <w:rPr>
          <w:rFonts w:ascii="Times New Roman" w:hAnsi="Times New Roman" w:cs="Times New Roman"/>
          <w:sz w:val="24"/>
          <w:szCs w:val="24"/>
        </w:rPr>
        <w:t xml:space="preserve"> both cathode and anode chambers were circulated with 0.1</w:t>
      </w:r>
      <w:r w:rsidR="003142EF" w:rsidRPr="009D52EB">
        <w:rPr>
          <w:rFonts w:ascii="Times New Roman" w:hAnsi="Times New Roman" w:cs="Times New Roman"/>
          <w:sz w:val="24"/>
          <w:szCs w:val="24"/>
        </w:rPr>
        <w:t xml:space="preserve"> </w:t>
      </w:r>
      <w:r w:rsidR="00CB7964" w:rsidRPr="009D52EB">
        <w:rPr>
          <w:rFonts w:ascii="Times New Roman" w:hAnsi="Times New Roman" w:cs="Times New Roman"/>
          <w:sz w:val="24"/>
          <w:szCs w:val="24"/>
        </w:rPr>
        <w:t>M KHCO</w:t>
      </w:r>
      <w:r w:rsidR="00CB7964" w:rsidRPr="009D52EB">
        <w:rPr>
          <w:rFonts w:ascii="Times New Roman" w:hAnsi="Times New Roman" w:cs="Times New Roman"/>
          <w:sz w:val="24"/>
          <w:szCs w:val="24"/>
          <w:vertAlign w:val="subscript"/>
        </w:rPr>
        <w:t>3</w:t>
      </w:r>
      <w:r w:rsidR="00CB7964" w:rsidRPr="009D52EB">
        <w:rPr>
          <w:rFonts w:ascii="Times New Roman" w:hAnsi="Times New Roman" w:cs="Times New Roman"/>
          <w:sz w:val="24"/>
          <w:szCs w:val="24"/>
        </w:rPr>
        <w:t>.</w:t>
      </w:r>
      <w:r w:rsidRPr="009D52EB">
        <w:rPr>
          <w:rFonts w:ascii="Times New Roman" w:hAnsi="Times New Roman" w:cs="Times New Roman"/>
          <w:sz w:val="24"/>
          <w:szCs w:val="24"/>
        </w:rPr>
        <w:t xml:space="preserve"> This is a fairly high overpotential for the anode evolving oxygen, in part due to the neutral pH buffer used at the anode. Improved performance is </w:t>
      </w:r>
      <w:r w:rsidR="004C73B9">
        <w:rPr>
          <w:rFonts w:ascii="Times New Roman" w:hAnsi="Times New Roman" w:cs="Times New Roman"/>
          <w:sz w:val="24"/>
          <w:szCs w:val="24"/>
        </w:rPr>
        <w:t>certainly readily</w:t>
      </w:r>
      <w:r w:rsidR="004C73B9" w:rsidRPr="009D52EB">
        <w:rPr>
          <w:rFonts w:ascii="Times New Roman" w:hAnsi="Times New Roman" w:cs="Times New Roman"/>
          <w:sz w:val="24"/>
          <w:szCs w:val="24"/>
        </w:rPr>
        <w:t xml:space="preserve"> </w:t>
      </w:r>
      <w:r w:rsidRPr="009D52EB">
        <w:rPr>
          <w:rFonts w:ascii="Times New Roman" w:hAnsi="Times New Roman" w:cs="Times New Roman"/>
          <w:sz w:val="24"/>
          <w:szCs w:val="24"/>
        </w:rPr>
        <w:t>possible under locally basic anode conditions</w:t>
      </w:r>
      <w:r w:rsidR="004C73B9">
        <w:rPr>
          <w:rFonts w:ascii="Times New Roman" w:hAnsi="Times New Roman" w:cs="Times New Roman"/>
          <w:sz w:val="24"/>
          <w:szCs w:val="24"/>
        </w:rPr>
        <w:t xml:space="preserve"> and/or with improved anode architectures</w:t>
      </w:r>
      <w:r w:rsidRPr="009D52EB">
        <w:rPr>
          <w:rFonts w:ascii="Times New Roman" w:hAnsi="Times New Roman" w:cs="Times New Roman"/>
          <w:sz w:val="24"/>
          <w:szCs w:val="24"/>
        </w:rPr>
        <w:t>.</w:t>
      </w:r>
    </w:p>
    <w:p w14:paraId="6AD2C166" w14:textId="7CFE0B15" w:rsidR="00BC59D7" w:rsidRPr="00805810" w:rsidRDefault="00990CA6">
      <w:pPr>
        <w:jc w:val="both"/>
        <w:rPr>
          <w:rFonts w:ascii="Times New Roman" w:hAnsi="Times New Roman" w:cs="Times New Roman"/>
          <w:sz w:val="24"/>
          <w:szCs w:val="24"/>
        </w:rPr>
      </w:pPr>
      <w:r w:rsidRPr="009D52EB">
        <w:rPr>
          <w:rFonts w:ascii="Times New Roman" w:hAnsi="Times New Roman" w:cs="Times New Roman"/>
          <w:sz w:val="24"/>
          <w:szCs w:val="24"/>
        </w:rPr>
        <w:t>An o</w:t>
      </w:r>
      <w:r w:rsidR="00D801C9" w:rsidRPr="009D52EB">
        <w:rPr>
          <w:rFonts w:ascii="Times New Roman" w:hAnsi="Times New Roman" w:cs="Times New Roman"/>
          <w:sz w:val="24"/>
          <w:szCs w:val="24"/>
        </w:rPr>
        <w:t>hmic</w:t>
      </w:r>
      <w:r w:rsidR="003D6F30" w:rsidRPr="009D52EB">
        <w:rPr>
          <w:rFonts w:ascii="Times New Roman" w:hAnsi="Times New Roman" w:cs="Times New Roman"/>
          <w:sz w:val="24"/>
          <w:szCs w:val="24"/>
        </w:rPr>
        <w:t xml:space="preserve"> loss</w:t>
      </w:r>
      <w:r w:rsidR="005A22CC" w:rsidRPr="009D52EB">
        <w:rPr>
          <w:rFonts w:ascii="Times New Roman" w:hAnsi="Times New Roman" w:cs="Times New Roman"/>
          <w:sz w:val="24"/>
          <w:szCs w:val="24"/>
        </w:rPr>
        <w:t xml:space="preserve"> </w:t>
      </w:r>
      <w:r w:rsidRPr="009D52EB">
        <w:rPr>
          <w:rFonts w:ascii="Times New Roman" w:hAnsi="Times New Roman" w:cs="Times New Roman"/>
          <w:sz w:val="24"/>
          <w:szCs w:val="24"/>
        </w:rPr>
        <w:t xml:space="preserve">of </w:t>
      </w:r>
      <w:r w:rsidR="00D43DB0" w:rsidRPr="009D52EB">
        <w:rPr>
          <w:rFonts w:ascii="Times New Roman" w:hAnsi="Times New Roman" w:cs="Times New Roman"/>
          <w:sz w:val="24"/>
          <w:szCs w:val="24"/>
        </w:rPr>
        <w:t>0.</w:t>
      </w:r>
      <w:r w:rsidR="00314450" w:rsidRPr="009D52EB">
        <w:rPr>
          <w:rFonts w:ascii="Times New Roman" w:hAnsi="Times New Roman" w:cs="Times New Roman"/>
          <w:sz w:val="24"/>
          <w:szCs w:val="24"/>
        </w:rPr>
        <w:t>31</w:t>
      </w:r>
      <w:r w:rsidR="00540300" w:rsidRPr="009D52EB">
        <w:rPr>
          <w:rFonts w:ascii="Times New Roman" w:hAnsi="Times New Roman" w:cs="Times New Roman"/>
          <w:sz w:val="24"/>
          <w:szCs w:val="24"/>
        </w:rPr>
        <w:t xml:space="preserve"> ±</w:t>
      </w:r>
      <w:r w:rsidR="00D43DB0" w:rsidRPr="009D52EB">
        <w:rPr>
          <w:rFonts w:ascii="Times New Roman" w:hAnsi="Times New Roman" w:cs="Times New Roman"/>
          <w:sz w:val="24"/>
          <w:szCs w:val="24"/>
        </w:rPr>
        <w:t xml:space="preserve"> </w:t>
      </w:r>
      <w:r w:rsidR="00540300" w:rsidRPr="009D52EB">
        <w:rPr>
          <w:rFonts w:ascii="Times New Roman" w:hAnsi="Times New Roman" w:cs="Times New Roman"/>
          <w:sz w:val="24"/>
          <w:szCs w:val="24"/>
        </w:rPr>
        <w:t xml:space="preserve">0.01 </w:t>
      </w:r>
      <w:r w:rsidR="00D43DB0" w:rsidRPr="009D52EB">
        <w:rPr>
          <w:rFonts w:ascii="Times New Roman" w:hAnsi="Times New Roman" w:cs="Times New Roman"/>
          <w:sz w:val="24"/>
          <w:szCs w:val="24"/>
        </w:rPr>
        <w:t xml:space="preserve">V </w:t>
      </w:r>
      <w:r w:rsidRPr="009D52EB">
        <w:rPr>
          <w:rFonts w:ascii="Times New Roman" w:hAnsi="Times New Roman" w:cs="Times New Roman"/>
          <w:sz w:val="24"/>
          <w:szCs w:val="24"/>
        </w:rPr>
        <w:t xml:space="preserve">was </w:t>
      </w:r>
      <w:r w:rsidR="00D43DB0" w:rsidRPr="009D52EB">
        <w:rPr>
          <w:rFonts w:ascii="Times New Roman" w:hAnsi="Times New Roman" w:cs="Times New Roman"/>
          <w:sz w:val="24"/>
          <w:szCs w:val="24"/>
        </w:rPr>
        <w:t xml:space="preserve">determined by the product of </w:t>
      </w:r>
      <w:r w:rsidRPr="009D52EB">
        <w:rPr>
          <w:rFonts w:ascii="Times New Roman" w:hAnsi="Times New Roman" w:cs="Times New Roman"/>
          <w:sz w:val="24"/>
          <w:szCs w:val="24"/>
        </w:rPr>
        <w:t xml:space="preserve">the </w:t>
      </w:r>
      <w:r w:rsidR="00D43DB0" w:rsidRPr="009D52EB">
        <w:rPr>
          <w:rFonts w:ascii="Times New Roman" w:hAnsi="Times New Roman" w:cs="Times New Roman"/>
          <w:sz w:val="24"/>
          <w:szCs w:val="24"/>
        </w:rPr>
        <w:t xml:space="preserve">area-specific </w:t>
      </w:r>
      <w:r w:rsidR="00A42334">
        <w:rPr>
          <w:rFonts w:ascii="Times New Roman" w:hAnsi="Times New Roman" w:cs="Times New Roman"/>
          <w:sz w:val="24"/>
          <w:szCs w:val="24"/>
        </w:rPr>
        <w:t>high-frequency</w:t>
      </w:r>
      <w:r w:rsidR="00155190" w:rsidRPr="009D52EB">
        <w:rPr>
          <w:rFonts w:ascii="Times New Roman" w:hAnsi="Times New Roman" w:cs="Times New Roman"/>
          <w:sz w:val="24"/>
          <w:szCs w:val="24"/>
        </w:rPr>
        <w:t xml:space="preserve"> resistance (</w:t>
      </w:r>
      <w:r w:rsidR="00A42334">
        <w:rPr>
          <w:rFonts w:ascii="Times New Roman" w:hAnsi="Times New Roman" w:cs="Times New Roman"/>
          <w:sz w:val="24"/>
          <w:szCs w:val="24"/>
        </w:rPr>
        <w:t>HFR</w:t>
      </w:r>
      <w:r w:rsidR="00155190" w:rsidRPr="009D52EB">
        <w:rPr>
          <w:rFonts w:ascii="Times New Roman" w:hAnsi="Times New Roman" w:cs="Times New Roman"/>
          <w:sz w:val="24"/>
          <w:szCs w:val="24"/>
        </w:rPr>
        <w:t xml:space="preserve">) </w:t>
      </w:r>
      <w:r w:rsidR="004A11C2" w:rsidRPr="009D52EB">
        <w:rPr>
          <w:rFonts w:ascii="Times New Roman" w:hAnsi="Times New Roman" w:cs="Times New Roman"/>
          <w:sz w:val="24"/>
          <w:szCs w:val="24"/>
        </w:rPr>
        <w:t xml:space="preserve">of </w:t>
      </w:r>
      <w:r w:rsidR="004A7ADC">
        <w:rPr>
          <w:rFonts w:ascii="Times New Roman" w:hAnsi="Times New Roman" w:cs="Times New Roman"/>
          <w:sz w:val="24"/>
          <w:szCs w:val="24"/>
        </w:rPr>
        <w:t>SC-BPMEA</w:t>
      </w:r>
      <w:r w:rsidR="004A11C2" w:rsidRPr="009D52EB">
        <w:rPr>
          <w:rFonts w:ascii="Times New Roman" w:hAnsi="Times New Roman" w:cs="Times New Roman"/>
          <w:sz w:val="24"/>
          <w:szCs w:val="24"/>
        </w:rPr>
        <w:t xml:space="preserve"> </w:t>
      </w:r>
      <w:r w:rsidR="00D43DB0" w:rsidRPr="009D52EB">
        <w:rPr>
          <w:rFonts w:ascii="Times New Roman" w:hAnsi="Times New Roman" w:cs="Times New Roman"/>
          <w:sz w:val="24"/>
          <w:szCs w:val="24"/>
        </w:rPr>
        <w:t>and current density.</w:t>
      </w:r>
      <w:r w:rsidR="004A11C2" w:rsidRPr="009D52EB">
        <w:rPr>
          <w:rFonts w:ascii="Times New Roman" w:hAnsi="Times New Roman" w:cs="Times New Roman"/>
          <w:sz w:val="24"/>
          <w:szCs w:val="24"/>
        </w:rPr>
        <w:t xml:space="preserve"> The area-specific </w:t>
      </w:r>
      <w:r w:rsidR="00E32A3F">
        <w:rPr>
          <w:rFonts w:ascii="Times New Roman" w:hAnsi="Times New Roman" w:cs="Times New Roman"/>
          <w:sz w:val="24"/>
          <w:szCs w:val="24"/>
        </w:rPr>
        <w:t>HFR</w:t>
      </w:r>
      <w:r w:rsidR="004A11C2" w:rsidRPr="009D52EB">
        <w:rPr>
          <w:rFonts w:ascii="Times New Roman" w:hAnsi="Times New Roman" w:cs="Times New Roman"/>
          <w:sz w:val="24"/>
          <w:szCs w:val="24"/>
        </w:rPr>
        <w:t xml:space="preserve"> of </w:t>
      </w:r>
      <w:r w:rsidR="004A7ADC">
        <w:rPr>
          <w:rFonts w:ascii="Times New Roman" w:hAnsi="Times New Roman" w:cs="Times New Roman"/>
          <w:sz w:val="24"/>
          <w:szCs w:val="24"/>
        </w:rPr>
        <w:t>SC-BPMEA</w:t>
      </w:r>
      <w:r w:rsidR="004A11C2" w:rsidRPr="009D52EB">
        <w:rPr>
          <w:rFonts w:ascii="Times New Roman" w:hAnsi="Times New Roman" w:cs="Times New Roman"/>
          <w:sz w:val="24"/>
          <w:szCs w:val="24"/>
        </w:rPr>
        <w:t xml:space="preserve"> was measured by EIS at </w:t>
      </w:r>
      <w:r w:rsidR="00AB0A1E" w:rsidRPr="009D52EB">
        <w:rPr>
          <w:rFonts w:ascii="Times New Roman" w:hAnsi="Times New Roman" w:cs="Times New Roman"/>
          <w:sz w:val="24"/>
          <w:szCs w:val="24"/>
        </w:rPr>
        <w:t xml:space="preserve">the </w:t>
      </w:r>
      <w:r w:rsidR="004A11C2" w:rsidRPr="009D52EB">
        <w:rPr>
          <w:rFonts w:ascii="Times New Roman" w:hAnsi="Times New Roman" w:cs="Times New Roman"/>
          <w:sz w:val="24"/>
          <w:szCs w:val="24"/>
        </w:rPr>
        <w:t>open-circuit voltage</w:t>
      </w:r>
      <w:r w:rsidR="009E36B2" w:rsidRPr="009D52EB">
        <w:rPr>
          <w:rFonts w:ascii="Times New Roman" w:hAnsi="Times New Roman" w:cs="Times New Roman"/>
          <w:sz w:val="24"/>
          <w:szCs w:val="24"/>
        </w:rPr>
        <w:t xml:space="preserve"> and 35 </w:t>
      </w:r>
      <w:r w:rsidR="009E36B2" w:rsidRPr="009D52EB">
        <w:rPr>
          <w:rFonts w:ascii="Times New Roman" w:hAnsi="Times New Roman" w:cs="Times New Roman"/>
          <w:sz w:val="24"/>
          <w:szCs w:val="24"/>
          <w:vertAlign w:val="superscript"/>
        </w:rPr>
        <w:t>o</w:t>
      </w:r>
      <w:r w:rsidR="009E36B2" w:rsidRPr="009D52EB">
        <w:rPr>
          <w:rFonts w:ascii="Times New Roman" w:hAnsi="Times New Roman" w:cs="Times New Roman"/>
          <w:sz w:val="24"/>
          <w:szCs w:val="24"/>
        </w:rPr>
        <w:t>C</w:t>
      </w:r>
      <w:r w:rsidR="009430EF" w:rsidRPr="009D52EB">
        <w:rPr>
          <w:rFonts w:ascii="Times New Roman" w:hAnsi="Times New Roman" w:cs="Times New Roman"/>
          <w:sz w:val="24"/>
          <w:szCs w:val="24"/>
        </w:rPr>
        <w:t>. The high-frequency intercept on the real axis is used to evaluate</w:t>
      </w:r>
      <w:r w:rsidR="00DA5FE5" w:rsidRPr="009D52EB">
        <w:rPr>
          <w:rFonts w:ascii="Times New Roman" w:hAnsi="Times New Roman" w:cs="Times New Roman"/>
          <w:sz w:val="24"/>
          <w:szCs w:val="24"/>
        </w:rPr>
        <w:t xml:space="preserve"> </w:t>
      </w:r>
      <w:r w:rsidR="00E32A3F">
        <w:rPr>
          <w:rFonts w:ascii="Times New Roman" w:hAnsi="Times New Roman" w:cs="Times New Roman"/>
          <w:sz w:val="24"/>
          <w:szCs w:val="24"/>
        </w:rPr>
        <w:t>HFR</w:t>
      </w:r>
      <w:r w:rsidR="003043C9" w:rsidRPr="009D52EB">
        <w:rPr>
          <w:rFonts w:ascii="Times New Roman" w:hAnsi="Times New Roman" w:cs="Times New Roman"/>
          <w:sz w:val="24"/>
          <w:szCs w:val="24"/>
        </w:rPr>
        <w:t xml:space="preserve"> (</w:t>
      </w:r>
      <w:r w:rsidR="00DE0DCA">
        <w:rPr>
          <w:rFonts w:ascii="Times New Roman" w:hAnsi="Times New Roman" w:cs="Times New Roman"/>
          <w:sz w:val="24"/>
          <w:szCs w:val="24"/>
        </w:rPr>
        <w:t>Supplementary Fig.</w:t>
      </w:r>
      <w:r w:rsidR="003043C9" w:rsidRPr="009D52EB">
        <w:rPr>
          <w:rFonts w:ascii="Times New Roman" w:hAnsi="Times New Roman" w:cs="Times New Roman"/>
          <w:sz w:val="24"/>
          <w:szCs w:val="24"/>
        </w:rPr>
        <w:t xml:space="preserve"> </w:t>
      </w:r>
      <w:r w:rsidR="004B134A">
        <w:rPr>
          <w:rFonts w:ascii="Times New Roman" w:hAnsi="Times New Roman" w:cs="Times New Roman"/>
          <w:sz w:val="24"/>
          <w:szCs w:val="24"/>
        </w:rPr>
        <w:t>13d</w:t>
      </w:r>
      <w:r w:rsidR="003043C9" w:rsidRPr="009D52EB">
        <w:rPr>
          <w:rFonts w:ascii="Times New Roman" w:hAnsi="Times New Roman" w:cs="Times New Roman"/>
          <w:sz w:val="24"/>
          <w:szCs w:val="24"/>
        </w:rPr>
        <w:t>)</w:t>
      </w:r>
      <w:r w:rsidR="00DA5FE5" w:rsidRPr="009D52EB">
        <w:rPr>
          <w:rFonts w:ascii="Times New Roman" w:hAnsi="Times New Roman" w:cs="Times New Roman"/>
          <w:sz w:val="24"/>
          <w:szCs w:val="24"/>
        </w:rPr>
        <w:t>.</w:t>
      </w:r>
      <w:r w:rsidR="004A7917" w:rsidRPr="00E85E3D">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{"citationItems":[{"id":"ITEM-1","itemData":{"DOI":"10.1002/adma.201103872","ISSN":"09359648 15214095","abstract":"Supercapacitor electrode materials: Carbon nanocages are conveniently produced by an in situ MgO template method and demonstrate high specific capacitance over a wide range of charging- discharging rates with high stability, superior to the most carbonaceous supercapacitor electrode materials to date. The large specific surface area, good mesoporosity, and regular structure are responsible for the excellent performance. Copyright © 2012 WILEY-VCH Verlag GmbH &amp; Co. KGaA, Weinheim.","author":[{"dropping-particle":"","family":"Xie","given":"K.","non-dropping-particle":"","parse-names":false,"suffix":""},{"dropping-particle":"","family":"Qin","given":"X.","non-dropping-particle":"","parse-names":false,"suffix":""},{"dropping-particle":"","family":"Wang","given":"X.","non-dropping-particle":"","parse-names":false,"suffix":""},{"dropping-particle":"","family":"Wang","given":"Y.","non-dropping-particle":"","parse-names":false,"suffix":""},{"dropping-particle":"","family":"Tao","given":"H.","non-dropping-particle":"","parse-names":false,"suffix":""},{"dropping-particle":"","family":"Wu","given":"Q.","non-dropping-particle":"","parse-names":false,"suffix":""},{"dropping-particle":"","family":"Yang","given":"L.","non-dropping-particle":"","parse-names":false,"suffix":""},{"dropping-particle":"","family":"Hu","given":"Z.","non-dropping-particle":"","parse-names":false,"suffix":""}],"container-title":"Advanced Materials","id":"ITEM-1","issue":"3","issued":{"date-parts":[["2012"]]},"page":"347-352","title":"Carbon nanocages as supercapacitor electrode materials","type":"article-journal","volume":"24"},"uris":["http://www.mendeley.com/documents/?uuid=dba1fcdb-99e6-3789-8f70-48951777c44d"]}],"mendeley":{"formattedCitation":"&lt;sup&gt;33&lt;/sup&gt;","plainTextFormattedCitation":"33","previouslyFormattedCitation":"&lt;sup&gt;48&lt;/sup&gt;"},"properties":{"noteIndex":0},"schema":"https://github.com/citation-style-language/schema/raw/master/csl-citation.json"}</w:instrText>
      </w:r>
      <w:r w:rsidR="004A7917" w:rsidRPr="00E85E3D">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33</w:t>
      </w:r>
      <w:r w:rsidR="004A7917" w:rsidRPr="00E85E3D">
        <w:rPr>
          <w:rFonts w:ascii="Times New Roman" w:hAnsi="Times New Roman" w:cs="Times New Roman"/>
          <w:sz w:val="24"/>
          <w:szCs w:val="24"/>
        </w:rPr>
        <w:fldChar w:fldCharType="end"/>
      </w:r>
    </w:p>
    <w:p w14:paraId="2FF09809" w14:textId="5E0D8C12" w:rsidR="00DC288A" w:rsidRPr="00805810" w:rsidRDefault="00D9121B">
      <w:pPr>
        <w:jc w:val="both"/>
        <w:rPr>
          <w:rFonts w:ascii="Times New Roman" w:hAnsi="Times New Roman" w:cs="Times New Roman"/>
          <w:sz w:val="24"/>
          <w:szCs w:val="24"/>
        </w:rPr>
      </w:pPr>
      <w:r w:rsidRPr="009D52EB">
        <w:rPr>
          <w:rFonts w:ascii="Times New Roman" w:hAnsi="Times New Roman" w:cs="Times New Roman"/>
          <w:sz w:val="24"/>
          <w:szCs w:val="24"/>
        </w:rPr>
        <w:t xml:space="preserve">Nernstian pH loss </w:t>
      </w:r>
      <w:r w:rsidR="00AB0A1E" w:rsidRPr="009D52EB">
        <w:rPr>
          <w:rFonts w:ascii="Times New Roman" w:hAnsi="Times New Roman" w:cs="Times New Roman"/>
          <w:sz w:val="24"/>
          <w:szCs w:val="24"/>
        </w:rPr>
        <w:t xml:space="preserve">was estimated to be </w:t>
      </w:r>
      <w:r w:rsidRPr="009D52EB">
        <w:rPr>
          <w:rFonts w:ascii="Times New Roman" w:hAnsi="Times New Roman" w:cs="Times New Roman"/>
          <w:sz w:val="24"/>
          <w:szCs w:val="24"/>
        </w:rPr>
        <w:t>0.</w:t>
      </w:r>
      <w:r w:rsidR="00E20FC1" w:rsidRPr="009D52EB">
        <w:rPr>
          <w:rFonts w:ascii="Times New Roman" w:hAnsi="Times New Roman" w:cs="Times New Roman"/>
          <w:sz w:val="24"/>
          <w:szCs w:val="24"/>
        </w:rPr>
        <w:t>5</w:t>
      </w:r>
      <w:r w:rsidRPr="009D52EB">
        <w:rPr>
          <w:rFonts w:ascii="Times New Roman" w:hAnsi="Times New Roman" w:cs="Times New Roman"/>
          <w:sz w:val="24"/>
          <w:szCs w:val="24"/>
        </w:rPr>
        <w:t>1 V the cathode</w:t>
      </w:r>
      <w:r w:rsidR="00AB0A1E" w:rsidRPr="009D52EB">
        <w:rPr>
          <w:rFonts w:ascii="Times New Roman" w:hAnsi="Times New Roman" w:cs="Times New Roman"/>
          <w:sz w:val="24"/>
          <w:szCs w:val="24"/>
        </w:rPr>
        <w:t>-</w:t>
      </w:r>
      <w:r w:rsidR="00430CC4" w:rsidRPr="009D52EB">
        <w:rPr>
          <w:rFonts w:ascii="Times New Roman" w:hAnsi="Times New Roman" w:cs="Times New Roman"/>
          <w:sz w:val="24"/>
          <w:szCs w:val="24"/>
        </w:rPr>
        <w:t>surface</w:t>
      </w:r>
      <w:r w:rsidRPr="009D52EB">
        <w:rPr>
          <w:rFonts w:ascii="Times New Roman" w:hAnsi="Times New Roman" w:cs="Times New Roman"/>
          <w:sz w:val="24"/>
          <w:szCs w:val="24"/>
        </w:rPr>
        <w:t>-to-catholyte</w:t>
      </w:r>
      <w:r w:rsidR="00AB0A1E" w:rsidRPr="009D52EB">
        <w:rPr>
          <w:rFonts w:ascii="Times New Roman" w:hAnsi="Times New Roman" w:cs="Times New Roman"/>
          <w:sz w:val="24"/>
          <w:szCs w:val="24"/>
        </w:rPr>
        <w:t>-</w:t>
      </w:r>
      <w:r w:rsidR="00430CC4" w:rsidRPr="009D52EB">
        <w:rPr>
          <w:rFonts w:ascii="Times New Roman" w:hAnsi="Times New Roman" w:cs="Times New Roman"/>
          <w:sz w:val="24"/>
          <w:szCs w:val="24"/>
        </w:rPr>
        <w:t>bulk</w:t>
      </w:r>
      <w:r w:rsidRPr="009D52EB">
        <w:rPr>
          <w:rFonts w:ascii="Times New Roman" w:hAnsi="Times New Roman" w:cs="Times New Roman"/>
          <w:sz w:val="24"/>
          <w:szCs w:val="24"/>
        </w:rPr>
        <w:t xml:space="preserve"> pH gradient using the following </w:t>
      </w:r>
      <w:r w:rsidR="00AB0A1E" w:rsidRPr="009D52EB">
        <w:rPr>
          <w:rFonts w:ascii="Times New Roman" w:hAnsi="Times New Roman" w:cs="Times New Roman"/>
          <w:sz w:val="24"/>
          <w:szCs w:val="24"/>
        </w:rPr>
        <w:t>equation</w:t>
      </w:r>
      <w:r w:rsidRPr="009D52EB">
        <w:rPr>
          <w:rFonts w:ascii="Times New Roman" w:hAnsi="Times New Roman" w:cs="Times New Roman"/>
          <w:sz w:val="24"/>
          <w:szCs w:val="24"/>
        </w:rPr>
        <w:t>:</w:t>
      </w:r>
      <w:r w:rsidR="002A7514" w:rsidRPr="00E85E3D">
        <w:rPr>
          <w:rFonts w:ascii="Times New Roman" w:hAnsi="Times New Roman" w:cs="Times New Roman"/>
          <w:sz w:val="24"/>
          <w:szCs w:val="24"/>
        </w:rPr>
        <w:fldChar w:fldCharType="begin" w:fldLock="1"/>
      </w:r>
      <w:r w:rsidR="002B6039">
        <w:rPr>
          <w:rFonts w:ascii="Times New Roman" w:hAnsi="Times New Roman" w:cs="Times New Roman"/>
          <w:sz w:val="24"/>
          <w:szCs w:val="24"/>
        </w:rPr>
        <w:instrText>ADDIN CSL_CITATION {"citationItems":[{"id":"ITEM-1","itemData":{"abstract":"Carbon dioxide electroreduction (CO 2 R) is being actively studied as a promising route to convert carbon emissions to valuable chemicals and fuels. However, the fraction of input CO 2 that is productively reduced has typically been very low, &lt;2% for multicarbon products; the balance reacts with hydroxide to form carbonate in both alkaline and neutral reactors. Acidic electrolytes would overcome this limitation, but hydrogen evolution has hitherto dominated under those conditions. We report that concentrating potassium cations in the vicinity of electrochemically active sites accelerates CO 2 activation to enable efficient CO 2 R in acid. We achieve CO 2 R on copper at pH &lt;1 with a single-pass CO 2 utilization of 77%, including a conversion efficiency of 50% toward multicarbon products (ethylene, ethanol, and 1-propanol) at a current density of 1.2 amperes per square centimeter and a full-cell voltage of 4.2 volts.","author":[{"dropping-particle":"","family":"Huang","given":"Jianan Erick","non-dropping-particle":"","parse-names":false,"suffix":""},{"dropping-particle":"","family":"Li","given":"Fengwang","non-dropping-particle":"","parse-names":false,"suffix":""},{"dropping-particle":"","family":"Ozden","given":"Adnan","non-dropping-particle":"","parse-names":false,"suffix":""},{"dropping-particle":"","family":"Rasouli","given":"Armin Sedighian","non-dropping-particle":"","parse-names":false,"suffix":""},{"dropping-particle":"","family":"Pelayo","given":"F","non-dropping-particle":"","parse-names":false,"suffix":""},{"dropping-particle":"De","family":"Arquer","given":"García","non-dropping-particle":"","parse-names":false,"suffix":""},{"dropping-particle":"","family":"Liu","given":"Shijie","non-dropping-particle":"","parse-names":false,"suffix":""},{"dropping-particle":"","family":"Zhang","given":"Shuzhen","non-dropping-particle":"","parse-names":false,"suffix":""},{"dropping-particle":"","family":"Luo","given":"Mingchuan","non-dropping-particle":"","parse-names":false,"suffix":""},{"dropping-particle":"","family":"Xu","given":"Yi","non-dropping-particle":"","parse-names":false,"suffix":""},{"dropping-particle":"","family":"Bertens","given":"Koen","non-dropping-particle":"","parse-names":false,"suffix":""}],"container-title":"Science","id":"ITEM-1","issue":"June","issued":{"date-parts":[["2021"]]},"page":"1074-1078","title":"CO 2 electrolysis to multi-carbon products in strong acid","type":"article-journal","volume":"372"},"uris":["http://www.mendeley.com/documents/?uuid=40838bc2-1742-486f-b643-67a41a39ec68"]}],"mendeley":{"formattedCitation":"&lt;sup&gt;6&lt;/sup&gt;","plainTextFormattedCitation":"6","previouslyFormattedCitation":"&lt;sup&gt;6&lt;/sup&gt;"},"properties":{"noteIndex":0},"schema":"https://github.com/citation-style-language/schema/raw/master/csl-citation.json"}</w:instrText>
      </w:r>
      <w:r w:rsidR="002A7514" w:rsidRPr="00E85E3D">
        <w:rPr>
          <w:rFonts w:ascii="Times New Roman" w:hAnsi="Times New Roman" w:cs="Times New Roman"/>
          <w:sz w:val="24"/>
          <w:szCs w:val="24"/>
        </w:rPr>
        <w:fldChar w:fldCharType="separate"/>
      </w:r>
      <w:r w:rsidR="007F7E70" w:rsidRPr="007F7E70">
        <w:rPr>
          <w:rFonts w:ascii="Times New Roman" w:hAnsi="Times New Roman" w:cs="Times New Roman"/>
          <w:noProof/>
          <w:sz w:val="24"/>
          <w:szCs w:val="24"/>
          <w:vertAlign w:val="superscript"/>
        </w:rPr>
        <w:t>6</w:t>
      </w:r>
      <w:r w:rsidR="002A7514" w:rsidRPr="00E85E3D">
        <w:rPr>
          <w:rFonts w:ascii="Times New Roman" w:hAnsi="Times New Roman" w:cs="Times New Roman"/>
          <w:sz w:val="24"/>
          <w:szCs w:val="24"/>
        </w:rPr>
        <w:fldChar w:fldCharType="end"/>
      </w:r>
    </w:p>
    <w:p w14:paraId="60AA0752" w14:textId="1646C929" w:rsidR="00D9121B" w:rsidRPr="00E85E3D" w:rsidRDefault="00D37A04">
      <w:pPr>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Nernstian</m:t>
              </m:r>
            </m:sub>
          </m:sSub>
          <m:r>
            <w:rPr>
              <w:rFonts w:ascii="Cambria Math" w:hAnsi="Cambria Math" w:cs="Times New Roman"/>
              <w:sz w:val="24"/>
              <w:szCs w:val="24"/>
            </w:rPr>
            <m:t>=0.059×</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pH</m:t>
                  </m:r>
                </m:e>
                <m:sub>
                  <m:r>
                    <w:rPr>
                      <w:rFonts w:ascii="Cambria Math" w:hAnsi="Cambria Math" w:cs="Times New Roman"/>
                      <w:sz w:val="24"/>
                      <w:szCs w:val="24"/>
                    </w:rPr>
                    <m:t>surface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pH</m:t>
                  </m:r>
                </m:e>
                <m:sub>
                  <m:r>
                    <w:rPr>
                      <w:rFonts w:ascii="Cambria Math" w:hAnsi="Cambria Math" w:cs="Times New Roman"/>
                      <w:sz w:val="24"/>
                      <w:szCs w:val="24"/>
                    </w:rPr>
                    <m:t>bulk</m:t>
                  </m:r>
                </m:sub>
              </m:sSub>
            </m:e>
          </m:d>
        </m:oMath>
      </m:oMathPara>
    </w:p>
    <w:p w14:paraId="2853C7BA" w14:textId="15BDDD7D" w:rsidR="002564D5" w:rsidRPr="009D52EB" w:rsidRDefault="000662A2">
      <w:pPr>
        <w:jc w:val="both"/>
        <w:rPr>
          <w:rFonts w:ascii="Times New Roman" w:hAnsi="Times New Roman" w:cs="Times New Roman"/>
          <w:sz w:val="24"/>
          <w:szCs w:val="24"/>
        </w:rPr>
      </w:pPr>
      <w:r w:rsidRPr="009D52EB">
        <w:rPr>
          <w:rFonts w:ascii="Times New Roman" w:hAnsi="Times New Roman" w:cs="Times New Roman"/>
          <w:sz w:val="24"/>
          <w:szCs w:val="24"/>
        </w:rPr>
        <w:lastRenderedPageBreak/>
        <w:t>The sum of</w:t>
      </w:r>
      <w:r w:rsidR="00852098" w:rsidRPr="009D52EB">
        <w:rPr>
          <w:rFonts w:ascii="Times New Roman" w:hAnsi="Times New Roman" w:cs="Times New Roman"/>
          <w:sz w:val="24"/>
          <w:szCs w:val="24"/>
        </w:rPr>
        <w:t xml:space="preserve"> </w:t>
      </w:r>
      <w:r w:rsidR="009430EF" w:rsidRPr="009D52EB">
        <w:rPr>
          <w:rFonts w:ascii="Times New Roman" w:hAnsi="Times New Roman" w:cs="Times New Roman"/>
          <w:sz w:val="24"/>
          <w:szCs w:val="24"/>
        </w:rPr>
        <w:t xml:space="preserve">the </w:t>
      </w:r>
      <w:r w:rsidR="00852098" w:rsidRPr="009D52EB">
        <w:rPr>
          <w:rFonts w:ascii="Times New Roman" w:hAnsi="Times New Roman" w:cs="Times New Roman"/>
          <w:sz w:val="24"/>
          <w:szCs w:val="24"/>
        </w:rPr>
        <w:t xml:space="preserve">above </w:t>
      </w:r>
      <w:r w:rsidRPr="009D52EB">
        <w:rPr>
          <w:rFonts w:ascii="Times New Roman" w:hAnsi="Times New Roman" w:cs="Times New Roman"/>
          <w:sz w:val="24"/>
          <w:szCs w:val="24"/>
        </w:rPr>
        <w:t>voltages is 3.</w:t>
      </w:r>
      <w:r w:rsidR="006A2EF6" w:rsidRPr="009D52EB">
        <w:rPr>
          <w:rFonts w:ascii="Times New Roman" w:hAnsi="Times New Roman" w:cs="Times New Roman"/>
          <w:sz w:val="24"/>
          <w:szCs w:val="24"/>
        </w:rPr>
        <w:t>58</w:t>
      </w:r>
      <w:r w:rsidRPr="009D52EB">
        <w:rPr>
          <w:rFonts w:ascii="Times New Roman" w:hAnsi="Times New Roman" w:cs="Times New Roman"/>
          <w:sz w:val="24"/>
          <w:szCs w:val="24"/>
        </w:rPr>
        <w:t xml:space="preserve"> V</w:t>
      </w:r>
      <w:r w:rsidR="0031644D" w:rsidRPr="009D52EB">
        <w:rPr>
          <w:rFonts w:ascii="Times New Roman" w:hAnsi="Times New Roman" w:cs="Times New Roman"/>
          <w:sz w:val="24"/>
          <w:szCs w:val="24"/>
        </w:rPr>
        <w:t xml:space="preserve"> which is</w:t>
      </w:r>
      <w:r w:rsidRPr="009D52EB">
        <w:rPr>
          <w:rFonts w:ascii="Times New Roman" w:hAnsi="Times New Roman" w:cs="Times New Roman"/>
          <w:sz w:val="24"/>
          <w:szCs w:val="24"/>
        </w:rPr>
        <w:t xml:space="preserve"> 0.</w:t>
      </w:r>
      <w:r w:rsidR="00124925" w:rsidRPr="009D52EB">
        <w:rPr>
          <w:rFonts w:ascii="Times New Roman" w:hAnsi="Times New Roman" w:cs="Times New Roman"/>
          <w:sz w:val="24"/>
          <w:szCs w:val="24"/>
        </w:rPr>
        <w:t>24</w:t>
      </w:r>
      <w:r w:rsidRPr="009D52EB">
        <w:rPr>
          <w:rFonts w:ascii="Times New Roman" w:hAnsi="Times New Roman" w:cs="Times New Roman"/>
          <w:sz w:val="24"/>
          <w:szCs w:val="24"/>
        </w:rPr>
        <w:t xml:space="preserve"> V lower than the </w:t>
      </w:r>
      <w:r w:rsidR="007E57AC" w:rsidRPr="009D52EB">
        <w:rPr>
          <w:rFonts w:ascii="Times New Roman" w:hAnsi="Times New Roman" w:cs="Times New Roman"/>
          <w:sz w:val="24"/>
          <w:szCs w:val="24"/>
        </w:rPr>
        <w:t>experimentally measured voltage of 3.8</w:t>
      </w:r>
      <w:r w:rsidR="00182D2A" w:rsidRPr="009D52EB">
        <w:rPr>
          <w:rFonts w:ascii="Times New Roman" w:hAnsi="Times New Roman" w:cs="Times New Roman"/>
          <w:sz w:val="24"/>
          <w:szCs w:val="24"/>
        </w:rPr>
        <w:t>2</w:t>
      </w:r>
      <w:r w:rsidR="007E57AC" w:rsidRPr="009D52EB">
        <w:rPr>
          <w:rFonts w:ascii="Times New Roman" w:hAnsi="Times New Roman" w:cs="Times New Roman"/>
          <w:sz w:val="24"/>
          <w:szCs w:val="24"/>
        </w:rPr>
        <w:t xml:space="preserve"> V. This is assigned to ‘other’ voltage losses, including water dissociation overpotential,</w:t>
      </w:r>
      <w:r w:rsidR="004917CB" w:rsidRPr="00E85E3D">
        <w:rPr>
          <w:rFonts w:ascii="Times New Roman" w:hAnsi="Times New Roman" w:cs="Times New Roman"/>
          <w:sz w:val="24"/>
          <w:szCs w:val="24"/>
        </w:rPr>
        <w:fldChar w:fldCharType="begin" w:fldLock="1"/>
      </w:r>
      <w:r w:rsidR="002B6039">
        <w:rPr>
          <w:rFonts w:ascii="Times New Roman" w:hAnsi="Times New Roman" w:cs="Times New Roman"/>
          <w:sz w:val="24"/>
          <w:szCs w:val="24"/>
        </w:rPr>
        <w:instrText>ADDIN CSL_CITATION {"citationItems":[{"id":"ITEM-1","itemData":{"DOI":"10.1126/science.aaz1487","ISSN":"10959203","PMID":"32616669","abstract":"Catalyzing water dissociation (WD) into protons and hydroxide ions is important both for fabricating bipolar membranes (BPMs) that can couple different pH environments into a single electrochemical device and for accelerating electrocatalytic reactions that consume protons in neutral to alkaline media. We designed a BPM electrolyzer to quantitatively measure WD kinetics and show that, for metal nanoparticles, WD activity correlates with alkaline hydrogen evolution reaction activity. By combining metal-oxide WD catalysts that are efficient near the acidic proton-exchange layer with those efficient near the alkaline hydroxide-exchange layer, we demonstrate a BPM driving WD with overpotentials of &lt;10 mV at 20 mA·cm−2 and pure water BPM electrolyzers that operate with an alkaline anode and acidic cathode at 500 mA·cm−2 with a total electrolysis voltage of ~2.2 V.","author":[{"dropping-particle":"","family":"Oener","given":"Sebastian Z.","non-dropping-particle":"","parse-names":false,"suffix":""},{"dropping-particle":"","family":"Foster","given":"Marc J.","non-dropping-particle":"","parse-names":false,"suffix":""},{"dropping-particle":"","family":"Boettcher","given":"Shannon W.","non-dropping-particle":"","parse-names":false,"suffix":""}],"container-title":"Science","id":"ITEM-1","issue":"6507","issued":{"date-parts":[["2020"]]},"page":"1099-1103","title":"Accelerating water dissociation in bipolar membranes and for electrocatalysis","type":"article-journal","volume":"369"},"uris":["http://www.mendeley.com/documents/?uuid=70688eaa-3a39-44c5-bd2d-a198402cb42c"]}],"mendeley":{"formattedCitation":"&lt;sup&gt;20&lt;/sup&gt;","plainTextFormattedCitation":"20","previouslyFormattedCitation":"&lt;sup&gt;20&lt;/sup&gt;"},"properties":{"noteIndex":0},"schema":"https://github.com/citation-style-language/schema/raw/master/csl-citation.json"}</w:instrText>
      </w:r>
      <w:r w:rsidR="004917CB" w:rsidRPr="00E85E3D">
        <w:rPr>
          <w:rFonts w:ascii="Times New Roman" w:hAnsi="Times New Roman" w:cs="Times New Roman"/>
          <w:sz w:val="24"/>
          <w:szCs w:val="24"/>
        </w:rPr>
        <w:fldChar w:fldCharType="separate"/>
      </w:r>
      <w:r w:rsidR="007F7E70" w:rsidRPr="007F7E70">
        <w:rPr>
          <w:rFonts w:ascii="Times New Roman" w:hAnsi="Times New Roman" w:cs="Times New Roman"/>
          <w:noProof/>
          <w:sz w:val="24"/>
          <w:szCs w:val="24"/>
          <w:vertAlign w:val="superscript"/>
        </w:rPr>
        <w:t>20</w:t>
      </w:r>
      <w:r w:rsidR="004917CB" w:rsidRPr="00E85E3D">
        <w:rPr>
          <w:rFonts w:ascii="Times New Roman" w:hAnsi="Times New Roman" w:cs="Times New Roman"/>
          <w:sz w:val="24"/>
          <w:szCs w:val="24"/>
        </w:rPr>
        <w:fldChar w:fldCharType="end"/>
      </w:r>
      <w:r w:rsidR="007E57AC" w:rsidRPr="00805810">
        <w:rPr>
          <w:rFonts w:ascii="Times New Roman" w:hAnsi="Times New Roman" w:cs="Times New Roman"/>
          <w:sz w:val="24"/>
          <w:szCs w:val="24"/>
        </w:rPr>
        <w:t xml:space="preserve"> interface resistance,</w:t>
      </w:r>
      <w:r w:rsidR="001E02E2" w:rsidRPr="00E85E3D">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{"citationItems":[{"id":"ITEM-1","itemData":{"DOI":"10.1039/c0cp00662a","ISSN":"14639076","abstract":"Interfacial resistances between the polymer electrolyte membrane (PEM) and catalyst layer (CL) in membrane-electrode assemblies (MEAs) have yet to be systematically examined in spite of its great importance on the fuel cell performance. In order to investigate ionic transport through the PEM/CL interface, the symmetrical impedance mode (SIM) was employed in which the same type of gas was injected (H2/H2). In this study, the ionic transport resistance at the interface was controlled by the additionally sprayed outer ionomer on the surface of each CL. Effectiveness of the outer ionomer on ionic transport at the interface was quantitatively explained by the reduced contact, proton hydration, and charge transport resistances in the SIM. To characterize the ionic transport resistance, the concept of total resistance (Rtot) in the SIM was introduced, representing the overall ohmic loss due to proton transport in an MEA. This concept was successfully supported via an agreement of the interpretation and the linear correlation that was obtained between the admittance (1/Rtot) and the performance of a fuel cell in the ohmic loss region. This correlation will enable researchers to predict the performance of a fuel cell under the influence of proton transport by examining the Rtot in the SIM. © 2010 the Owner Societies.","author":[{"dropping-particle":"","family":"Seo","given":"Seok Jun","non-dropping-particle":"","parse-names":false,"suffix":""},{"dropping-particle":"","family":"Woo","given":"Jung Je","non-dropping-particle":"","parse-names":false,"suffix":""},{"dropping-particle":"","family":"Yun","given":"Sung Hyun","non-dropping-particle":"","parse-names":false,"suffix":""},{"dropping-particle":"","family":"Lee","given":"Hong Joo","non-dropping-particle":"","parse-names":false,"suffix":""},{"dropping-particle":"","family":"Park","given":"Jin Soo","non-dropping-particle":"","parse-names":false,"suffix":""},{"dropping-particle":"","family":"Xu","given":"Tongwen","non-dropping-particle":"","parse-names":false,"suffix":""},{"dropping-particle":"","family":"Yang","given":"Tae Hyun","non-dropping-particle":"","parse-names":false,"suffix":""},{"dropping-particle":"","family":"Lee","given":"Jaeyoung","non-dropping-particle":"","parse-names":false,"suffix":""},{"dropping-particle":"","family":"Moon","given":"Seung Hyeon","non-dropping-particle":"","parse-names":false,"suffix":""}],"container-title":"Physical Chemistry Chemical Physics","id":"ITEM-1","issue":"46","issued":{"date-parts":[["2010"]]},"page":"15291-15300","title":"Analyses of interfacial resistances in a membrane-electrode assembly for a proton exchange membrane fuel cell using symmetrical impedance spectroscopy","type":"article-journal","volume":"12"},"uris":["http://www.mendeley.com/documents/?uuid=de7bae19-03ac-4be7-9fc2-a612bc30b736"]}],"mendeley":{"formattedCitation":"&lt;sup&gt;34&lt;/sup&gt;","plainTextFormattedCitation":"34","previouslyFormattedCitation":"&lt;sup&gt;49&lt;/sup&gt;"},"properties":{"noteIndex":0},"schema":"https://github.com/citation-style-language/schema/raw/master/csl-citation.json"}</w:instrText>
      </w:r>
      <w:r w:rsidR="001E02E2" w:rsidRPr="00E85E3D">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34</w:t>
      </w:r>
      <w:r w:rsidR="001E02E2" w:rsidRPr="00E85E3D">
        <w:rPr>
          <w:rFonts w:ascii="Times New Roman" w:hAnsi="Times New Roman" w:cs="Times New Roman"/>
          <w:sz w:val="24"/>
          <w:szCs w:val="24"/>
        </w:rPr>
        <w:fldChar w:fldCharType="end"/>
      </w:r>
      <w:r w:rsidR="007E57AC" w:rsidRPr="00805810">
        <w:rPr>
          <w:rFonts w:ascii="Times New Roman" w:hAnsi="Times New Roman" w:cs="Times New Roman"/>
          <w:sz w:val="24"/>
          <w:szCs w:val="24"/>
        </w:rPr>
        <w:t xml:space="preserve"> etc.</w:t>
      </w:r>
      <w:r w:rsidRPr="00E85E3D">
        <w:rPr>
          <w:rFonts w:ascii="Times New Roman" w:hAnsi="Times New Roman" w:cs="Times New Roman"/>
          <w:sz w:val="24"/>
          <w:szCs w:val="24"/>
        </w:rPr>
        <w:t xml:space="preserve"> </w:t>
      </w:r>
      <w:r w:rsidR="0017497C" w:rsidRPr="009D52EB">
        <w:rPr>
          <w:rFonts w:ascii="Times New Roman" w:hAnsi="Times New Roman" w:cs="Times New Roman"/>
          <w:sz w:val="24"/>
          <w:szCs w:val="24"/>
        </w:rPr>
        <w:t xml:space="preserve">Therefore, we conclude that the BPM’s water dissociation overpotential </w:t>
      </w:r>
      <w:r w:rsidR="00D620C2" w:rsidRPr="009D52EB">
        <w:rPr>
          <w:rFonts w:ascii="Times New Roman" w:hAnsi="Times New Roman" w:cs="Times New Roman"/>
          <w:sz w:val="24"/>
          <w:szCs w:val="24"/>
        </w:rPr>
        <w:t>(</w:t>
      </w:r>
      <w:r w:rsidR="00EC0164" w:rsidRPr="009D52EB">
        <w:rPr>
          <w:rFonts w:ascii="Times New Roman" w:hAnsi="Times New Roman" w:cs="Times New Roman"/>
          <w:sz w:val="24"/>
          <w:szCs w:val="24"/>
        </w:rPr>
        <w:t xml:space="preserve">likely </w:t>
      </w:r>
      <w:r w:rsidR="00D620C2" w:rsidRPr="009D52EB">
        <w:rPr>
          <w:rFonts w:ascii="Times New Roman" w:hAnsi="Times New Roman" w:cs="Times New Roman"/>
          <w:sz w:val="24"/>
          <w:szCs w:val="24"/>
        </w:rPr>
        <w:t>no more than 0.</w:t>
      </w:r>
      <w:r w:rsidR="0091315B" w:rsidRPr="009D52EB">
        <w:rPr>
          <w:rFonts w:ascii="Times New Roman" w:hAnsi="Times New Roman" w:cs="Times New Roman"/>
          <w:sz w:val="24"/>
          <w:szCs w:val="24"/>
        </w:rPr>
        <w:t>24</w:t>
      </w:r>
      <w:r w:rsidR="00D620C2" w:rsidRPr="009D52EB">
        <w:rPr>
          <w:rFonts w:ascii="Times New Roman" w:hAnsi="Times New Roman" w:cs="Times New Roman"/>
          <w:sz w:val="24"/>
          <w:szCs w:val="24"/>
        </w:rPr>
        <w:t xml:space="preserve"> V</w:t>
      </w:r>
      <w:r w:rsidR="00AB0A1E" w:rsidRPr="009D52EB">
        <w:rPr>
          <w:rFonts w:ascii="Times New Roman" w:hAnsi="Times New Roman" w:cs="Times New Roman"/>
          <w:sz w:val="24"/>
          <w:szCs w:val="24"/>
        </w:rPr>
        <w:t>, consistent with previous work on these systems</w:t>
      </w:r>
      <w:r w:rsidR="00D620C2" w:rsidRPr="009D52EB">
        <w:rPr>
          <w:rFonts w:ascii="Times New Roman" w:hAnsi="Times New Roman" w:cs="Times New Roman"/>
          <w:sz w:val="24"/>
          <w:szCs w:val="24"/>
        </w:rPr>
        <w:t xml:space="preserve">) </w:t>
      </w:r>
      <w:r w:rsidR="0017497C" w:rsidRPr="009D52EB">
        <w:rPr>
          <w:rFonts w:ascii="Times New Roman" w:hAnsi="Times New Roman" w:cs="Times New Roman"/>
          <w:sz w:val="24"/>
          <w:szCs w:val="24"/>
        </w:rPr>
        <w:t xml:space="preserve">in the </w:t>
      </w:r>
      <w:r w:rsidR="004A7ADC">
        <w:rPr>
          <w:rFonts w:ascii="Times New Roman" w:hAnsi="Times New Roman" w:cs="Times New Roman"/>
          <w:sz w:val="24"/>
          <w:szCs w:val="24"/>
        </w:rPr>
        <w:t>SC-BPMEA</w:t>
      </w:r>
      <w:r w:rsidR="0017497C" w:rsidRPr="009D52EB">
        <w:rPr>
          <w:rFonts w:ascii="Times New Roman" w:hAnsi="Times New Roman" w:cs="Times New Roman"/>
          <w:sz w:val="24"/>
          <w:szCs w:val="24"/>
        </w:rPr>
        <w:t xml:space="preserve"> is </w:t>
      </w:r>
      <w:r w:rsidR="00AB0A1E" w:rsidRPr="009D52EB">
        <w:rPr>
          <w:rFonts w:ascii="Times New Roman" w:hAnsi="Times New Roman" w:cs="Times New Roman"/>
          <w:sz w:val="24"/>
          <w:szCs w:val="24"/>
        </w:rPr>
        <w:t xml:space="preserve">small </w:t>
      </w:r>
      <w:r w:rsidR="0017497C" w:rsidRPr="009D52EB">
        <w:rPr>
          <w:rFonts w:ascii="Times New Roman" w:hAnsi="Times New Roman" w:cs="Times New Roman"/>
          <w:sz w:val="24"/>
          <w:szCs w:val="24"/>
        </w:rPr>
        <w:t>compared to the other voltage losses</w:t>
      </w:r>
      <w:r w:rsidR="00AB0A1E" w:rsidRPr="009D52EB">
        <w:rPr>
          <w:rFonts w:ascii="Times New Roman" w:hAnsi="Times New Roman" w:cs="Times New Roman"/>
          <w:sz w:val="24"/>
          <w:szCs w:val="24"/>
        </w:rPr>
        <w:t>, though further improvement of the BPM would be important particularly for CO</w:t>
      </w:r>
      <w:r w:rsidR="00AB0A1E" w:rsidRPr="009D52EB">
        <w:rPr>
          <w:rFonts w:ascii="Times New Roman" w:hAnsi="Times New Roman" w:cs="Times New Roman"/>
          <w:sz w:val="24"/>
          <w:szCs w:val="24"/>
          <w:vertAlign w:val="subscript"/>
        </w:rPr>
        <w:t>2</w:t>
      </w:r>
      <w:r w:rsidR="00AB0A1E" w:rsidRPr="009D52EB">
        <w:rPr>
          <w:rFonts w:ascii="Times New Roman" w:hAnsi="Times New Roman" w:cs="Times New Roman"/>
          <w:sz w:val="24"/>
          <w:szCs w:val="24"/>
        </w:rPr>
        <w:t xml:space="preserve"> electrolyzers operating at larger current densities, for example 1 A cm</w:t>
      </w:r>
      <w:r w:rsidR="00AB0A1E" w:rsidRPr="009D52EB">
        <w:rPr>
          <w:rFonts w:ascii="Times New Roman" w:hAnsi="Times New Roman" w:cs="Times New Roman"/>
          <w:sz w:val="24"/>
          <w:szCs w:val="24"/>
          <w:vertAlign w:val="superscript"/>
        </w:rPr>
        <w:t>-2</w:t>
      </w:r>
      <w:r w:rsidR="00AB0A1E" w:rsidRPr="009D52EB">
        <w:rPr>
          <w:rFonts w:ascii="Times New Roman" w:hAnsi="Times New Roman" w:cs="Times New Roman"/>
          <w:sz w:val="24"/>
          <w:szCs w:val="24"/>
        </w:rPr>
        <w:t>, and as the other losses are mitigated.</w:t>
      </w:r>
    </w:p>
    <w:p w14:paraId="5243481E" w14:textId="56AC4CF9" w:rsidR="00314450" w:rsidRPr="009D52EB" w:rsidRDefault="00314450" w:rsidP="00314450">
      <w:pPr>
        <w:jc w:val="both"/>
        <w:rPr>
          <w:rFonts w:ascii="Times New Roman" w:hAnsi="Times New Roman" w:cs="Times New Roman"/>
          <w:sz w:val="24"/>
          <w:szCs w:val="24"/>
        </w:rPr>
      </w:pPr>
      <w:r w:rsidRPr="009D52EB">
        <w:rPr>
          <w:rFonts w:ascii="Times New Roman" w:hAnsi="Times New Roman" w:cs="Times New Roman"/>
          <w:sz w:val="24"/>
          <w:szCs w:val="24"/>
        </w:rPr>
        <w:t>The EIS results (</w:t>
      </w:r>
      <w:r w:rsidR="00DE0DCA">
        <w:rPr>
          <w:rFonts w:ascii="Times New Roman" w:hAnsi="Times New Roman" w:cs="Times New Roman"/>
          <w:sz w:val="24"/>
          <w:szCs w:val="24"/>
        </w:rPr>
        <w:t>Supplementary Fig.</w:t>
      </w:r>
      <w:r w:rsidRPr="009D52EB">
        <w:rPr>
          <w:rFonts w:ascii="Times New Roman" w:hAnsi="Times New Roman" w:cs="Times New Roman"/>
          <w:sz w:val="24"/>
          <w:szCs w:val="24"/>
        </w:rPr>
        <w:t xml:space="preserve"> </w:t>
      </w:r>
      <w:r w:rsidR="004B134A">
        <w:rPr>
          <w:rFonts w:ascii="Times New Roman" w:hAnsi="Times New Roman" w:cs="Times New Roman"/>
          <w:sz w:val="24"/>
          <w:szCs w:val="24"/>
        </w:rPr>
        <w:t>13d</w:t>
      </w:r>
      <w:r w:rsidR="004B134A" w:rsidRPr="009D52EB">
        <w:rPr>
          <w:rFonts w:ascii="Times New Roman" w:hAnsi="Times New Roman" w:cs="Times New Roman"/>
          <w:sz w:val="24"/>
          <w:szCs w:val="24"/>
        </w:rPr>
        <w:t xml:space="preserve"> </w:t>
      </w:r>
      <w:r w:rsidRPr="009D52EB">
        <w:rPr>
          <w:rFonts w:ascii="Times New Roman" w:hAnsi="Times New Roman" w:cs="Times New Roman"/>
          <w:sz w:val="24"/>
          <w:szCs w:val="24"/>
        </w:rPr>
        <w:t xml:space="preserve">and </w:t>
      </w:r>
      <w:r w:rsidR="004B134A">
        <w:rPr>
          <w:rFonts w:ascii="Times New Roman" w:hAnsi="Times New Roman" w:cs="Times New Roman"/>
          <w:sz w:val="24"/>
          <w:szCs w:val="24"/>
        </w:rPr>
        <w:t>13e</w:t>
      </w:r>
      <w:r w:rsidRPr="009D52EB">
        <w:rPr>
          <w:rFonts w:ascii="Times New Roman" w:hAnsi="Times New Roman" w:cs="Times New Roman"/>
          <w:sz w:val="24"/>
          <w:szCs w:val="24"/>
        </w:rPr>
        <w:t xml:space="preserve">) of the </w:t>
      </w:r>
      <w:r w:rsidR="004A7ADC">
        <w:rPr>
          <w:rFonts w:ascii="Times New Roman" w:hAnsi="Times New Roman" w:cs="Times New Roman"/>
          <w:sz w:val="24"/>
          <w:szCs w:val="24"/>
        </w:rPr>
        <w:t>SC-BPMEA</w:t>
      </w:r>
      <w:r w:rsidR="00AC4B38" w:rsidRPr="009D52EB">
        <w:rPr>
          <w:rFonts w:ascii="Times New Roman" w:hAnsi="Times New Roman" w:cs="Times New Roman"/>
          <w:sz w:val="24"/>
          <w:szCs w:val="24"/>
        </w:rPr>
        <w:t xml:space="preserve"> a</w:t>
      </w:r>
      <w:r w:rsidR="00661418" w:rsidRPr="009D52EB">
        <w:rPr>
          <w:rFonts w:ascii="Times New Roman" w:hAnsi="Times New Roman" w:cs="Times New Roman"/>
          <w:sz w:val="24"/>
          <w:szCs w:val="24"/>
        </w:rPr>
        <w:t>g</w:t>
      </w:r>
      <w:r w:rsidRPr="009D52EB">
        <w:rPr>
          <w:rFonts w:ascii="Times New Roman" w:hAnsi="Times New Roman" w:cs="Times New Roman"/>
          <w:sz w:val="24"/>
          <w:szCs w:val="24"/>
        </w:rPr>
        <w:t>ree with the prediction of the COMSOL simulation (</w:t>
      </w:r>
      <w:r w:rsidR="00DE0DCA">
        <w:rPr>
          <w:rFonts w:ascii="Times New Roman" w:hAnsi="Times New Roman" w:cs="Times New Roman"/>
          <w:sz w:val="24"/>
          <w:szCs w:val="24"/>
        </w:rPr>
        <w:t>Fig.</w:t>
      </w:r>
      <w:r w:rsidRPr="009D52EB">
        <w:rPr>
          <w:rFonts w:ascii="Times New Roman" w:hAnsi="Times New Roman" w:cs="Times New Roman"/>
          <w:sz w:val="24"/>
          <w:szCs w:val="24"/>
        </w:rPr>
        <w:t xml:space="preserve"> </w:t>
      </w:r>
      <w:r w:rsidR="00190797" w:rsidRPr="009D52EB">
        <w:rPr>
          <w:rFonts w:ascii="Times New Roman" w:hAnsi="Times New Roman" w:cs="Times New Roman"/>
          <w:sz w:val="24"/>
          <w:szCs w:val="24"/>
        </w:rPr>
        <w:t>2</w:t>
      </w:r>
      <w:r w:rsidR="00190797">
        <w:rPr>
          <w:rFonts w:ascii="Times New Roman" w:hAnsi="Times New Roman" w:cs="Times New Roman"/>
          <w:sz w:val="24"/>
          <w:szCs w:val="24"/>
        </w:rPr>
        <w:t>a</w:t>
      </w:r>
      <w:r w:rsidR="00190797" w:rsidRPr="009D52EB">
        <w:rPr>
          <w:rFonts w:ascii="Times New Roman" w:hAnsi="Times New Roman" w:cs="Times New Roman"/>
          <w:sz w:val="24"/>
          <w:szCs w:val="24"/>
        </w:rPr>
        <w:t xml:space="preserve"> </w:t>
      </w:r>
      <w:r w:rsidRPr="009D52EB">
        <w:rPr>
          <w:rFonts w:ascii="Times New Roman" w:hAnsi="Times New Roman" w:cs="Times New Roman"/>
          <w:sz w:val="24"/>
          <w:szCs w:val="24"/>
        </w:rPr>
        <w:t>in the main text). With an SC-layer thicker than 125 μm, the generated CO</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 xml:space="preserve"> bubble evolves inside the SC-layer when the current is applied, elevating the ohmic resistance of the cell voltage. As shown in </w:t>
      </w:r>
      <w:r w:rsidR="00DE0DCA">
        <w:rPr>
          <w:rFonts w:ascii="Times New Roman" w:hAnsi="Times New Roman" w:cs="Times New Roman"/>
          <w:sz w:val="24"/>
          <w:szCs w:val="24"/>
        </w:rPr>
        <w:t>Supplementary Fig.</w:t>
      </w:r>
      <w:r w:rsidRPr="009D52EB">
        <w:rPr>
          <w:rFonts w:ascii="Times New Roman" w:hAnsi="Times New Roman" w:cs="Times New Roman"/>
          <w:sz w:val="24"/>
          <w:szCs w:val="24"/>
        </w:rPr>
        <w:t xml:space="preserve"> </w:t>
      </w:r>
      <w:r w:rsidR="004B134A">
        <w:rPr>
          <w:rFonts w:ascii="Times New Roman" w:hAnsi="Times New Roman" w:cs="Times New Roman"/>
          <w:sz w:val="24"/>
          <w:szCs w:val="24"/>
        </w:rPr>
        <w:t>13d</w:t>
      </w:r>
      <w:r w:rsidRPr="009D52EB">
        <w:rPr>
          <w:rFonts w:ascii="Times New Roman" w:hAnsi="Times New Roman" w:cs="Times New Roman"/>
          <w:sz w:val="24"/>
          <w:szCs w:val="24"/>
        </w:rPr>
        <w:t xml:space="preserve">, the </w:t>
      </w:r>
      <w:r w:rsidR="004A7ADC">
        <w:rPr>
          <w:rFonts w:ascii="Times New Roman" w:hAnsi="Times New Roman" w:cs="Times New Roman"/>
          <w:sz w:val="24"/>
          <w:szCs w:val="24"/>
        </w:rPr>
        <w:t>SC-BPMEA</w:t>
      </w:r>
      <w:r w:rsidRPr="009D52EB">
        <w:rPr>
          <w:rFonts w:ascii="Times New Roman" w:hAnsi="Times New Roman" w:cs="Times New Roman"/>
          <w:sz w:val="24"/>
          <w:szCs w:val="24"/>
        </w:rPr>
        <w:t xml:space="preserve"> with 65 μm SC-layer shows similar </w:t>
      </w:r>
      <w:r w:rsidR="00E32A3F">
        <w:rPr>
          <w:rFonts w:ascii="Times New Roman" w:hAnsi="Times New Roman" w:cs="Times New Roman"/>
          <w:sz w:val="24"/>
          <w:szCs w:val="24"/>
        </w:rPr>
        <w:t>HFR</w:t>
      </w:r>
      <w:r w:rsidRPr="009D52EB">
        <w:rPr>
          <w:rFonts w:ascii="Times New Roman" w:hAnsi="Times New Roman" w:cs="Times New Roman"/>
          <w:sz w:val="24"/>
          <w:szCs w:val="24"/>
        </w:rPr>
        <w:t xml:space="preserve"> values with or without the biased current (200 mA cm</w:t>
      </w:r>
      <w:r w:rsidRPr="009D52EB">
        <w:rPr>
          <w:rFonts w:ascii="Times New Roman" w:hAnsi="Times New Roman" w:cs="Times New Roman"/>
          <w:sz w:val="24"/>
          <w:szCs w:val="24"/>
          <w:vertAlign w:val="superscript"/>
        </w:rPr>
        <w:t>-2</w:t>
      </w:r>
      <w:r w:rsidRPr="009D52EB">
        <w:rPr>
          <w:rFonts w:ascii="Times New Roman" w:hAnsi="Times New Roman" w:cs="Times New Roman"/>
          <w:sz w:val="24"/>
          <w:szCs w:val="24"/>
        </w:rPr>
        <w:t xml:space="preserve">). Contradictory, the biased current to the </w:t>
      </w:r>
      <w:r w:rsidR="004A7ADC">
        <w:rPr>
          <w:rFonts w:ascii="Times New Roman" w:hAnsi="Times New Roman" w:cs="Times New Roman"/>
          <w:sz w:val="24"/>
          <w:szCs w:val="24"/>
        </w:rPr>
        <w:t>SC-BPMEA</w:t>
      </w:r>
      <w:r w:rsidRPr="009D52EB">
        <w:rPr>
          <w:rFonts w:ascii="Times New Roman" w:hAnsi="Times New Roman" w:cs="Times New Roman"/>
          <w:sz w:val="24"/>
          <w:szCs w:val="24"/>
        </w:rPr>
        <w:t xml:space="preserve"> with 125 μm SC-layer (</w:t>
      </w:r>
      <w:r w:rsidR="00DE0DCA">
        <w:rPr>
          <w:rFonts w:ascii="Times New Roman" w:hAnsi="Times New Roman" w:cs="Times New Roman"/>
          <w:sz w:val="24"/>
          <w:szCs w:val="24"/>
        </w:rPr>
        <w:t>Supplementary Fig.</w:t>
      </w:r>
      <w:r w:rsidRPr="009D52EB">
        <w:rPr>
          <w:rFonts w:ascii="Times New Roman" w:hAnsi="Times New Roman" w:cs="Times New Roman"/>
          <w:sz w:val="24"/>
          <w:szCs w:val="24"/>
        </w:rPr>
        <w:t xml:space="preserve"> </w:t>
      </w:r>
      <w:r w:rsidR="004B134A">
        <w:rPr>
          <w:rFonts w:ascii="Times New Roman" w:hAnsi="Times New Roman" w:cs="Times New Roman"/>
          <w:sz w:val="24"/>
          <w:szCs w:val="24"/>
        </w:rPr>
        <w:t>13e</w:t>
      </w:r>
      <w:r w:rsidRPr="009D52EB">
        <w:rPr>
          <w:rFonts w:ascii="Times New Roman" w:hAnsi="Times New Roman" w:cs="Times New Roman"/>
          <w:sz w:val="24"/>
          <w:szCs w:val="24"/>
        </w:rPr>
        <w:t xml:space="preserve">) increased the </w:t>
      </w:r>
      <w:r w:rsidR="00E32A3F">
        <w:rPr>
          <w:rFonts w:ascii="Times New Roman" w:hAnsi="Times New Roman" w:cs="Times New Roman"/>
          <w:sz w:val="24"/>
          <w:szCs w:val="24"/>
        </w:rPr>
        <w:t>HFR</w:t>
      </w:r>
      <w:r w:rsidRPr="009D52EB">
        <w:rPr>
          <w:rFonts w:ascii="Times New Roman" w:hAnsi="Times New Roman" w:cs="Times New Roman"/>
          <w:sz w:val="24"/>
          <w:szCs w:val="24"/>
        </w:rPr>
        <w:t xml:space="preserve"> from 2.13 to 4.62 ohm cm</w:t>
      </w:r>
      <w:r w:rsidRPr="009D52EB">
        <w:rPr>
          <w:rFonts w:ascii="Times New Roman" w:hAnsi="Times New Roman" w:cs="Times New Roman"/>
          <w:sz w:val="24"/>
          <w:szCs w:val="24"/>
          <w:vertAlign w:val="superscript"/>
        </w:rPr>
        <w:t>2</w:t>
      </w:r>
      <w:r w:rsidRPr="009D52EB">
        <w:rPr>
          <w:rFonts w:ascii="Times New Roman" w:hAnsi="Times New Roman" w:cs="Times New Roman"/>
          <w:sz w:val="24"/>
          <w:szCs w:val="24"/>
        </w:rPr>
        <w:t xml:space="preserve"> due to the evolution of CO</w:t>
      </w:r>
      <w:r w:rsidRPr="009D52EB">
        <w:rPr>
          <w:rFonts w:ascii="Times New Roman" w:hAnsi="Times New Roman" w:cs="Times New Roman"/>
          <w:sz w:val="24"/>
          <w:szCs w:val="24"/>
          <w:vertAlign w:val="subscript"/>
        </w:rPr>
        <w:t>2</w:t>
      </w:r>
      <w:r w:rsidRPr="009D52EB">
        <w:rPr>
          <w:rFonts w:ascii="Times New Roman" w:hAnsi="Times New Roman" w:cs="Times New Roman"/>
          <w:sz w:val="24"/>
          <w:szCs w:val="24"/>
        </w:rPr>
        <w:t xml:space="preserve"> microbubbles under the current.</w:t>
      </w:r>
    </w:p>
    <w:p w14:paraId="7A327CFD" w14:textId="79D41100" w:rsidR="00314450" w:rsidRPr="009D52EB" w:rsidRDefault="00314450" w:rsidP="00314450">
      <w:pPr>
        <w:jc w:val="both"/>
        <w:rPr>
          <w:rFonts w:ascii="Times New Roman" w:hAnsi="Times New Roman" w:cs="Times New Roman"/>
          <w:sz w:val="24"/>
          <w:szCs w:val="24"/>
        </w:rPr>
      </w:pPr>
      <w:r w:rsidRPr="009D52EB">
        <w:rPr>
          <w:rFonts w:ascii="Times New Roman" w:hAnsi="Times New Roman" w:cs="Times New Roman"/>
          <w:sz w:val="24"/>
          <w:szCs w:val="24"/>
        </w:rPr>
        <w:t xml:space="preserve">Without the biased current, the </w:t>
      </w:r>
      <w:r w:rsidR="00E32A3F">
        <w:rPr>
          <w:rFonts w:ascii="Times New Roman" w:hAnsi="Times New Roman" w:cs="Times New Roman"/>
          <w:sz w:val="24"/>
          <w:szCs w:val="24"/>
        </w:rPr>
        <w:t>HFR</w:t>
      </w:r>
      <w:r w:rsidRPr="009D52EB">
        <w:rPr>
          <w:rFonts w:ascii="Times New Roman" w:hAnsi="Times New Roman" w:cs="Times New Roman"/>
          <w:sz w:val="24"/>
          <w:szCs w:val="24"/>
        </w:rPr>
        <w:t xml:space="preserve"> of the </w:t>
      </w:r>
      <w:r w:rsidR="004A7ADC">
        <w:rPr>
          <w:rFonts w:ascii="Times New Roman" w:hAnsi="Times New Roman" w:cs="Times New Roman"/>
          <w:sz w:val="24"/>
          <w:szCs w:val="24"/>
        </w:rPr>
        <w:t>SC-BPMEA</w:t>
      </w:r>
      <w:r w:rsidRPr="009D52EB">
        <w:rPr>
          <w:rFonts w:ascii="Times New Roman" w:hAnsi="Times New Roman" w:cs="Times New Roman"/>
          <w:sz w:val="24"/>
          <w:szCs w:val="24"/>
        </w:rPr>
        <w:t xml:space="preserve"> with 125 μm SC-layer is 0.60 ohm cm</w:t>
      </w:r>
      <w:r w:rsidRPr="009D52EB">
        <w:rPr>
          <w:rFonts w:ascii="Times New Roman" w:hAnsi="Times New Roman" w:cs="Times New Roman"/>
          <w:sz w:val="24"/>
          <w:szCs w:val="24"/>
          <w:vertAlign w:val="superscript"/>
        </w:rPr>
        <w:t>2</w:t>
      </w:r>
      <w:r w:rsidRPr="009D52EB">
        <w:rPr>
          <w:rFonts w:ascii="Times New Roman" w:hAnsi="Times New Roman" w:cs="Times New Roman"/>
          <w:sz w:val="24"/>
          <w:szCs w:val="24"/>
        </w:rPr>
        <w:t xml:space="preserve"> higher than that with 65 μm SC-layer, referring to a cell voltage increment of 0.12 V at 200 mA cm</w:t>
      </w:r>
      <w:r w:rsidRPr="009D52EB">
        <w:rPr>
          <w:rFonts w:ascii="Times New Roman" w:hAnsi="Times New Roman" w:cs="Times New Roman"/>
          <w:sz w:val="24"/>
          <w:szCs w:val="24"/>
          <w:vertAlign w:val="superscript"/>
        </w:rPr>
        <w:t>-2</w:t>
      </w:r>
      <w:r w:rsidRPr="009D52EB">
        <w:rPr>
          <w:rFonts w:ascii="Times New Roman" w:hAnsi="Times New Roman" w:cs="Times New Roman"/>
          <w:sz w:val="24"/>
          <w:szCs w:val="24"/>
        </w:rPr>
        <w:t>. This cannot explain the 0.67</w:t>
      </w:r>
      <w:r w:rsidR="00DE4E4B">
        <w:rPr>
          <w:rFonts w:ascii="Times New Roman" w:hAnsi="Times New Roman" w:cs="Times New Roman"/>
          <w:sz w:val="24"/>
          <w:szCs w:val="24"/>
        </w:rPr>
        <w:t xml:space="preserve"> V</w:t>
      </w:r>
      <w:r w:rsidRPr="009D52EB">
        <w:rPr>
          <w:rFonts w:ascii="Times New Roman" w:hAnsi="Times New Roman" w:cs="Times New Roman"/>
          <w:sz w:val="24"/>
          <w:szCs w:val="24"/>
        </w:rPr>
        <w:t xml:space="preserve"> cell voltage difference (</w:t>
      </w:r>
      <w:r w:rsidR="00DE0DCA">
        <w:rPr>
          <w:rFonts w:ascii="Times New Roman" w:hAnsi="Times New Roman" w:cs="Times New Roman"/>
          <w:sz w:val="24"/>
          <w:szCs w:val="24"/>
        </w:rPr>
        <w:t>Fig.</w:t>
      </w:r>
      <w:r w:rsidRPr="009D52EB">
        <w:rPr>
          <w:rFonts w:ascii="Times New Roman" w:hAnsi="Times New Roman" w:cs="Times New Roman"/>
          <w:sz w:val="24"/>
          <w:szCs w:val="24"/>
        </w:rPr>
        <w:t xml:space="preserve"> </w:t>
      </w:r>
      <w:r w:rsidR="00190797" w:rsidRPr="009D52EB">
        <w:rPr>
          <w:rFonts w:ascii="Times New Roman" w:hAnsi="Times New Roman" w:cs="Times New Roman"/>
          <w:sz w:val="24"/>
          <w:szCs w:val="24"/>
        </w:rPr>
        <w:t>3</w:t>
      </w:r>
      <w:r w:rsidR="00190797">
        <w:rPr>
          <w:rFonts w:ascii="Times New Roman" w:hAnsi="Times New Roman" w:cs="Times New Roman"/>
          <w:sz w:val="24"/>
          <w:szCs w:val="24"/>
        </w:rPr>
        <w:t>a</w:t>
      </w:r>
      <w:r w:rsidR="00190797" w:rsidRPr="009D52EB">
        <w:rPr>
          <w:rFonts w:ascii="Times New Roman" w:hAnsi="Times New Roman" w:cs="Times New Roman"/>
          <w:sz w:val="24"/>
          <w:szCs w:val="24"/>
        </w:rPr>
        <w:t xml:space="preserve"> </w:t>
      </w:r>
      <w:r w:rsidRPr="009D52EB">
        <w:rPr>
          <w:rFonts w:ascii="Times New Roman" w:hAnsi="Times New Roman" w:cs="Times New Roman"/>
          <w:sz w:val="24"/>
          <w:szCs w:val="24"/>
        </w:rPr>
        <w:t>in the main text). Differently, with the applied current density of 200 mA cm</w:t>
      </w:r>
      <w:r w:rsidRPr="009D52EB">
        <w:rPr>
          <w:rFonts w:ascii="Times New Roman" w:hAnsi="Times New Roman" w:cs="Times New Roman"/>
          <w:sz w:val="24"/>
          <w:szCs w:val="24"/>
          <w:vertAlign w:val="superscript"/>
        </w:rPr>
        <w:t>-2</w:t>
      </w:r>
      <w:r w:rsidRPr="009D52EB">
        <w:rPr>
          <w:rFonts w:ascii="Times New Roman" w:hAnsi="Times New Roman" w:cs="Times New Roman"/>
          <w:sz w:val="24"/>
          <w:szCs w:val="24"/>
        </w:rPr>
        <w:t>, the 125 μm SC-layer increases the ohmic resistance by 3.07 ohm cm</w:t>
      </w:r>
      <w:r w:rsidRPr="009D52EB">
        <w:rPr>
          <w:rFonts w:ascii="Times New Roman" w:hAnsi="Times New Roman" w:cs="Times New Roman"/>
          <w:sz w:val="24"/>
          <w:szCs w:val="24"/>
          <w:vertAlign w:val="superscript"/>
        </w:rPr>
        <w:t>2</w:t>
      </w:r>
      <w:r w:rsidRPr="009D52EB">
        <w:rPr>
          <w:rFonts w:ascii="Times New Roman" w:hAnsi="Times New Roman" w:cs="Times New Roman"/>
          <w:sz w:val="24"/>
          <w:szCs w:val="24"/>
        </w:rPr>
        <w:t>, referring to a cell voltage increment of 0.61 V at 200 mA cm</w:t>
      </w:r>
      <w:r w:rsidRPr="009D52EB">
        <w:rPr>
          <w:rFonts w:ascii="Times New Roman" w:hAnsi="Times New Roman" w:cs="Times New Roman"/>
          <w:sz w:val="24"/>
          <w:szCs w:val="24"/>
          <w:vertAlign w:val="superscript"/>
        </w:rPr>
        <w:t>-2</w:t>
      </w:r>
      <w:r w:rsidRPr="009D52EB">
        <w:rPr>
          <w:rFonts w:ascii="Times New Roman" w:hAnsi="Times New Roman" w:cs="Times New Roman"/>
          <w:sz w:val="24"/>
          <w:szCs w:val="24"/>
        </w:rPr>
        <w:t>, close to the 0.67 cell voltage difference (</w:t>
      </w:r>
      <w:r w:rsidR="00DE0DCA">
        <w:rPr>
          <w:rFonts w:ascii="Times New Roman" w:hAnsi="Times New Roman" w:cs="Times New Roman"/>
          <w:sz w:val="24"/>
          <w:szCs w:val="24"/>
        </w:rPr>
        <w:t>Fig.</w:t>
      </w:r>
      <w:r w:rsidRPr="009D52EB">
        <w:rPr>
          <w:rFonts w:ascii="Times New Roman" w:hAnsi="Times New Roman" w:cs="Times New Roman"/>
          <w:sz w:val="24"/>
          <w:szCs w:val="24"/>
        </w:rPr>
        <w:t xml:space="preserve"> </w:t>
      </w:r>
      <w:r w:rsidR="00190797" w:rsidRPr="009D52EB">
        <w:rPr>
          <w:rFonts w:ascii="Times New Roman" w:hAnsi="Times New Roman" w:cs="Times New Roman"/>
          <w:sz w:val="24"/>
          <w:szCs w:val="24"/>
        </w:rPr>
        <w:t>3</w:t>
      </w:r>
      <w:r w:rsidR="00190797">
        <w:rPr>
          <w:rFonts w:ascii="Times New Roman" w:hAnsi="Times New Roman" w:cs="Times New Roman"/>
          <w:sz w:val="24"/>
          <w:szCs w:val="24"/>
        </w:rPr>
        <w:t>a</w:t>
      </w:r>
      <w:r w:rsidR="00190797" w:rsidRPr="009D52EB">
        <w:rPr>
          <w:rFonts w:ascii="Times New Roman" w:hAnsi="Times New Roman" w:cs="Times New Roman"/>
          <w:sz w:val="24"/>
          <w:szCs w:val="24"/>
        </w:rPr>
        <w:t xml:space="preserve"> </w:t>
      </w:r>
      <w:r w:rsidRPr="009D52EB">
        <w:rPr>
          <w:rFonts w:ascii="Times New Roman" w:hAnsi="Times New Roman" w:cs="Times New Roman"/>
          <w:sz w:val="24"/>
          <w:szCs w:val="24"/>
        </w:rPr>
        <w:t>in the main text) observed.</w:t>
      </w:r>
    </w:p>
    <w:p w14:paraId="2300931A" w14:textId="77777777" w:rsidR="002564D5" w:rsidRPr="009D52EB" w:rsidRDefault="002564D5">
      <w:pPr>
        <w:rPr>
          <w:rFonts w:ascii="Times New Roman" w:hAnsi="Times New Roman" w:cs="Times New Roman"/>
          <w:sz w:val="24"/>
          <w:szCs w:val="24"/>
        </w:rPr>
      </w:pPr>
      <w:r w:rsidRPr="009D52EB">
        <w:rPr>
          <w:rFonts w:ascii="Times New Roman" w:hAnsi="Times New Roman" w:cs="Times New Roman"/>
          <w:sz w:val="24"/>
          <w:szCs w:val="24"/>
        </w:rPr>
        <w:br w:type="page"/>
      </w:r>
    </w:p>
    <w:p w14:paraId="2FA10C2D" w14:textId="579D18BF" w:rsidR="002564D5" w:rsidRPr="009D52EB" w:rsidRDefault="006C5384" w:rsidP="00F81E4A">
      <w:pPr>
        <w:jc w:val="both"/>
        <w:rPr>
          <w:rFonts w:ascii="Times New Roman" w:hAnsi="Times New Roman" w:cs="Times New Roman"/>
          <w:sz w:val="24"/>
          <w:szCs w:val="24"/>
        </w:rPr>
      </w:pPr>
      <w:r w:rsidRPr="009D52EB">
        <w:rPr>
          <w:rFonts w:ascii="Times New Roman" w:hAnsi="Times New Roman" w:cs="Times New Roman"/>
          <w:b/>
          <w:bCs/>
          <w:sz w:val="24"/>
          <w:szCs w:val="24"/>
        </w:rPr>
        <w:lastRenderedPageBreak/>
        <w:t>SI</w:t>
      </w:r>
      <w:r>
        <w:rPr>
          <w:rFonts w:ascii="Times New Roman" w:hAnsi="Times New Roman" w:cs="Times New Roman"/>
          <w:b/>
          <w:bCs/>
          <w:sz w:val="24"/>
          <w:szCs w:val="24"/>
        </w:rPr>
        <w:t>8</w:t>
      </w:r>
      <w:r w:rsidRPr="009D52EB">
        <w:rPr>
          <w:rFonts w:ascii="Times New Roman" w:hAnsi="Times New Roman" w:cs="Times New Roman"/>
          <w:b/>
          <w:bCs/>
          <w:sz w:val="24"/>
          <w:szCs w:val="24"/>
        </w:rPr>
        <w:t xml:space="preserve"> </w:t>
      </w:r>
      <w:r w:rsidR="002564D5" w:rsidRPr="009D52EB">
        <w:rPr>
          <w:rFonts w:ascii="Times New Roman" w:hAnsi="Times New Roman" w:cs="Times New Roman"/>
          <w:b/>
          <w:bCs/>
          <w:sz w:val="24"/>
          <w:szCs w:val="24"/>
        </w:rPr>
        <w:t>The FE distributions of the SC-</w:t>
      </w:r>
      <w:r w:rsidR="00844E3B">
        <w:rPr>
          <w:rFonts w:ascii="Times New Roman" w:hAnsi="Times New Roman" w:cs="Times New Roman"/>
          <w:b/>
          <w:bCs/>
          <w:sz w:val="24"/>
          <w:szCs w:val="24"/>
        </w:rPr>
        <w:t>BP</w:t>
      </w:r>
      <w:r w:rsidR="002564D5" w:rsidRPr="009D52EB">
        <w:rPr>
          <w:rFonts w:ascii="Times New Roman" w:hAnsi="Times New Roman" w:cs="Times New Roman"/>
          <w:b/>
          <w:bCs/>
          <w:sz w:val="24"/>
          <w:szCs w:val="24"/>
        </w:rPr>
        <w:t xml:space="preserve">MEA with </w:t>
      </w:r>
      <w:r w:rsidR="00CC12A5">
        <w:rPr>
          <w:rFonts w:ascii="Times New Roman" w:hAnsi="Times New Roman" w:cs="Times New Roman"/>
          <w:b/>
          <w:bCs/>
          <w:sz w:val="24"/>
          <w:szCs w:val="24"/>
        </w:rPr>
        <w:t xml:space="preserve">a </w:t>
      </w:r>
      <w:r w:rsidR="002564D5" w:rsidRPr="009D52EB">
        <w:rPr>
          <w:rFonts w:ascii="Times New Roman" w:hAnsi="Times New Roman" w:cs="Times New Roman"/>
          <w:b/>
          <w:bCs/>
          <w:sz w:val="24"/>
          <w:szCs w:val="24"/>
        </w:rPr>
        <w:t>16 μm 0.5 M K</w:t>
      </w:r>
      <w:r w:rsidR="002564D5" w:rsidRPr="009D52EB">
        <w:rPr>
          <w:rFonts w:ascii="Times New Roman" w:hAnsi="Times New Roman" w:cs="Times New Roman"/>
          <w:b/>
          <w:bCs/>
          <w:sz w:val="24"/>
          <w:szCs w:val="24"/>
          <w:vertAlign w:val="subscript"/>
        </w:rPr>
        <w:t>2</w:t>
      </w:r>
      <w:r w:rsidR="002564D5" w:rsidRPr="009D52EB">
        <w:rPr>
          <w:rFonts w:ascii="Times New Roman" w:hAnsi="Times New Roman" w:cs="Times New Roman"/>
          <w:b/>
          <w:bCs/>
          <w:sz w:val="24"/>
          <w:szCs w:val="24"/>
        </w:rPr>
        <w:t>SO</w:t>
      </w:r>
      <w:r w:rsidR="002564D5" w:rsidRPr="009D52EB">
        <w:rPr>
          <w:rFonts w:ascii="Times New Roman" w:hAnsi="Times New Roman" w:cs="Times New Roman"/>
          <w:b/>
          <w:bCs/>
          <w:sz w:val="24"/>
          <w:szCs w:val="24"/>
          <w:vertAlign w:val="subscript"/>
        </w:rPr>
        <w:t>4</w:t>
      </w:r>
      <w:r w:rsidR="00CC12A5">
        <w:rPr>
          <w:rFonts w:ascii="Times New Roman" w:hAnsi="Times New Roman" w:cs="Times New Roman"/>
          <w:b/>
          <w:bCs/>
          <w:sz w:val="24"/>
          <w:szCs w:val="24"/>
          <w:vertAlign w:val="subscript"/>
        </w:rPr>
        <w:t xml:space="preserve"> </w:t>
      </w:r>
      <w:r w:rsidR="00CC12A5">
        <w:rPr>
          <w:rFonts w:ascii="Times New Roman" w:hAnsi="Times New Roman" w:cs="Times New Roman"/>
          <w:b/>
          <w:bCs/>
          <w:sz w:val="24"/>
          <w:szCs w:val="24"/>
        </w:rPr>
        <w:t>SC layer</w:t>
      </w:r>
      <w:r w:rsidR="002564D5" w:rsidRPr="009D52EB">
        <w:rPr>
          <w:rFonts w:ascii="Times New Roman" w:hAnsi="Times New Roman" w:cs="Times New Roman"/>
          <w:b/>
          <w:bCs/>
          <w:sz w:val="24"/>
          <w:szCs w:val="24"/>
        </w:rPr>
        <w:t>.</w:t>
      </w:r>
    </w:p>
    <w:p w14:paraId="0F4662CC" w14:textId="1B15D535" w:rsidR="00F81E4A" w:rsidRPr="00805810" w:rsidRDefault="00F81E4A" w:rsidP="00C87E76">
      <w:pPr>
        <w:jc w:val="center"/>
        <w:rPr>
          <w:rFonts w:ascii="Times New Roman" w:hAnsi="Times New Roman" w:cs="Times New Roman"/>
          <w:sz w:val="24"/>
          <w:szCs w:val="24"/>
        </w:rPr>
      </w:pPr>
      <w:r w:rsidRPr="00805810">
        <w:rPr>
          <w:noProof/>
          <w:lang w:eastAsia="en-US"/>
        </w:rPr>
        <w:drawing>
          <wp:inline distT="0" distB="0" distL="0" distR="0" wp14:anchorId="7782BD00" wp14:editId="6D999558">
            <wp:extent cx="3238500" cy="250825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8500" cy="2508250"/>
                    </a:xfrm>
                    <a:prstGeom prst="rect">
                      <a:avLst/>
                    </a:prstGeom>
                    <a:noFill/>
                    <a:ln>
                      <a:noFill/>
                    </a:ln>
                  </pic:spPr>
                </pic:pic>
              </a:graphicData>
            </a:graphic>
          </wp:inline>
        </w:drawing>
      </w:r>
    </w:p>
    <w:p w14:paraId="4A9BBC69" w14:textId="2C9D536D" w:rsidR="00AB0A1E" w:rsidRPr="009D52EB" w:rsidRDefault="00DE0DCA" w:rsidP="00F81E4A">
      <w:pPr>
        <w:jc w:val="both"/>
        <w:rPr>
          <w:rFonts w:ascii="Times New Roman" w:hAnsi="Times New Roman" w:cs="Times New Roman"/>
          <w:sz w:val="20"/>
          <w:szCs w:val="24"/>
        </w:rPr>
      </w:pPr>
      <w:r>
        <w:rPr>
          <w:rFonts w:ascii="Times New Roman" w:hAnsi="Times New Roman" w:cs="Times New Roman"/>
          <w:b/>
          <w:bCs/>
          <w:sz w:val="20"/>
          <w:szCs w:val="24"/>
        </w:rPr>
        <w:t>Supplementary Fig.</w:t>
      </w:r>
      <w:r w:rsidR="00F81E4A" w:rsidRPr="009D52EB">
        <w:rPr>
          <w:rFonts w:ascii="Times New Roman" w:hAnsi="Times New Roman" w:cs="Times New Roman"/>
          <w:b/>
          <w:bCs/>
          <w:sz w:val="20"/>
          <w:szCs w:val="24"/>
        </w:rPr>
        <w:t xml:space="preserve"> </w:t>
      </w:r>
      <w:r w:rsidR="00B93DCB">
        <w:rPr>
          <w:rFonts w:ascii="Times New Roman" w:hAnsi="Times New Roman" w:cs="Times New Roman"/>
          <w:b/>
          <w:bCs/>
          <w:sz w:val="20"/>
          <w:szCs w:val="24"/>
        </w:rPr>
        <w:t>14 |</w:t>
      </w:r>
      <w:r w:rsidR="00F81E4A" w:rsidRPr="009D52EB">
        <w:rPr>
          <w:rFonts w:ascii="Times New Roman" w:hAnsi="Times New Roman" w:cs="Times New Roman"/>
          <w:sz w:val="20"/>
          <w:szCs w:val="24"/>
        </w:rPr>
        <w:t xml:space="preserve"> The CO</w:t>
      </w:r>
      <w:r w:rsidR="00F81E4A" w:rsidRPr="009D52EB">
        <w:rPr>
          <w:rFonts w:ascii="Times New Roman" w:hAnsi="Times New Roman" w:cs="Times New Roman"/>
          <w:sz w:val="20"/>
          <w:szCs w:val="24"/>
          <w:vertAlign w:val="subscript"/>
        </w:rPr>
        <w:t>2</w:t>
      </w:r>
      <w:r w:rsidR="00F81E4A" w:rsidRPr="009D52EB">
        <w:rPr>
          <w:rFonts w:ascii="Times New Roman" w:hAnsi="Times New Roman" w:cs="Times New Roman"/>
          <w:sz w:val="20"/>
          <w:szCs w:val="24"/>
        </w:rPr>
        <w:t>RR performance of SC-</w:t>
      </w:r>
      <w:r w:rsidR="00CC12A5">
        <w:rPr>
          <w:rFonts w:ascii="Times New Roman" w:hAnsi="Times New Roman" w:cs="Times New Roman"/>
          <w:sz w:val="20"/>
          <w:szCs w:val="24"/>
        </w:rPr>
        <w:t>BP</w:t>
      </w:r>
      <w:r w:rsidR="00F81E4A" w:rsidRPr="009D52EB">
        <w:rPr>
          <w:rFonts w:ascii="Times New Roman" w:hAnsi="Times New Roman" w:cs="Times New Roman"/>
          <w:sz w:val="20"/>
          <w:szCs w:val="24"/>
        </w:rPr>
        <w:t>MEA with 16 μm</w:t>
      </w:r>
      <w:r w:rsidR="00CC12A5">
        <w:rPr>
          <w:rFonts w:ascii="Times New Roman" w:hAnsi="Times New Roman" w:cs="Times New Roman"/>
          <w:sz w:val="20"/>
          <w:szCs w:val="24"/>
        </w:rPr>
        <w:t xml:space="preserve"> SC layer</w:t>
      </w:r>
      <w:r w:rsidR="00F81E4A" w:rsidRPr="009D52EB">
        <w:rPr>
          <w:rFonts w:ascii="Times New Roman" w:hAnsi="Times New Roman" w:cs="Times New Roman"/>
          <w:sz w:val="20"/>
          <w:szCs w:val="24"/>
        </w:rPr>
        <w:t xml:space="preserve">. The corresponding cell voltages are shown in </w:t>
      </w:r>
      <w:r>
        <w:rPr>
          <w:rFonts w:ascii="Times New Roman" w:hAnsi="Times New Roman" w:cs="Times New Roman"/>
          <w:sz w:val="20"/>
          <w:szCs w:val="24"/>
        </w:rPr>
        <w:t>Fig.</w:t>
      </w:r>
      <w:r w:rsidR="00F81E4A" w:rsidRPr="009D52EB">
        <w:rPr>
          <w:rFonts w:ascii="Times New Roman" w:hAnsi="Times New Roman" w:cs="Times New Roman"/>
          <w:sz w:val="20"/>
          <w:szCs w:val="24"/>
        </w:rPr>
        <w:t xml:space="preserve"> </w:t>
      </w:r>
      <w:r w:rsidR="00CD17CC" w:rsidRPr="009D52EB">
        <w:rPr>
          <w:rFonts w:ascii="Times New Roman" w:hAnsi="Times New Roman" w:cs="Times New Roman"/>
          <w:sz w:val="20"/>
          <w:szCs w:val="24"/>
        </w:rPr>
        <w:t>3</w:t>
      </w:r>
      <w:r w:rsidR="00CD17CC">
        <w:rPr>
          <w:rFonts w:ascii="Times New Roman" w:hAnsi="Times New Roman" w:cs="Times New Roman"/>
          <w:sz w:val="20"/>
          <w:szCs w:val="24"/>
        </w:rPr>
        <w:t>a</w:t>
      </w:r>
      <w:r w:rsidR="00CD17CC" w:rsidRPr="009D52EB">
        <w:rPr>
          <w:rFonts w:ascii="Times New Roman" w:hAnsi="Times New Roman" w:cs="Times New Roman"/>
          <w:sz w:val="20"/>
          <w:szCs w:val="24"/>
        </w:rPr>
        <w:t xml:space="preserve"> </w:t>
      </w:r>
      <w:r w:rsidR="00F81E4A" w:rsidRPr="009D52EB">
        <w:rPr>
          <w:rFonts w:ascii="Times New Roman" w:hAnsi="Times New Roman" w:cs="Times New Roman"/>
          <w:sz w:val="20"/>
          <w:szCs w:val="24"/>
        </w:rPr>
        <w:t xml:space="preserve">in </w:t>
      </w:r>
      <w:r w:rsidR="009430EF" w:rsidRPr="009D52EB">
        <w:rPr>
          <w:rFonts w:ascii="Times New Roman" w:hAnsi="Times New Roman" w:cs="Times New Roman"/>
          <w:sz w:val="20"/>
          <w:szCs w:val="24"/>
        </w:rPr>
        <w:t xml:space="preserve">the </w:t>
      </w:r>
      <w:r w:rsidR="00F81E4A" w:rsidRPr="009D52EB">
        <w:rPr>
          <w:rFonts w:ascii="Times New Roman" w:hAnsi="Times New Roman" w:cs="Times New Roman"/>
          <w:sz w:val="20"/>
          <w:szCs w:val="24"/>
        </w:rPr>
        <w:t xml:space="preserve">main text. </w:t>
      </w:r>
      <w:r w:rsidR="009430EF" w:rsidRPr="009D52EB">
        <w:rPr>
          <w:rFonts w:ascii="Times New Roman" w:hAnsi="Times New Roman" w:cs="Times New Roman"/>
          <w:sz w:val="20"/>
          <w:szCs w:val="24"/>
        </w:rPr>
        <w:t>The anolyte is 0.1 M KHCO</w:t>
      </w:r>
      <w:r w:rsidR="009430EF" w:rsidRPr="009D52EB">
        <w:rPr>
          <w:rFonts w:ascii="Times New Roman" w:hAnsi="Times New Roman" w:cs="Times New Roman"/>
          <w:sz w:val="20"/>
          <w:szCs w:val="24"/>
          <w:vertAlign w:val="subscript"/>
        </w:rPr>
        <w:t>3</w:t>
      </w:r>
      <w:r w:rsidR="009430EF" w:rsidRPr="009D52EB">
        <w:rPr>
          <w:rFonts w:ascii="Times New Roman" w:hAnsi="Times New Roman" w:cs="Times New Roman"/>
          <w:sz w:val="20"/>
          <w:szCs w:val="24"/>
        </w:rPr>
        <w:t xml:space="preserve"> (pH = 8.2) in all measurements</w:t>
      </w:r>
      <w:r w:rsidR="00F81E4A" w:rsidRPr="009D52EB">
        <w:rPr>
          <w:rFonts w:ascii="Times New Roman" w:hAnsi="Times New Roman" w:cs="Times New Roman"/>
          <w:sz w:val="20"/>
          <w:szCs w:val="24"/>
        </w:rPr>
        <w:t>, and the CO</w:t>
      </w:r>
      <w:r w:rsidR="00F81E4A" w:rsidRPr="009D52EB">
        <w:rPr>
          <w:rFonts w:ascii="Times New Roman" w:hAnsi="Times New Roman" w:cs="Times New Roman"/>
          <w:sz w:val="20"/>
          <w:szCs w:val="24"/>
          <w:vertAlign w:val="subscript"/>
        </w:rPr>
        <w:t>2</w:t>
      </w:r>
      <w:r w:rsidR="00F81E4A" w:rsidRPr="009D52EB">
        <w:rPr>
          <w:rFonts w:ascii="Times New Roman" w:hAnsi="Times New Roman" w:cs="Times New Roman"/>
          <w:sz w:val="20"/>
          <w:szCs w:val="24"/>
        </w:rPr>
        <w:t xml:space="preserve"> inlet flow rate is 10 sccm cm</w:t>
      </w:r>
      <w:r w:rsidR="00F81E4A" w:rsidRPr="009D52EB">
        <w:rPr>
          <w:rFonts w:ascii="Times New Roman" w:hAnsi="Times New Roman" w:cs="Times New Roman"/>
          <w:sz w:val="20"/>
          <w:szCs w:val="24"/>
          <w:vertAlign w:val="superscript"/>
        </w:rPr>
        <w:t>-2</w:t>
      </w:r>
      <w:r w:rsidR="00F81E4A" w:rsidRPr="009D52EB">
        <w:rPr>
          <w:rFonts w:ascii="Times New Roman" w:hAnsi="Times New Roman" w:cs="Times New Roman"/>
          <w:sz w:val="20"/>
          <w:szCs w:val="24"/>
        </w:rPr>
        <w:t>.</w:t>
      </w:r>
    </w:p>
    <w:p w14:paraId="4CCAB0E3" w14:textId="00E077DC" w:rsidR="003D6CF2" w:rsidRPr="009D52EB" w:rsidRDefault="003D6CF2" w:rsidP="00C87E76">
      <w:pPr>
        <w:jc w:val="both"/>
        <w:rPr>
          <w:rFonts w:ascii="Times New Roman" w:hAnsi="Times New Roman" w:cs="Times New Roman"/>
          <w:sz w:val="24"/>
          <w:szCs w:val="24"/>
        </w:rPr>
      </w:pPr>
    </w:p>
    <w:p w14:paraId="3335FF0B" w14:textId="77777777" w:rsidR="00892BC8" w:rsidRPr="009D52EB" w:rsidRDefault="00892BC8">
      <w:pPr>
        <w:rPr>
          <w:rFonts w:ascii="Times New Roman" w:hAnsi="Times New Roman" w:cs="Times New Roman"/>
          <w:b/>
          <w:bCs/>
          <w:sz w:val="24"/>
          <w:szCs w:val="24"/>
        </w:rPr>
      </w:pPr>
      <w:r w:rsidRPr="009D52EB">
        <w:rPr>
          <w:rFonts w:ascii="Times New Roman" w:hAnsi="Times New Roman" w:cs="Times New Roman"/>
          <w:b/>
          <w:bCs/>
          <w:sz w:val="24"/>
          <w:szCs w:val="24"/>
        </w:rPr>
        <w:br w:type="page"/>
      </w:r>
    </w:p>
    <w:p w14:paraId="16F0E29D" w14:textId="2A964E0C" w:rsidR="003D6CF2" w:rsidRPr="009D52EB" w:rsidRDefault="006C5384" w:rsidP="003D6CF2">
      <w:pPr>
        <w:jc w:val="both"/>
        <w:rPr>
          <w:rFonts w:ascii="Times New Roman" w:hAnsi="Times New Roman" w:cs="Times New Roman"/>
          <w:b/>
          <w:bCs/>
          <w:sz w:val="24"/>
          <w:szCs w:val="24"/>
        </w:rPr>
      </w:pPr>
      <w:r w:rsidRPr="009D52EB">
        <w:rPr>
          <w:rFonts w:ascii="Times New Roman" w:hAnsi="Times New Roman" w:cs="Times New Roman"/>
          <w:b/>
          <w:bCs/>
          <w:sz w:val="24"/>
          <w:szCs w:val="24"/>
        </w:rPr>
        <w:lastRenderedPageBreak/>
        <w:t>SI</w:t>
      </w:r>
      <w:r>
        <w:rPr>
          <w:rFonts w:ascii="Times New Roman" w:hAnsi="Times New Roman" w:cs="Times New Roman"/>
          <w:b/>
          <w:bCs/>
          <w:sz w:val="24"/>
          <w:szCs w:val="24"/>
        </w:rPr>
        <w:t>9</w:t>
      </w:r>
      <w:r w:rsidRPr="009D52EB">
        <w:rPr>
          <w:rFonts w:ascii="Times New Roman" w:hAnsi="Times New Roman" w:cs="Times New Roman"/>
          <w:b/>
          <w:bCs/>
          <w:sz w:val="24"/>
          <w:szCs w:val="24"/>
        </w:rPr>
        <w:t xml:space="preserve"> </w:t>
      </w:r>
      <w:r w:rsidR="003D6CF2" w:rsidRPr="009D52EB">
        <w:rPr>
          <w:rFonts w:ascii="Times New Roman" w:hAnsi="Times New Roman" w:cs="Times New Roman"/>
          <w:b/>
          <w:bCs/>
          <w:sz w:val="24"/>
          <w:szCs w:val="24"/>
        </w:rPr>
        <w:t>Additional CO</w:t>
      </w:r>
      <w:r w:rsidR="003D6CF2" w:rsidRPr="009D52EB">
        <w:rPr>
          <w:rFonts w:ascii="Times New Roman" w:hAnsi="Times New Roman" w:cs="Times New Roman"/>
          <w:b/>
          <w:bCs/>
          <w:sz w:val="24"/>
          <w:szCs w:val="24"/>
          <w:vertAlign w:val="subscript"/>
        </w:rPr>
        <w:t>2</w:t>
      </w:r>
      <w:r w:rsidR="003D6CF2" w:rsidRPr="009D52EB">
        <w:rPr>
          <w:rFonts w:ascii="Times New Roman" w:hAnsi="Times New Roman" w:cs="Times New Roman"/>
          <w:b/>
          <w:bCs/>
          <w:sz w:val="24"/>
          <w:szCs w:val="24"/>
        </w:rPr>
        <w:t xml:space="preserve"> SPU results for </w:t>
      </w:r>
      <w:r w:rsidR="004A7ADC">
        <w:rPr>
          <w:rFonts w:ascii="Times New Roman" w:hAnsi="Times New Roman" w:cs="Times New Roman"/>
          <w:b/>
          <w:bCs/>
          <w:sz w:val="24"/>
          <w:szCs w:val="24"/>
        </w:rPr>
        <w:t>SC-BPMEA</w:t>
      </w:r>
      <w:r w:rsidR="003D6CF2" w:rsidRPr="009D52EB">
        <w:rPr>
          <w:rFonts w:ascii="Times New Roman" w:hAnsi="Times New Roman" w:cs="Times New Roman"/>
          <w:b/>
          <w:bCs/>
          <w:sz w:val="24"/>
          <w:szCs w:val="24"/>
        </w:rPr>
        <w:t>s with different SC-layer thickness.</w:t>
      </w:r>
    </w:p>
    <w:p w14:paraId="49976D7B" w14:textId="2148019D" w:rsidR="00DA76E9" w:rsidRPr="00805810" w:rsidRDefault="00706974" w:rsidP="003D6CF2">
      <w:pPr>
        <w:jc w:val="both"/>
        <w:rPr>
          <w:rFonts w:ascii="Times New Roman" w:hAnsi="Times New Roman" w:cs="Times New Roman"/>
          <w:sz w:val="24"/>
          <w:szCs w:val="24"/>
        </w:rPr>
      </w:pPr>
      <w:r>
        <w:rPr>
          <w:noProof/>
        </w:rPr>
        <w:drawing>
          <wp:inline distT="0" distB="0" distL="0" distR="0" wp14:anchorId="2F103EA2" wp14:editId="3BD2D927">
            <wp:extent cx="5943600" cy="2416175"/>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416175"/>
                    </a:xfrm>
                    <a:prstGeom prst="rect">
                      <a:avLst/>
                    </a:prstGeom>
                    <a:noFill/>
                    <a:ln>
                      <a:noFill/>
                    </a:ln>
                  </pic:spPr>
                </pic:pic>
              </a:graphicData>
            </a:graphic>
          </wp:inline>
        </w:drawing>
      </w:r>
    </w:p>
    <w:p w14:paraId="344452AA" w14:textId="3566F52C" w:rsidR="00C56F83" w:rsidRPr="009D52EB" w:rsidRDefault="00DE0DCA" w:rsidP="003D6CF2">
      <w:pPr>
        <w:jc w:val="both"/>
        <w:rPr>
          <w:rFonts w:ascii="Times New Roman" w:hAnsi="Times New Roman" w:cs="Times New Roman"/>
          <w:sz w:val="20"/>
          <w:szCs w:val="24"/>
        </w:rPr>
      </w:pPr>
      <w:r>
        <w:rPr>
          <w:rFonts w:ascii="Times New Roman" w:hAnsi="Times New Roman" w:cs="Times New Roman"/>
          <w:b/>
          <w:bCs/>
          <w:sz w:val="20"/>
          <w:szCs w:val="24"/>
        </w:rPr>
        <w:t>Supplementary Fig.</w:t>
      </w:r>
      <w:r w:rsidR="00C56F83" w:rsidRPr="009D52EB">
        <w:rPr>
          <w:rFonts w:ascii="Times New Roman" w:hAnsi="Times New Roman" w:cs="Times New Roman"/>
          <w:b/>
          <w:bCs/>
          <w:sz w:val="20"/>
          <w:szCs w:val="24"/>
        </w:rPr>
        <w:t xml:space="preserve"> </w:t>
      </w:r>
      <w:r w:rsidR="00F759E9">
        <w:rPr>
          <w:rFonts w:ascii="Times New Roman" w:hAnsi="Times New Roman" w:cs="Times New Roman"/>
          <w:b/>
          <w:bCs/>
          <w:sz w:val="20"/>
          <w:szCs w:val="24"/>
        </w:rPr>
        <w:t>15 |</w:t>
      </w:r>
      <w:r w:rsidR="00C56F83" w:rsidRPr="009D52EB">
        <w:rPr>
          <w:rFonts w:ascii="Times New Roman" w:hAnsi="Times New Roman" w:cs="Times New Roman"/>
          <w:sz w:val="20"/>
          <w:szCs w:val="24"/>
        </w:rPr>
        <w:t xml:space="preserve"> (</w:t>
      </w:r>
      <w:r w:rsidR="00797766">
        <w:rPr>
          <w:rFonts w:ascii="Times New Roman" w:hAnsi="Times New Roman" w:cs="Times New Roman"/>
          <w:sz w:val="20"/>
          <w:szCs w:val="24"/>
        </w:rPr>
        <w:t>a</w:t>
      </w:r>
      <w:r w:rsidR="00C56F83" w:rsidRPr="009D52EB">
        <w:rPr>
          <w:rFonts w:ascii="Times New Roman" w:hAnsi="Times New Roman" w:cs="Times New Roman"/>
          <w:sz w:val="20"/>
          <w:szCs w:val="24"/>
        </w:rPr>
        <w:t>) The CO</w:t>
      </w:r>
      <w:r w:rsidR="00C56F83" w:rsidRPr="009D52EB">
        <w:rPr>
          <w:rFonts w:ascii="Times New Roman" w:hAnsi="Times New Roman" w:cs="Times New Roman"/>
          <w:sz w:val="20"/>
          <w:szCs w:val="24"/>
          <w:vertAlign w:val="subscript"/>
        </w:rPr>
        <w:t>2</w:t>
      </w:r>
      <w:r w:rsidR="00C56F83" w:rsidRPr="009D52EB">
        <w:rPr>
          <w:rFonts w:ascii="Times New Roman" w:hAnsi="Times New Roman" w:cs="Times New Roman"/>
          <w:sz w:val="20"/>
          <w:szCs w:val="24"/>
        </w:rPr>
        <w:t>-to-ethylene conversion</w:t>
      </w:r>
      <w:r w:rsidR="002C10C3" w:rsidRPr="009D52EB">
        <w:rPr>
          <w:rFonts w:ascii="Times New Roman" w:hAnsi="Times New Roman" w:cs="Times New Roman"/>
          <w:sz w:val="20"/>
          <w:szCs w:val="24"/>
        </w:rPr>
        <w:t>s</w:t>
      </w:r>
      <w:r w:rsidR="00C56F83" w:rsidRPr="009D52EB">
        <w:rPr>
          <w:rFonts w:ascii="Times New Roman" w:hAnsi="Times New Roman" w:cs="Times New Roman"/>
          <w:sz w:val="20"/>
          <w:szCs w:val="24"/>
        </w:rPr>
        <w:t xml:space="preserve"> of the </w:t>
      </w:r>
      <w:r w:rsidR="004A7ADC">
        <w:rPr>
          <w:rFonts w:ascii="Times New Roman" w:hAnsi="Times New Roman" w:cs="Times New Roman"/>
          <w:sz w:val="20"/>
          <w:szCs w:val="24"/>
        </w:rPr>
        <w:t>SC-BPMEA</w:t>
      </w:r>
      <w:r w:rsidR="00F637F0" w:rsidRPr="009D52EB">
        <w:rPr>
          <w:rFonts w:ascii="Times New Roman" w:hAnsi="Times New Roman" w:cs="Times New Roman"/>
          <w:sz w:val="20"/>
          <w:szCs w:val="24"/>
        </w:rPr>
        <w:t>s with different thickness of 0.5 M K</w:t>
      </w:r>
      <w:r w:rsidR="00F637F0" w:rsidRPr="009D52EB">
        <w:rPr>
          <w:rFonts w:ascii="Times New Roman" w:hAnsi="Times New Roman" w:cs="Times New Roman"/>
          <w:sz w:val="20"/>
          <w:szCs w:val="24"/>
          <w:vertAlign w:val="subscript"/>
        </w:rPr>
        <w:t>2</w:t>
      </w:r>
      <w:r w:rsidR="00F637F0" w:rsidRPr="009D52EB">
        <w:rPr>
          <w:rFonts w:ascii="Times New Roman" w:hAnsi="Times New Roman" w:cs="Times New Roman"/>
          <w:sz w:val="20"/>
          <w:szCs w:val="24"/>
        </w:rPr>
        <w:t>SO</w:t>
      </w:r>
      <w:r w:rsidR="00F637F0" w:rsidRPr="009D52EB">
        <w:rPr>
          <w:rFonts w:ascii="Times New Roman" w:hAnsi="Times New Roman" w:cs="Times New Roman"/>
          <w:sz w:val="20"/>
          <w:szCs w:val="24"/>
          <w:vertAlign w:val="subscript"/>
        </w:rPr>
        <w:t>4</w:t>
      </w:r>
      <w:r w:rsidR="00F637F0" w:rsidRPr="009D52EB">
        <w:rPr>
          <w:rFonts w:ascii="Times New Roman" w:hAnsi="Times New Roman" w:cs="Times New Roman"/>
          <w:sz w:val="20"/>
          <w:szCs w:val="24"/>
        </w:rPr>
        <w:t xml:space="preserve"> SC-layers</w:t>
      </w:r>
      <w:r w:rsidR="002C10C3" w:rsidRPr="009D52EB">
        <w:rPr>
          <w:rFonts w:ascii="Times New Roman" w:hAnsi="Times New Roman" w:cs="Times New Roman"/>
          <w:sz w:val="20"/>
          <w:szCs w:val="24"/>
        </w:rPr>
        <w:t xml:space="preserve"> at different input CO</w:t>
      </w:r>
      <w:r w:rsidR="002C10C3" w:rsidRPr="009D52EB">
        <w:rPr>
          <w:rFonts w:ascii="Times New Roman" w:hAnsi="Times New Roman" w:cs="Times New Roman"/>
          <w:sz w:val="20"/>
          <w:szCs w:val="24"/>
          <w:vertAlign w:val="subscript"/>
        </w:rPr>
        <w:t>2</w:t>
      </w:r>
      <w:r w:rsidR="002C10C3" w:rsidRPr="009D52EB">
        <w:rPr>
          <w:rFonts w:ascii="Times New Roman" w:hAnsi="Times New Roman" w:cs="Times New Roman"/>
          <w:sz w:val="20"/>
          <w:szCs w:val="24"/>
        </w:rPr>
        <w:t xml:space="preserve"> flow rates</w:t>
      </w:r>
      <w:r w:rsidR="00F637F0" w:rsidRPr="009D52EB">
        <w:rPr>
          <w:rFonts w:ascii="Times New Roman" w:hAnsi="Times New Roman" w:cs="Times New Roman"/>
          <w:sz w:val="20"/>
          <w:szCs w:val="24"/>
        </w:rPr>
        <w:t>.</w:t>
      </w:r>
      <w:r w:rsidR="002C10C3" w:rsidRPr="009D52EB">
        <w:rPr>
          <w:rFonts w:ascii="Times New Roman" w:hAnsi="Times New Roman" w:cs="Times New Roman"/>
          <w:sz w:val="20"/>
          <w:szCs w:val="24"/>
        </w:rPr>
        <w:t xml:space="preserve"> (</w:t>
      </w:r>
      <w:r w:rsidR="00797766">
        <w:rPr>
          <w:rFonts w:ascii="Times New Roman" w:hAnsi="Times New Roman" w:cs="Times New Roman"/>
          <w:sz w:val="20"/>
          <w:szCs w:val="24"/>
        </w:rPr>
        <w:t>b</w:t>
      </w:r>
      <w:r w:rsidR="002C10C3" w:rsidRPr="009D52EB">
        <w:rPr>
          <w:rFonts w:ascii="Times New Roman" w:hAnsi="Times New Roman" w:cs="Times New Roman"/>
          <w:sz w:val="20"/>
          <w:szCs w:val="24"/>
        </w:rPr>
        <w:t>) The CO</w:t>
      </w:r>
      <w:r w:rsidR="002C10C3" w:rsidRPr="009D52EB">
        <w:rPr>
          <w:rFonts w:ascii="Times New Roman" w:hAnsi="Times New Roman" w:cs="Times New Roman"/>
          <w:sz w:val="20"/>
          <w:szCs w:val="24"/>
          <w:vertAlign w:val="subscript"/>
        </w:rPr>
        <w:t>2</w:t>
      </w:r>
      <w:r w:rsidR="002C10C3" w:rsidRPr="009D52EB">
        <w:rPr>
          <w:rFonts w:ascii="Times New Roman" w:hAnsi="Times New Roman" w:cs="Times New Roman"/>
          <w:sz w:val="20"/>
          <w:szCs w:val="24"/>
        </w:rPr>
        <w:t xml:space="preserve"> distribution</w:t>
      </w:r>
      <w:r w:rsidR="008E78E5" w:rsidRPr="009D52EB">
        <w:rPr>
          <w:rFonts w:ascii="Times New Roman" w:hAnsi="Times New Roman" w:cs="Times New Roman"/>
          <w:sz w:val="20"/>
          <w:szCs w:val="24"/>
        </w:rPr>
        <w:t>s</w:t>
      </w:r>
      <w:r w:rsidR="002C10C3" w:rsidRPr="009D52EB">
        <w:rPr>
          <w:rFonts w:ascii="Times New Roman" w:hAnsi="Times New Roman" w:cs="Times New Roman"/>
          <w:sz w:val="20"/>
          <w:szCs w:val="24"/>
        </w:rPr>
        <w:t xml:space="preserve"> of the </w:t>
      </w:r>
      <w:r w:rsidR="004A7ADC">
        <w:rPr>
          <w:rFonts w:ascii="Times New Roman" w:hAnsi="Times New Roman" w:cs="Times New Roman"/>
          <w:sz w:val="20"/>
          <w:szCs w:val="24"/>
        </w:rPr>
        <w:t>SC-BPMEA</w:t>
      </w:r>
      <w:r w:rsidR="002C10C3" w:rsidRPr="009D52EB">
        <w:rPr>
          <w:rFonts w:ascii="Times New Roman" w:hAnsi="Times New Roman" w:cs="Times New Roman"/>
          <w:sz w:val="20"/>
          <w:szCs w:val="24"/>
        </w:rPr>
        <w:t xml:space="preserve"> with 65 μm-thick 0.5 M K</w:t>
      </w:r>
      <w:r w:rsidR="002C10C3" w:rsidRPr="009D52EB">
        <w:rPr>
          <w:rFonts w:ascii="Times New Roman" w:hAnsi="Times New Roman" w:cs="Times New Roman"/>
          <w:sz w:val="20"/>
          <w:szCs w:val="24"/>
          <w:vertAlign w:val="subscript"/>
        </w:rPr>
        <w:t>2</w:t>
      </w:r>
      <w:r w:rsidR="002C10C3" w:rsidRPr="009D52EB">
        <w:rPr>
          <w:rFonts w:ascii="Times New Roman" w:hAnsi="Times New Roman" w:cs="Times New Roman"/>
          <w:sz w:val="20"/>
          <w:szCs w:val="24"/>
        </w:rPr>
        <w:t>SO</w:t>
      </w:r>
      <w:r w:rsidR="002C10C3" w:rsidRPr="009D52EB">
        <w:rPr>
          <w:rFonts w:ascii="Times New Roman" w:hAnsi="Times New Roman" w:cs="Times New Roman"/>
          <w:sz w:val="20"/>
          <w:szCs w:val="24"/>
          <w:vertAlign w:val="subscript"/>
        </w:rPr>
        <w:t>4</w:t>
      </w:r>
      <w:r w:rsidR="002C10C3" w:rsidRPr="009D52EB">
        <w:rPr>
          <w:rFonts w:ascii="Times New Roman" w:hAnsi="Times New Roman" w:cs="Times New Roman"/>
          <w:sz w:val="20"/>
          <w:szCs w:val="24"/>
        </w:rPr>
        <w:t>, operating at different input CO</w:t>
      </w:r>
      <w:r w:rsidR="002C10C3" w:rsidRPr="009D52EB">
        <w:rPr>
          <w:rFonts w:ascii="Times New Roman" w:hAnsi="Times New Roman" w:cs="Times New Roman"/>
          <w:sz w:val="20"/>
          <w:szCs w:val="24"/>
          <w:vertAlign w:val="subscript"/>
        </w:rPr>
        <w:t>2</w:t>
      </w:r>
      <w:r w:rsidR="002C10C3" w:rsidRPr="009D52EB">
        <w:rPr>
          <w:rFonts w:ascii="Times New Roman" w:hAnsi="Times New Roman" w:cs="Times New Roman"/>
          <w:sz w:val="20"/>
          <w:szCs w:val="24"/>
        </w:rPr>
        <w:t xml:space="preserve"> flow rates</w:t>
      </w:r>
      <w:r w:rsidR="00AA7D87">
        <w:rPr>
          <w:rFonts w:ascii="Times New Roman" w:hAnsi="Times New Roman" w:cs="Times New Roman"/>
          <w:sz w:val="20"/>
          <w:szCs w:val="24"/>
        </w:rPr>
        <w:t xml:space="preserve"> and a current density of 200 mA cm</w:t>
      </w:r>
      <w:r w:rsidR="00AA7D87" w:rsidRPr="00AA7D87">
        <w:rPr>
          <w:rFonts w:ascii="Times New Roman" w:hAnsi="Times New Roman" w:cs="Times New Roman"/>
          <w:sz w:val="20"/>
          <w:szCs w:val="24"/>
          <w:vertAlign w:val="superscript"/>
        </w:rPr>
        <w:t>-2</w:t>
      </w:r>
      <w:r w:rsidR="00AA7D87">
        <w:rPr>
          <w:rFonts w:ascii="Times New Roman" w:hAnsi="Times New Roman" w:cs="Times New Roman"/>
          <w:sz w:val="20"/>
          <w:szCs w:val="24"/>
        </w:rPr>
        <w:t>.</w:t>
      </w:r>
    </w:p>
    <w:p w14:paraId="702D4E4D" w14:textId="77777777" w:rsidR="00F81E4A" w:rsidRPr="009D52EB" w:rsidRDefault="00F81E4A" w:rsidP="00F81E4A">
      <w:pPr>
        <w:jc w:val="both"/>
        <w:rPr>
          <w:rFonts w:ascii="Times New Roman" w:hAnsi="Times New Roman" w:cs="Times New Roman"/>
          <w:sz w:val="24"/>
          <w:szCs w:val="24"/>
        </w:rPr>
      </w:pPr>
    </w:p>
    <w:p w14:paraId="342694DE" w14:textId="5BBBAF15" w:rsidR="00B033DB" w:rsidRPr="009D52EB" w:rsidRDefault="00B033DB" w:rsidP="00321B55">
      <w:pPr>
        <w:rPr>
          <w:rFonts w:ascii="Times New Roman" w:hAnsi="Times New Roman" w:cs="Times New Roman"/>
          <w:b/>
          <w:bCs/>
          <w:sz w:val="24"/>
          <w:szCs w:val="24"/>
        </w:rPr>
      </w:pPr>
    </w:p>
    <w:p w14:paraId="5C7A0CAC" w14:textId="77777777" w:rsidR="006A3C4B" w:rsidRPr="009D52EB" w:rsidRDefault="006A3C4B">
      <w:pPr>
        <w:rPr>
          <w:rFonts w:ascii="Times New Roman" w:hAnsi="Times New Roman" w:cs="Times New Roman"/>
          <w:b/>
          <w:bCs/>
          <w:sz w:val="24"/>
          <w:szCs w:val="24"/>
        </w:rPr>
      </w:pPr>
      <w:r w:rsidRPr="009D52EB">
        <w:rPr>
          <w:rFonts w:ascii="Times New Roman" w:hAnsi="Times New Roman" w:cs="Times New Roman"/>
          <w:b/>
          <w:bCs/>
          <w:sz w:val="24"/>
          <w:szCs w:val="24"/>
        </w:rPr>
        <w:br w:type="page"/>
      </w:r>
    </w:p>
    <w:p w14:paraId="62AB52F3" w14:textId="49D867E2" w:rsidR="006243D4" w:rsidRPr="009D52EB" w:rsidRDefault="006C5384">
      <w:pPr>
        <w:jc w:val="both"/>
        <w:rPr>
          <w:rFonts w:ascii="Times New Roman" w:hAnsi="Times New Roman" w:cs="Times New Roman"/>
          <w:b/>
          <w:bCs/>
          <w:sz w:val="24"/>
          <w:szCs w:val="24"/>
        </w:rPr>
      </w:pPr>
      <w:r w:rsidRPr="009D52EB">
        <w:rPr>
          <w:rFonts w:ascii="Times New Roman" w:hAnsi="Times New Roman" w:cs="Times New Roman"/>
          <w:b/>
          <w:bCs/>
          <w:sz w:val="24"/>
          <w:szCs w:val="24"/>
        </w:rPr>
        <w:lastRenderedPageBreak/>
        <w:t>SI1</w:t>
      </w:r>
      <w:r>
        <w:rPr>
          <w:rFonts w:ascii="Times New Roman" w:hAnsi="Times New Roman" w:cs="Times New Roman"/>
          <w:b/>
          <w:bCs/>
          <w:sz w:val="24"/>
          <w:szCs w:val="24"/>
        </w:rPr>
        <w:t>0</w:t>
      </w:r>
      <w:r w:rsidRPr="009D52EB">
        <w:rPr>
          <w:rFonts w:ascii="Times New Roman" w:hAnsi="Times New Roman" w:cs="Times New Roman"/>
          <w:b/>
          <w:bCs/>
          <w:sz w:val="24"/>
          <w:szCs w:val="24"/>
        </w:rPr>
        <w:t xml:space="preserve"> </w:t>
      </w:r>
      <w:r w:rsidR="00456875" w:rsidRPr="009D52EB">
        <w:rPr>
          <w:rFonts w:ascii="Times New Roman" w:hAnsi="Times New Roman" w:cs="Times New Roman"/>
          <w:b/>
          <w:bCs/>
          <w:sz w:val="24"/>
          <w:szCs w:val="24"/>
        </w:rPr>
        <w:t>The compatibility of</w:t>
      </w:r>
      <w:r w:rsidR="002306D5" w:rsidRPr="009D52EB">
        <w:rPr>
          <w:rFonts w:ascii="Times New Roman" w:hAnsi="Times New Roman" w:cs="Times New Roman"/>
          <w:b/>
          <w:bCs/>
          <w:sz w:val="24"/>
          <w:szCs w:val="24"/>
        </w:rPr>
        <w:t xml:space="preserve"> </w:t>
      </w:r>
      <w:r w:rsidR="004A7ADC">
        <w:rPr>
          <w:rFonts w:ascii="Times New Roman" w:hAnsi="Times New Roman" w:cs="Times New Roman"/>
          <w:b/>
          <w:bCs/>
          <w:sz w:val="24"/>
          <w:szCs w:val="24"/>
        </w:rPr>
        <w:t>SC-BPMEA</w:t>
      </w:r>
      <w:r w:rsidR="00456875" w:rsidRPr="009D52EB">
        <w:rPr>
          <w:rFonts w:ascii="Times New Roman" w:hAnsi="Times New Roman" w:cs="Times New Roman"/>
          <w:b/>
          <w:bCs/>
          <w:sz w:val="24"/>
          <w:szCs w:val="24"/>
        </w:rPr>
        <w:t xml:space="preserve"> with </w:t>
      </w:r>
      <w:r w:rsidR="00EB0100" w:rsidRPr="009D52EB">
        <w:rPr>
          <w:rFonts w:ascii="Times New Roman" w:hAnsi="Times New Roman" w:cs="Times New Roman"/>
          <w:b/>
          <w:bCs/>
          <w:sz w:val="24"/>
          <w:szCs w:val="24"/>
        </w:rPr>
        <w:t>acidic and basic</w:t>
      </w:r>
      <w:r w:rsidR="00456875" w:rsidRPr="009D52EB">
        <w:rPr>
          <w:rFonts w:ascii="Times New Roman" w:hAnsi="Times New Roman" w:cs="Times New Roman"/>
          <w:b/>
          <w:bCs/>
          <w:sz w:val="24"/>
          <w:szCs w:val="24"/>
        </w:rPr>
        <w:t xml:space="preserve"> anolytes</w:t>
      </w:r>
      <w:r w:rsidR="006243D4" w:rsidRPr="009D52EB">
        <w:rPr>
          <w:rFonts w:ascii="Times New Roman" w:hAnsi="Times New Roman" w:cs="Times New Roman"/>
          <w:b/>
          <w:bCs/>
          <w:sz w:val="24"/>
          <w:szCs w:val="24"/>
        </w:rPr>
        <w:t>.</w:t>
      </w:r>
    </w:p>
    <w:p w14:paraId="0E77ADEA" w14:textId="047F3ED3" w:rsidR="00321B55" w:rsidRPr="009D52EB" w:rsidRDefault="00321B55" w:rsidP="00321B55">
      <w:pPr>
        <w:jc w:val="both"/>
        <w:rPr>
          <w:rFonts w:ascii="Times New Roman" w:hAnsi="Times New Roman" w:cs="Times New Roman"/>
          <w:sz w:val="24"/>
          <w:szCs w:val="24"/>
        </w:rPr>
      </w:pPr>
      <w:r w:rsidRPr="009D52EB">
        <w:rPr>
          <w:rFonts w:ascii="Times New Roman" w:hAnsi="Times New Roman" w:cs="Times New Roman"/>
          <w:sz w:val="24"/>
          <w:szCs w:val="24"/>
        </w:rPr>
        <w:t xml:space="preserve">For the </w:t>
      </w:r>
      <w:r w:rsidR="004A7ADC">
        <w:rPr>
          <w:rFonts w:ascii="Times New Roman" w:hAnsi="Times New Roman" w:cs="Times New Roman"/>
          <w:sz w:val="24"/>
          <w:szCs w:val="24"/>
        </w:rPr>
        <w:t>SC-BPMEA</w:t>
      </w:r>
      <w:r w:rsidRPr="009D52EB">
        <w:rPr>
          <w:rFonts w:ascii="Times New Roman" w:hAnsi="Times New Roman" w:cs="Times New Roman"/>
          <w:sz w:val="24"/>
          <w:szCs w:val="24"/>
        </w:rPr>
        <w:t xml:space="preserve"> using acidic anolyte, the </w:t>
      </w:r>
      <w:r w:rsidR="00715DDE" w:rsidRPr="009D52EB">
        <w:rPr>
          <w:rFonts w:ascii="Times New Roman" w:hAnsi="Times New Roman" w:cs="Times New Roman"/>
          <w:sz w:val="24"/>
          <w:szCs w:val="24"/>
        </w:rPr>
        <w:t>custom</w:t>
      </w:r>
      <w:r w:rsidRPr="009D52EB">
        <w:rPr>
          <w:rFonts w:ascii="Times New Roman" w:hAnsi="Times New Roman" w:cs="Times New Roman"/>
          <w:sz w:val="24"/>
          <w:szCs w:val="24"/>
        </w:rPr>
        <w:t xml:space="preserve"> BPM </w:t>
      </w:r>
      <w:r w:rsidR="00747682" w:rsidRPr="009D52EB">
        <w:rPr>
          <w:rFonts w:ascii="Times New Roman" w:hAnsi="Times New Roman" w:cs="Times New Roman"/>
          <w:sz w:val="24"/>
          <w:szCs w:val="24"/>
        </w:rPr>
        <w:t xml:space="preserve">enables a </w:t>
      </w:r>
      <w:r w:rsidRPr="009D52EB">
        <w:rPr>
          <w:rFonts w:ascii="Times New Roman" w:hAnsi="Times New Roman" w:cs="Times New Roman"/>
          <w:sz w:val="24"/>
          <w:szCs w:val="24"/>
        </w:rPr>
        <w:t>lower cell voltage than Fumasep</w:t>
      </w:r>
      <w:r w:rsidR="00A05894">
        <w:rPr>
          <w:rFonts w:ascii="Times New Roman" w:hAnsi="Times New Roman" w:cs="Times New Roman"/>
          <w:sz w:val="24"/>
          <w:szCs w:val="24"/>
        </w:rPr>
        <w:t xml:space="preserve">. </w:t>
      </w:r>
      <w:r w:rsidRPr="009D52EB">
        <w:rPr>
          <w:rFonts w:ascii="Times New Roman" w:hAnsi="Times New Roman" w:cs="Times New Roman"/>
          <w:sz w:val="24"/>
          <w:szCs w:val="24"/>
        </w:rPr>
        <w:t xml:space="preserve">However, this system always fails within </w:t>
      </w:r>
      <w:r w:rsidR="00C2110B">
        <w:rPr>
          <w:rFonts w:ascii="Times New Roman" w:hAnsi="Times New Roman" w:cs="Times New Roman"/>
          <w:sz w:val="24"/>
          <w:szCs w:val="24"/>
        </w:rPr>
        <w:t>~</w:t>
      </w:r>
      <w:r w:rsidRPr="009D52EB">
        <w:rPr>
          <w:rFonts w:ascii="Times New Roman" w:hAnsi="Times New Roman" w:cs="Times New Roman"/>
          <w:sz w:val="24"/>
          <w:szCs w:val="24"/>
        </w:rPr>
        <w:t>4</w:t>
      </w:r>
      <w:r w:rsidR="00C2110B">
        <w:rPr>
          <w:rFonts w:ascii="Times New Roman" w:hAnsi="Times New Roman" w:cs="Times New Roman"/>
          <w:sz w:val="24"/>
          <w:szCs w:val="24"/>
        </w:rPr>
        <w:t>-</w:t>
      </w:r>
      <w:r w:rsidRPr="009D52EB">
        <w:rPr>
          <w:rFonts w:ascii="Times New Roman" w:hAnsi="Times New Roman" w:cs="Times New Roman"/>
          <w:sz w:val="24"/>
          <w:szCs w:val="24"/>
        </w:rPr>
        <w:t xml:space="preserve">6 </w:t>
      </w:r>
      <w:r w:rsidR="00C2110B" w:rsidRPr="009D52EB">
        <w:rPr>
          <w:rFonts w:ascii="Times New Roman" w:hAnsi="Times New Roman" w:cs="Times New Roman"/>
          <w:sz w:val="24"/>
          <w:szCs w:val="24"/>
        </w:rPr>
        <w:t>h</w:t>
      </w:r>
      <w:r w:rsidR="00C2110B">
        <w:rPr>
          <w:rFonts w:ascii="Times New Roman" w:hAnsi="Times New Roman" w:cs="Times New Roman"/>
          <w:sz w:val="24"/>
          <w:szCs w:val="24"/>
        </w:rPr>
        <w:t xml:space="preserve"> </w:t>
      </w:r>
      <w:r w:rsidRPr="009D52EB">
        <w:rPr>
          <w:rFonts w:ascii="Times New Roman" w:hAnsi="Times New Roman" w:cs="Times New Roman"/>
          <w:sz w:val="24"/>
          <w:szCs w:val="24"/>
        </w:rPr>
        <w:t xml:space="preserve">of continuous </w:t>
      </w:r>
      <w:r w:rsidR="00747682" w:rsidRPr="009D52EB">
        <w:rPr>
          <w:rFonts w:ascii="Times New Roman" w:hAnsi="Times New Roman" w:cs="Times New Roman"/>
          <w:sz w:val="24"/>
          <w:szCs w:val="24"/>
        </w:rPr>
        <w:t xml:space="preserve">operation </w:t>
      </w:r>
      <w:r w:rsidRPr="009D52EB">
        <w:rPr>
          <w:rFonts w:ascii="Times New Roman" w:hAnsi="Times New Roman" w:cs="Times New Roman"/>
          <w:sz w:val="24"/>
          <w:szCs w:val="24"/>
        </w:rPr>
        <w:t xml:space="preserve">due to </w:t>
      </w:r>
      <w:r w:rsidR="00C2110B">
        <w:rPr>
          <w:rFonts w:ascii="Times New Roman" w:hAnsi="Times New Roman" w:cs="Times New Roman"/>
          <w:sz w:val="24"/>
          <w:szCs w:val="24"/>
        </w:rPr>
        <w:t>a</w:t>
      </w:r>
      <w:r w:rsidR="007C0C17">
        <w:rPr>
          <w:rFonts w:ascii="Times New Roman" w:hAnsi="Times New Roman" w:cs="Times New Roman"/>
          <w:sz w:val="24"/>
          <w:szCs w:val="24"/>
        </w:rPr>
        <w:t>n</w:t>
      </w:r>
      <w:r w:rsidR="00C2110B">
        <w:rPr>
          <w:rFonts w:ascii="Times New Roman" w:hAnsi="Times New Roman" w:cs="Times New Roman"/>
          <w:sz w:val="24"/>
          <w:szCs w:val="24"/>
        </w:rPr>
        <w:t xml:space="preserve"> apparent</w:t>
      </w:r>
      <w:r w:rsidR="00C2110B" w:rsidRPr="009D52EB">
        <w:rPr>
          <w:rFonts w:ascii="Times New Roman" w:hAnsi="Times New Roman" w:cs="Times New Roman"/>
          <w:sz w:val="24"/>
          <w:szCs w:val="24"/>
        </w:rPr>
        <w:t xml:space="preserve"> </w:t>
      </w:r>
      <w:r w:rsidRPr="009D52EB">
        <w:rPr>
          <w:rFonts w:ascii="Times New Roman" w:hAnsi="Times New Roman" w:cs="Times New Roman"/>
          <w:sz w:val="24"/>
          <w:szCs w:val="24"/>
        </w:rPr>
        <w:t>short</w:t>
      </w:r>
      <w:r w:rsidR="00C2110B">
        <w:rPr>
          <w:rFonts w:ascii="Times New Roman" w:hAnsi="Times New Roman" w:cs="Times New Roman"/>
          <w:sz w:val="24"/>
          <w:szCs w:val="24"/>
        </w:rPr>
        <w:t>-</w:t>
      </w:r>
      <w:r w:rsidRPr="009D52EB">
        <w:rPr>
          <w:rFonts w:ascii="Times New Roman" w:hAnsi="Times New Roman" w:cs="Times New Roman"/>
          <w:sz w:val="24"/>
          <w:szCs w:val="24"/>
        </w:rPr>
        <w:t xml:space="preserve">circuit issue, and </w:t>
      </w:r>
      <w:r w:rsidR="00F1411B">
        <w:rPr>
          <w:rFonts w:ascii="Times New Roman" w:hAnsi="Times New Roman" w:cs="Times New Roman"/>
          <w:sz w:val="24"/>
          <w:szCs w:val="24"/>
        </w:rPr>
        <w:t>the</w:t>
      </w:r>
      <w:r w:rsidRPr="009D52EB">
        <w:rPr>
          <w:rFonts w:ascii="Times New Roman" w:hAnsi="Times New Roman" w:cs="Times New Roman"/>
          <w:sz w:val="24"/>
          <w:szCs w:val="24"/>
        </w:rPr>
        <w:t xml:space="preserve"> typical voltage versus </w:t>
      </w:r>
      <w:r w:rsidR="00747682" w:rsidRPr="009D52EB">
        <w:rPr>
          <w:rFonts w:ascii="Times New Roman" w:hAnsi="Times New Roman" w:cs="Times New Roman"/>
          <w:sz w:val="24"/>
          <w:szCs w:val="24"/>
        </w:rPr>
        <w:t xml:space="preserve">operation duration </w:t>
      </w:r>
      <w:r w:rsidRPr="009D52EB">
        <w:rPr>
          <w:rFonts w:ascii="Times New Roman" w:hAnsi="Times New Roman" w:cs="Times New Roman"/>
          <w:sz w:val="24"/>
          <w:szCs w:val="24"/>
        </w:rPr>
        <w:t xml:space="preserve">is shown in </w:t>
      </w:r>
      <w:r w:rsidR="00DE0DCA">
        <w:rPr>
          <w:rFonts w:ascii="Times New Roman" w:hAnsi="Times New Roman" w:cs="Times New Roman"/>
          <w:sz w:val="24"/>
          <w:szCs w:val="24"/>
        </w:rPr>
        <w:t>Supplementary Fig.</w:t>
      </w:r>
      <w:r w:rsidRPr="009D52EB">
        <w:rPr>
          <w:rFonts w:ascii="Times New Roman" w:hAnsi="Times New Roman" w:cs="Times New Roman"/>
          <w:sz w:val="24"/>
          <w:szCs w:val="24"/>
        </w:rPr>
        <w:t xml:space="preserve"> </w:t>
      </w:r>
      <w:r w:rsidR="00AB503E">
        <w:rPr>
          <w:rFonts w:ascii="Times New Roman" w:hAnsi="Times New Roman" w:cs="Times New Roman"/>
          <w:sz w:val="24"/>
          <w:szCs w:val="24"/>
        </w:rPr>
        <w:t>16b</w:t>
      </w:r>
      <w:r w:rsidRPr="009D52EB">
        <w:rPr>
          <w:rFonts w:ascii="Times New Roman" w:hAnsi="Times New Roman" w:cs="Times New Roman"/>
          <w:sz w:val="24"/>
          <w:szCs w:val="24"/>
        </w:rPr>
        <w:t>. We suspect this is caused by the growth of Cu dendrites that physically penetrated through BPM and contact with the anode. Cu could be partially dissolved by acid and electrochemically re-deposited onto the catalyst layer, forming sharp dendrites.</w:t>
      </w:r>
      <w:r w:rsidRPr="00E85E3D">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10.1016/j.jcou.2020.02.017","ISSN":"2212-9820","author":[{"dropping-particle":"","family":"Rashid","given":"Nusrat","non-dropping-particle":"","parse-names":false,"suffix":""},{"dropping-particle":"","family":"Ahmad","given":"Mohsin","non-dropping-particle":"","parse-names":false,"suffix":""},{"dropping-particle":"","family":"Ingole","given":"Pravin P","non-dropping-particle":"","parse-names":false,"suffix":""}],"container-title":"Journal of CO2 Utilization","id":"ITEM-1","issue":"December 2019","issued":{"date-parts":[["2020"]]},"page":"385-397","publisher":"Elsevier","title":"Dendritic copper microstructured electrodeposits for e ffi cient and selective electrochemical reduction of carbon dioxide into C1 and C2 hydrocarbons","type":"article-journal","volume":"38"},"uris":["http://www.mendeley.com/documents/?uuid=4db2f011-3d77-47f0-af0a-47b7f717bbfb"]}],"mendeley":{"formattedCitation":"&lt;sup&gt;35&lt;/sup&gt;","plainTextFormattedCitation":"35","previouslyFormattedCitation":"&lt;sup&gt;50&lt;/sup&gt;"},"properties":{"noteIndex":0},"schema":"https://github.com/citation-style-language/schema/raw/master/csl-citation.json"}</w:instrText>
      </w:r>
      <w:r w:rsidRPr="00E85E3D">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35</w:t>
      </w:r>
      <w:r w:rsidRPr="00E85E3D">
        <w:rPr>
          <w:rFonts w:ascii="Times New Roman" w:hAnsi="Times New Roman" w:cs="Times New Roman"/>
          <w:sz w:val="24"/>
          <w:szCs w:val="24"/>
        </w:rPr>
        <w:fldChar w:fldCharType="end"/>
      </w:r>
      <w:r w:rsidRPr="00805810">
        <w:rPr>
          <w:rFonts w:ascii="Times New Roman" w:hAnsi="Times New Roman" w:cs="Times New Roman"/>
          <w:sz w:val="24"/>
          <w:szCs w:val="24"/>
        </w:rPr>
        <w:t xml:space="preserve"> Differently, we found that the Fumasep-based </w:t>
      </w:r>
      <w:r w:rsidR="004A7ADC">
        <w:rPr>
          <w:rFonts w:ascii="Times New Roman" w:hAnsi="Times New Roman" w:cs="Times New Roman"/>
          <w:sz w:val="24"/>
          <w:szCs w:val="24"/>
        </w:rPr>
        <w:t>SC-BPMEA</w:t>
      </w:r>
      <w:r w:rsidRPr="00805810">
        <w:rPr>
          <w:rFonts w:ascii="Times New Roman" w:hAnsi="Times New Roman" w:cs="Times New Roman"/>
          <w:sz w:val="24"/>
          <w:szCs w:val="24"/>
        </w:rPr>
        <w:t xml:space="preserve"> is more stable</w:t>
      </w:r>
      <w:r w:rsidR="00F1411B">
        <w:rPr>
          <w:rFonts w:ascii="Times New Roman" w:hAnsi="Times New Roman" w:cs="Times New Roman"/>
          <w:sz w:val="24"/>
          <w:szCs w:val="24"/>
        </w:rPr>
        <w:t>,</w:t>
      </w:r>
      <w:r w:rsidRPr="00805810">
        <w:rPr>
          <w:rFonts w:ascii="Times New Roman" w:hAnsi="Times New Roman" w:cs="Times New Roman"/>
          <w:sz w:val="24"/>
          <w:szCs w:val="24"/>
        </w:rPr>
        <w:t xml:space="preserve"> probably because Fumasep is mechanically </w:t>
      </w:r>
      <w:r w:rsidR="00B9740E" w:rsidRPr="009D52EB">
        <w:rPr>
          <w:rFonts w:ascii="Times New Roman" w:hAnsi="Times New Roman" w:cs="Times New Roman"/>
          <w:sz w:val="24"/>
          <w:szCs w:val="24"/>
        </w:rPr>
        <w:t>reinforced and thus more rigid</w:t>
      </w:r>
      <w:r w:rsidRPr="009D52EB">
        <w:rPr>
          <w:rFonts w:ascii="Times New Roman" w:hAnsi="Times New Roman" w:cs="Times New Roman"/>
          <w:sz w:val="24"/>
          <w:szCs w:val="24"/>
        </w:rPr>
        <w:t xml:space="preserve">, so Cu dendrites cannot </w:t>
      </w:r>
      <w:r w:rsidR="00B9740E" w:rsidRPr="009D52EB">
        <w:rPr>
          <w:rFonts w:ascii="Times New Roman" w:hAnsi="Times New Roman" w:cs="Times New Roman"/>
          <w:sz w:val="24"/>
          <w:szCs w:val="24"/>
        </w:rPr>
        <w:t xml:space="preserve">easily </w:t>
      </w:r>
      <w:r w:rsidRPr="009D52EB">
        <w:rPr>
          <w:rFonts w:ascii="Times New Roman" w:hAnsi="Times New Roman" w:cs="Times New Roman"/>
          <w:sz w:val="24"/>
          <w:szCs w:val="24"/>
        </w:rPr>
        <w:t>penetrate.</w:t>
      </w:r>
    </w:p>
    <w:p w14:paraId="0DD5F314" w14:textId="16B71DD4" w:rsidR="00321B55" w:rsidRPr="00805810" w:rsidRDefault="00C44E54" w:rsidP="00C87E76">
      <w:pPr>
        <w:jc w:val="center"/>
        <w:rPr>
          <w:rFonts w:ascii="Times New Roman" w:hAnsi="Times New Roman" w:cs="Times New Roman"/>
          <w:sz w:val="24"/>
          <w:szCs w:val="24"/>
        </w:rPr>
      </w:pPr>
      <w:r>
        <w:rPr>
          <w:noProof/>
        </w:rPr>
        <w:drawing>
          <wp:inline distT="0" distB="0" distL="0" distR="0" wp14:anchorId="39CD7563" wp14:editId="0045F43B">
            <wp:extent cx="5581650" cy="2152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81650" cy="2152650"/>
                    </a:xfrm>
                    <a:prstGeom prst="rect">
                      <a:avLst/>
                    </a:prstGeom>
                    <a:noFill/>
                    <a:ln>
                      <a:noFill/>
                    </a:ln>
                  </pic:spPr>
                </pic:pic>
              </a:graphicData>
            </a:graphic>
          </wp:inline>
        </w:drawing>
      </w:r>
    </w:p>
    <w:p w14:paraId="63DAF924" w14:textId="3277D542" w:rsidR="00321B55" w:rsidRPr="009D52EB" w:rsidRDefault="00DE0DCA" w:rsidP="00321B55">
      <w:pPr>
        <w:jc w:val="both"/>
        <w:rPr>
          <w:rFonts w:ascii="Times New Roman" w:hAnsi="Times New Roman" w:cs="Times New Roman"/>
          <w:sz w:val="20"/>
          <w:szCs w:val="24"/>
        </w:rPr>
      </w:pPr>
      <w:r>
        <w:rPr>
          <w:rFonts w:ascii="Times New Roman" w:hAnsi="Times New Roman" w:cs="Times New Roman"/>
          <w:b/>
          <w:bCs/>
          <w:sz w:val="20"/>
          <w:szCs w:val="24"/>
        </w:rPr>
        <w:t>Supplementary Fig.</w:t>
      </w:r>
      <w:r w:rsidR="00321B55" w:rsidRPr="009D52EB">
        <w:rPr>
          <w:rFonts w:ascii="Times New Roman" w:hAnsi="Times New Roman" w:cs="Times New Roman"/>
          <w:b/>
          <w:bCs/>
          <w:sz w:val="20"/>
          <w:szCs w:val="24"/>
        </w:rPr>
        <w:t xml:space="preserve"> </w:t>
      </w:r>
      <w:r w:rsidR="00797766">
        <w:rPr>
          <w:rFonts w:ascii="Times New Roman" w:hAnsi="Times New Roman" w:cs="Times New Roman"/>
          <w:b/>
          <w:bCs/>
          <w:sz w:val="20"/>
          <w:szCs w:val="24"/>
        </w:rPr>
        <w:t>16 |</w:t>
      </w:r>
      <w:r w:rsidR="00321B55" w:rsidRPr="009D52EB">
        <w:rPr>
          <w:rFonts w:ascii="Times New Roman" w:hAnsi="Times New Roman" w:cs="Times New Roman"/>
          <w:sz w:val="20"/>
          <w:szCs w:val="24"/>
        </w:rPr>
        <w:t xml:space="preserve"> (</w:t>
      </w:r>
      <w:r w:rsidR="00085131">
        <w:rPr>
          <w:rFonts w:ascii="Times New Roman" w:hAnsi="Times New Roman" w:cs="Times New Roman"/>
          <w:sz w:val="20"/>
          <w:szCs w:val="24"/>
        </w:rPr>
        <w:t>a</w:t>
      </w:r>
      <w:r w:rsidR="00321B55" w:rsidRPr="009D52EB">
        <w:rPr>
          <w:rFonts w:ascii="Times New Roman" w:hAnsi="Times New Roman" w:cs="Times New Roman"/>
          <w:sz w:val="20"/>
          <w:szCs w:val="24"/>
        </w:rPr>
        <w:t xml:space="preserve">) The FE and full cell voltage for the </w:t>
      </w:r>
      <w:r w:rsidR="004A7ADC">
        <w:rPr>
          <w:rFonts w:ascii="Times New Roman" w:hAnsi="Times New Roman" w:cs="Times New Roman"/>
          <w:sz w:val="20"/>
          <w:szCs w:val="24"/>
        </w:rPr>
        <w:t>SC-BPMEA</w:t>
      </w:r>
      <w:r w:rsidR="00321B55" w:rsidRPr="009D52EB">
        <w:rPr>
          <w:rFonts w:ascii="Times New Roman" w:hAnsi="Times New Roman" w:cs="Times New Roman"/>
          <w:sz w:val="20"/>
          <w:szCs w:val="24"/>
        </w:rPr>
        <w:t xml:space="preserve"> based on </w:t>
      </w:r>
      <w:r w:rsidR="003A4508" w:rsidRPr="009D52EB">
        <w:rPr>
          <w:rFonts w:ascii="Times New Roman" w:hAnsi="Times New Roman" w:cs="Times New Roman"/>
          <w:sz w:val="20"/>
          <w:szCs w:val="24"/>
        </w:rPr>
        <w:t>125 μm 0.5 M K</w:t>
      </w:r>
      <w:r w:rsidR="003A4508" w:rsidRPr="009D52EB">
        <w:rPr>
          <w:rFonts w:ascii="Times New Roman" w:hAnsi="Times New Roman" w:cs="Times New Roman"/>
          <w:sz w:val="20"/>
          <w:szCs w:val="24"/>
          <w:vertAlign w:val="subscript"/>
        </w:rPr>
        <w:t>2</w:t>
      </w:r>
      <w:r w:rsidR="003A4508" w:rsidRPr="009D52EB">
        <w:rPr>
          <w:rFonts w:ascii="Times New Roman" w:hAnsi="Times New Roman" w:cs="Times New Roman"/>
          <w:sz w:val="20"/>
          <w:szCs w:val="24"/>
        </w:rPr>
        <w:t>SO</w:t>
      </w:r>
      <w:r w:rsidR="003A4508" w:rsidRPr="009D52EB">
        <w:rPr>
          <w:rFonts w:ascii="Times New Roman" w:hAnsi="Times New Roman" w:cs="Times New Roman"/>
          <w:sz w:val="20"/>
          <w:szCs w:val="24"/>
          <w:vertAlign w:val="subscript"/>
        </w:rPr>
        <w:t>4</w:t>
      </w:r>
      <w:r w:rsidR="009D537B" w:rsidRPr="009D52EB">
        <w:rPr>
          <w:rFonts w:ascii="Times New Roman" w:hAnsi="Times New Roman" w:cs="Times New Roman"/>
          <w:sz w:val="20"/>
          <w:szCs w:val="24"/>
        </w:rPr>
        <w:t xml:space="preserve">, </w:t>
      </w:r>
      <w:r w:rsidR="00715DDE" w:rsidRPr="009D52EB">
        <w:rPr>
          <w:rFonts w:ascii="Times New Roman" w:hAnsi="Times New Roman" w:cs="Times New Roman"/>
          <w:sz w:val="20"/>
          <w:szCs w:val="24"/>
        </w:rPr>
        <w:t>custom</w:t>
      </w:r>
      <w:r w:rsidR="00321B55" w:rsidRPr="009D52EB">
        <w:rPr>
          <w:rFonts w:ascii="Times New Roman" w:hAnsi="Times New Roman" w:cs="Times New Roman"/>
          <w:sz w:val="20"/>
          <w:szCs w:val="24"/>
        </w:rPr>
        <w:t xml:space="preserve"> BPM and 0.1 M H</w:t>
      </w:r>
      <w:r w:rsidR="00321B55" w:rsidRPr="009D52EB">
        <w:rPr>
          <w:rFonts w:ascii="Times New Roman" w:hAnsi="Times New Roman" w:cs="Times New Roman"/>
          <w:sz w:val="20"/>
          <w:szCs w:val="24"/>
          <w:vertAlign w:val="subscript"/>
        </w:rPr>
        <w:t>3</w:t>
      </w:r>
      <w:r w:rsidR="00321B55" w:rsidRPr="009D52EB">
        <w:rPr>
          <w:rFonts w:ascii="Times New Roman" w:hAnsi="Times New Roman" w:cs="Times New Roman"/>
          <w:sz w:val="20"/>
          <w:szCs w:val="24"/>
        </w:rPr>
        <w:t>PO</w:t>
      </w:r>
      <w:r w:rsidR="00321B55" w:rsidRPr="009D52EB">
        <w:rPr>
          <w:rFonts w:ascii="Times New Roman" w:hAnsi="Times New Roman" w:cs="Times New Roman"/>
          <w:sz w:val="20"/>
          <w:szCs w:val="24"/>
          <w:vertAlign w:val="subscript"/>
        </w:rPr>
        <w:t>4</w:t>
      </w:r>
      <w:r w:rsidR="00321B55" w:rsidRPr="009D52EB">
        <w:rPr>
          <w:rFonts w:ascii="Times New Roman" w:hAnsi="Times New Roman" w:cs="Times New Roman"/>
          <w:sz w:val="20"/>
          <w:szCs w:val="24"/>
        </w:rPr>
        <w:t xml:space="preserve"> + 0.5 M K</w:t>
      </w:r>
      <w:r w:rsidR="00321B55" w:rsidRPr="009D52EB">
        <w:rPr>
          <w:rFonts w:ascii="Times New Roman" w:hAnsi="Times New Roman" w:cs="Times New Roman"/>
          <w:sz w:val="20"/>
          <w:szCs w:val="24"/>
          <w:vertAlign w:val="subscript"/>
        </w:rPr>
        <w:t>2</w:t>
      </w:r>
      <w:r w:rsidR="00321B55" w:rsidRPr="009D52EB">
        <w:rPr>
          <w:rFonts w:ascii="Times New Roman" w:hAnsi="Times New Roman" w:cs="Times New Roman"/>
          <w:sz w:val="20"/>
          <w:szCs w:val="24"/>
        </w:rPr>
        <w:t>SO</w:t>
      </w:r>
      <w:r w:rsidR="00321B55" w:rsidRPr="009D52EB">
        <w:rPr>
          <w:rFonts w:ascii="Times New Roman" w:hAnsi="Times New Roman" w:cs="Times New Roman"/>
          <w:sz w:val="20"/>
          <w:szCs w:val="24"/>
          <w:vertAlign w:val="subscript"/>
        </w:rPr>
        <w:t>4</w:t>
      </w:r>
      <w:r w:rsidR="00321B55" w:rsidRPr="009D52EB">
        <w:rPr>
          <w:rFonts w:ascii="Times New Roman" w:hAnsi="Times New Roman" w:cs="Times New Roman"/>
          <w:sz w:val="20"/>
          <w:szCs w:val="24"/>
        </w:rPr>
        <w:t xml:space="preserve"> anolyte. (</w:t>
      </w:r>
      <w:r w:rsidR="00085131">
        <w:rPr>
          <w:rFonts w:ascii="Times New Roman" w:hAnsi="Times New Roman" w:cs="Times New Roman"/>
          <w:sz w:val="20"/>
          <w:szCs w:val="24"/>
        </w:rPr>
        <w:t>b</w:t>
      </w:r>
      <w:r w:rsidR="00321B55" w:rsidRPr="009D52EB">
        <w:rPr>
          <w:rFonts w:ascii="Times New Roman" w:hAnsi="Times New Roman" w:cs="Times New Roman"/>
          <w:sz w:val="20"/>
          <w:szCs w:val="24"/>
        </w:rPr>
        <w:t>) The cell voltage versus operating time diagram of the cell.</w:t>
      </w:r>
    </w:p>
    <w:p w14:paraId="44FDA999" w14:textId="5C173A90" w:rsidR="00A043C0" w:rsidRPr="00805810" w:rsidRDefault="00824297" w:rsidP="00C87E76">
      <w:pPr>
        <w:jc w:val="center"/>
        <w:rPr>
          <w:rFonts w:ascii="Times New Roman" w:hAnsi="Times New Roman" w:cs="Times New Roman"/>
          <w:sz w:val="24"/>
          <w:szCs w:val="24"/>
        </w:rPr>
      </w:pPr>
      <w:r>
        <w:rPr>
          <w:noProof/>
        </w:rPr>
        <w:lastRenderedPageBreak/>
        <w:drawing>
          <wp:inline distT="0" distB="0" distL="0" distR="0" wp14:anchorId="69383E5F" wp14:editId="2CF007E6">
            <wp:extent cx="5943600" cy="51981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5198110"/>
                    </a:xfrm>
                    <a:prstGeom prst="rect">
                      <a:avLst/>
                    </a:prstGeom>
                    <a:noFill/>
                    <a:ln>
                      <a:noFill/>
                    </a:ln>
                  </pic:spPr>
                </pic:pic>
              </a:graphicData>
            </a:graphic>
          </wp:inline>
        </w:drawing>
      </w:r>
    </w:p>
    <w:p w14:paraId="2EEF8247" w14:textId="4ECB5F11" w:rsidR="00035FBD" w:rsidRPr="00BC26C8" w:rsidRDefault="00DE0DCA" w:rsidP="00316E8A">
      <w:pPr>
        <w:jc w:val="both"/>
        <w:rPr>
          <w:rFonts w:ascii="Times New Roman" w:hAnsi="Times New Roman" w:cs="Times New Roman"/>
          <w:b/>
          <w:bCs/>
          <w:sz w:val="24"/>
          <w:szCs w:val="24"/>
        </w:rPr>
      </w:pPr>
      <w:r w:rsidRPr="00BC26C8">
        <w:rPr>
          <w:rFonts w:ascii="Times New Roman" w:hAnsi="Times New Roman" w:cs="Times New Roman"/>
          <w:b/>
          <w:bCs/>
          <w:sz w:val="20"/>
          <w:szCs w:val="20"/>
        </w:rPr>
        <w:t>Supplementary Fig.</w:t>
      </w:r>
      <w:r w:rsidR="00A043C0" w:rsidRPr="00BC26C8">
        <w:rPr>
          <w:rFonts w:ascii="Times New Roman" w:hAnsi="Times New Roman" w:cs="Times New Roman"/>
          <w:b/>
          <w:bCs/>
          <w:sz w:val="20"/>
          <w:szCs w:val="20"/>
        </w:rPr>
        <w:t xml:space="preserve"> </w:t>
      </w:r>
      <w:r w:rsidR="006942DE" w:rsidRPr="00BC26C8">
        <w:rPr>
          <w:rFonts w:ascii="Times New Roman" w:hAnsi="Times New Roman" w:cs="Times New Roman"/>
          <w:b/>
          <w:bCs/>
          <w:sz w:val="20"/>
          <w:szCs w:val="20"/>
        </w:rPr>
        <w:t>17 |</w:t>
      </w:r>
      <w:r w:rsidR="00A043C0" w:rsidRPr="00BC26C8">
        <w:rPr>
          <w:rFonts w:ascii="Times New Roman" w:hAnsi="Times New Roman" w:cs="Times New Roman"/>
          <w:sz w:val="20"/>
          <w:szCs w:val="20"/>
        </w:rPr>
        <w:t xml:space="preserve"> </w:t>
      </w:r>
      <w:r w:rsidR="00300181" w:rsidRPr="00BC26C8">
        <w:rPr>
          <w:rFonts w:ascii="Times New Roman" w:hAnsi="Times New Roman" w:cs="Times New Roman"/>
          <w:sz w:val="20"/>
          <w:szCs w:val="20"/>
        </w:rPr>
        <w:t>M</w:t>
      </w:r>
      <w:r w:rsidR="00A043C0" w:rsidRPr="00BC26C8">
        <w:rPr>
          <w:rFonts w:ascii="Times New Roman" w:hAnsi="Times New Roman" w:cs="Times New Roman"/>
          <w:sz w:val="20"/>
          <w:szCs w:val="20"/>
        </w:rPr>
        <w:t xml:space="preserve">easurements </w:t>
      </w:r>
      <w:r w:rsidR="00300181" w:rsidRPr="00BC26C8">
        <w:rPr>
          <w:rFonts w:ascii="Times New Roman" w:hAnsi="Times New Roman" w:cs="Times New Roman"/>
          <w:sz w:val="20"/>
          <w:szCs w:val="20"/>
        </w:rPr>
        <w:t>of</w:t>
      </w:r>
      <w:r w:rsidR="00A043C0" w:rsidRPr="00BC26C8">
        <w:rPr>
          <w:rFonts w:ascii="Times New Roman" w:hAnsi="Times New Roman" w:cs="Times New Roman"/>
          <w:sz w:val="20"/>
          <w:szCs w:val="20"/>
        </w:rPr>
        <w:t xml:space="preserve"> CO</w:t>
      </w:r>
      <w:r w:rsidR="00A043C0" w:rsidRPr="00BC26C8">
        <w:rPr>
          <w:rFonts w:ascii="Times New Roman" w:hAnsi="Times New Roman" w:cs="Times New Roman"/>
          <w:sz w:val="20"/>
          <w:szCs w:val="20"/>
          <w:vertAlign w:val="subscript"/>
        </w:rPr>
        <w:t>2</w:t>
      </w:r>
      <w:r w:rsidR="00A043C0" w:rsidRPr="00BC26C8">
        <w:rPr>
          <w:rFonts w:ascii="Times New Roman" w:hAnsi="Times New Roman" w:cs="Times New Roman"/>
          <w:sz w:val="20"/>
          <w:szCs w:val="20"/>
        </w:rPr>
        <w:t xml:space="preserve"> SPU of the </w:t>
      </w:r>
      <w:r w:rsidR="004A7ADC" w:rsidRPr="00BC26C8">
        <w:rPr>
          <w:rFonts w:ascii="Times New Roman" w:hAnsi="Times New Roman" w:cs="Times New Roman"/>
          <w:sz w:val="20"/>
          <w:szCs w:val="20"/>
        </w:rPr>
        <w:t>SC-BPMEA</w:t>
      </w:r>
      <w:r w:rsidR="00A043C0" w:rsidRPr="00BC26C8">
        <w:rPr>
          <w:rFonts w:ascii="Times New Roman" w:hAnsi="Times New Roman" w:cs="Times New Roman"/>
          <w:sz w:val="20"/>
          <w:szCs w:val="20"/>
        </w:rPr>
        <w:t>s with</w:t>
      </w:r>
      <w:r w:rsidR="00DD26E9" w:rsidRPr="00BC26C8">
        <w:rPr>
          <w:rFonts w:ascii="Times New Roman" w:hAnsi="Times New Roman" w:cs="Times New Roman"/>
          <w:sz w:val="20"/>
          <w:szCs w:val="20"/>
        </w:rPr>
        <w:t xml:space="preserve"> 125 μm 0.5 M K</w:t>
      </w:r>
      <w:r w:rsidR="00DD26E9" w:rsidRPr="00BC26C8">
        <w:rPr>
          <w:rFonts w:ascii="Times New Roman" w:hAnsi="Times New Roman" w:cs="Times New Roman"/>
          <w:sz w:val="20"/>
          <w:szCs w:val="20"/>
          <w:vertAlign w:val="subscript"/>
        </w:rPr>
        <w:t>2</w:t>
      </w:r>
      <w:r w:rsidR="00DD26E9" w:rsidRPr="00BC26C8">
        <w:rPr>
          <w:rFonts w:ascii="Times New Roman" w:hAnsi="Times New Roman" w:cs="Times New Roman"/>
          <w:sz w:val="20"/>
          <w:szCs w:val="20"/>
        </w:rPr>
        <w:t>SO</w:t>
      </w:r>
      <w:r w:rsidR="00DD26E9" w:rsidRPr="00BC26C8">
        <w:rPr>
          <w:rFonts w:ascii="Times New Roman" w:hAnsi="Times New Roman" w:cs="Times New Roman"/>
          <w:sz w:val="20"/>
          <w:szCs w:val="20"/>
          <w:vertAlign w:val="subscript"/>
        </w:rPr>
        <w:t>4</w:t>
      </w:r>
      <w:r w:rsidR="00E55825" w:rsidRPr="00BC26C8">
        <w:rPr>
          <w:rFonts w:ascii="Times New Roman" w:hAnsi="Times New Roman" w:cs="Times New Roman"/>
          <w:sz w:val="20"/>
          <w:szCs w:val="20"/>
        </w:rPr>
        <w:t>, operating at 300 mA cm</w:t>
      </w:r>
      <w:r w:rsidR="00E55825" w:rsidRPr="00BC26C8">
        <w:rPr>
          <w:rFonts w:ascii="Times New Roman" w:hAnsi="Times New Roman" w:cs="Times New Roman"/>
          <w:sz w:val="20"/>
          <w:szCs w:val="20"/>
          <w:vertAlign w:val="superscript"/>
        </w:rPr>
        <w:t>-2</w:t>
      </w:r>
      <w:r w:rsidR="00E55825" w:rsidRPr="00BC26C8">
        <w:rPr>
          <w:rFonts w:ascii="Times New Roman" w:hAnsi="Times New Roman" w:cs="Times New Roman"/>
          <w:sz w:val="20"/>
          <w:szCs w:val="20"/>
        </w:rPr>
        <w:t xml:space="preserve"> (</w:t>
      </w:r>
      <w:r w:rsidR="00AE6CC1">
        <w:rPr>
          <w:rFonts w:ascii="Times New Roman" w:hAnsi="Times New Roman" w:cs="Times New Roman"/>
          <w:sz w:val="20"/>
          <w:szCs w:val="20"/>
        </w:rPr>
        <w:t>a, b</w:t>
      </w:r>
      <w:r w:rsidR="00E55825" w:rsidRPr="00BC26C8">
        <w:rPr>
          <w:rFonts w:ascii="Times New Roman" w:hAnsi="Times New Roman" w:cs="Times New Roman"/>
          <w:sz w:val="20"/>
          <w:szCs w:val="20"/>
        </w:rPr>
        <w:t>) or 200 mA cm</w:t>
      </w:r>
      <w:r w:rsidR="00E55825" w:rsidRPr="00BC26C8">
        <w:rPr>
          <w:rFonts w:ascii="Times New Roman" w:hAnsi="Times New Roman" w:cs="Times New Roman"/>
          <w:sz w:val="20"/>
          <w:szCs w:val="20"/>
          <w:vertAlign w:val="superscript"/>
        </w:rPr>
        <w:t>-2</w:t>
      </w:r>
      <w:r w:rsidR="00E55825" w:rsidRPr="00BC26C8">
        <w:rPr>
          <w:rFonts w:ascii="Times New Roman" w:hAnsi="Times New Roman" w:cs="Times New Roman"/>
          <w:sz w:val="20"/>
          <w:szCs w:val="20"/>
        </w:rPr>
        <w:t xml:space="preserve"> (</w:t>
      </w:r>
      <w:r w:rsidR="00AE6CC1">
        <w:rPr>
          <w:rFonts w:ascii="Times New Roman" w:hAnsi="Times New Roman" w:cs="Times New Roman"/>
          <w:sz w:val="20"/>
          <w:szCs w:val="20"/>
        </w:rPr>
        <w:t>c, d</w:t>
      </w:r>
      <w:r w:rsidR="00E55825" w:rsidRPr="00BC26C8">
        <w:rPr>
          <w:rFonts w:ascii="Times New Roman" w:hAnsi="Times New Roman" w:cs="Times New Roman"/>
          <w:sz w:val="20"/>
          <w:szCs w:val="20"/>
        </w:rPr>
        <w:t>)</w:t>
      </w:r>
      <w:r w:rsidR="00016497">
        <w:rPr>
          <w:rFonts w:ascii="Times New Roman" w:hAnsi="Times New Roman" w:cs="Times New Roman"/>
          <w:sz w:val="20"/>
          <w:szCs w:val="20"/>
        </w:rPr>
        <w:t>.</w:t>
      </w:r>
      <w:r w:rsidR="00300181" w:rsidRPr="00BC26C8">
        <w:rPr>
          <w:rFonts w:ascii="Times New Roman" w:hAnsi="Times New Roman" w:cs="Times New Roman"/>
          <w:sz w:val="20"/>
          <w:szCs w:val="20"/>
        </w:rPr>
        <w:t xml:space="preserve"> </w:t>
      </w:r>
      <w:r w:rsidR="00DD26E9" w:rsidRPr="00BC26C8">
        <w:rPr>
          <w:rFonts w:ascii="Times New Roman" w:hAnsi="Times New Roman" w:cs="Times New Roman"/>
          <w:sz w:val="20"/>
          <w:szCs w:val="20"/>
        </w:rPr>
        <w:t>The operating anolytes are (</w:t>
      </w:r>
      <w:r w:rsidR="00016497">
        <w:rPr>
          <w:rFonts w:ascii="Times New Roman" w:hAnsi="Times New Roman" w:cs="Times New Roman"/>
          <w:sz w:val="20"/>
          <w:szCs w:val="20"/>
        </w:rPr>
        <w:t>a, b</w:t>
      </w:r>
      <w:r w:rsidR="00DD26E9" w:rsidRPr="00BC26C8">
        <w:rPr>
          <w:rFonts w:ascii="Times New Roman" w:hAnsi="Times New Roman" w:cs="Times New Roman"/>
          <w:sz w:val="20"/>
          <w:szCs w:val="20"/>
        </w:rPr>
        <w:t xml:space="preserve">) </w:t>
      </w:r>
      <w:r w:rsidR="00A043C0" w:rsidRPr="00BC26C8">
        <w:rPr>
          <w:rFonts w:ascii="Times New Roman" w:hAnsi="Times New Roman" w:cs="Times New Roman"/>
          <w:sz w:val="20"/>
          <w:szCs w:val="20"/>
        </w:rPr>
        <w:t>0.1 M H</w:t>
      </w:r>
      <w:r w:rsidR="00A043C0" w:rsidRPr="00BC26C8">
        <w:rPr>
          <w:rFonts w:ascii="Times New Roman" w:hAnsi="Times New Roman" w:cs="Times New Roman"/>
          <w:sz w:val="20"/>
          <w:szCs w:val="20"/>
          <w:vertAlign w:val="subscript"/>
        </w:rPr>
        <w:t>3</w:t>
      </w:r>
      <w:r w:rsidR="00A043C0" w:rsidRPr="00BC26C8">
        <w:rPr>
          <w:rFonts w:ascii="Times New Roman" w:hAnsi="Times New Roman" w:cs="Times New Roman"/>
          <w:sz w:val="20"/>
          <w:szCs w:val="20"/>
        </w:rPr>
        <w:t>PO</w:t>
      </w:r>
      <w:r w:rsidR="00A043C0" w:rsidRPr="00BC26C8">
        <w:rPr>
          <w:rFonts w:ascii="Times New Roman" w:hAnsi="Times New Roman" w:cs="Times New Roman"/>
          <w:sz w:val="20"/>
          <w:szCs w:val="20"/>
          <w:vertAlign w:val="subscript"/>
        </w:rPr>
        <w:t>4</w:t>
      </w:r>
      <w:r w:rsidR="00A043C0" w:rsidRPr="00BC26C8">
        <w:rPr>
          <w:rFonts w:ascii="Times New Roman" w:hAnsi="Times New Roman" w:cs="Times New Roman"/>
          <w:sz w:val="20"/>
          <w:szCs w:val="20"/>
        </w:rPr>
        <w:t xml:space="preserve"> </w:t>
      </w:r>
      <w:r w:rsidR="00DD26E9" w:rsidRPr="00BC26C8">
        <w:rPr>
          <w:rFonts w:ascii="Times New Roman" w:hAnsi="Times New Roman" w:cs="Times New Roman"/>
          <w:sz w:val="20"/>
          <w:szCs w:val="20"/>
        </w:rPr>
        <w:t>+ 0.5 M K</w:t>
      </w:r>
      <w:r w:rsidR="00DD26E9" w:rsidRPr="00BC26C8">
        <w:rPr>
          <w:rFonts w:ascii="Times New Roman" w:hAnsi="Times New Roman" w:cs="Times New Roman"/>
          <w:sz w:val="20"/>
          <w:szCs w:val="20"/>
          <w:vertAlign w:val="subscript"/>
        </w:rPr>
        <w:t>2</w:t>
      </w:r>
      <w:r w:rsidR="00DD26E9" w:rsidRPr="00BC26C8">
        <w:rPr>
          <w:rFonts w:ascii="Times New Roman" w:hAnsi="Times New Roman" w:cs="Times New Roman"/>
          <w:sz w:val="20"/>
          <w:szCs w:val="20"/>
        </w:rPr>
        <w:t>SO</w:t>
      </w:r>
      <w:r w:rsidR="00DD26E9" w:rsidRPr="00BC26C8">
        <w:rPr>
          <w:rFonts w:ascii="Times New Roman" w:hAnsi="Times New Roman" w:cs="Times New Roman"/>
          <w:sz w:val="20"/>
          <w:szCs w:val="20"/>
          <w:vertAlign w:val="subscript"/>
        </w:rPr>
        <w:t>4</w:t>
      </w:r>
      <w:r w:rsidR="00DD26E9" w:rsidRPr="00BC26C8">
        <w:rPr>
          <w:rFonts w:ascii="Times New Roman" w:hAnsi="Times New Roman" w:cs="Times New Roman"/>
          <w:sz w:val="20"/>
          <w:szCs w:val="20"/>
        </w:rPr>
        <w:t xml:space="preserve"> </w:t>
      </w:r>
      <w:r w:rsidR="00A043C0" w:rsidRPr="00BC26C8">
        <w:rPr>
          <w:rFonts w:ascii="Times New Roman" w:hAnsi="Times New Roman" w:cs="Times New Roman"/>
          <w:sz w:val="20"/>
          <w:szCs w:val="20"/>
        </w:rPr>
        <w:t>(pH = 2.</w:t>
      </w:r>
      <w:r w:rsidR="00396E04" w:rsidRPr="00BC26C8">
        <w:rPr>
          <w:rFonts w:ascii="Times New Roman" w:hAnsi="Times New Roman" w:cs="Times New Roman"/>
          <w:sz w:val="20"/>
          <w:szCs w:val="20"/>
        </w:rPr>
        <w:t>3</w:t>
      </w:r>
      <w:r w:rsidR="00A043C0" w:rsidRPr="00BC26C8">
        <w:rPr>
          <w:rFonts w:ascii="Times New Roman" w:hAnsi="Times New Roman" w:cs="Times New Roman"/>
          <w:sz w:val="20"/>
          <w:szCs w:val="20"/>
        </w:rPr>
        <w:t xml:space="preserve">) and </w:t>
      </w:r>
      <w:r w:rsidR="00DD26E9" w:rsidRPr="00BC26C8">
        <w:rPr>
          <w:rFonts w:ascii="Times New Roman" w:hAnsi="Times New Roman" w:cs="Times New Roman"/>
          <w:sz w:val="20"/>
          <w:szCs w:val="20"/>
        </w:rPr>
        <w:t>(</w:t>
      </w:r>
      <w:r w:rsidR="001F0C15">
        <w:rPr>
          <w:rFonts w:ascii="Times New Roman" w:hAnsi="Times New Roman" w:cs="Times New Roman"/>
          <w:sz w:val="20"/>
          <w:szCs w:val="20"/>
        </w:rPr>
        <w:t>c, d</w:t>
      </w:r>
      <w:r w:rsidR="00DD26E9" w:rsidRPr="00BC26C8">
        <w:rPr>
          <w:rFonts w:ascii="Times New Roman" w:hAnsi="Times New Roman" w:cs="Times New Roman"/>
          <w:sz w:val="20"/>
          <w:szCs w:val="20"/>
        </w:rPr>
        <w:t xml:space="preserve">) </w:t>
      </w:r>
      <w:r w:rsidR="00A043C0" w:rsidRPr="00BC26C8">
        <w:rPr>
          <w:rFonts w:ascii="Times New Roman" w:hAnsi="Times New Roman" w:cs="Times New Roman"/>
          <w:sz w:val="20"/>
          <w:szCs w:val="20"/>
        </w:rPr>
        <w:t xml:space="preserve">0.1 M KOH (pH = </w:t>
      </w:r>
      <w:r w:rsidR="000402C4" w:rsidRPr="00BC26C8">
        <w:rPr>
          <w:rFonts w:ascii="Times New Roman" w:hAnsi="Times New Roman" w:cs="Times New Roman"/>
          <w:sz w:val="20"/>
          <w:szCs w:val="20"/>
        </w:rPr>
        <w:t>13.3)</w:t>
      </w:r>
      <w:r w:rsidR="00DD26E9" w:rsidRPr="00BC26C8">
        <w:rPr>
          <w:rFonts w:ascii="Times New Roman" w:hAnsi="Times New Roman" w:cs="Times New Roman"/>
          <w:sz w:val="20"/>
          <w:szCs w:val="20"/>
        </w:rPr>
        <w:t xml:space="preserve">. All the experiments were conducted at 35 </w:t>
      </w:r>
      <w:r w:rsidR="00DD26E9" w:rsidRPr="00BC26C8">
        <w:rPr>
          <w:rFonts w:ascii="Times New Roman" w:hAnsi="Times New Roman" w:cs="Times New Roman"/>
          <w:sz w:val="20"/>
          <w:szCs w:val="20"/>
          <w:vertAlign w:val="superscript"/>
        </w:rPr>
        <w:t>o</w:t>
      </w:r>
      <w:r w:rsidR="00DD26E9" w:rsidRPr="00BC26C8">
        <w:rPr>
          <w:rFonts w:ascii="Times New Roman" w:hAnsi="Times New Roman" w:cs="Times New Roman"/>
          <w:sz w:val="20"/>
          <w:szCs w:val="20"/>
        </w:rPr>
        <w:t>C</w:t>
      </w:r>
      <w:r w:rsidR="00C61F10" w:rsidRPr="00BC26C8">
        <w:rPr>
          <w:rFonts w:ascii="Times New Roman" w:hAnsi="Times New Roman" w:cs="Times New Roman"/>
          <w:sz w:val="20"/>
          <w:szCs w:val="20"/>
        </w:rPr>
        <w:t xml:space="preserve">. </w:t>
      </w:r>
      <w:r w:rsidR="00DD26E9" w:rsidRPr="00BC26C8">
        <w:rPr>
          <w:rFonts w:ascii="Times New Roman" w:hAnsi="Times New Roman" w:cs="Times New Roman"/>
          <w:sz w:val="20"/>
          <w:szCs w:val="20"/>
        </w:rPr>
        <w:t>(</w:t>
      </w:r>
      <w:r w:rsidR="001F0C15">
        <w:rPr>
          <w:rFonts w:ascii="Times New Roman" w:hAnsi="Times New Roman" w:cs="Times New Roman"/>
          <w:sz w:val="20"/>
          <w:szCs w:val="20"/>
        </w:rPr>
        <w:t>a</w:t>
      </w:r>
      <w:r w:rsidR="007A55EA" w:rsidRPr="00BC26C8">
        <w:rPr>
          <w:rFonts w:ascii="Times New Roman" w:hAnsi="Times New Roman" w:cs="Times New Roman"/>
          <w:sz w:val="20"/>
          <w:szCs w:val="20"/>
        </w:rPr>
        <w:t xml:space="preserve">, </w:t>
      </w:r>
      <w:r w:rsidR="001F0C15">
        <w:rPr>
          <w:rFonts w:ascii="Times New Roman" w:hAnsi="Times New Roman" w:cs="Times New Roman"/>
          <w:sz w:val="20"/>
          <w:szCs w:val="20"/>
        </w:rPr>
        <w:t>c</w:t>
      </w:r>
      <w:r w:rsidR="00DD26E9" w:rsidRPr="00BC26C8">
        <w:rPr>
          <w:rFonts w:ascii="Times New Roman" w:hAnsi="Times New Roman" w:cs="Times New Roman"/>
          <w:sz w:val="20"/>
          <w:szCs w:val="20"/>
        </w:rPr>
        <w:t xml:space="preserve">) The FE distributions </w:t>
      </w:r>
      <w:r w:rsidR="007A55EA" w:rsidRPr="00BC26C8">
        <w:rPr>
          <w:rFonts w:ascii="Times New Roman" w:hAnsi="Times New Roman" w:cs="Times New Roman"/>
          <w:sz w:val="20"/>
          <w:szCs w:val="20"/>
        </w:rPr>
        <w:t>at different input CO</w:t>
      </w:r>
      <w:r w:rsidR="007A55EA" w:rsidRPr="00BC26C8">
        <w:rPr>
          <w:rFonts w:ascii="Times New Roman" w:hAnsi="Times New Roman" w:cs="Times New Roman"/>
          <w:sz w:val="20"/>
          <w:szCs w:val="20"/>
          <w:vertAlign w:val="subscript"/>
        </w:rPr>
        <w:t>2</w:t>
      </w:r>
      <w:r w:rsidR="007A55EA" w:rsidRPr="00BC26C8">
        <w:rPr>
          <w:rFonts w:ascii="Times New Roman" w:hAnsi="Times New Roman" w:cs="Times New Roman"/>
          <w:sz w:val="20"/>
          <w:szCs w:val="20"/>
        </w:rPr>
        <w:t xml:space="preserve"> flow rates.</w:t>
      </w:r>
      <w:r w:rsidR="003E2FA8" w:rsidRPr="00BC26C8">
        <w:rPr>
          <w:rFonts w:ascii="Times New Roman" w:hAnsi="Times New Roman" w:cs="Times New Roman"/>
          <w:sz w:val="20"/>
          <w:szCs w:val="20"/>
        </w:rPr>
        <w:t xml:space="preserve"> (</w:t>
      </w:r>
      <w:r w:rsidR="000E205F">
        <w:rPr>
          <w:rFonts w:ascii="Times New Roman" w:hAnsi="Times New Roman" w:cs="Times New Roman"/>
          <w:sz w:val="20"/>
          <w:szCs w:val="20"/>
        </w:rPr>
        <w:t>b</w:t>
      </w:r>
      <w:r w:rsidR="003E2FA8" w:rsidRPr="00BC26C8">
        <w:rPr>
          <w:rFonts w:ascii="Times New Roman" w:hAnsi="Times New Roman" w:cs="Times New Roman"/>
          <w:sz w:val="20"/>
          <w:szCs w:val="20"/>
        </w:rPr>
        <w:t xml:space="preserve">, </w:t>
      </w:r>
      <w:r w:rsidR="000E205F">
        <w:rPr>
          <w:rFonts w:ascii="Times New Roman" w:hAnsi="Times New Roman" w:cs="Times New Roman"/>
          <w:sz w:val="20"/>
          <w:szCs w:val="20"/>
        </w:rPr>
        <w:t>d</w:t>
      </w:r>
      <w:r w:rsidR="003E2FA8" w:rsidRPr="00BC26C8">
        <w:rPr>
          <w:rFonts w:ascii="Times New Roman" w:hAnsi="Times New Roman" w:cs="Times New Roman"/>
          <w:sz w:val="20"/>
          <w:szCs w:val="20"/>
        </w:rPr>
        <w:t>) The total CO</w:t>
      </w:r>
      <w:r w:rsidR="003E2FA8" w:rsidRPr="00BC26C8">
        <w:rPr>
          <w:rFonts w:ascii="Times New Roman" w:hAnsi="Times New Roman" w:cs="Times New Roman"/>
          <w:sz w:val="20"/>
          <w:szCs w:val="20"/>
          <w:vertAlign w:val="subscript"/>
        </w:rPr>
        <w:t>2</w:t>
      </w:r>
      <w:r w:rsidR="003E2FA8" w:rsidRPr="00BC26C8">
        <w:rPr>
          <w:rFonts w:ascii="Times New Roman" w:hAnsi="Times New Roman" w:cs="Times New Roman"/>
          <w:sz w:val="20"/>
          <w:szCs w:val="20"/>
        </w:rPr>
        <w:t xml:space="preserve"> SPU and CO</w:t>
      </w:r>
      <w:r w:rsidR="003E2FA8" w:rsidRPr="00BC26C8">
        <w:rPr>
          <w:rFonts w:ascii="Times New Roman" w:hAnsi="Times New Roman" w:cs="Times New Roman"/>
          <w:sz w:val="20"/>
          <w:szCs w:val="20"/>
          <w:vertAlign w:val="subscript"/>
        </w:rPr>
        <w:t>2</w:t>
      </w:r>
      <w:r w:rsidR="003E2FA8" w:rsidRPr="00BC26C8">
        <w:rPr>
          <w:rFonts w:ascii="Times New Roman" w:hAnsi="Times New Roman" w:cs="Times New Roman"/>
          <w:sz w:val="20"/>
          <w:szCs w:val="20"/>
        </w:rPr>
        <w:t>-to-ethylene conversion at different input flow rates.</w:t>
      </w:r>
      <w:r w:rsidR="00035FBD" w:rsidRPr="00BC26C8">
        <w:rPr>
          <w:rFonts w:ascii="Times New Roman" w:hAnsi="Times New Roman" w:cs="Times New Roman"/>
          <w:b/>
          <w:bCs/>
          <w:sz w:val="24"/>
          <w:szCs w:val="24"/>
        </w:rPr>
        <w:br w:type="page"/>
      </w:r>
    </w:p>
    <w:p w14:paraId="356599D0" w14:textId="15FC23EB" w:rsidR="00035FBD" w:rsidRPr="009D52EB" w:rsidRDefault="006C5384" w:rsidP="00035FBD">
      <w:pPr>
        <w:jc w:val="both"/>
        <w:rPr>
          <w:rFonts w:ascii="Times New Roman" w:hAnsi="Times New Roman" w:cs="Times New Roman"/>
          <w:b/>
          <w:bCs/>
          <w:sz w:val="24"/>
          <w:szCs w:val="24"/>
        </w:rPr>
      </w:pPr>
      <w:r w:rsidRPr="009D52EB">
        <w:rPr>
          <w:rFonts w:ascii="Times New Roman" w:hAnsi="Times New Roman" w:cs="Times New Roman"/>
          <w:b/>
          <w:bCs/>
          <w:sz w:val="24"/>
          <w:szCs w:val="24"/>
        </w:rPr>
        <w:lastRenderedPageBreak/>
        <w:t>SI1</w:t>
      </w:r>
      <w:r>
        <w:rPr>
          <w:rFonts w:ascii="Times New Roman" w:hAnsi="Times New Roman" w:cs="Times New Roman"/>
          <w:b/>
          <w:bCs/>
          <w:sz w:val="24"/>
          <w:szCs w:val="24"/>
        </w:rPr>
        <w:t>1</w:t>
      </w:r>
      <w:r w:rsidRPr="009D52EB">
        <w:rPr>
          <w:rFonts w:ascii="Times New Roman" w:hAnsi="Times New Roman" w:cs="Times New Roman"/>
          <w:b/>
          <w:bCs/>
          <w:sz w:val="24"/>
          <w:szCs w:val="24"/>
        </w:rPr>
        <w:t xml:space="preserve"> </w:t>
      </w:r>
      <w:r w:rsidR="006A0625" w:rsidRPr="009D52EB">
        <w:rPr>
          <w:rFonts w:ascii="Times New Roman" w:hAnsi="Times New Roman" w:cs="Times New Roman"/>
          <w:b/>
          <w:bCs/>
          <w:sz w:val="24"/>
          <w:szCs w:val="24"/>
        </w:rPr>
        <w:t xml:space="preserve">Stability of </w:t>
      </w:r>
      <w:r w:rsidR="004A7ADC">
        <w:rPr>
          <w:rFonts w:ascii="Times New Roman" w:hAnsi="Times New Roman" w:cs="Times New Roman"/>
          <w:b/>
          <w:bCs/>
          <w:sz w:val="24"/>
          <w:szCs w:val="24"/>
        </w:rPr>
        <w:t>SC-BPMEA</w:t>
      </w:r>
      <w:r w:rsidR="006A0625" w:rsidRPr="009D52EB">
        <w:rPr>
          <w:rFonts w:ascii="Times New Roman" w:hAnsi="Times New Roman" w:cs="Times New Roman"/>
          <w:b/>
          <w:bCs/>
          <w:sz w:val="24"/>
          <w:szCs w:val="24"/>
        </w:rPr>
        <w:t xml:space="preserve"> with 65 μm 0.5 M K</w:t>
      </w:r>
      <w:r w:rsidR="006A0625" w:rsidRPr="009D52EB">
        <w:rPr>
          <w:rFonts w:ascii="Times New Roman" w:hAnsi="Times New Roman" w:cs="Times New Roman"/>
          <w:b/>
          <w:bCs/>
          <w:sz w:val="24"/>
          <w:szCs w:val="24"/>
          <w:vertAlign w:val="subscript"/>
        </w:rPr>
        <w:t>2</w:t>
      </w:r>
      <w:r w:rsidR="006A0625" w:rsidRPr="009D52EB">
        <w:rPr>
          <w:rFonts w:ascii="Times New Roman" w:hAnsi="Times New Roman" w:cs="Times New Roman"/>
          <w:b/>
          <w:bCs/>
          <w:sz w:val="24"/>
          <w:szCs w:val="24"/>
        </w:rPr>
        <w:t>SO</w:t>
      </w:r>
      <w:r w:rsidR="006A0625" w:rsidRPr="009D52EB">
        <w:rPr>
          <w:rFonts w:ascii="Times New Roman" w:hAnsi="Times New Roman" w:cs="Times New Roman"/>
          <w:b/>
          <w:bCs/>
          <w:sz w:val="24"/>
          <w:szCs w:val="24"/>
          <w:vertAlign w:val="subscript"/>
        </w:rPr>
        <w:t>4</w:t>
      </w:r>
      <w:r w:rsidR="006A0625" w:rsidRPr="009D52EB">
        <w:rPr>
          <w:rFonts w:ascii="Times New Roman" w:hAnsi="Times New Roman" w:cs="Times New Roman"/>
          <w:b/>
          <w:bCs/>
          <w:sz w:val="24"/>
          <w:szCs w:val="24"/>
        </w:rPr>
        <w:t xml:space="preserve"> and restricted CO</w:t>
      </w:r>
      <w:r w:rsidR="006A0625" w:rsidRPr="009D52EB">
        <w:rPr>
          <w:rFonts w:ascii="Times New Roman" w:hAnsi="Times New Roman" w:cs="Times New Roman"/>
          <w:b/>
          <w:bCs/>
          <w:sz w:val="24"/>
          <w:szCs w:val="24"/>
          <w:vertAlign w:val="subscript"/>
        </w:rPr>
        <w:t>2</w:t>
      </w:r>
      <w:r w:rsidR="006A0625" w:rsidRPr="009D52EB">
        <w:rPr>
          <w:rFonts w:ascii="Times New Roman" w:hAnsi="Times New Roman" w:cs="Times New Roman"/>
          <w:b/>
          <w:bCs/>
          <w:sz w:val="24"/>
          <w:szCs w:val="24"/>
        </w:rPr>
        <w:t xml:space="preserve"> flow rate</w:t>
      </w:r>
    </w:p>
    <w:p w14:paraId="33BB7AAA" w14:textId="1F83036B" w:rsidR="00B52EEE" w:rsidRPr="003843E1" w:rsidRDefault="00087425" w:rsidP="00C87E76">
      <w:pPr>
        <w:jc w:val="center"/>
        <w:rPr>
          <w:rFonts w:ascii="Times New Roman" w:hAnsi="Times New Roman" w:cs="Times New Roman"/>
          <w:sz w:val="20"/>
          <w:szCs w:val="20"/>
        </w:rPr>
      </w:pPr>
      <w:r w:rsidRPr="003843E1">
        <w:rPr>
          <w:noProof/>
          <w:sz w:val="20"/>
          <w:szCs w:val="20"/>
          <w:lang w:eastAsia="en-US"/>
        </w:rPr>
        <w:drawing>
          <wp:inline distT="0" distB="0" distL="0" distR="0" wp14:anchorId="243DA519" wp14:editId="4EAB1FFF">
            <wp:extent cx="3721210" cy="2873601"/>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24837" cy="2876402"/>
                    </a:xfrm>
                    <a:prstGeom prst="rect">
                      <a:avLst/>
                    </a:prstGeom>
                    <a:noFill/>
                    <a:ln>
                      <a:noFill/>
                    </a:ln>
                  </pic:spPr>
                </pic:pic>
              </a:graphicData>
            </a:graphic>
          </wp:inline>
        </w:drawing>
      </w:r>
    </w:p>
    <w:p w14:paraId="0026F020" w14:textId="5B89337D" w:rsidR="0062348E" w:rsidRPr="003843E1" w:rsidRDefault="00DE0DCA">
      <w:pPr>
        <w:jc w:val="both"/>
        <w:rPr>
          <w:rFonts w:ascii="Times New Roman" w:hAnsi="Times New Roman" w:cs="Times New Roman"/>
          <w:sz w:val="20"/>
          <w:szCs w:val="20"/>
        </w:rPr>
      </w:pPr>
      <w:r w:rsidRPr="003843E1">
        <w:rPr>
          <w:rFonts w:ascii="Times New Roman" w:hAnsi="Times New Roman" w:cs="Times New Roman"/>
          <w:b/>
          <w:bCs/>
          <w:sz w:val="20"/>
          <w:szCs w:val="20"/>
        </w:rPr>
        <w:t>Supplementary Fig.</w:t>
      </w:r>
      <w:r w:rsidR="000F31F1" w:rsidRPr="003843E1">
        <w:rPr>
          <w:rFonts w:ascii="Times New Roman" w:hAnsi="Times New Roman" w:cs="Times New Roman"/>
          <w:b/>
          <w:bCs/>
          <w:sz w:val="20"/>
          <w:szCs w:val="20"/>
        </w:rPr>
        <w:t xml:space="preserve"> </w:t>
      </w:r>
      <w:r w:rsidR="00ED7F11" w:rsidRPr="003843E1">
        <w:rPr>
          <w:rFonts w:ascii="Times New Roman" w:hAnsi="Times New Roman" w:cs="Times New Roman"/>
          <w:b/>
          <w:bCs/>
          <w:sz w:val="20"/>
          <w:szCs w:val="20"/>
        </w:rPr>
        <w:t>18 |</w:t>
      </w:r>
      <w:r w:rsidR="000F31F1" w:rsidRPr="003843E1">
        <w:rPr>
          <w:rFonts w:ascii="Times New Roman" w:hAnsi="Times New Roman" w:cs="Times New Roman"/>
          <w:sz w:val="20"/>
          <w:szCs w:val="20"/>
        </w:rPr>
        <w:t xml:space="preserve"> The </w:t>
      </w:r>
      <w:r w:rsidR="00415E85" w:rsidRPr="003843E1">
        <w:rPr>
          <w:rFonts w:ascii="Times New Roman" w:hAnsi="Times New Roman" w:cs="Times New Roman"/>
          <w:sz w:val="20"/>
          <w:szCs w:val="20"/>
        </w:rPr>
        <w:t>extended operation</w:t>
      </w:r>
      <w:r w:rsidR="000F31F1" w:rsidRPr="003843E1">
        <w:rPr>
          <w:rFonts w:ascii="Times New Roman" w:hAnsi="Times New Roman" w:cs="Times New Roman"/>
          <w:sz w:val="20"/>
          <w:szCs w:val="20"/>
        </w:rPr>
        <w:t xml:space="preserve"> of </w:t>
      </w:r>
      <w:r w:rsidR="00854B22" w:rsidRPr="003843E1">
        <w:rPr>
          <w:rFonts w:ascii="Times New Roman" w:hAnsi="Times New Roman" w:cs="Times New Roman"/>
          <w:sz w:val="20"/>
          <w:szCs w:val="20"/>
        </w:rPr>
        <w:t xml:space="preserve">the </w:t>
      </w:r>
      <w:r w:rsidR="004A7ADC" w:rsidRPr="003843E1">
        <w:rPr>
          <w:rFonts w:ascii="Times New Roman" w:hAnsi="Times New Roman" w:cs="Times New Roman"/>
          <w:sz w:val="20"/>
          <w:szCs w:val="20"/>
        </w:rPr>
        <w:t>SC-BPMEA</w:t>
      </w:r>
      <w:r w:rsidR="000F31F1" w:rsidRPr="003843E1">
        <w:rPr>
          <w:rFonts w:ascii="Times New Roman" w:hAnsi="Times New Roman" w:cs="Times New Roman"/>
          <w:sz w:val="20"/>
          <w:szCs w:val="20"/>
        </w:rPr>
        <w:t xml:space="preserve"> with 65 μm 0.5 M K</w:t>
      </w:r>
      <w:r w:rsidR="000F31F1" w:rsidRPr="003843E1">
        <w:rPr>
          <w:rFonts w:ascii="Times New Roman" w:hAnsi="Times New Roman" w:cs="Times New Roman"/>
          <w:sz w:val="20"/>
          <w:szCs w:val="20"/>
          <w:vertAlign w:val="subscript"/>
        </w:rPr>
        <w:t>2</w:t>
      </w:r>
      <w:r w:rsidR="000F31F1" w:rsidRPr="003843E1">
        <w:rPr>
          <w:rFonts w:ascii="Times New Roman" w:hAnsi="Times New Roman" w:cs="Times New Roman"/>
          <w:sz w:val="20"/>
          <w:szCs w:val="20"/>
        </w:rPr>
        <w:t>SO</w:t>
      </w:r>
      <w:r w:rsidR="000F31F1" w:rsidRPr="003843E1">
        <w:rPr>
          <w:rFonts w:ascii="Times New Roman" w:hAnsi="Times New Roman" w:cs="Times New Roman"/>
          <w:sz w:val="20"/>
          <w:szCs w:val="20"/>
          <w:vertAlign w:val="subscript"/>
        </w:rPr>
        <w:t>4</w:t>
      </w:r>
      <w:r w:rsidR="000F31F1" w:rsidRPr="003843E1">
        <w:rPr>
          <w:rFonts w:ascii="Times New Roman" w:hAnsi="Times New Roman" w:cs="Times New Roman"/>
          <w:sz w:val="20"/>
          <w:szCs w:val="20"/>
        </w:rPr>
        <w:t xml:space="preserve"> catholyte</w:t>
      </w:r>
      <w:r w:rsidR="00854B22" w:rsidRPr="003843E1">
        <w:rPr>
          <w:rFonts w:ascii="Times New Roman" w:hAnsi="Times New Roman" w:cs="Times New Roman"/>
          <w:sz w:val="20"/>
          <w:szCs w:val="20"/>
        </w:rPr>
        <w:t xml:space="preserve">, operating at 35 </w:t>
      </w:r>
      <w:r w:rsidR="00854B22" w:rsidRPr="003843E1">
        <w:rPr>
          <w:rFonts w:ascii="Times New Roman" w:hAnsi="Times New Roman" w:cs="Times New Roman"/>
          <w:sz w:val="20"/>
          <w:szCs w:val="20"/>
          <w:vertAlign w:val="superscript"/>
        </w:rPr>
        <w:t>o</w:t>
      </w:r>
      <w:r w:rsidR="00854B22" w:rsidRPr="003843E1">
        <w:rPr>
          <w:rFonts w:ascii="Times New Roman" w:hAnsi="Times New Roman" w:cs="Times New Roman"/>
          <w:sz w:val="20"/>
          <w:szCs w:val="20"/>
        </w:rPr>
        <w:t xml:space="preserve">C at </w:t>
      </w:r>
      <w:r w:rsidR="00747682" w:rsidRPr="003843E1">
        <w:rPr>
          <w:rFonts w:ascii="Times New Roman" w:hAnsi="Times New Roman" w:cs="Times New Roman"/>
          <w:sz w:val="20"/>
          <w:szCs w:val="20"/>
        </w:rPr>
        <w:t xml:space="preserve">a </w:t>
      </w:r>
      <w:r w:rsidR="00854B22" w:rsidRPr="003843E1">
        <w:rPr>
          <w:rFonts w:ascii="Times New Roman" w:hAnsi="Times New Roman" w:cs="Times New Roman"/>
          <w:sz w:val="20"/>
          <w:szCs w:val="20"/>
        </w:rPr>
        <w:t>current density of 200 mA cm</w:t>
      </w:r>
      <w:r w:rsidR="00854B22" w:rsidRPr="003843E1">
        <w:rPr>
          <w:rFonts w:ascii="Times New Roman" w:hAnsi="Times New Roman" w:cs="Times New Roman"/>
          <w:sz w:val="20"/>
          <w:szCs w:val="20"/>
          <w:vertAlign w:val="superscript"/>
        </w:rPr>
        <w:t>-2</w:t>
      </w:r>
      <w:r w:rsidR="00854B22" w:rsidRPr="003843E1">
        <w:rPr>
          <w:rFonts w:ascii="Times New Roman" w:hAnsi="Times New Roman" w:cs="Times New Roman"/>
          <w:sz w:val="20"/>
          <w:szCs w:val="20"/>
        </w:rPr>
        <w:t xml:space="preserve"> and </w:t>
      </w:r>
      <w:r w:rsidR="00747682" w:rsidRPr="003843E1">
        <w:rPr>
          <w:rFonts w:ascii="Times New Roman" w:hAnsi="Times New Roman" w:cs="Times New Roman"/>
          <w:sz w:val="20"/>
          <w:szCs w:val="20"/>
        </w:rPr>
        <w:t xml:space="preserve">a </w:t>
      </w:r>
      <w:r w:rsidR="00854B22" w:rsidRPr="003843E1">
        <w:rPr>
          <w:rFonts w:ascii="Times New Roman" w:hAnsi="Times New Roman" w:cs="Times New Roman"/>
          <w:sz w:val="20"/>
          <w:szCs w:val="20"/>
        </w:rPr>
        <w:t>CO</w:t>
      </w:r>
      <w:r w:rsidR="00854B22" w:rsidRPr="003843E1">
        <w:rPr>
          <w:rFonts w:ascii="Times New Roman" w:hAnsi="Times New Roman" w:cs="Times New Roman"/>
          <w:sz w:val="20"/>
          <w:szCs w:val="20"/>
          <w:vertAlign w:val="subscript"/>
        </w:rPr>
        <w:t>2</w:t>
      </w:r>
      <w:r w:rsidR="00854B22" w:rsidRPr="003843E1">
        <w:rPr>
          <w:rFonts w:ascii="Times New Roman" w:hAnsi="Times New Roman" w:cs="Times New Roman"/>
          <w:sz w:val="20"/>
          <w:szCs w:val="20"/>
        </w:rPr>
        <w:t xml:space="preserve"> flow rate of 1.42 sccm cm</w:t>
      </w:r>
      <w:r w:rsidR="00854B22" w:rsidRPr="003843E1">
        <w:rPr>
          <w:rFonts w:ascii="Times New Roman" w:hAnsi="Times New Roman" w:cs="Times New Roman"/>
          <w:sz w:val="20"/>
          <w:szCs w:val="20"/>
          <w:vertAlign w:val="superscript"/>
        </w:rPr>
        <w:t>-2</w:t>
      </w:r>
      <w:r w:rsidR="00854B22" w:rsidRPr="003843E1">
        <w:rPr>
          <w:rFonts w:ascii="Times New Roman" w:hAnsi="Times New Roman" w:cs="Times New Roman"/>
          <w:sz w:val="20"/>
          <w:szCs w:val="20"/>
        </w:rPr>
        <w:t>.</w:t>
      </w:r>
      <w:r w:rsidR="003F5726" w:rsidRPr="003843E1">
        <w:rPr>
          <w:rFonts w:ascii="Times New Roman" w:hAnsi="Times New Roman" w:cs="Times New Roman"/>
          <w:sz w:val="20"/>
          <w:szCs w:val="20"/>
        </w:rPr>
        <w:t xml:space="preserve"> Notably, all the previous neutral-media electrolyzers measured their stability with</w:t>
      </w:r>
      <w:r w:rsidR="00864212" w:rsidRPr="003843E1">
        <w:rPr>
          <w:rFonts w:ascii="Times New Roman" w:hAnsi="Times New Roman" w:cs="Times New Roman"/>
          <w:sz w:val="20"/>
          <w:szCs w:val="20"/>
        </w:rPr>
        <w:t xml:space="preserve"> unrestricted CO</w:t>
      </w:r>
      <w:r w:rsidR="00864212" w:rsidRPr="003843E1">
        <w:rPr>
          <w:rFonts w:ascii="Times New Roman" w:hAnsi="Times New Roman" w:cs="Times New Roman"/>
          <w:sz w:val="20"/>
          <w:szCs w:val="20"/>
          <w:vertAlign w:val="subscript"/>
        </w:rPr>
        <w:t>2</w:t>
      </w:r>
      <w:r w:rsidR="00864212" w:rsidRPr="003843E1">
        <w:rPr>
          <w:rFonts w:ascii="Times New Roman" w:hAnsi="Times New Roman" w:cs="Times New Roman"/>
          <w:sz w:val="20"/>
          <w:szCs w:val="20"/>
        </w:rPr>
        <w:t xml:space="preserve"> supply</w:t>
      </w:r>
      <w:r w:rsidR="00440461" w:rsidRPr="003843E1">
        <w:rPr>
          <w:rFonts w:ascii="Times New Roman" w:hAnsi="Times New Roman" w:cs="Times New Roman"/>
          <w:sz w:val="20"/>
          <w:szCs w:val="20"/>
        </w:rPr>
        <w:t xml:space="preserve"> (CO</w:t>
      </w:r>
      <w:r w:rsidR="00440461" w:rsidRPr="003843E1">
        <w:rPr>
          <w:rFonts w:ascii="Times New Roman" w:hAnsi="Times New Roman" w:cs="Times New Roman"/>
          <w:sz w:val="20"/>
          <w:szCs w:val="20"/>
          <w:vertAlign w:val="subscript"/>
        </w:rPr>
        <w:t>2</w:t>
      </w:r>
      <w:r w:rsidR="00440461" w:rsidRPr="003843E1">
        <w:rPr>
          <w:rFonts w:ascii="Times New Roman" w:hAnsi="Times New Roman" w:cs="Times New Roman"/>
          <w:sz w:val="20"/>
          <w:szCs w:val="20"/>
        </w:rPr>
        <w:t xml:space="preserve"> flow rates &gt; 10 sccm cm</w:t>
      </w:r>
      <w:r w:rsidR="00440461" w:rsidRPr="003843E1">
        <w:rPr>
          <w:rFonts w:ascii="Times New Roman" w:hAnsi="Times New Roman" w:cs="Times New Roman"/>
          <w:sz w:val="20"/>
          <w:szCs w:val="20"/>
          <w:vertAlign w:val="superscript"/>
        </w:rPr>
        <w:t>-2</w:t>
      </w:r>
      <w:r w:rsidR="00440461" w:rsidRPr="003843E1">
        <w:rPr>
          <w:rFonts w:ascii="Times New Roman" w:hAnsi="Times New Roman" w:cs="Times New Roman"/>
          <w:sz w:val="20"/>
          <w:szCs w:val="20"/>
        </w:rPr>
        <w:t>)</w:t>
      </w:r>
      <w:r w:rsidR="00864212" w:rsidRPr="003843E1">
        <w:rPr>
          <w:rFonts w:ascii="Times New Roman" w:hAnsi="Times New Roman" w:cs="Times New Roman"/>
          <w:sz w:val="20"/>
          <w:szCs w:val="20"/>
        </w:rPr>
        <w:t>,</w:t>
      </w:r>
      <w:r w:rsidR="003F5726" w:rsidRPr="003843E1">
        <w:rPr>
          <w:rFonts w:ascii="Times New Roman" w:hAnsi="Times New Roman" w:cs="Times New Roman"/>
          <w:sz w:val="20"/>
          <w:szCs w:val="20"/>
        </w:rPr>
        <w:t xml:space="preserve"> </w:t>
      </w:r>
      <w:r w:rsidR="00864212" w:rsidRPr="003843E1">
        <w:rPr>
          <w:rFonts w:ascii="Times New Roman" w:hAnsi="Times New Roman" w:cs="Times New Roman"/>
          <w:sz w:val="20"/>
          <w:szCs w:val="20"/>
        </w:rPr>
        <w:t>and the</w:t>
      </w:r>
      <w:r w:rsidR="003F5726" w:rsidRPr="003843E1">
        <w:rPr>
          <w:rFonts w:ascii="Times New Roman" w:hAnsi="Times New Roman" w:cs="Times New Roman"/>
          <w:sz w:val="20"/>
          <w:szCs w:val="20"/>
        </w:rPr>
        <w:t xml:space="preserve"> CO</w:t>
      </w:r>
      <w:r w:rsidR="003F5726" w:rsidRPr="003843E1">
        <w:rPr>
          <w:rFonts w:ascii="Times New Roman" w:hAnsi="Times New Roman" w:cs="Times New Roman"/>
          <w:sz w:val="20"/>
          <w:szCs w:val="20"/>
          <w:vertAlign w:val="subscript"/>
        </w:rPr>
        <w:t>2</w:t>
      </w:r>
      <w:r w:rsidR="003F5726" w:rsidRPr="003843E1">
        <w:rPr>
          <w:rFonts w:ascii="Times New Roman" w:hAnsi="Times New Roman" w:cs="Times New Roman"/>
          <w:sz w:val="20"/>
          <w:szCs w:val="20"/>
        </w:rPr>
        <w:t>-to-ethylene conversion</w:t>
      </w:r>
      <w:r w:rsidR="00864212" w:rsidRPr="003843E1">
        <w:rPr>
          <w:rFonts w:ascii="Times New Roman" w:hAnsi="Times New Roman" w:cs="Times New Roman"/>
          <w:sz w:val="20"/>
          <w:szCs w:val="20"/>
        </w:rPr>
        <w:t>s</w:t>
      </w:r>
      <w:r w:rsidR="003F5726" w:rsidRPr="003843E1">
        <w:rPr>
          <w:rFonts w:ascii="Times New Roman" w:hAnsi="Times New Roman" w:cs="Times New Roman"/>
          <w:sz w:val="20"/>
          <w:szCs w:val="20"/>
        </w:rPr>
        <w:t xml:space="preserve"> </w:t>
      </w:r>
      <w:r w:rsidR="00864212" w:rsidRPr="003843E1">
        <w:rPr>
          <w:rFonts w:ascii="Times New Roman" w:hAnsi="Times New Roman" w:cs="Times New Roman"/>
          <w:sz w:val="20"/>
          <w:szCs w:val="20"/>
        </w:rPr>
        <w:t>were</w:t>
      </w:r>
      <w:r w:rsidR="003F5726" w:rsidRPr="003843E1">
        <w:rPr>
          <w:rFonts w:ascii="Times New Roman" w:hAnsi="Times New Roman" w:cs="Times New Roman"/>
          <w:sz w:val="20"/>
          <w:szCs w:val="20"/>
        </w:rPr>
        <w:t xml:space="preserve"> below 1.5%.</w:t>
      </w:r>
      <w:r w:rsidR="00CB59E1" w:rsidRPr="003843E1">
        <w:rPr>
          <w:rFonts w:ascii="Times New Roman" w:hAnsi="Times New Roman" w:cs="Times New Roman"/>
          <w:sz w:val="20"/>
          <w:szCs w:val="20"/>
        </w:rPr>
        <w:t xml:space="preserve"> </w:t>
      </w:r>
      <w:r w:rsidR="00B35AA1" w:rsidRPr="003843E1">
        <w:rPr>
          <w:rFonts w:ascii="Times New Roman" w:hAnsi="Times New Roman" w:cs="Times New Roman"/>
          <w:sz w:val="20"/>
          <w:szCs w:val="20"/>
        </w:rPr>
        <w:t xml:space="preserve">After operating with 52 h, </w:t>
      </w:r>
      <w:r w:rsidR="001F0D69" w:rsidRPr="003843E1">
        <w:rPr>
          <w:rFonts w:ascii="Times New Roman" w:hAnsi="Times New Roman" w:cs="Times New Roman"/>
          <w:sz w:val="20"/>
          <w:szCs w:val="20"/>
        </w:rPr>
        <w:t xml:space="preserve">the ethylene FE dropped to ca. 32%. </w:t>
      </w:r>
      <w:r w:rsidR="0008353B" w:rsidRPr="003843E1">
        <w:rPr>
          <w:rFonts w:ascii="Times New Roman" w:hAnsi="Times New Roman" w:cs="Times New Roman"/>
          <w:sz w:val="20"/>
          <w:szCs w:val="20"/>
        </w:rPr>
        <w:t xml:space="preserve">To diagnose the </w:t>
      </w:r>
      <w:r w:rsidR="00396E04" w:rsidRPr="003843E1">
        <w:rPr>
          <w:rFonts w:ascii="Times New Roman" w:hAnsi="Times New Roman" w:cs="Times New Roman"/>
          <w:sz w:val="20"/>
          <w:szCs w:val="20"/>
        </w:rPr>
        <w:t>degradation mode</w:t>
      </w:r>
      <w:r w:rsidR="0008353B" w:rsidRPr="003843E1">
        <w:rPr>
          <w:rFonts w:ascii="Times New Roman" w:hAnsi="Times New Roman" w:cs="Times New Roman"/>
          <w:sz w:val="20"/>
          <w:szCs w:val="20"/>
        </w:rPr>
        <w:t xml:space="preserve">, we dissembled the </w:t>
      </w:r>
      <w:r w:rsidR="004A7ADC" w:rsidRPr="003843E1">
        <w:rPr>
          <w:rFonts w:ascii="Times New Roman" w:hAnsi="Times New Roman" w:cs="Times New Roman"/>
          <w:sz w:val="20"/>
          <w:szCs w:val="20"/>
        </w:rPr>
        <w:t>SC-BPMEA</w:t>
      </w:r>
      <w:r w:rsidR="0008353B" w:rsidRPr="003843E1">
        <w:rPr>
          <w:rFonts w:ascii="Times New Roman" w:hAnsi="Times New Roman" w:cs="Times New Roman"/>
          <w:sz w:val="20"/>
          <w:szCs w:val="20"/>
        </w:rPr>
        <w:t xml:space="preserve">, washed and dried the catalyst and re-assembled it </w:t>
      </w:r>
      <w:r w:rsidR="00FF3F48" w:rsidRPr="003843E1">
        <w:rPr>
          <w:rFonts w:ascii="Times New Roman" w:hAnsi="Times New Roman" w:cs="Times New Roman"/>
          <w:sz w:val="20"/>
          <w:szCs w:val="20"/>
        </w:rPr>
        <w:t>with fresh BPM, anode, electrolyte and SC-layer</w:t>
      </w:r>
      <w:r w:rsidR="0008353B" w:rsidRPr="003843E1">
        <w:rPr>
          <w:rFonts w:ascii="Times New Roman" w:hAnsi="Times New Roman" w:cs="Times New Roman"/>
          <w:sz w:val="20"/>
          <w:szCs w:val="20"/>
        </w:rPr>
        <w:t>.</w:t>
      </w:r>
      <w:r w:rsidR="008714AD" w:rsidRPr="003843E1">
        <w:rPr>
          <w:rFonts w:ascii="Times New Roman" w:hAnsi="Times New Roman" w:cs="Times New Roman"/>
          <w:sz w:val="20"/>
          <w:szCs w:val="20"/>
        </w:rPr>
        <w:t xml:space="preserve"> </w:t>
      </w:r>
      <w:r w:rsidR="00C059EE" w:rsidRPr="003843E1">
        <w:rPr>
          <w:rFonts w:ascii="Times New Roman" w:hAnsi="Times New Roman" w:cs="Times New Roman"/>
          <w:sz w:val="20"/>
          <w:szCs w:val="20"/>
        </w:rPr>
        <w:t>T</w:t>
      </w:r>
      <w:r w:rsidR="000532AE" w:rsidRPr="003843E1">
        <w:rPr>
          <w:rFonts w:ascii="Times New Roman" w:hAnsi="Times New Roman" w:cs="Times New Roman"/>
          <w:sz w:val="20"/>
          <w:szCs w:val="20"/>
        </w:rPr>
        <w:t>he</w:t>
      </w:r>
      <w:r w:rsidR="007D0EA0" w:rsidRPr="003843E1">
        <w:rPr>
          <w:rFonts w:ascii="Times New Roman" w:hAnsi="Times New Roman" w:cs="Times New Roman"/>
          <w:sz w:val="20"/>
          <w:szCs w:val="20"/>
        </w:rPr>
        <w:t xml:space="preserve"> device showed an</w:t>
      </w:r>
      <w:r w:rsidR="000532AE" w:rsidRPr="003843E1">
        <w:rPr>
          <w:rFonts w:ascii="Times New Roman" w:hAnsi="Times New Roman" w:cs="Times New Roman"/>
          <w:sz w:val="20"/>
          <w:szCs w:val="20"/>
        </w:rPr>
        <w:t xml:space="preserve"> ethylene FE </w:t>
      </w:r>
      <w:r w:rsidR="007D0EA0" w:rsidRPr="003843E1">
        <w:rPr>
          <w:rFonts w:ascii="Times New Roman" w:hAnsi="Times New Roman" w:cs="Times New Roman"/>
          <w:sz w:val="20"/>
          <w:szCs w:val="20"/>
        </w:rPr>
        <w:t xml:space="preserve">of </w:t>
      </w:r>
      <w:r w:rsidR="000532AE" w:rsidRPr="003843E1">
        <w:rPr>
          <w:rFonts w:ascii="Times New Roman" w:hAnsi="Times New Roman" w:cs="Times New Roman"/>
          <w:sz w:val="20"/>
          <w:szCs w:val="20"/>
        </w:rPr>
        <w:t>3</w:t>
      </w:r>
      <w:r w:rsidR="003801D9" w:rsidRPr="003843E1">
        <w:rPr>
          <w:rFonts w:ascii="Times New Roman" w:hAnsi="Times New Roman" w:cs="Times New Roman"/>
          <w:sz w:val="20"/>
          <w:szCs w:val="20"/>
        </w:rPr>
        <w:t>4</w:t>
      </w:r>
      <w:r w:rsidR="000532AE" w:rsidRPr="003843E1">
        <w:rPr>
          <w:rFonts w:ascii="Times New Roman" w:hAnsi="Times New Roman" w:cs="Times New Roman"/>
          <w:sz w:val="20"/>
          <w:szCs w:val="20"/>
        </w:rPr>
        <w:t>%</w:t>
      </w:r>
      <w:r w:rsidR="007D0EA0" w:rsidRPr="003843E1">
        <w:rPr>
          <w:rFonts w:ascii="Times New Roman" w:hAnsi="Times New Roman" w:cs="Times New Roman"/>
          <w:sz w:val="20"/>
          <w:szCs w:val="20"/>
        </w:rPr>
        <w:t xml:space="preserve"> </w:t>
      </w:r>
      <w:r w:rsidR="0001542C" w:rsidRPr="003843E1">
        <w:rPr>
          <w:rFonts w:ascii="Times New Roman" w:hAnsi="Times New Roman" w:cs="Times New Roman"/>
          <w:sz w:val="20"/>
          <w:szCs w:val="20"/>
        </w:rPr>
        <w:t xml:space="preserve">and </w:t>
      </w:r>
      <w:r w:rsidR="001A2C29" w:rsidRPr="003843E1">
        <w:rPr>
          <w:rFonts w:ascii="Times New Roman" w:hAnsi="Times New Roman" w:cs="Times New Roman"/>
          <w:sz w:val="20"/>
          <w:szCs w:val="20"/>
        </w:rPr>
        <w:t xml:space="preserve">a </w:t>
      </w:r>
      <w:r w:rsidR="0001542C" w:rsidRPr="003843E1">
        <w:rPr>
          <w:rFonts w:ascii="Times New Roman" w:hAnsi="Times New Roman" w:cs="Times New Roman"/>
          <w:sz w:val="20"/>
          <w:szCs w:val="20"/>
        </w:rPr>
        <w:t xml:space="preserve">cell voltage of 4.05 V. </w:t>
      </w:r>
      <w:r w:rsidR="001A2C29" w:rsidRPr="003843E1">
        <w:rPr>
          <w:rFonts w:ascii="Times New Roman" w:hAnsi="Times New Roman" w:cs="Times New Roman"/>
          <w:sz w:val="20"/>
          <w:szCs w:val="20"/>
        </w:rPr>
        <w:t>This result impl</w:t>
      </w:r>
      <w:r w:rsidR="003D04A6" w:rsidRPr="003843E1">
        <w:rPr>
          <w:rFonts w:ascii="Times New Roman" w:hAnsi="Times New Roman" w:cs="Times New Roman"/>
          <w:sz w:val="20"/>
          <w:szCs w:val="20"/>
        </w:rPr>
        <w:t>ies</w:t>
      </w:r>
      <w:r w:rsidR="001A2C29" w:rsidRPr="003843E1">
        <w:rPr>
          <w:rFonts w:ascii="Times New Roman" w:hAnsi="Times New Roman" w:cs="Times New Roman"/>
          <w:sz w:val="20"/>
          <w:szCs w:val="20"/>
        </w:rPr>
        <w:t xml:space="preserve"> that the degradation of </w:t>
      </w:r>
      <w:r w:rsidR="00A45C52" w:rsidRPr="003843E1">
        <w:rPr>
          <w:rFonts w:ascii="Times New Roman" w:hAnsi="Times New Roman" w:cs="Times New Roman"/>
          <w:sz w:val="20"/>
          <w:szCs w:val="20"/>
        </w:rPr>
        <w:t>the</w:t>
      </w:r>
      <w:r w:rsidR="001A2C29" w:rsidRPr="003843E1">
        <w:rPr>
          <w:rFonts w:ascii="Times New Roman" w:hAnsi="Times New Roman" w:cs="Times New Roman"/>
          <w:sz w:val="20"/>
          <w:szCs w:val="20"/>
        </w:rPr>
        <w:t xml:space="preserve"> </w:t>
      </w:r>
      <w:r w:rsidR="00A45C52" w:rsidRPr="003843E1">
        <w:rPr>
          <w:rFonts w:ascii="Times New Roman" w:hAnsi="Times New Roman" w:cs="Times New Roman"/>
          <w:sz w:val="20"/>
          <w:szCs w:val="20"/>
        </w:rPr>
        <w:t>cathode</w:t>
      </w:r>
      <w:r w:rsidR="001A2C29" w:rsidRPr="003843E1">
        <w:rPr>
          <w:rFonts w:ascii="Times New Roman" w:hAnsi="Times New Roman" w:cs="Times New Roman"/>
          <w:sz w:val="20"/>
          <w:szCs w:val="20"/>
        </w:rPr>
        <w:t xml:space="preserve"> is </w:t>
      </w:r>
      <w:r w:rsidR="00CE4D0F" w:rsidRPr="003843E1">
        <w:rPr>
          <w:rFonts w:ascii="Times New Roman" w:hAnsi="Times New Roman" w:cs="Times New Roman"/>
          <w:sz w:val="20"/>
          <w:szCs w:val="20"/>
        </w:rPr>
        <w:t xml:space="preserve">likely the </w:t>
      </w:r>
      <w:r w:rsidR="001A2C29" w:rsidRPr="003843E1">
        <w:rPr>
          <w:rFonts w:ascii="Times New Roman" w:hAnsi="Times New Roman" w:cs="Times New Roman"/>
          <w:sz w:val="20"/>
          <w:szCs w:val="20"/>
        </w:rPr>
        <w:t>main reason of</w:t>
      </w:r>
      <w:r w:rsidR="003D04A6" w:rsidRPr="003843E1">
        <w:rPr>
          <w:rFonts w:ascii="Times New Roman" w:hAnsi="Times New Roman" w:cs="Times New Roman"/>
          <w:sz w:val="20"/>
          <w:szCs w:val="20"/>
        </w:rPr>
        <w:t xml:space="preserve"> the ethylene FE decrease after 52 h of operation</w:t>
      </w:r>
      <w:r w:rsidR="001A2C29" w:rsidRPr="003843E1">
        <w:rPr>
          <w:rFonts w:ascii="Times New Roman" w:hAnsi="Times New Roman" w:cs="Times New Roman"/>
          <w:sz w:val="20"/>
          <w:szCs w:val="20"/>
        </w:rPr>
        <w:t>.</w:t>
      </w:r>
    </w:p>
    <w:p w14:paraId="21A82978" w14:textId="77777777" w:rsidR="0062348E" w:rsidRPr="009D52EB" w:rsidRDefault="0062348E">
      <w:pPr>
        <w:rPr>
          <w:rFonts w:ascii="Times New Roman" w:hAnsi="Times New Roman" w:cs="Times New Roman"/>
          <w:sz w:val="24"/>
          <w:szCs w:val="24"/>
        </w:rPr>
      </w:pPr>
      <w:r w:rsidRPr="009D52EB">
        <w:rPr>
          <w:rFonts w:ascii="Times New Roman" w:hAnsi="Times New Roman" w:cs="Times New Roman"/>
          <w:sz w:val="24"/>
          <w:szCs w:val="24"/>
        </w:rPr>
        <w:br w:type="page"/>
      </w:r>
    </w:p>
    <w:p w14:paraId="4227268A" w14:textId="1E669068" w:rsidR="000F31F1" w:rsidRDefault="006C5384">
      <w:pPr>
        <w:jc w:val="both"/>
        <w:rPr>
          <w:rFonts w:ascii="Times New Roman" w:hAnsi="Times New Roman" w:cs="Times New Roman"/>
          <w:b/>
          <w:bCs/>
          <w:sz w:val="24"/>
          <w:szCs w:val="24"/>
        </w:rPr>
      </w:pPr>
      <w:r w:rsidRPr="009D52EB">
        <w:rPr>
          <w:rFonts w:ascii="Times New Roman" w:hAnsi="Times New Roman" w:cs="Times New Roman"/>
          <w:b/>
          <w:bCs/>
          <w:sz w:val="24"/>
          <w:szCs w:val="24"/>
        </w:rPr>
        <w:lastRenderedPageBreak/>
        <w:t>SI1</w:t>
      </w:r>
      <w:r>
        <w:rPr>
          <w:rFonts w:ascii="Times New Roman" w:hAnsi="Times New Roman" w:cs="Times New Roman"/>
          <w:b/>
          <w:bCs/>
          <w:sz w:val="24"/>
          <w:szCs w:val="24"/>
        </w:rPr>
        <w:t>2</w:t>
      </w:r>
      <w:r w:rsidRPr="009D52EB">
        <w:rPr>
          <w:rFonts w:ascii="Times New Roman" w:hAnsi="Times New Roman" w:cs="Times New Roman"/>
          <w:b/>
          <w:bCs/>
          <w:sz w:val="24"/>
          <w:szCs w:val="24"/>
        </w:rPr>
        <w:t xml:space="preserve"> </w:t>
      </w:r>
      <w:r w:rsidR="007D5CBB">
        <w:rPr>
          <w:rFonts w:ascii="Times New Roman" w:hAnsi="Times New Roman" w:cs="Times New Roman"/>
          <w:b/>
          <w:bCs/>
          <w:sz w:val="24"/>
          <w:szCs w:val="24"/>
        </w:rPr>
        <w:t>Additional e</w:t>
      </w:r>
      <w:r w:rsidR="007D5CBB" w:rsidRPr="009D52EB">
        <w:rPr>
          <w:rFonts w:ascii="Times New Roman" w:hAnsi="Times New Roman" w:cs="Times New Roman"/>
          <w:b/>
          <w:bCs/>
          <w:sz w:val="24"/>
          <w:szCs w:val="24"/>
        </w:rPr>
        <w:t xml:space="preserve">nergy </w:t>
      </w:r>
      <w:r w:rsidR="0062348E" w:rsidRPr="009D52EB">
        <w:rPr>
          <w:rFonts w:ascii="Times New Roman" w:hAnsi="Times New Roman" w:cs="Times New Roman"/>
          <w:b/>
          <w:bCs/>
          <w:sz w:val="24"/>
          <w:szCs w:val="24"/>
        </w:rPr>
        <w:t xml:space="preserve">assessments of the </w:t>
      </w:r>
      <w:r w:rsidR="00CA7DEB" w:rsidRPr="009D52EB">
        <w:rPr>
          <w:rFonts w:ascii="Times New Roman" w:hAnsi="Times New Roman" w:cs="Times New Roman"/>
          <w:b/>
          <w:bCs/>
          <w:sz w:val="24"/>
          <w:szCs w:val="24"/>
        </w:rPr>
        <w:t xml:space="preserve">alkaline electrolyzer and </w:t>
      </w:r>
      <w:r w:rsidR="004A7ADC">
        <w:rPr>
          <w:rFonts w:ascii="Times New Roman" w:hAnsi="Times New Roman" w:cs="Times New Roman"/>
          <w:b/>
          <w:bCs/>
          <w:sz w:val="24"/>
          <w:szCs w:val="24"/>
        </w:rPr>
        <w:t>SC-BPMEA</w:t>
      </w:r>
      <w:r w:rsidR="0062348E" w:rsidRPr="009D52EB">
        <w:rPr>
          <w:rFonts w:ascii="Times New Roman" w:hAnsi="Times New Roman" w:cs="Times New Roman"/>
          <w:b/>
          <w:bCs/>
          <w:sz w:val="24"/>
          <w:szCs w:val="24"/>
        </w:rPr>
        <w:t xml:space="preserve"> operating at different CO</w:t>
      </w:r>
      <w:r w:rsidR="0062348E" w:rsidRPr="009D52EB">
        <w:rPr>
          <w:rFonts w:ascii="Times New Roman" w:hAnsi="Times New Roman" w:cs="Times New Roman"/>
          <w:b/>
          <w:bCs/>
          <w:sz w:val="24"/>
          <w:szCs w:val="24"/>
          <w:vertAlign w:val="subscript"/>
        </w:rPr>
        <w:t>2</w:t>
      </w:r>
      <w:r w:rsidR="0062348E" w:rsidRPr="009D52EB">
        <w:rPr>
          <w:rFonts w:ascii="Times New Roman" w:hAnsi="Times New Roman" w:cs="Times New Roman"/>
          <w:b/>
          <w:bCs/>
          <w:sz w:val="24"/>
          <w:szCs w:val="24"/>
        </w:rPr>
        <w:t xml:space="preserve"> input flow rates.</w:t>
      </w:r>
    </w:p>
    <w:p w14:paraId="5FBEACF6" w14:textId="7B2038AC" w:rsidR="00812941" w:rsidRPr="00812941" w:rsidRDefault="00812941">
      <w:pPr>
        <w:jc w:val="both"/>
        <w:rPr>
          <w:rFonts w:ascii="Times New Roman" w:hAnsi="Times New Roman" w:cs="Times New Roman"/>
          <w:sz w:val="24"/>
          <w:szCs w:val="24"/>
        </w:rPr>
      </w:pPr>
      <w:r w:rsidRPr="004B5288">
        <w:rPr>
          <w:rFonts w:ascii="Times New Roman" w:hAnsi="Times New Roman" w:cs="Times New Roman"/>
          <w:sz w:val="24"/>
          <w:szCs w:val="24"/>
        </w:rPr>
        <w:t xml:space="preserve">In </w:t>
      </w:r>
      <w:r w:rsidR="00765866">
        <w:rPr>
          <w:rFonts w:ascii="Times New Roman" w:hAnsi="Times New Roman" w:cs="Times New Roman"/>
          <w:sz w:val="24"/>
          <w:szCs w:val="24"/>
        </w:rPr>
        <w:t>alkaline electrolyzer</w:t>
      </w:r>
      <w:r w:rsidRPr="004B5288">
        <w:rPr>
          <w:rFonts w:ascii="Times New Roman" w:hAnsi="Times New Roman" w:cs="Times New Roman"/>
          <w:sz w:val="24"/>
          <w:szCs w:val="24"/>
        </w:rPr>
        <w:t>, CO</w:t>
      </w:r>
      <w:r w:rsidRPr="004B5288">
        <w:rPr>
          <w:rFonts w:ascii="Times New Roman" w:hAnsi="Times New Roman" w:cs="Times New Roman"/>
          <w:sz w:val="24"/>
          <w:szCs w:val="24"/>
          <w:vertAlign w:val="subscript"/>
        </w:rPr>
        <w:t>2</w:t>
      </w:r>
      <w:r w:rsidRPr="004B5288">
        <w:rPr>
          <w:rFonts w:ascii="Times New Roman" w:hAnsi="Times New Roman" w:cs="Times New Roman"/>
          <w:sz w:val="24"/>
          <w:szCs w:val="24"/>
        </w:rPr>
        <w:t xml:space="preserve"> and OH</w:t>
      </w:r>
      <w:r w:rsidRPr="004B5288">
        <w:rPr>
          <w:rFonts w:ascii="Times New Roman" w:hAnsi="Times New Roman" w:cs="Times New Roman"/>
          <w:sz w:val="24"/>
          <w:szCs w:val="24"/>
          <w:vertAlign w:val="superscript"/>
        </w:rPr>
        <w:t>-</w:t>
      </w:r>
      <w:r w:rsidRPr="004B5288">
        <w:rPr>
          <w:rFonts w:ascii="Times New Roman" w:hAnsi="Times New Roman" w:cs="Times New Roman"/>
          <w:sz w:val="24"/>
          <w:szCs w:val="24"/>
        </w:rPr>
        <w:t xml:space="preserve"> react to </w:t>
      </w:r>
      <w:r>
        <w:rPr>
          <w:rFonts w:ascii="Times New Roman" w:hAnsi="Times New Roman" w:cs="Times New Roman"/>
          <w:sz w:val="24"/>
          <w:szCs w:val="24"/>
        </w:rPr>
        <w:t xml:space="preserve">form </w:t>
      </w:r>
      <w:r w:rsidRPr="004B5288">
        <w:rPr>
          <w:rFonts w:ascii="Times New Roman" w:hAnsi="Times New Roman" w:cs="Times New Roman"/>
          <w:sz w:val="24"/>
          <w:szCs w:val="24"/>
        </w:rPr>
        <w:t xml:space="preserve">carbonate continuously. </w:t>
      </w:r>
      <w:r>
        <w:rPr>
          <w:rFonts w:ascii="Times New Roman" w:hAnsi="Times New Roman" w:cs="Times New Roman"/>
          <w:sz w:val="24"/>
          <w:szCs w:val="24"/>
        </w:rPr>
        <w:t>This</w:t>
      </w:r>
      <w:r w:rsidRPr="004B5288">
        <w:rPr>
          <w:rFonts w:ascii="Times New Roman" w:hAnsi="Times New Roman" w:cs="Times New Roman"/>
          <w:sz w:val="24"/>
          <w:szCs w:val="24"/>
        </w:rPr>
        <w:t xml:space="preserve"> carbonate has to be recovered to maintain the CO</w:t>
      </w:r>
      <w:r w:rsidRPr="004B5288">
        <w:rPr>
          <w:rFonts w:ascii="Times New Roman" w:hAnsi="Times New Roman" w:cs="Times New Roman"/>
          <w:sz w:val="24"/>
          <w:szCs w:val="24"/>
          <w:vertAlign w:val="subscript"/>
        </w:rPr>
        <w:t>2</w:t>
      </w:r>
      <w:r w:rsidRPr="004B5288">
        <w:rPr>
          <w:rFonts w:ascii="Times New Roman" w:hAnsi="Times New Roman" w:cs="Times New Roman"/>
          <w:sz w:val="24"/>
          <w:szCs w:val="24"/>
        </w:rPr>
        <w:t xml:space="preserve">RR performance of such </w:t>
      </w:r>
      <w:r>
        <w:rPr>
          <w:rFonts w:ascii="Times New Roman" w:hAnsi="Times New Roman" w:cs="Times New Roman"/>
          <w:sz w:val="24"/>
          <w:szCs w:val="24"/>
        </w:rPr>
        <w:t xml:space="preserve">a </w:t>
      </w:r>
      <w:r w:rsidRPr="004B5288">
        <w:rPr>
          <w:rFonts w:ascii="Times New Roman" w:hAnsi="Times New Roman" w:cs="Times New Roman"/>
          <w:sz w:val="24"/>
          <w:szCs w:val="24"/>
        </w:rPr>
        <w:t>system, consuming 15</w:t>
      </w:r>
      <w:r>
        <w:rPr>
          <w:rFonts w:ascii="Times New Roman" w:hAnsi="Times New Roman" w:cs="Times New Roman"/>
          <w:sz w:val="24"/>
          <w:szCs w:val="24"/>
        </w:rPr>
        <w:t>00</w:t>
      </w:r>
      <w:r w:rsidRPr="004B5288">
        <w:rPr>
          <w:rFonts w:ascii="Times New Roman" w:hAnsi="Times New Roman" w:cs="Times New Roman"/>
          <w:sz w:val="24"/>
          <w:szCs w:val="24"/>
        </w:rPr>
        <w:t xml:space="preserve"> kWh (5.5</w:t>
      </w:r>
      <w:r>
        <w:rPr>
          <w:rFonts w:ascii="Times New Roman" w:hAnsi="Times New Roman" w:cs="Times New Roman"/>
          <w:sz w:val="24"/>
          <w:szCs w:val="24"/>
        </w:rPr>
        <w:t xml:space="preserve"> </w:t>
      </w:r>
      <w:r w:rsidRPr="004B5288">
        <w:rPr>
          <w:rFonts w:ascii="Times New Roman" w:hAnsi="Times New Roman" w:cs="Times New Roman"/>
          <w:sz w:val="24"/>
          <w:szCs w:val="24"/>
        </w:rPr>
        <w:t>GJ) per tonne CO</w:t>
      </w:r>
      <w:r w:rsidRPr="004B5288">
        <w:rPr>
          <w:rFonts w:ascii="Times New Roman" w:hAnsi="Times New Roman" w:cs="Times New Roman"/>
          <w:sz w:val="24"/>
          <w:szCs w:val="24"/>
          <w:vertAlign w:val="subscript"/>
        </w:rPr>
        <w:t>2</w:t>
      </w:r>
      <w:r w:rsidRPr="004B5288">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{"citationItems":[{"id":"ITEM-1","itemData":{"DOI":"10.1016/j.joule.2021.01.007","ISSN":"25424351","abstract":"CO 2 electroreduction to chemical feedstocks has suffered from CO 2 reactant loss and a severe energy consumption/production penalty associated with carbonate formation. We divided the process into two cascading steps-CO 2 reduction to CO in a solid-oxide electrolysis cell (SOEC) and CO reduction to multi-carbon products in a membrane electrode assembly (MEA) electrolyser. In the full SOEC-MEA cascade approach, we achieve CO 2-to-C 2 H 4 with no loss of CO 2 to carbonate and a ~48% reduction in energy intensity compared with the direct route. SUMMARY CO 2 electroreduction provides a route to convert waste emissions into chemicals such as ethylene (C 2 H 4). However, the direct transformation of CO 2-to-C 2 H 4 suffers from CO 2 loss to carbonate, consuming up to 72% of energy input. A cascade approach-coupling a solid-oxide CO 2-to-CO electrochemical cell (SOEC) with a CO-to-C 2 H 4 membrane electrode assembly (MEA)-would eliminate CO 2 loss to carbonate. However, this approach requires a CO-to-C 2 H 4 MEA with energy efficiency well beyond demonstrations to date. Focusing on the MEA, we find that an N-tolyl substituted tetrahydro-bipyridine film improves the stabilization of key reaction intermediates, while an SSC ionomer enhances CO transport to the Cu surface, enabling a C 2 H 4 faradaic efficiency of 65% at 150 mA cm À2 for 110 h. Demonstrating a cascade SOEC-MEA approach, we achieve CO 2-to-C 2 H 4 with a ~48% reduction in energy intensity compared with the direct route. We further reduce the energy intensity by coupling CO electroreduction (CORR) with glucose electrooxidation.","author":[{"dropping-particle":"","family":"Ozden","given":"Adnan","non-dropping-particle":"","parse-names":false,"suffix":""},{"dropping-particle":"","family":"Wang","given":"Yuhang","non-dropping-particle":"","parse-names":false,"suffix":""},{"dropping-particle":"","family":"Li","given":"Fengwang","non-dropping-particle":"","parse-names":false,"suffix":""},{"dropping-particle":"","family":"Luo","given":"Mingchuan","non-dropping-particle":"","parse-names":false,"suffix":""},{"dropping-particle":"","family":"Sisler","given":"Jared","non-dropping-particle":"","parse-names":false,"suffix":""},{"dropping-particle":"","family":"Thevenon","given":"Arnaud","non-dropping-particle":"","parse-names":false,"suffix":""},{"dropping-particle":"","family":"Rosas-Hernández","given":"Alonso","non-dropping-particle":"","parse-names":false,"suffix":""},{"dropping-particle":"","family":"Burdyny","given":"Thomas","non-dropping-particle":"","parse-names":false,"suffix":""},{"dropping-particle":"","family":"Lum","given":"Yanwei","non-dropping-particle":"","parse-names":false,"suffix":""},{"dropping-particle":"","family":"Yadegari","given":"Hossein","non-dropping-particle":"","parse-names":false,"suffix":""},{"dropping-particle":"","family":"Agapie","given":"Theodor","non-dropping-particle":"","parse-names":false,"suffix":""},{"dropping-particle":"","family":"Peters","given":"Jonas C.","non-dropping-particle":"","parse-names":false,"suffix":""},{"dropping-particle":"","family":"Sargent","given":"Edward H.","non-dropping-particle":"","parse-names":false,"suffix":""},{"dropping-particle":"","family":"Sinton","given":"David","non-dropping-particle":"","parse-names":false,"suffix":""}],"container-title":"Joule","id":"ITEM-1","issued":{"date-parts":[["2021"]]},"page":"1-14","title":"Cascade CO2 electroreduction enables efficient carbonate-free production of ethylene","type":"article-journal"},"uris":["http://www.mendeley.com/documents/?uuid=6591edb5-4899-4ec7-ae44-934893045d3f"]}],"mendeley":{"formattedCitation":"&lt;sup&gt;12&lt;/sup&gt;","plainTextFormattedCitation":"12","previouslyFormattedCitation":"&lt;sup&gt;5&lt;/sup&gt;"},"properties":{"noteIndex":0},"schema":"https://github.com/citation-style-language/schema/raw/master/csl-citation.json"}</w:instrText>
      </w:r>
      <w:r w:rsidRPr="004B5288">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12</w:t>
      </w:r>
      <w:r w:rsidRPr="004B5288">
        <w:rPr>
          <w:rFonts w:ascii="Times New Roman" w:hAnsi="Times New Roman" w:cs="Times New Roman"/>
          <w:sz w:val="24"/>
          <w:szCs w:val="24"/>
        </w:rPr>
        <w:fldChar w:fldCharType="end"/>
      </w:r>
      <w:r w:rsidRPr="004B5288">
        <w:rPr>
          <w:rFonts w:ascii="Times New Roman" w:hAnsi="Times New Roman" w:cs="Times New Roman"/>
          <w:sz w:val="24"/>
          <w:szCs w:val="24"/>
        </w:rPr>
        <w:t>. In the alkaline CO</w:t>
      </w:r>
      <w:r w:rsidRPr="004B5288">
        <w:rPr>
          <w:rFonts w:ascii="Times New Roman" w:hAnsi="Times New Roman" w:cs="Times New Roman"/>
          <w:sz w:val="24"/>
          <w:szCs w:val="24"/>
          <w:vertAlign w:val="subscript"/>
        </w:rPr>
        <w:t>2</w:t>
      </w:r>
      <w:r w:rsidRPr="004B5288">
        <w:rPr>
          <w:rFonts w:ascii="Times New Roman" w:hAnsi="Times New Roman" w:cs="Times New Roman"/>
          <w:sz w:val="24"/>
          <w:szCs w:val="24"/>
        </w:rPr>
        <w:t>RR electrolyzers, ca. 63 tonne of CO</w:t>
      </w:r>
      <w:r w:rsidRPr="004B5288">
        <w:rPr>
          <w:rFonts w:ascii="Times New Roman" w:hAnsi="Times New Roman" w:cs="Times New Roman"/>
          <w:sz w:val="24"/>
          <w:szCs w:val="24"/>
          <w:vertAlign w:val="subscript"/>
        </w:rPr>
        <w:t>2</w:t>
      </w:r>
      <w:r w:rsidRPr="004B5288">
        <w:rPr>
          <w:rFonts w:ascii="Times New Roman" w:hAnsi="Times New Roman" w:cs="Times New Roman"/>
          <w:sz w:val="24"/>
          <w:szCs w:val="24"/>
        </w:rPr>
        <w:t xml:space="preserve"> transforms to carbonate </w:t>
      </w:r>
      <w:r>
        <w:rPr>
          <w:rFonts w:ascii="Times New Roman" w:hAnsi="Times New Roman" w:cs="Times New Roman"/>
          <w:sz w:val="24"/>
          <w:szCs w:val="24"/>
        </w:rPr>
        <w:t>to</w:t>
      </w:r>
      <w:r w:rsidRPr="004B5288">
        <w:rPr>
          <w:rFonts w:ascii="Times New Roman" w:hAnsi="Times New Roman" w:cs="Times New Roman"/>
          <w:sz w:val="24"/>
          <w:szCs w:val="24"/>
        </w:rPr>
        <w:t xml:space="preserve"> produc</w:t>
      </w:r>
      <w:r>
        <w:rPr>
          <w:rFonts w:ascii="Times New Roman" w:hAnsi="Times New Roman" w:cs="Times New Roman"/>
          <w:sz w:val="24"/>
          <w:szCs w:val="24"/>
        </w:rPr>
        <w:t>e</w:t>
      </w:r>
      <w:r w:rsidRPr="004B5288">
        <w:rPr>
          <w:rFonts w:ascii="Times New Roman" w:hAnsi="Times New Roman" w:cs="Times New Roman"/>
          <w:sz w:val="24"/>
          <w:szCs w:val="24"/>
        </w:rPr>
        <w:t xml:space="preserve"> 1 tonne of ethylene, representing an energy penalty of 9</w:t>
      </w:r>
      <w:r>
        <w:rPr>
          <w:rFonts w:ascii="Times New Roman" w:hAnsi="Times New Roman" w:cs="Times New Roman"/>
          <w:sz w:val="24"/>
          <w:szCs w:val="24"/>
        </w:rPr>
        <w:t>7,000</w:t>
      </w:r>
      <w:r w:rsidRPr="004B5288">
        <w:rPr>
          <w:rFonts w:ascii="Times New Roman" w:hAnsi="Times New Roman" w:cs="Times New Roman"/>
          <w:sz w:val="24"/>
          <w:szCs w:val="24"/>
        </w:rPr>
        <w:t xml:space="preserve"> kWh or 3</w:t>
      </w:r>
      <w:r>
        <w:rPr>
          <w:rFonts w:ascii="Times New Roman" w:hAnsi="Times New Roman" w:cs="Times New Roman"/>
          <w:sz w:val="24"/>
          <w:szCs w:val="24"/>
        </w:rPr>
        <w:t>50</w:t>
      </w:r>
      <w:r w:rsidRPr="004B5288">
        <w:rPr>
          <w:rFonts w:ascii="Times New Roman" w:hAnsi="Times New Roman" w:cs="Times New Roman"/>
          <w:sz w:val="24"/>
          <w:szCs w:val="24"/>
        </w:rPr>
        <w:t xml:space="preserve"> GJ</w:t>
      </w:r>
      <w:r w:rsidRPr="004B5288">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{"citationItems":[{"id":"ITEM-1","itemData":{"DOI":"10.1016/j.joule.2021.01.007","ISSN":"25424351","abstract":"CO 2 electroreduction to chemical feedstocks has suffered from CO 2 reactant loss and a severe energy consumption/production penalty associated with carbonate formation. We divided the process into two cascading steps-CO 2 reduction to CO in a solid-oxide electrolysis cell (SOEC) and CO reduction to multi-carbon products in a membrane electrode assembly (MEA) electrolyser. In the full SOEC-MEA cascade approach, we achieve CO 2-to-C 2 H 4 with no loss of CO 2 to carbonate and a ~48% reduction in energy intensity compared with the direct route. SUMMARY CO 2 electroreduction provides a route to convert waste emissions into chemicals such as ethylene (C 2 H 4). However, the direct transformation of CO 2-to-C 2 H 4 suffers from CO 2 loss to carbonate, consuming up to 72% of energy input. A cascade approach-coupling a solid-oxide CO 2-to-CO electrochemical cell (SOEC) with a CO-to-C 2 H 4 membrane electrode assembly (MEA)-would eliminate CO 2 loss to carbonate. However, this approach requires a CO-to-C 2 H 4 MEA with energy efficiency well beyond demonstrations to date. Focusing on the MEA, we find that an N-tolyl substituted tetrahydro-bipyridine film improves the stabilization of key reaction intermediates, while an SSC ionomer enhances CO transport to the Cu surface, enabling a C 2 H 4 faradaic efficiency of 65% at 150 mA cm À2 for 110 h. Demonstrating a cascade SOEC-MEA approach, we achieve CO 2-to-C 2 H 4 with a ~48% reduction in energy intensity compared with the direct route. We further reduce the energy intensity by coupling CO electroreduction (CORR) with glucose electrooxidation.","author":[{"dropping-particle":"","family":"Ozden","given":"Adnan","non-dropping-particle":"","parse-names":false,"suffix":""},{"dropping-particle":"","family":"Wang","given":"Yuhang","non-dropping-particle":"","parse-names":false,"suffix":""},{"dropping-particle":"","family":"Li","given":"Fengwang","non-dropping-particle":"","parse-names":false,"suffix":""},{"dropping-particle":"","family":"Luo","given":"Mingchuan","non-dropping-particle":"","parse-names":false,"suffix":""},{"dropping-particle":"","family":"Sisler","given":"Jared","non-dropping-particle":"","parse-names":false,"suffix":""},{"dropping-particle":"","family":"Thevenon","given":"Arnaud","non-dropping-particle":"","parse-names":false,"suffix":""},{"dropping-particle":"","family":"Rosas-Hernández","given":"Alonso","non-dropping-particle":"","parse-names":false,"suffix":""},{"dropping-particle":"","family":"Burdyny","given":"Thomas","non-dropping-particle":"","parse-names":false,"suffix":""},{"dropping-particle":"","family":"Lum","given":"Yanwei","non-dropping-particle":"","parse-names":false,"suffix":""},{"dropping-particle":"","family":"Yadegari","given":"Hossein","non-dropping-particle":"","parse-names":false,"suffix":""},{"dropping-particle":"","family":"Agapie","given":"Theodor","non-dropping-particle":"","parse-names":false,"suffix":""},{"dropping-particle":"","family":"Peters","given":"Jonas C.","non-dropping-particle":"","parse-names":false,"suffix":""},{"dropping-particle":"","family":"Sargent","given":"Edward H.","non-dropping-particle":"","parse-names":false,"suffix":""},{"dropping-particle":"","family":"Sinton","given":"David","non-dropping-particle":"","parse-names":false,"suffix":""}],"container-title":"Joule","id":"ITEM-1","issued":{"date-parts":[["2021"]]},"page":"1-14","title":"Cascade CO2 electroreduction enables efficient carbonate-free production of ethylene","type":"article-journal"},"uris":["http://www.mendeley.com/documents/?uuid=6591edb5-4899-4ec7-ae44-934893045d3f"]}],"mendeley":{"formattedCitation":"&lt;sup&gt;12&lt;/sup&gt;","plainTextFormattedCitation":"12","previouslyFormattedCitation":"&lt;sup&gt;5&lt;/sup&gt;"},"properties":{"noteIndex":0},"schema":"https://github.com/citation-style-language/schema/raw/master/csl-citation.json"}</w:instrText>
      </w:r>
      <w:r w:rsidRPr="004B5288">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12</w:t>
      </w:r>
      <w:r w:rsidRPr="004B5288">
        <w:rPr>
          <w:rFonts w:ascii="Times New Roman" w:hAnsi="Times New Roman" w:cs="Times New Roman"/>
          <w:sz w:val="24"/>
          <w:szCs w:val="24"/>
        </w:rPr>
        <w:fldChar w:fldCharType="end"/>
      </w:r>
      <w:r w:rsidRPr="004B5288">
        <w:rPr>
          <w:rFonts w:ascii="Times New Roman" w:hAnsi="Times New Roman" w:cs="Times New Roman"/>
          <w:sz w:val="24"/>
          <w:szCs w:val="24"/>
        </w:rPr>
        <w:t xml:space="preserve">. Considering </w:t>
      </w:r>
      <w:r>
        <w:rPr>
          <w:rFonts w:ascii="Times New Roman" w:hAnsi="Times New Roman" w:cs="Times New Roman"/>
          <w:sz w:val="24"/>
          <w:szCs w:val="24"/>
        </w:rPr>
        <w:t>a</w:t>
      </w:r>
      <w:r w:rsidRPr="004B5288">
        <w:rPr>
          <w:rFonts w:ascii="Times New Roman" w:hAnsi="Times New Roman" w:cs="Times New Roman"/>
          <w:sz w:val="24"/>
          <w:szCs w:val="24"/>
        </w:rPr>
        <w:t xml:space="preserve"> cheapest electricity cost of 0.0</w:t>
      </w:r>
      <w:r>
        <w:rPr>
          <w:rFonts w:ascii="Times New Roman" w:hAnsi="Times New Roman" w:cs="Times New Roman"/>
          <w:sz w:val="24"/>
          <w:szCs w:val="24"/>
        </w:rPr>
        <w:t>20</w:t>
      </w:r>
      <w:r w:rsidRPr="004B5288">
        <w:rPr>
          <w:rFonts w:ascii="Times New Roman" w:hAnsi="Times New Roman" w:cs="Times New Roman"/>
          <w:sz w:val="24"/>
          <w:szCs w:val="24"/>
        </w:rPr>
        <w:t xml:space="preserve"> $ per kWh, such an energy penalty costs at least $</w:t>
      </w:r>
      <w:r>
        <w:rPr>
          <w:rFonts w:ascii="Times New Roman" w:hAnsi="Times New Roman" w:cs="Times New Roman"/>
          <w:sz w:val="24"/>
          <w:szCs w:val="24"/>
        </w:rPr>
        <w:t>1,900</w:t>
      </w:r>
      <w:r w:rsidRPr="004B5288">
        <w:rPr>
          <w:rFonts w:ascii="Times New Roman" w:hAnsi="Times New Roman" w:cs="Times New Roman"/>
          <w:sz w:val="24"/>
          <w:szCs w:val="24"/>
        </w:rPr>
        <w:t xml:space="preserve"> per tonne </w:t>
      </w:r>
      <w:r>
        <w:rPr>
          <w:rFonts w:ascii="Times New Roman" w:hAnsi="Times New Roman" w:cs="Times New Roman"/>
          <w:sz w:val="24"/>
          <w:szCs w:val="24"/>
        </w:rPr>
        <w:t xml:space="preserve">of </w:t>
      </w:r>
      <w:r w:rsidRPr="004B5288">
        <w:rPr>
          <w:rFonts w:ascii="Times New Roman" w:hAnsi="Times New Roman" w:cs="Times New Roman"/>
          <w:sz w:val="24"/>
          <w:szCs w:val="24"/>
        </w:rPr>
        <w:t>ethylene, while its market price is $800-1000 per tonne</w:t>
      </w:r>
      <w:r w:rsidRPr="004B5288">
        <w:rPr>
          <w:rFonts w:ascii="Times New Roman" w:hAnsi="Times New Roman" w:cs="Times New Roman"/>
          <w:sz w:val="24"/>
          <w:szCs w:val="24"/>
        </w:rPr>
        <w:fldChar w:fldCharType="begin" w:fldLock="1"/>
      </w:r>
      <w:r w:rsidR="00D328F7">
        <w:rPr>
          <w:rFonts w:ascii="Times New Roman" w:hAnsi="Times New Roman" w:cs="Times New Roman"/>
          <w:sz w:val="24"/>
          <w:szCs w:val="24"/>
        </w:rPr>
        <w:instrText>ADDIN CSL_CITATION {"citationItems":[{"id":"ITEM-1","itemData":{"DOI":"10.1021/acsenergylett.0c02633","author":[{"dropping-particle":"","family":"Sisler","given":"Jared","non-dropping-particle":"","parse-names":false,"suffix":""},{"dropping-particle":"","family":"Shaihroz Kha","given":"","non-dropping-particle":"","parse-names":false,"suffix":""},{"dropping-particle":"","family":"Ip","given":"Alexander H.","non-dropping-particle":"","parse-names":false,"suffix":""},{"dropping-particle":"","family":"Jaffer","given":"Moritz W. Schreiber Shaffiq A.","non-dropping-particle":"","parse-names":false,"suffix":""},{"dropping-particle":"","family":"Sargent","given":"Edward H.","non-dropping-particle":"","parse-names":false,"suffix":""}],"container-title":"ACS Energy Letters","id":"ITEM-1","issued":{"date-parts":[["2021"]]},"page":"997-1002","title":"Ethylene Electrosynthesis : A Comparative Techno-economic Analysis of Alkaline vs Membrane Electrode Assembly vs CO2−CO− C2H4 Tandems","type":"article-journal","volume":"6"},"uris":["http://www.mendeley.com/documents/?uuid=164a9c0e-d612-45d4-93bc-fa83fe27ac96"]}],"mendeley":{"formattedCitation":"&lt;sup&gt;36&lt;/sup&gt;","plainTextFormattedCitation":"36","previouslyFormattedCitation":"&lt;sup&gt;26&lt;/sup&gt;"},"properties":{"noteIndex":0},"schema":"https://github.com/citation-style-language/schema/raw/master/csl-citation.json"}</w:instrText>
      </w:r>
      <w:r w:rsidRPr="004B5288">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vertAlign w:val="superscript"/>
        </w:rPr>
        <w:t>36</w:t>
      </w:r>
      <w:r w:rsidRPr="004B5288">
        <w:rPr>
          <w:rFonts w:ascii="Times New Roman" w:hAnsi="Times New Roman" w:cs="Times New Roman"/>
          <w:sz w:val="24"/>
          <w:szCs w:val="24"/>
        </w:rPr>
        <w:fldChar w:fldCharType="end"/>
      </w:r>
      <w:r w:rsidRPr="004B5288">
        <w:rPr>
          <w:rFonts w:ascii="Times New Roman" w:hAnsi="Times New Roman" w:cs="Times New Roman"/>
          <w:sz w:val="24"/>
          <w:szCs w:val="24"/>
        </w:rPr>
        <w:t xml:space="preserve">. The alkaline electrolyzers </w:t>
      </w:r>
      <w:r>
        <w:rPr>
          <w:rFonts w:ascii="Times New Roman" w:hAnsi="Times New Roman" w:cs="Times New Roman"/>
          <w:sz w:val="24"/>
          <w:szCs w:val="24"/>
        </w:rPr>
        <w:t>thus do not allow for</w:t>
      </w:r>
      <w:r w:rsidRPr="004B5288">
        <w:rPr>
          <w:rFonts w:ascii="Times New Roman" w:hAnsi="Times New Roman" w:cs="Times New Roman"/>
          <w:sz w:val="24"/>
          <w:szCs w:val="24"/>
        </w:rPr>
        <w:t xml:space="preserve"> ethylene electrochemical production </w:t>
      </w:r>
      <w:r>
        <w:rPr>
          <w:rFonts w:ascii="Times New Roman" w:hAnsi="Times New Roman" w:cs="Times New Roman"/>
          <w:sz w:val="24"/>
          <w:szCs w:val="24"/>
        </w:rPr>
        <w:t xml:space="preserve">to be yet </w:t>
      </w:r>
      <w:r w:rsidRPr="004B5288">
        <w:rPr>
          <w:rFonts w:ascii="Times New Roman" w:hAnsi="Times New Roman" w:cs="Times New Roman"/>
          <w:sz w:val="24"/>
          <w:szCs w:val="24"/>
        </w:rPr>
        <w:t>profitable.</w:t>
      </w:r>
    </w:p>
    <w:p w14:paraId="1E46F17A" w14:textId="217FC3F8" w:rsidR="00E461DD" w:rsidRPr="00E85E3D" w:rsidRDefault="002532C1" w:rsidP="00E461DD">
      <w:pPr>
        <w:jc w:val="both"/>
        <w:rPr>
          <w:rFonts w:ascii="Times New Roman" w:hAnsi="Times New Roman" w:cs="Times New Roman"/>
          <w:b/>
          <w:bCs/>
          <w:sz w:val="20"/>
          <w:szCs w:val="20"/>
        </w:rPr>
      </w:pPr>
      <w:r w:rsidRPr="002532C1">
        <w:rPr>
          <w:rFonts w:ascii="Times New Roman" w:hAnsi="Times New Roman" w:cs="Times New Roman"/>
          <w:b/>
          <w:bCs/>
          <w:sz w:val="20"/>
          <w:szCs w:val="20"/>
        </w:rPr>
        <w:t xml:space="preserve">Supplementary </w:t>
      </w:r>
      <w:r w:rsidR="009B2429" w:rsidRPr="009D52EB">
        <w:rPr>
          <w:rFonts w:ascii="Times New Roman" w:hAnsi="Times New Roman" w:cs="Times New Roman"/>
          <w:b/>
          <w:bCs/>
          <w:sz w:val="20"/>
          <w:szCs w:val="20"/>
        </w:rPr>
        <w:t xml:space="preserve">Table </w:t>
      </w:r>
      <w:r w:rsidR="005D5F31">
        <w:rPr>
          <w:rFonts w:ascii="Times New Roman" w:hAnsi="Times New Roman" w:cs="Times New Roman"/>
          <w:b/>
          <w:bCs/>
          <w:sz w:val="20"/>
          <w:szCs w:val="20"/>
        </w:rPr>
        <w:t>2</w:t>
      </w:r>
      <w:r w:rsidR="009B2429" w:rsidRPr="009D52EB">
        <w:rPr>
          <w:rFonts w:ascii="Times New Roman" w:hAnsi="Times New Roman" w:cs="Times New Roman"/>
          <w:sz w:val="20"/>
          <w:szCs w:val="20"/>
        </w:rPr>
        <w:t xml:space="preserve"> Comparison of the energy intensity between various CO</w:t>
      </w:r>
      <w:r w:rsidR="009B2429" w:rsidRPr="009D52EB">
        <w:rPr>
          <w:rFonts w:ascii="Times New Roman" w:hAnsi="Times New Roman" w:cs="Times New Roman"/>
          <w:sz w:val="20"/>
          <w:szCs w:val="20"/>
          <w:vertAlign w:val="subscript"/>
        </w:rPr>
        <w:t>2</w:t>
      </w:r>
      <w:r w:rsidR="009B2429" w:rsidRPr="009D52EB">
        <w:rPr>
          <w:rFonts w:ascii="Times New Roman" w:hAnsi="Times New Roman" w:cs="Times New Roman"/>
          <w:sz w:val="20"/>
          <w:szCs w:val="20"/>
        </w:rPr>
        <w:t>-to-ethylene electrolyzers and this work. All the energy costs are normalized per ton ethylene produced.</w:t>
      </w:r>
      <w:r w:rsidR="00E461DD" w:rsidRPr="009D52EB">
        <w:rPr>
          <w:rFonts w:ascii="Times New Roman" w:hAnsi="Times New Roman" w:cs="Times New Roman"/>
          <w:sz w:val="20"/>
          <w:szCs w:val="20"/>
          <w:vertAlign w:val="superscript"/>
        </w:rPr>
        <w:t xml:space="preserve"> </w:t>
      </w:r>
      <w:r w:rsidR="00E461DD" w:rsidRPr="009D52EB">
        <w:rPr>
          <w:rFonts w:ascii="Times New Roman" w:hAnsi="Times New Roman" w:cs="Times New Roman"/>
          <w:sz w:val="20"/>
          <w:szCs w:val="20"/>
        </w:rPr>
        <w:t>The flow rate of 2.34 sccm cm</w:t>
      </w:r>
      <w:r w:rsidR="00E461DD" w:rsidRPr="009D52EB">
        <w:rPr>
          <w:rFonts w:ascii="Times New Roman" w:hAnsi="Times New Roman" w:cs="Times New Roman"/>
          <w:sz w:val="20"/>
          <w:szCs w:val="20"/>
          <w:vertAlign w:val="superscript"/>
        </w:rPr>
        <w:t>-2</w:t>
      </w:r>
      <w:r w:rsidR="00E461DD" w:rsidRPr="009D52EB">
        <w:rPr>
          <w:rFonts w:ascii="Times New Roman" w:hAnsi="Times New Roman" w:cs="Times New Roman"/>
          <w:sz w:val="20"/>
          <w:szCs w:val="20"/>
        </w:rPr>
        <w:t xml:space="preserve"> is not shown here because it results in an SPU of 18% and an ethylene FE of 37%, which requires more GJ to produce one-ton ethylene than the flow rate of 1.17 sccm cm</w:t>
      </w:r>
      <w:r w:rsidR="00E461DD" w:rsidRPr="009D52EB">
        <w:rPr>
          <w:rFonts w:ascii="Times New Roman" w:hAnsi="Times New Roman" w:cs="Times New Roman"/>
          <w:sz w:val="20"/>
          <w:szCs w:val="20"/>
          <w:vertAlign w:val="superscript"/>
        </w:rPr>
        <w:t>-2</w:t>
      </w:r>
      <w:r w:rsidR="00E461DD" w:rsidRPr="009D52EB">
        <w:rPr>
          <w:rFonts w:ascii="Times New Roman" w:hAnsi="Times New Roman" w:cs="Times New Roman"/>
          <w:sz w:val="20"/>
          <w:szCs w:val="20"/>
        </w:rPr>
        <w:t xml:space="preserve">. </w:t>
      </w:r>
      <w:r w:rsidR="002948A7" w:rsidRPr="009D52EB">
        <w:rPr>
          <w:rFonts w:ascii="Times New Roman" w:hAnsi="Times New Roman" w:cs="Times New Roman"/>
          <w:sz w:val="20"/>
          <w:szCs w:val="20"/>
        </w:rPr>
        <w:t>A flow-cell working in strong alkaline (7</w:t>
      </w:r>
      <w:r w:rsidR="00E84EFB">
        <w:rPr>
          <w:rFonts w:ascii="Times New Roman" w:hAnsi="Times New Roman" w:cs="Times New Roman"/>
          <w:sz w:val="20"/>
          <w:szCs w:val="20"/>
        </w:rPr>
        <w:t xml:space="preserve"> </w:t>
      </w:r>
      <w:r w:rsidR="002948A7" w:rsidRPr="009D52EB">
        <w:rPr>
          <w:rFonts w:ascii="Times New Roman" w:hAnsi="Times New Roman" w:cs="Times New Roman"/>
          <w:sz w:val="20"/>
          <w:szCs w:val="20"/>
        </w:rPr>
        <w:t>M KOH)</w:t>
      </w:r>
      <w:r w:rsidR="00A4361E" w:rsidRPr="00E85E3D">
        <w:rPr>
          <w:rFonts w:ascii="Times New Roman" w:hAnsi="Times New Roman" w:cs="Times New Roman"/>
          <w:sz w:val="20"/>
          <w:szCs w:val="20"/>
        </w:rPr>
        <w:fldChar w:fldCharType="begin" w:fldLock="1"/>
      </w:r>
      <w:r w:rsidR="002B6039">
        <w:rPr>
          <w:rFonts w:ascii="Times New Roman" w:hAnsi="Times New Roman" w:cs="Times New Roman"/>
          <w:sz w:val="20"/>
          <w:szCs w:val="20"/>
        </w:rPr>
        <w:instrText>ADDIN CSL_CITATION {"citationItems":[{"id":"ITEM-1","itemData":{"DOI":"10.1126/science.aas9100","ISSN":"10959203","abstract":"Carbon dioxide (CO2) electroreduction could provide a useful source of ethylene, but low conversion efficiency, low production rates, and low catalyst stability limit current systems. Here we report that a copper electrocatalyst at an abrupt reaction interface in an alkaline electrolyte reduces CO2 to ethylene with 70% faradaic efficiency at a potential of -0.55 volts versus a reversible hydrogen electrode (RHE). Hydroxide ions on or near the copper surface lower the CO2 reduction and carbon monoxide (CO)-CO coupling activation energy barriers; as a result, onset of ethylene evolution at -0.165 volts versus an RHE in 10 molar potassium hydroxide occurs almost simultaneously with CO production. Operational stability was enhanced via the introduction of a polymer-based gas diffusion layer that sandwiches the reaction interface between separate hydrophobic and conductive supports, providing constant ethylene selectivity for an initial 150 operating hours.","author":[{"dropping-particle":"","family":"Dinh","given":"Cao Thang","non-dropping-particle":"","parse-names":false,"suffix":""},{"dropping-particle":"","family":"Burdyny","given":"Thomas","non-dropping-particle":"","parse-names":false,"suffix":""},{"dropping-particle":"","family":"Kibria","given":"Golam","non-dropping-particle":"","parse-names":false,"suffix":""},{"dropping-particle":"","family":"Seifitokaldani","given":"Ali","non-dropping-particle":"","parse-names":false,"suffix":""},{"dropping-particle":"","family":"Gabardo","given":"Christine M.","non-dropping-particle":"","parse-names":false,"suffix":""},{"dropping-particle":"","family":"Pelayo García De Arquer","given":"F.","non-dropping-particle":"","parse-names":false,"suffix":""},{"dropping-particle":"","family":"Kiani","given":"Amirreza","non-dropping-particle":"","parse-names":false,"suffix":""},{"dropping-particle":"","family":"Edwards","given":"Jonathan P.","non-dropping-particle":"","parse-names":false,"suffix":""},{"dropping-particle":"","family":"Luna","given":"Phil","non-dropping-particle":"De","parse-names":false,"suffix":""},{"dropping-particle":"","family":"Bushuyev","given":"Oleksandr S.","non-dropping-particle":"","parse-names":false,"suffix":""},{"dropping-particle":"","family":"Zou","given":"Chengqin","non-dropping-particle":"","parse-names":false,"suffix":""},{"dropping-particle":"","family":"Quintero-Bermudez","given":"Rafael","non-dropping-particle":"","parse-names":false,"suffix":""},{"dropping-particle":"","family":"Pang","given":"Yuanjie","non-dropping-particle":"","parse-names":false,"suffix":""},{"dropping-particle":"","family":"Sinton","given":"David","non-dropping-particle":"","parse-names":false,"suffix":""},{"dropping-particle":"","family":"Sargent","given":"Edward H.","non-dropping-particle":"","parse-names":false,"suffix":""}],"container-title":"Science","id":"ITEM-1","issue":"6390","issued":{"date-parts":[["2018"]]},"page":"783-787","title":"CO2 electroreduction to ethylene via hydroxide-mediated copper catalysis at an abrupt interface","type":"article-journal","volume":"360"},"uris":["http://www.mendeley.com/documents/?uuid=b9968fbd-c2bf-4af0-b0ff-3bfae4368944"]}],"mendeley":{"formattedCitation":"&lt;sup&gt;7&lt;/sup&gt;","plainTextFormattedCitation":"7","previouslyFormattedCitation":"&lt;sup&gt;7&lt;/sup&gt;"},"properties":{"noteIndex":0},"schema":"https://github.com/citation-style-language/schema/raw/master/csl-citation.json"}</w:instrText>
      </w:r>
      <w:r w:rsidR="00A4361E" w:rsidRPr="00E85E3D">
        <w:rPr>
          <w:rFonts w:ascii="Times New Roman" w:hAnsi="Times New Roman" w:cs="Times New Roman"/>
          <w:sz w:val="20"/>
          <w:szCs w:val="20"/>
        </w:rPr>
        <w:fldChar w:fldCharType="separate"/>
      </w:r>
      <w:r w:rsidR="007F7E70" w:rsidRPr="007F7E70">
        <w:rPr>
          <w:rFonts w:ascii="Times New Roman" w:hAnsi="Times New Roman" w:cs="Times New Roman"/>
          <w:noProof/>
          <w:sz w:val="20"/>
          <w:szCs w:val="20"/>
          <w:vertAlign w:val="superscript"/>
        </w:rPr>
        <w:t>7</w:t>
      </w:r>
      <w:r w:rsidR="00A4361E" w:rsidRPr="00E85E3D">
        <w:rPr>
          <w:rFonts w:ascii="Times New Roman" w:hAnsi="Times New Roman" w:cs="Times New Roman"/>
          <w:sz w:val="20"/>
          <w:szCs w:val="20"/>
        </w:rPr>
        <w:fldChar w:fldCharType="end"/>
      </w:r>
      <w:r w:rsidR="002948A7" w:rsidRPr="009D52EB">
        <w:rPr>
          <w:rFonts w:ascii="Times New Roman" w:hAnsi="Times New Roman" w:cs="Times New Roman"/>
          <w:sz w:val="20"/>
          <w:szCs w:val="20"/>
        </w:rPr>
        <w:t xml:space="preserve"> is presented for comparison.</w:t>
      </w:r>
      <w:r w:rsidR="002948A7" w:rsidRPr="00805810">
        <w:rPr>
          <w:rFonts w:ascii="Times New Roman" w:hAnsi="Times New Roman" w:cs="Times New Roman"/>
          <w:b/>
          <w:bCs/>
          <w:sz w:val="20"/>
          <w:szCs w:val="20"/>
        </w:rPr>
        <w:t xml:space="preserve"> </w:t>
      </w:r>
    </w:p>
    <w:tbl>
      <w:tblPr>
        <w:tblStyle w:val="TableGrid"/>
        <w:tblW w:w="642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9"/>
        <w:gridCol w:w="1086"/>
        <w:gridCol w:w="1318"/>
        <w:gridCol w:w="1319"/>
        <w:gridCol w:w="1319"/>
        <w:gridCol w:w="61"/>
      </w:tblGrid>
      <w:tr w:rsidR="009D52EB" w:rsidRPr="009D52EB" w14:paraId="2DCCB3BA" w14:textId="0CF3DE1D" w:rsidTr="009D52EB">
        <w:trPr>
          <w:gridAfter w:val="1"/>
          <w:wAfter w:w="61" w:type="dxa"/>
          <w:trHeight w:hRule="exact" w:val="764"/>
          <w:jc w:val="center"/>
        </w:trPr>
        <w:tc>
          <w:tcPr>
            <w:tcW w:w="2405" w:type="dxa"/>
            <w:gridSpan w:val="2"/>
            <w:tcBorders>
              <w:top w:val="single" w:sz="4" w:space="0" w:color="auto"/>
              <w:bottom w:val="single" w:sz="8" w:space="0" w:color="auto"/>
            </w:tcBorders>
            <w:vAlign w:val="center"/>
          </w:tcPr>
          <w:p w14:paraId="4D2DCDC1" w14:textId="77777777" w:rsidR="00E44270" w:rsidRPr="00E85E3D" w:rsidRDefault="00E44270" w:rsidP="00FA61A6">
            <w:pPr>
              <w:jc w:val="center"/>
              <w:rPr>
                <w:rFonts w:ascii="Times New Roman" w:hAnsi="Times New Roman" w:cs="Times New Roman"/>
                <w:b/>
                <w:bCs/>
                <w:sz w:val="20"/>
                <w:szCs w:val="20"/>
              </w:rPr>
            </w:pPr>
            <w:r w:rsidRPr="00E85E3D">
              <w:rPr>
                <w:rFonts w:ascii="Times New Roman" w:hAnsi="Times New Roman" w:cs="Times New Roman"/>
                <w:b/>
                <w:bCs/>
                <w:sz w:val="20"/>
                <w:szCs w:val="20"/>
              </w:rPr>
              <w:t>Metrics</w:t>
            </w:r>
          </w:p>
        </w:tc>
        <w:tc>
          <w:tcPr>
            <w:tcW w:w="1318" w:type="dxa"/>
            <w:tcBorders>
              <w:top w:val="single" w:sz="4" w:space="0" w:color="auto"/>
              <w:bottom w:val="single" w:sz="8" w:space="0" w:color="auto"/>
            </w:tcBorders>
            <w:vAlign w:val="center"/>
          </w:tcPr>
          <w:p w14:paraId="0F2304B8" w14:textId="77777777" w:rsidR="00E44270" w:rsidRPr="009D52EB" w:rsidRDefault="00E44270" w:rsidP="00FA61A6">
            <w:pPr>
              <w:jc w:val="center"/>
              <w:rPr>
                <w:rFonts w:ascii="Times New Roman" w:hAnsi="Times New Roman" w:cs="Times New Roman"/>
                <w:b/>
                <w:bCs/>
                <w:sz w:val="20"/>
                <w:szCs w:val="20"/>
              </w:rPr>
            </w:pPr>
            <w:r w:rsidRPr="009D52EB">
              <w:rPr>
                <w:rFonts w:ascii="Times New Roman" w:hAnsi="Times New Roman" w:cs="Times New Roman"/>
                <w:b/>
                <w:bCs/>
                <w:sz w:val="20"/>
                <w:szCs w:val="20"/>
              </w:rPr>
              <w:t>This work (0.58 sccm cm</w:t>
            </w:r>
            <w:r w:rsidRPr="009D52EB">
              <w:rPr>
                <w:rFonts w:ascii="Times New Roman" w:hAnsi="Times New Roman" w:cs="Times New Roman"/>
                <w:b/>
                <w:bCs/>
                <w:sz w:val="20"/>
                <w:szCs w:val="20"/>
                <w:vertAlign w:val="superscript"/>
              </w:rPr>
              <w:t>-2</w:t>
            </w:r>
            <w:r w:rsidRPr="009D52EB">
              <w:rPr>
                <w:rFonts w:ascii="Times New Roman" w:hAnsi="Times New Roman" w:cs="Times New Roman"/>
                <w:b/>
                <w:bCs/>
                <w:sz w:val="20"/>
                <w:szCs w:val="20"/>
              </w:rPr>
              <w:t>)</w:t>
            </w:r>
          </w:p>
        </w:tc>
        <w:tc>
          <w:tcPr>
            <w:tcW w:w="1319" w:type="dxa"/>
            <w:tcBorders>
              <w:top w:val="single" w:sz="4" w:space="0" w:color="auto"/>
              <w:bottom w:val="single" w:sz="8" w:space="0" w:color="auto"/>
            </w:tcBorders>
            <w:vAlign w:val="center"/>
          </w:tcPr>
          <w:p w14:paraId="4D78C93B" w14:textId="77777777" w:rsidR="00E44270" w:rsidRPr="009D52EB" w:rsidRDefault="00E44270" w:rsidP="00FA61A6">
            <w:pPr>
              <w:jc w:val="center"/>
              <w:rPr>
                <w:rFonts w:ascii="Times New Roman" w:hAnsi="Times New Roman" w:cs="Times New Roman"/>
                <w:b/>
                <w:bCs/>
                <w:sz w:val="20"/>
                <w:szCs w:val="20"/>
              </w:rPr>
            </w:pPr>
            <w:r w:rsidRPr="009D52EB">
              <w:rPr>
                <w:rFonts w:ascii="Times New Roman" w:hAnsi="Times New Roman" w:cs="Times New Roman"/>
                <w:b/>
                <w:bCs/>
                <w:sz w:val="20"/>
                <w:szCs w:val="20"/>
              </w:rPr>
              <w:t>This work (0.36 sccm cm</w:t>
            </w:r>
            <w:r w:rsidRPr="009D52EB">
              <w:rPr>
                <w:rFonts w:ascii="Times New Roman" w:hAnsi="Times New Roman" w:cs="Times New Roman"/>
                <w:b/>
                <w:bCs/>
                <w:sz w:val="20"/>
                <w:szCs w:val="20"/>
                <w:vertAlign w:val="superscript"/>
              </w:rPr>
              <w:t>-2</w:t>
            </w:r>
            <w:r w:rsidRPr="009D52EB">
              <w:rPr>
                <w:rFonts w:ascii="Times New Roman" w:hAnsi="Times New Roman" w:cs="Times New Roman"/>
                <w:b/>
                <w:bCs/>
                <w:sz w:val="20"/>
                <w:szCs w:val="20"/>
              </w:rPr>
              <w:t>)</w:t>
            </w:r>
          </w:p>
        </w:tc>
        <w:tc>
          <w:tcPr>
            <w:tcW w:w="1319" w:type="dxa"/>
            <w:tcBorders>
              <w:top w:val="single" w:sz="4" w:space="0" w:color="auto"/>
              <w:bottom w:val="single" w:sz="8" w:space="0" w:color="auto"/>
            </w:tcBorders>
          </w:tcPr>
          <w:p w14:paraId="029CABDF" w14:textId="3E0D135E" w:rsidR="00E44270" w:rsidRPr="009D52EB" w:rsidRDefault="00E44270" w:rsidP="00FA61A6">
            <w:pPr>
              <w:jc w:val="center"/>
              <w:rPr>
                <w:rFonts w:ascii="Times New Roman" w:hAnsi="Times New Roman" w:cs="Times New Roman"/>
                <w:b/>
                <w:bCs/>
                <w:sz w:val="20"/>
                <w:szCs w:val="20"/>
              </w:rPr>
            </w:pPr>
            <w:r w:rsidRPr="009D52EB">
              <w:rPr>
                <w:rFonts w:ascii="Times New Roman" w:hAnsi="Times New Roman" w:cs="Times New Roman"/>
                <w:b/>
                <w:bCs/>
                <w:sz w:val="20"/>
                <w:szCs w:val="20"/>
              </w:rPr>
              <w:t xml:space="preserve">Science 2018, </w:t>
            </w:r>
            <w:r w:rsidR="005F3A13" w:rsidRPr="009D52EB">
              <w:rPr>
                <w:rFonts w:ascii="Times New Roman" w:hAnsi="Times New Roman" w:cs="Times New Roman"/>
                <w:b/>
                <w:bCs/>
                <w:sz w:val="20"/>
                <w:szCs w:val="20"/>
              </w:rPr>
              <w:t>783</w:t>
            </w:r>
          </w:p>
        </w:tc>
      </w:tr>
      <w:tr w:rsidR="009D52EB" w:rsidRPr="009D52EB" w14:paraId="739DBCB0" w14:textId="4F7A395E" w:rsidTr="009D52EB">
        <w:trPr>
          <w:gridAfter w:val="1"/>
          <w:wAfter w:w="61" w:type="dxa"/>
          <w:trHeight w:hRule="exact" w:val="282"/>
          <w:jc w:val="center"/>
        </w:trPr>
        <w:tc>
          <w:tcPr>
            <w:tcW w:w="2405" w:type="dxa"/>
            <w:gridSpan w:val="2"/>
            <w:vAlign w:val="center"/>
          </w:tcPr>
          <w:p w14:paraId="2117B180"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Cell type</w:t>
            </w:r>
          </w:p>
        </w:tc>
        <w:tc>
          <w:tcPr>
            <w:tcW w:w="1318" w:type="dxa"/>
            <w:vAlign w:val="center"/>
          </w:tcPr>
          <w:p w14:paraId="28E5C3C4" w14:textId="44C18EFD" w:rsidR="00E44270" w:rsidRPr="009D52EB" w:rsidRDefault="004A7ADC" w:rsidP="00FA61A6">
            <w:pPr>
              <w:jc w:val="center"/>
              <w:rPr>
                <w:rFonts w:ascii="Times New Roman" w:hAnsi="Times New Roman" w:cs="Times New Roman"/>
                <w:sz w:val="20"/>
                <w:szCs w:val="20"/>
              </w:rPr>
            </w:pPr>
            <w:r>
              <w:rPr>
                <w:rFonts w:ascii="Times New Roman" w:hAnsi="Times New Roman" w:cs="Times New Roman"/>
                <w:sz w:val="20"/>
                <w:szCs w:val="20"/>
              </w:rPr>
              <w:t>SC-BPMEA</w:t>
            </w:r>
          </w:p>
        </w:tc>
        <w:tc>
          <w:tcPr>
            <w:tcW w:w="1319" w:type="dxa"/>
            <w:vAlign w:val="center"/>
          </w:tcPr>
          <w:p w14:paraId="1193F153" w14:textId="50975EEB" w:rsidR="00E44270" w:rsidRPr="009D52EB" w:rsidRDefault="004A7ADC" w:rsidP="00FA61A6">
            <w:pPr>
              <w:jc w:val="center"/>
              <w:rPr>
                <w:rFonts w:ascii="Times New Roman" w:hAnsi="Times New Roman" w:cs="Times New Roman"/>
                <w:sz w:val="20"/>
                <w:szCs w:val="20"/>
              </w:rPr>
            </w:pPr>
            <w:r>
              <w:rPr>
                <w:rFonts w:ascii="Times New Roman" w:hAnsi="Times New Roman" w:cs="Times New Roman"/>
                <w:sz w:val="20"/>
                <w:szCs w:val="20"/>
              </w:rPr>
              <w:t>SC-BPMEA</w:t>
            </w:r>
          </w:p>
        </w:tc>
        <w:tc>
          <w:tcPr>
            <w:tcW w:w="1319" w:type="dxa"/>
          </w:tcPr>
          <w:p w14:paraId="1EF79D33" w14:textId="1F282057" w:rsidR="00E44270" w:rsidRPr="009D52EB" w:rsidRDefault="00287A5D" w:rsidP="00FA61A6">
            <w:pPr>
              <w:jc w:val="center"/>
              <w:rPr>
                <w:rFonts w:ascii="Times New Roman" w:hAnsi="Times New Roman" w:cs="Times New Roman"/>
                <w:sz w:val="20"/>
                <w:szCs w:val="20"/>
              </w:rPr>
            </w:pPr>
            <w:r w:rsidRPr="009D52EB">
              <w:rPr>
                <w:rFonts w:ascii="Times New Roman" w:hAnsi="Times New Roman" w:cs="Times New Roman"/>
                <w:sz w:val="20"/>
                <w:szCs w:val="20"/>
              </w:rPr>
              <w:t>Flow-cell</w:t>
            </w:r>
          </w:p>
        </w:tc>
      </w:tr>
      <w:tr w:rsidR="009D52EB" w:rsidRPr="009D52EB" w14:paraId="0A944820" w14:textId="1C56740A" w:rsidTr="009D52EB">
        <w:trPr>
          <w:gridAfter w:val="1"/>
          <w:wAfter w:w="61" w:type="dxa"/>
          <w:trHeight w:hRule="exact" w:val="271"/>
          <w:jc w:val="center"/>
        </w:trPr>
        <w:tc>
          <w:tcPr>
            <w:tcW w:w="2405" w:type="dxa"/>
            <w:gridSpan w:val="2"/>
            <w:vAlign w:val="center"/>
          </w:tcPr>
          <w:p w14:paraId="055CAD58"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Electrolyte</w:t>
            </w:r>
          </w:p>
        </w:tc>
        <w:tc>
          <w:tcPr>
            <w:tcW w:w="1318" w:type="dxa"/>
            <w:vAlign w:val="center"/>
          </w:tcPr>
          <w:p w14:paraId="0469C709"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Neutral</w:t>
            </w:r>
          </w:p>
        </w:tc>
        <w:tc>
          <w:tcPr>
            <w:tcW w:w="1319" w:type="dxa"/>
            <w:vAlign w:val="center"/>
          </w:tcPr>
          <w:p w14:paraId="6905477C"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Neutral</w:t>
            </w:r>
          </w:p>
        </w:tc>
        <w:tc>
          <w:tcPr>
            <w:tcW w:w="1319" w:type="dxa"/>
          </w:tcPr>
          <w:p w14:paraId="3BAE5430" w14:textId="4727C3A8" w:rsidR="00E44270" w:rsidRPr="009D52EB" w:rsidRDefault="00287A5D" w:rsidP="00FA61A6">
            <w:pPr>
              <w:jc w:val="center"/>
              <w:rPr>
                <w:rFonts w:ascii="Times New Roman" w:hAnsi="Times New Roman" w:cs="Times New Roman"/>
                <w:sz w:val="20"/>
                <w:szCs w:val="20"/>
              </w:rPr>
            </w:pPr>
            <w:r w:rsidRPr="009D52EB">
              <w:rPr>
                <w:rFonts w:ascii="Times New Roman" w:hAnsi="Times New Roman" w:cs="Times New Roman"/>
                <w:sz w:val="20"/>
                <w:szCs w:val="20"/>
              </w:rPr>
              <w:t>7</w:t>
            </w:r>
            <w:r w:rsidR="00E84EFB">
              <w:rPr>
                <w:rFonts w:ascii="Times New Roman" w:hAnsi="Times New Roman" w:cs="Times New Roman"/>
                <w:sz w:val="20"/>
                <w:szCs w:val="20"/>
              </w:rPr>
              <w:t xml:space="preserve"> </w:t>
            </w:r>
            <w:r w:rsidRPr="009D52EB">
              <w:rPr>
                <w:rFonts w:ascii="Times New Roman" w:hAnsi="Times New Roman" w:cs="Times New Roman"/>
                <w:sz w:val="20"/>
                <w:szCs w:val="20"/>
              </w:rPr>
              <w:t>M KOH</w:t>
            </w:r>
          </w:p>
        </w:tc>
      </w:tr>
      <w:tr w:rsidR="009D52EB" w:rsidRPr="009D52EB" w14:paraId="6517C2F1" w14:textId="29E083E4" w:rsidTr="009D52EB">
        <w:trPr>
          <w:gridAfter w:val="1"/>
          <w:wAfter w:w="61" w:type="dxa"/>
          <w:trHeight w:hRule="exact" w:val="259"/>
          <w:jc w:val="center"/>
        </w:trPr>
        <w:tc>
          <w:tcPr>
            <w:tcW w:w="2405" w:type="dxa"/>
            <w:gridSpan w:val="2"/>
            <w:vAlign w:val="center"/>
          </w:tcPr>
          <w:p w14:paraId="759FB290"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Full cell voltage (V)</w:t>
            </w:r>
          </w:p>
        </w:tc>
        <w:tc>
          <w:tcPr>
            <w:tcW w:w="1318" w:type="dxa"/>
            <w:vAlign w:val="center"/>
          </w:tcPr>
          <w:p w14:paraId="7EB928C8"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3.82</w:t>
            </w:r>
          </w:p>
        </w:tc>
        <w:tc>
          <w:tcPr>
            <w:tcW w:w="1319" w:type="dxa"/>
            <w:vAlign w:val="center"/>
          </w:tcPr>
          <w:p w14:paraId="205E84C2"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3.82</w:t>
            </w:r>
          </w:p>
        </w:tc>
        <w:tc>
          <w:tcPr>
            <w:tcW w:w="1319" w:type="dxa"/>
          </w:tcPr>
          <w:p w14:paraId="25307C20" w14:textId="5463A5AD" w:rsidR="00E44270" w:rsidRPr="009D52EB" w:rsidRDefault="00287A5D" w:rsidP="00FA61A6">
            <w:pPr>
              <w:jc w:val="center"/>
              <w:rPr>
                <w:rFonts w:ascii="Times New Roman" w:hAnsi="Times New Roman" w:cs="Times New Roman"/>
                <w:sz w:val="20"/>
                <w:szCs w:val="20"/>
              </w:rPr>
            </w:pPr>
            <w:r w:rsidRPr="009D52EB">
              <w:rPr>
                <w:rFonts w:ascii="Times New Roman" w:hAnsi="Times New Roman" w:cs="Times New Roman"/>
                <w:sz w:val="20"/>
                <w:szCs w:val="20"/>
              </w:rPr>
              <w:t>2.4</w:t>
            </w:r>
          </w:p>
        </w:tc>
      </w:tr>
      <w:tr w:rsidR="009D52EB" w:rsidRPr="009D52EB" w14:paraId="38A0D9DE" w14:textId="5016973D" w:rsidTr="009D52EB">
        <w:trPr>
          <w:gridAfter w:val="1"/>
          <w:wAfter w:w="61" w:type="dxa"/>
          <w:trHeight w:hRule="exact" w:val="312"/>
          <w:jc w:val="center"/>
        </w:trPr>
        <w:tc>
          <w:tcPr>
            <w:tcW w:w="2405" w:type="dxa"/>
            <w:gridSpan w:val="2"/>
            <w:vAlign w:val="center"/>
          </w:tcPr>
          <w:p w14:paraId="5B9E87CB"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Ethylene FE (%)</w:t>
            </w:r>
          </w:p>
        </w:tc>
        <w:tc>
          <w:tcPr>
            <w:tcW w:w="1318" w:type="dxa"/>
            <w:vAlign w:val="center"/>
          </w:tcPr>
          <w:p w14:paraId="349DC932"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36</w:t>
            </w:r>
          </w:p>
        </w:tc>
        <w:tc>
          <w:tcPr>
            <w:tcW w:w="1319" w:type="dxa"/>
            <w:vAlign w:val="center"/>
          </w:tcPr>
          <w:p w14:paraId="243C4E9E"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22</w:t>
            </w:r>
          </w:p>
        </w:tc>
        <w:tc>
          <w:tcPr>
            <w:tcW w:w="1319" w:type="dxa"/>
          </w:tcPr>
          <w:p w14:paraId="0DB4E12B" w14:textId="5FBF7BC5" w:rsidR="00E44270" w:rsidRPr="009D52EB" w:rsidRDefault="00287A5D" w:rsidP="00FA61A6">
            <w:pPr>
              <w:jc w:val="center"/>
              <w:rPr>
                <w:rFonts w:ascii="Times New Roman" w:hAnsi="Times New Roman" w:cs="Times New Roman"/>
                <w:sz w:val="20"/>
                <w:szCs w:val="20"/>
              </w:rPr>
            </w:pPr>
            <w:r w:rsidRPr="009D52EB">
              <w:rPr>
                <w:rFonts w:ascii="Times New Roman" w:hAnsi="Times New Roman" w:cs="Times New Roman"/>
                <w:sz w:val="20"/>
                <w:szCs w:val="20"/>
              </w:rPr>
              <w:t>70</w:t>
            </w:r>
          </w:p>
        </w:tc>
      </w:tr>
      <w:tr w:rsidR="009D52EB" w:rsidRPr="009D52EB" w14:paraId="5728E4F9" w14:textId="6F2EF893" w:rsidTr="009D52EB">
        <w:trPr>
          <w:gridAfter w:val="1"/>
          <w:wAfter w:w="61" w:type="dxa"/>
          <w:trHeight w:hRule="exact" w:val="284"/>
          <w:jc w:val="center"/>
        </w:trPr>
        <w:tc>
          <w:tcPr>
            <w:tcW w:w="2405" w:type="dxa"/>
            <w:gridSpan w:val="2"/>
            <w:vAlign w:val="center"/>
          </w:tcPr>
          <w:p w14:paraId="0DD2E4A8"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Current density (mA cm</w:t>
            </w:r>
            <w:r w:rsidRPr="009D52EB">
              <w:rPr>
                <w:rFonts w:ascii="Times New Roman" w:hAnsi="Times New Roman" w:cs="Times New Roman"/>
                <w:sz w:val="20"/>
                <w:szCs w:val="20"/>
                <w:vertAlign w:val="superscript"/>
              </w:rPr>
              <w:t>-2</w:t>
            </w:r>
            <w:r w:rsidRPr="009D52EB">
              <w:rPr>
                <w:rFonts w:ascii="Times New Roman" w:hAnsi="Times New Roman" w:cs="Times New Roman"/>
                <w:sz w:val="20"/>
                <w:szCs w:val="20"/>
              </w:rPr>
              <w:t>)</w:t>
            </w:r>
          </w:p>
        </w:tc>
        <w:tc>
          <w:tcPr>
            <w:tcW w:w="1318" w:type="dxa"/>
            <w:vAlign w:val="center"/>
          </w:tcPr>
          <w:p w14:paraId="58731112"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200</w:t>
            </w:r>
          </w:p>
        </w:tc>
        <w:tc>
          <w:tcPr>
            <w:tcW w:w="1319" w:type="dxa"/>
            <w:vAlign w:val="center"/>
          </w:tcPr>
          <w:p w14:paraId="5162D241"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200</w:t>
            </w:r>
          </w:p>
        </w:tc>
        <w:tc>
          <w:tcPr>
            <w:tcW w:w="1319" w:type="dxa"/>
          </w:tcPr>
          <w:p w14:paraId="780303F4" w14:textId="2322F46A" w:rsidR="00E44270" w:rsidRPr="009D52EB" w:rsidRDefault="00370DCC" w:rsidP="00FA61A6">
            <w:pPr>
              <w:jc w:val="center"/>
              <w:rPr>
                <w:rFonts w:ascii="Times New Roman" w:hAnsi="Times New Roman" w:cs="Times New Roman"/>
                <w:sz w:val="20"/>
                <w:szCs w:val="20"/>
              </w:rPr>
            </w:pPr>
            <w:r w:rsidRPr="009D52EB">
              <w:rPr>
                <w:rFonts w:ascii="Times New Roman" w:hAnsi="Times New Roman" w:cs="Times New Roman"/>
                <w:sz w:val="20"/>
                <w:szCs w:val="20"/>
              </w:rPr>
              <w:t>110</w:t>
            </w:r>
          </w:p>
        </w:tc>
      </w:tr>
      <w:tr w:rsidR="009D52EB" w:rsidRPr="009D52EB" w14:paraId="3347D4A9" w14:textId="26BB9EDA" w:rsidTr="009D52EB">
        <w:trPr>
          <w:gridAfter w:val="1"/>
          <w:wAfter w:w="61" w:type="dxa"/>
          <w:trHeight w:hRule="exact" w:val="284"/>
          <w:jc w:val="center"/>
        </w:trPr>
        <w:tc>
          <w:tcPr>
            <w:tcW w:w="2405" w:type="dxa"/>
            <w:gridSpan w:val="2"/>
            <w:vAlign w:val="center"/>
          </w:tcPr>
          <w:p w14:paraId="56E50ABC"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Total CO</w:t>
            </w:r>
            <w:r w:rsidRPr="009D52EB">
              <w:rPr>
                <w:rFonts w:ascii="Times New Roman" w:hAnsi="Times New Roman" w:cs="Times New Roman"/>
                <w:sz w:val="20"/>
                <w:szCs w:val="20"/>
                <w:vertAlign w:val="subscript"/>
              </w:rPr>
              <w:t>2</w:t>
            </w:r>
            <w:r w:rsidRPr="009D52EB">
              <w:rPr>
                <w:rFonts w:ascii="Times New Roman" w:hAnsi="Times New Roman" w:cs="Times New Roman"/>
                <w:sz w:val="20"/>
                <w:szCs w:val="20"/>
              </w:rPr>
              <w:t xml:space="preserve"> SPU (%)</w:t>
            </w:r>
          </w:p>
        </w:tc>
        <w:tc>
          <w:tcPr>
            <w:tcW w:w="1318" w:type="dxa"/>
            <w:vAlign w:val="center"/>
          </w:tcPr>
          <w:p w14:paraId="33BE374F"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62</w:t>
            </w:r>
          </w:p>
        </w:tc>
        <w:tc>
          <w:tcPr>
            <w:tcW w:w="1319" w:type="dxa"/>
            <w:vAlign w:val="center"/>
          </w:tcPr>
          <w:p w14:paraId="235C9EE1"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78</w:t>
            </w:r>
          </w:p>
        </w:tc>
        <w:tc>
          <w:tcPr>
            <w:tcW w:w="1319" w:type="dxa"/>
          </w:tcPr>
          <w:p w14:paraId="06C9EABD" w14:textId="56E6B811" w:rsidR="00E44270" w:rsidRPr="009D52EB" w:rsidRDefault="006113B0" w:rsidP="00FA61A6">
            <w:pPr>
              <w:jc w:val="center"/>
              <w:rPr>
                <w:rFonts w:ascii="Times New Roman" w:hAnsi="Times New Roman" w:cs="Times New Roman"/>
                <w:sz w:val="20"/>
                <w:szCs w:val="20"/>
              </w:rPr>
            </w:pPr>
            <w:r w:rsidRPr="009D52EB">
              <w:rPr>
                <w:rFonts w:ascii="Times New Roman" w:hAnsi="Times New Roman" w:cs="Times New Roman"/>
                <w:sz w:val="20"/>
                <w:szCs w:val="20"/>
              </w:rPr>
              <w:t>1.7</w:t>
            </w:r>
          </w:p>
        </w:tc>
      </w:tr>
      <w:tr w:rsidR="009D52EB" w:rsidRPr="009D52EB" w14:paraId="7383E266" w14:textId="0B3F0A76" w:rsidTr="009D52EB">
        <w:trPr>
          <w:gridAfter w:val="1"/>
          <w:wAfter w:w="61" w:type="dxa"/>
          <w:trHeight w:hRule="exact" w:val="284"/>
          <w:jc w:val="center"/>
        </w:trPr>
        <w:tc>
          <w:tcPr>
            <w:tcW w:w="2405" w:type="dxa"/>
            <w:gridSpan w:val="2"/>
            <w:vAlign w:val="center"/>
          </w:tcPr>
          <w:p w14:paraId="65B636B4"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CO</w:t>
            </w:r>
            <w:r w:rsidRPr="009D52EB">
              <w:rPr>
                <w:rFonts w:ascii="Times New Roman" w:hAnsi="Times New Roman" w:cs="Times New Roman"/>
                <w:sz w:val="20"/>
                <w:szCs w:val="20"/>
                <w:vertAlign w:val="subscript"/>
              </w:rPr>
              <w:t>2</w:t>
            </w:r>
            <w:r w:rsidRPr="009D52EB">
              <w:rPr>
                <w:rFonts w:ascii="Times New Roman" w:hAnsi="Times New Roman" w:cs="Times New Roman"/>
                <w:sz w:val="20"/>
                <w:szCs w:val="20"/>
              </w:rPr>
              <w:t>-to-ethylene (%)</w:t>
            </w:r>
          </w:p>
        </w:tc>
        <w:tc>
          <w:tcPr>
            <w:tcW w:w="1318" w:type="dxa"/>
            <w:vAlign w:val="center"/>
          </w:tcPr>
          <w:p w14:paraId="1FB56262"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31</w:t>
            </w:r>
          </w:p>
        </w:tc>
        <w:tc>
          <w:tcPr>
            <w:tcW w:w="1319" w:type="dxa"/>
            <w:vAlign w:val="center"/>
          </w:tcPr>
          <w:p w14:paraId="0C8C0AB8"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38</w:t>
            </w:r>
          </w:p>
        </w:tc>
        <w:tc>
          <w:tcPr>
            <w:tcW w:w="1319" w:type="dxa"/>
          </w:tcPr>
          <w:p w14:paraId="0C811462" w14:textId="39818FDA" w:rsidR="00E44270" w:rsidRPr="009D52EB" w:rsidRDefault="00EF12CF" w:rsidP="00FA61A6">
            <w:pPr>
              <w:jc w:val="center"/>
              <w:rPr>
                <w:rFonts w:ascii="Times New Roman" w:hAnsi="Times New Roman" w:cs="Times New Roman"/>
                <w:sz w:val="20"/>
                <w:szCs w:val="20"/>
              </w:rPr>
            </w:pPr>
            <w:r w:rsidRPr="009D52EB">
              <w:rPr>
                <w:rFonts w:ascii="Times New Roman" w:hAnsi="Times New Roman" w:cs="Times New Roman"/>
                <w:sz w:val="20"/>
                <w:szCs w:val="20"/>
              </w:rPr>
              <w:t>-</w:t>
            </w:r>
          </w:p>
        </w:tc>
      </w:tr>
      <w:tr w:rsidR="009D52EB" w:rsidRPr="009D52EB" w14:paraId="2359DF74" w14:textId="77777777" w:rsidTr="009D52EB">
        <w:trPr>
          <w:trHeight w:hRule="exact" w:val="284"/>
          <w:jc w:val="center"/>
        </w:trPr>
        <w:tc>
          <w:tcPr>
            <w:tcW w:w="1319" w:type="dxa"/>
            <w:tcBorders>
              <w:top w:val="single" w:sz="4" w:space="0" w:color="auto"/>
              <w:bottom w:val="single" w:sz="4" w:space="0" w:color="auto"/>
            </w:tcBorders>
          </w:tcPr>
          <w:p w14:paraId="0BDA7293" w14:textId="77777777" w:rsidR="00E44270" w:rsidRPr="009D52EB" w:rsidRDefault="00E44270" w:rsidP="00FA61A6">
            <w:pPr>
              <w:jc w:val="center"/>
              <w:rPr>
                <w:rFonts w:ascii="Times New Roman" w:hAnsi="Times New Roman" w:cs="Times New Roman"/>
                <w:b/>
                <w:bCs/>
                <w:sz w:val="20"/>
                <w:szCs w:val="20"/>
              </w:rPr>
            </w:pPr>
          </w:p>
        </w:tc>
        <w:tc>
          <w:tcPr>
            <w:tcW w:w="5103" w:type="dxa"/>
            <w:gridSpan w:val="5"/>
            <w:tcBorders>
              <w:top w:val="single" w:sz="4" w:space="0" w:color="auto"/>
              <w:bottom w:val="single" w:sz="4" w:space="0" w:color="auto"/>
            </w:tcBorders>
          </w:tcPr>
          <w:p w14:paraId="6049DA01" w14:textId="4EF799F7" w:rsidR="00E44270" w:rsidRPr="009D52EB" w:rsidRDefault="00E44270" w:rsidP="00FA61A6">
            <w:pPr>
              <w:jc w:val="center"/>
              <w:rPr>
                <w:rFonts w:ascii="Times New Roman" w:hAnsi="Times New Roman" w:cs="Times New Roman"/>
                <w:b/>
                <w:bCs/>
                <w:sz w:val="20"/>
                <w:szCs w:val="20"/>
              </w:rPr>
            </w:pPr>
            <w:r w:rsidRPr="009D52EB">
              <w:rPr>
                <w:rFonts w:ascii="Times New Roman" w:hAnsi="Times New Roman" w:cs="Times New Roman"/>
                <w:b/>
                <w:bCs/>
                <w:sz w:val="20"/>
                <w:szCs w:val="20"/>
              </w:rPr>
              <w:t>Energy consumption (GJ per ton ethylene)</w:t>
            </w:r>
          </w:p>
        </w:tc>
      </w:tr>
      <w:tr w:rsidR="009D52EB" w:rsidRPr="009D52EB" w14:paraId="5F4C5D80" w14:textId="566A1CB6" w:rsidTr="009D52EB">
        <w:trPr>
          <w:gridAfter w:val="1"/>
          <w:wAfter w:w="61" w:type="dxa"/>
          <w:trHeight w:hRule="exact" w:val="312"/>
          <w:jc w:val="center"/>
        </w:trPr>
        <w:tc>
          <w:tcPr>
            <w:tcW w:w="2405" w:type="dxa"/>
            <w:gridSpan w:val="2"/>
            <w:tcBorders>
              <w:top w:val="single" w:sz="4" w:space="0" w:color="auto"/>
            </w:tcBorders>
            <w:vAlign w:val="center"/>
          </w:tcPr>
          <w:p w14:paraId="49DE1BB0" w14:textId="18691E88"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Electrolyzer electricity</w:t>
            </w:r>
          </w:p>
        </w:tc>
        <w:tc>
          <w:tcPr>
            <w:tcW w:w="1318" w:type="dxa"/>
            <w:tcBorders>
              <w:top w:val="single" w:sz="4" w:space="0" w:color="auto"/>
            </w:tcBorders>
            <w:vAlign w:val="center"/>
          </w:tcPr>
          <w:p w14:paraId="3EEC9602"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438</w:t>
            </w:r>
          </w:p>
        </w:tc>
        <w:tc>
          <w:tcPr>
            <w:tcW w:w="1319" w:type="dxa"/>
            <w:tcBorders>
              <w:top w:val="single" w:sz="4" w:space="0" w:color="auto"/>
            </w:tcBorders>
            <w:vAlign w:val="center"/>
          </w:tcPr>
          <w:p w14:paraId="1543A638"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718</w:t>
            </w:r>
          </w:p>
        </w:tc>
        <w:tc>
          <w:tcPr>
            <w:tcW w:w="1319" w:type="dxa"/>
            <w:tcBorders>
              <w:top w:val="single" w:sz="4" w:space="0" w:color="auto"/>
            </w:tcBorders>
          </w:tcPr>
          <w:p w14:paraId="3FDC4B82" w14:textId="452BC1B7" w:rsidR="00E44270" w:rsidRPr="009D52EB" w:rsidRDefault="00333F34" w:rsidP="00FA61A6">
            <w:pPr>
              <w:jc w:val="center"/>
              <w:rPr>
                <w:rFonts w:ascii="Times New Roman" w:hAnsi="Times New Roman" w:cs="Times New Roman"/>
                <w:sz w:val="20"/>
                <w:szCs w:val="20"/>
              </w:rPr>
            </w:pPr>
            <w:r w:rsidRPr="009D52EB">
              <w:rPr>
                <w:rFonts w:ascii="Times New Roman" w:hAnsi="Times New Roman" w:cs="Times New Roman"/>
                <w:sz w:val="20"/>
                <w:szCs w:val="20"/>
              </w:rPr>
              <w:t>142</w:t>
            </w:r>
          </w:p>
        </w:tc>
      </w:tr>
      <w:tr w:rsidR="009D52EB" w:rsidRPr="009D52EB" w14:paraId="061BF352" w14:textId="01498875" w:rsidTr="009D52EB">
        <w:trPr>
          <w:gridAfter w:val="1"/>
          <w:wAfter w:w="61" w:type="dxa"/>
          <w:trHeight w:hRule="exact" w:val="312"/>
          <w:jc w:val="center"/>
        </w:trPr>
        <w:tc>
          <w:tcPr>
            <w:tcW w:w="2405" w:type="dxa"/>
            <w:gridSpan w:val="2"/>
            <w:vAlign w:val="center"/>
          </w:tcPr>
          <w:p w14:paraId="0FABE952"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Cathode separation</w:t>
            </w:r>
          </w:p>
        </w:tc>
        <w:tc>
          <w:tcPr>
            <w:tcW w:w="1318" w:type="dxa"/>
            <w:vAlign w:val="center"/>
          </w:tcPr>
          <w:p w14:paraId="3DD45B2B"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13</w:t>
            </w:r>
          </w:p>
        </w:tc>
        <w:tc>
          <w:tcPr>
            <w:tcW w:w="1319" w:type="dxa"/>
            <w:vAlign w:val="center"/>
          </w:tcPr>
          <w:p w14:paraId="16BA5A03"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20</w:t>
            </w:r>
          </w:p>
        </w:tc>
        <w:tc>
          <w:tcPr>
            <w:tcW w:w="1319" w:type="dxa"/>
          </w:tcPr>
          <w:p w14:paraId="7D0495E4" w14:textId="6B983C79" w:rsidR="00E44270" w:rsidRPr="009D52EB" w:rsidRDefault="00333F34" w:rsidP="00FA61A6">
            <w:pPr>
              <w:jc w:val="center"/>
              <w:rPr>
                <w:rFonts w:ascii="Times New Roman" w:hAnsi="Times New Roman" w:cs="Times New Roman"/>
                <w:sz w:val="20"/>
                <w:szCs w:val="20"/>
              </w:rPr>
            </w:pPr>
            <w:r w:rsidRPr="009D52EB">
              <w:rPr>
                <w:rFonts w:ascii="Times New Roman" w:hAnsi="Times New Roman" w:cs="Times New Roman"/>
                <w:sz w:val="20"/>
                <w:szCs w:val="20"/>
              </w:rPr>
              <w:t>9</w:t>
            </w:r>
          </w:p>
        </w:tc>
      </w:tr>
      <w:tr w:rsidR="009D52EB" w:rsidRPr="009D52EB" w14:paraId="6C66CDF0" w14:textId="33F73E2C" w:rsidTr="009D52EB">
        <w:trPr>
          <w:gridAfter w:val="1"/>
          <w:wAfter w:w="61" w:type="dxa"/>
          <w:trHeight w:hRule="exact" w:val="312"/>
          <w:jc w:val="center"/>
        </w:trPr>
        <w:tc>
          <w:tcPr>
            <w:tcW w:w="2405" w:type="dxa"/>
            <w:gridSpan w:val="2"/>
            <w:vAlign w:val="center"/>
          </w:tcPr>
          <w:p w14:paraId="7952362D" w14:textId="77777777" w:rsidR="00E44270" w:rsidRPr="009D52EB" w:rsidRDefault="00E44270" w:rsidP="00FA61A6">
            <w:pPr>
              <w:jc w:val="center"/>
              <w:rPr>
                <w:rFonts w:ascii="Times New Roman" w:hAnsi="Times New Roman" w:cs="Times New Roman"/>
                <w:sz w:val="20"/>
                <w:szCs w:val="20"/>
              </w:rPr>
            </w:pPr>
            <w:r w:rsidRPr="009D52EB">
              <w:rPr>
                <w:rFonts w:ascii="Times New Roman" w:hAnsi="Times New Roman" w:cs="Times New Roman"/>
                <w:sz w:val="20"/>
                <w:szCs w:val="20"/>
              </w:rPr>
              <w:t>Anode separation</w:t>
            </w:r>
          </w:p>
        </w:tc>
        <w:tc>
          <w:tcPr>
            <w:tcW w:w="1318" w:type="dxa"/>
            <w:vAlign w:val="center"/>
          </w:tcPr>
          <w:p w14:paraId="2DAB9B97" w14:textId="1347E92D" w:rsidR="00E44270" w:rsidRPr="009D52EB" w:rsidRDefault="00E44270" w:rsidP="00A4361E">
            <w:pPr>
              <w:jc w:val="center"/>
              <w:rPr>
                <w:rFonts w:ascii="Times New Roman" w:hAnsi="Times New Roman" w:cs="Times New Roman"/>
                <w:sz w:val="20"/>
                <w:szCs w:val="20"/>
              </w:rPr>
            </w:pPr>
            <w:r w:rsidRPr="009D52EB">
              <w:rPr>
                <w:rFonts w:ascii="Times New Roman" w:hAnsi="Times New Roman" w:cs="Times New Roman"/>
                <w:sz w:val="20"/>
                <w:szCs w:val="20"/>
              </w:rPr>
              <w:t>0</w:t>
            </w:r>
            <w:r w:rsidRPr="009D52EB">
              <w:rPr>
                <w:rFonts w:ascii="Times New Roman" w:hAnsi="Times New Roman" w:cs="Times New Roman"/>
                <w:sz w:val="20"/>
                <w:szCs w:val="20"/>
                <w:vertAlign w:val="superscript"/>
              </w:rPr>
              <w:t xml:space="preserve"> </w:t>
            </w:r>
          </w:p>
        </w:tc>
        <w:tc>
          <w:tcPr>
            <w:tcW w:w="1319" w:type="dxa"/>
            <w:vAlign w:val="center"/>
          </w:tcPr>
          <w:p w14:paraId="2B7CC38D" w14:textId="48C9116E" w:rsidR="00E44270" w:rsidRPr="009D52EB" w:rsidRDefault="00E44270" w:rsidP="00A4361E">
            <w:pPr>
              <w:jc w:val="center"/>
              <w:rPr>
                <w:rFonts w:ascii="Times New Roman" w:hAnsi="Times New Roman" w:cs="Times New Roman"/>
                <w:sz w:val="20"/>
                <w:szCs w:val="20"/>
              </w:rPr>
            </w:pPr>
            <w:r w:rsidRPr="009D52EB">
              <w:rPr>
                <w:rFonts w:ascii="Times New Roman" w:hAnsi="Times New Roman" w:cs="Times New Roman"/>
                <w:sz w:val="20"/>
                <w:szCs w:val="20"/>
              </w:rPr>
              <w:t>0</w:t>
            </w:r>
            <w:r w:rsidRPr="009D52EB">
              <w:rPr>
                <w:rFonts w:ascii="Times New Roman" w:hAnsi="Times New Roman" w:cs="Times New Roman"/>
                <w:sz w:val="20"/>
                <w:szCs w:val="20"/>
                <w:vertAlign w:val="superscript"/>
              </w:rPr>
              <w:t xml:space="preserve"> </w:t>
            </w:r>
          </w:p>
        </w:tc>
        <w:tc>
          <w:tcPr>
            <w:tcW w:w="1319" w:type="dxa"/>
            <w:vAlign w:val="center"/>
          </w:tcPr>
          <w:p w14:paraId="2F18E40B" w14:textId="34EC3C73" w:rsidR="00E44270" w:rsidRPr="009D52EB" w:rsidRDefault="00973B03">
            <w:pPr>
              <w:jc w:val="center"/>
              <w:rPr>
                <w:rFonts w:ascii="Times New Roman" w:hAnsi="Times New Roman" w:cs="Times New Roman"/>
                <w:sz w:val="20"/>
                <w:szCs w:val="20"/>
              </w:rPr>
            </w:pPr>
            <w:r w:rsidRPr="009D52EB">
              <w:rPr>
                <w:rFonts w:ascii="Times New Roman" w:hAnsi="Times New Roman" w:cs="Times New Roman"/>
                <w:sz w:val="20"/>
                <w:szCs w:val="20"/>
              </w:rPr>
              <w:t>0</w:t>
            </w:r>
          </w:p>
        </w:tc>
      </w:tr>
      <w:tr w:rsidR="009D52EB" w:rsidRPr="009D52EB" w14:paraId="2F3DCB22" w14:textId="77777777" w:rsidTr="009D52EB">
        <w:trPr>
          <w:gridAfter w:val="1"/>
          <w:wAfter w:w="61" w:type="dxa"/>
          <w:trHeight w:hRule="exact" w:val="312"/>
          <w:jc w:val="center"/>
        </w:trPr>
        <w:tc>
          <w:tcPr>
            <w:tcW w:w="2405" w:type="dxa"/>
            <w:gridSpan w:val="2"/>
            <w:vAlign w:val="center"/>
          </w:tcPr>
          <w:p w14:paraId="1BBE3664" w14:textId="4599776C" w:rsidR="00084FF0" w:rsidRPr="009D52EB" w:rsidRDefault="00084FF0" w:rsidP="00FA61A6">
            <w:pPr>
              <w:jc w:val="center"/>
              <w:rPr>
                <w:rFonts w:ascii="Times New Roman" w:hAnsi="Times New Roman" w:cs="Times New Roman"/>
                <w:sz w:val="20"/>
                <w:szCs w:val="20"/>
              </w:rPr>
            </w:pPr>
            <w:r w:rsidRPr="009D52EB">
              <w:rPr>
                <w:rFonts w:ascii="Times New Roman" w:hAnsi="Times New Roman" w:cs="Times New Roman"/>
                <w:sz w:val="20"/>
                <w:szCs w:val="20"/>
              </w:rPr>
              <w:t>Electrolyte regeneration</w:t>
            </w:r>
          </w:p>
        </w:tc>
        <w:tc>
          <w:tcPr>
            <w:tcW w:w="1318" w:type="dxa"/>
            <w:vAlign w:val="center"/>
          </w:tcPr>
          <w:p w14:paraId="6B3957B1" w14:textId="562F1F4D" w:rsidR="00084FF0" w:rsidRPr="009D52EB" w:rsidRDefault="00084FF0" w:rsidP="00A4361E">
            <w:pPr>
              <w:jc w:val="center"/>
              <w:rPr>
                <w:rFonts w:ascii="Times New Roman" w:hAnsi="Times New Roman" w:cs="Times New Roman"/>
                <w:sz w:val="20"/>
                <w:szCs w:val="20"/>
              </w:rPr>
            </w:pPr>
            <w:r w:rsidRPr="009D52EB">
              <w:rPr>
                <w:rFonts w:ascii="Times New Roman" w:hAnsi="Times New Roman" w:cs="Times New Roman"/>
                <w:sz w:val="20"/>
                <w:szCs w:val="20"/>
              </w:rPr>
              <w:t>0</w:t>
            </w:r>
          </w:p>
        </w:tc>
        <w:tc>
          <w:tcPr>
            <w:tcW w:w="1319" w:type="dxa"/>
            <w:vAlign w:val="center"/>
          </w:tcPr>
          <w:p w14:paraId="11E61871" w14:textId="68D0A5B0" w:rsidR="00084FF0" w:rsidRPr="009D52EB" w:rsidRDefault="00084FF0" w:rsidP="00A4361E">
            <w:pPr>
              <w:jc w:val="center"/>
              <w:rPr>
                <w:rFonts w:ascii="Times New Roman" w:hAnsi="Times New Roman" w:cs="Times New Roman"/>
                <w:sz w:val="20"/>
                <w:szCs w:val="20"/>
              </w:rPr>
            </w:pPr>
            <w:r w:rsidRPr="009D52EB">
              <w:rPr>
                <w:rFonts w:ascii="Times New Roman" w:hAnsi="Times New Roman" w:cs="Times New Roman"/>
                <w:sz w:val="20"/>
                <w:szCs w:val="20"/>
              </w:rPr>
              <w:t>0</w:t>
            </w:r>
          </w:p>
        </w:tc>
        <w:tc>
          <w:tcPr>
            <w:tcW w:w="1319" w:type="dxa"/>
            <w:vAlign w:val="center"/>
          </w:tcPr>
          <w:p w14:paraId="43445355" w14:textId="7F0C258C" w:rsidR="00084FF0" w:rsidRPr="009D52EB" w:rsidRDefault="0070022F">
            <w:pPr>
              <w:jc w:val="center"/>
              <w:rPr>
                <w:rFonts w:ascii="Times New Roman" w:hAnsi="Times New Roman" w:cs="Times New Roman"/>
                <w:sz w:val="20"/>
                <w:szCs w:val="20"/>
              </w:rPr>
            </w:pPr>
            <w:r>
              <w:rPr>
                <w:rFonts w:ascii="Times New Roman" w:hAnsi="Times New Roman" w:cs="Times New Roman"/>
                <w:sz w:val="20"/>
                <w:szCs w:val="20"/>
              </w:rPr>
              <w:t>497</w:t>
            </w:r>
          </w:p>
        </w:tc>
      </w:tr>
      <w:tr w:rsidR="009D52EB" w:rsidRPr="009D52EB" w14:paraId="6933FCA1" w14:textId="68F14D77" w:rsidTr="009D52EB">
        <w:trPr>
          <w:gridAfter w:val="1"/>
          <w:wAfter w:w="61" w:type="dxa"/>
          <w:trHeight w:hRule="exact" w:val="312"/>
          <w:jc w:val="center"/>
        </w:trPr>
        <w:tc>
          <w:tcPr>
            <w:tcW w:w="2405" w:type="dxa"/>
            <w:gridSpan w:val="2"/>
            <w:tcBorders>
              <w:bottom w:val="single" w:sz="4" w:space="0" w:color="auto"/>
            </w:tcBorders>
            <w:vAlign w:val="center"/>
          </w:tcPr>
          <w:p w14:paraId="3EF76899" w14:textId="77777777" w:rsidR="00E44270" w:rsidRPr="009D52EB" w:rsidRDefault="00E44270" w:rsidP="00FA61A6">
            <w:pPr>
              <w:jc w:val="center"/>
              <w:rPr>
                <w:rFonts w:ascii="Times New Roman" w:hAnsi="Times New Roman" w:cs="Times New Roman"/>
                <w:b/>
                <w:sz w:val="20"/>
                <w:szCs w:val="20"/>
              </w:rPr>
            </w:pPr>
            <w:r w:rsidRPr="009D52EB">
              <w:rPr>
                <w:rFonts w:ascii="Times New Roman" w:hAnsi="Times New Roman" w:cs="Times New Roman"/>
                <w:b/>
                <w:sz w:val="20"/>
                <w:szCs w:val="20"/>
              </w:rPr>
              <w:t>Overall energy</w:t>
            </w:r>
          </w:p>
        </w:tc>
        <w:tc>
          <w:tcPr>
            <w:tcW w:w="1318" w:type="dxa"/>
            <w:tcBorders>
              <w:bottom w:val="single" w:sz="4" w:space="0" w:color="auto"/>
            </w:tcBorders>
            <w:vAlign w:val="center"/>
          </w:tcPr>
          <w:p w14:paraId="2780DEBF" w14:textId="77777777" w:rsidR="00E44270" w:rsidRPr="009D52EB" w:rsidRDefault="00E44270" w:rsidP="00A4361E">
            <w:pPr>
              <w:jc w:val="center"/>
              <w:rPr>
                <w:rFonts w:ascii="Times New Roman" w:hAnsi="Times New Roman" w:cs="Times New Roman"/>
                <w:b/>
                <w:bCs/>
                <w:sz w:val="20"/>
                <w:szCs w:val="20"/>
              </w:rPr>
            </w:pPr>
            <w:r w:rsidRPr="009D52EB">
              <w:rPr>
                <w:rFonts w:ascii="Times New Roman" w:hAnsi="Times New Roman" w:cs="Times New Roman"/>
                <w:b/>
                <w:bCs/>
                <w:sz w:val="20"/>
                <w:szCs w:val="20"/>
              </w:rPr>
              <w:t>455</w:t>
            </w:r>
          </w:p>
        </w:tc>
        <w:tc>
          <w:tcPr>
            <w:tcW w:w="1319" w:type="dxa"/>
            <w:tcBorders>
              <w:bottom w:val="single" w:sz="4" w:space="0" w:color="auto"/>
            </w:tcBorders>
            <w:vAlign w:val="center"/>
          </w:tcPr>
          <w:p w14:paraId="15EE11F7" w14:textId="77777777" w:rsidR="00E44270" w:rsidRPr="009D52EB" w:rsidRDefault="00E44270" w:rsidP="00A4361E">
            <w:pPr>
              <w:jc w:val="center"/>
              <w:rPr>
                <w:rFonts w:ascii="Times New Roman" w:hAnsi="Times New Roman" w:cs="Times New Roman"/>
                <w:b/>
                <w:bCs/>
                <w:sz w:val="20"/>
                <w:szCs w:val="20"/>
              </w:rPr>
            </w:pPr>
            <w:r w:rsidRPr="009D52EB">
              <w:rPr>
                <w:rFonts w:ascii="Times New Roman" w:hAnsi="Times New Roman" w:cs="Times New Roman"/>
                <w:b/>
                <w:bCs/>
                <w:sz w:val="20"/>
                <w:szCs w:val="20"/>
              </w:rPr>
              <w:t>744</w:t>
            </w:r>
          </w:p>
        </w:tc>
        <w:tc>
          <w:tcPr>
            <w:tcW w:w="1319" w:type="dxa"/>
            <w:tcBorders>
              <w:bottom w:val="single" w:sz="4" w:space="0" w:color="auto"/>
            </w:tcBorders>
            <w:vAlign w:val="center"/>
          </w:tcPr>
          <w:p w14:paraId="0C35B569" w14:textId="17DA479C" w:rsidR="00E44270" w:rsidRPr="009D52EB" w:rsidRDefault="00D2272D">
            <w:pPr>
              <w:jc w:val="center"/>
              <w:rPr>
                <w:rFonts w:ascii="Times New Roman" w:hAnsi="Times New Roman" w:cs="Times New Roman"/>
                <w:b/>
                <w:bCs/>
                <w:sz w:val="20"/>
                <w:szCs w:val="20"/>
              </w:rPr>
            </w:pPr>
            <w:r>
              <w:rPr>
                <w:rFonts w:ascii="Times New Roman" w:hAnsi="Times New Roman" w:cs="Times New Roman"/>
                <w:b/>
                <w:bCs/>
                <w:sz w:val="20"/>
                <w:szCs w:val="20"/>
              </w:rPr>
              <w:t>648</w:t>
            </w:r>
          </w:p>
        </w:tc>
      </w:tr>
    </w:tbl>
    <w:p w14:paraId="167588E3" w14:textId="77777777" w:rsidR="009B2429" w:rsidRPr="009D52EB" w:rsidRDefault="009B2429">
      <w:pPr>
        <w:jc w:val="both"/>
        <w:rPr>
          <w:rFonts w:ascii="Times New Roman" w:hAnsi="Times New Roman" w:cs="Times New Roman"/>
          <w:b/>
          <w:bCs/>
          <w:sz w:val="24"/>
          <w:szCs w:val="24"/>
        </w:rPr>
      </w:pPr>
    </w:p>
    <w:p w14:paraId="6C7BAD1F" w14:textId="77777777" w:rsidR="0070300F" w:rsidRDefault="0070300F">
      <w:pPr>
        <w:rPr>
          <w:rFonts w:ascii="Times New Roman" w:hAnsi="Times New Roman" w:cs="Times New Roman"/>
          <w:b/>
          <w:bCs/>
          <w:sz w:val="24"/>
          <w:szCs w:val="24"/>
        </w:rPr>
      </w:pPr>
    </w:p>
    <w:p w14:paraId="1B63E93A" w14:textId="77777777" w:rsidR="0070300F" w:rsidRDefault="0070300F">
      <w:pPr>
        <w:rPr>
          <w:rFonts w:ascii="Times New Roman" w:hAnsi="Times New Roman" w:cs="Times New Roman"/>
          <w:b/>
          <w:bCs/>
          <w:sz w:val="24"/>
          <w:szCs w:val="24"/>
        </w:rPr>
      </w:pPr>
      <w:r>
        <w:rPr>
          <w:rFonts w:ascii="Times New Roman" w:hAnsi="Times New Roman" w:cs="Times New Roman"/>
          <w:b/>
          <w:bCs/>
          <w:sz w:val="24"/>
          <w:szCs w:val="24"/>
        </w:rPr>
        <w:br w:type="page"/>
      </w:r>
    </w:p>
    <w:p w14:paraId="6EDAFE1E" w14:textId="6225E011" w:rsidR="00FB36C9" w:rsidRDefault="00D328F7" w:rsidP="00D328F7">
      <w:pPr>
        <w:spacing w:after="0" w:line="240" w:lineRule="auto"/>
        <w:rPr>
          <w:rFonts w:ascii="Times New Roman" w:hAnsi="Times New Roman" w:cs="Times New Roman"/>
          <w:b/>
          <w:bCs/>
          <w:sz w:val="24"/>
          <w:szCs w:val="24"/>
        </w:rPr>
      </w:pPr>
      <w:r w:rsidRPr="009D52EB">
        <w:rPr>
          <w:rFonts w:ascii="Times New Roman" w:hAnsi="Times New Roman" w:cs="Times New Roman"/>
          <w:b/>
          <w:bCs/>
          <w:sz w:val="24"/>
          <w:szCs w:val="24"/>
        </w:rPr>
        <w:lastRenderedPageBreak/>
        <w:t>SI1</w:t>
      </w:r>
      <w:r>
        <w:rPr>
          <w:rFonts w:ascii="Times New Roman" w:hAnsi="Times New Roman" w:cs="Times New Roman"/>
          <w:b/>
          <w:bCs/>
          <w:sz w:val="24"/>
          <w:szCs w:val="24"/>
        </w:rPr>
        <w:t xml:space="preserve">3 Additional information for </w:t>
      </w:r>
      <w:r w:rsidRPr="00512678">
        <w:rPr>
          <w:rFonts w:ascii="Times New Roman" w:hAnsi="Times New Roman" w:cs="Times New Roman"/>
          <w:b/>
          <w:bCs/>
          <w:sz w:val="24"/>
          <w:szCs w:val="24"/>
        </w:rPr>
        <w:t>COMSOL one-dimensional modeling</w:t>
      </w:r>
    </w:p>
    <w:p w14:paraId="03B9DF65" w14:textId="77777777" w:rsidR="00D328F7" w:rsidRDefault="00D328F7" w:rsidP="0070300F">
      <w:pPr>
        <w:spacing w:after="0" w:line="240" w:lineRule="auto"/>
        <w:jc w:val="both"/>
        <w:rPr>
          <w:rFonts w:ascii="Times New Roman" w:hAnsi="Times New Roman" w:cs="Times New Roman"/>
          <w:b/>
          <w:bCs/>
          <w:sz w:val="20"/>
          <w:szCs w:val="20"/>
        </w:rPr>
      </w:pPr>
    </w:p>
    <w:p w14:paraId="62F71D40" w14:textId="3B1BDE5F" w:rsidR="0070300F" w:rsidRPr="001E37CC" w:rsidRDefault="0070300F" w:rsidP="0070300F">
      <w:pPr>
        <w:spacing w:after="0" w:line="240" w:lineRule="auto"/>
        <w:jc w:val="both"/>
        <w:rPr>
          <w:rFonts w:ascii="Times New Roman" w:hAnsi="Times New Roman" w:cs="Times New Roman"/>
          <w:sz w:val="20"/>
          <w:szCs w:val="20"/>
          <w:lang w:val="en-GB"/>
        </w:rPr>
      </w:pPr>
      <w:r w:rsidRPr="002532C1">
        <w:rPr>
          <w:rFonts w:ascii="Times New Roman" w:hAnsi="Times New Roman" w:cs="Times New Roman"/>
          <w:b/>
          <w:bCs/>
          <w:sz w:val="20"/>
          <w:szCs w:val="20"/>
        </w:rPr>
        <w:t xml:space="preserve">Supplementary </w:t>
      </w:r>
      <w:r w:rsidRPr="009D52EB">
        <w:rPr>
          <w:rFonts w:ascii="Times New Roman" w:hAnsi="Times New Roman" w:cs="Times New Roman"/>
          <w:b/>
          <w:bCs/>
          <w:sz w:val="20"/>
          <w:szCs w:val="20"/>
        </w:rPr>
        <w:t xml:space="preserve">Table </w:t>
      </w:r>
      <w:r>
        <w:rPr>
          <w:rFonts w:ascii="Times New Roman" w:hAnsi="Times New Roman" w:cs="Times New Roman"/>
          <w:b/>
          <w:bCs/>
          <w:sz w:val="20"/>
          <w:szCs w:val="20"/>
        </w:rPr>
        <w:t>3</w:t>
      </w:r>
      <w:r w:rsidR="001E37CC">
        <w:rPr>
          <w:rFonts w:ascii="Times New Roman" w:hAnsi="Times New Roman" w:cs="Times New Roman"/>
          <w:b/>
          <w:bCs/>
          <w:sz w:val="20"/>
          <w:szCs w:val="20"/>
        </w:rPr>
        <w:t xml:space="preserve"> </w:t>
      </w:r>
      <w:r w:rsidR="001E37CC" w:rsidRPr="001E37CC">
        <w:rPr>
          <w:rFonts w:ascii="Times New Roman" w:hAnsi="Times New Roman" w:cs="Times New Roman"/>
          <w:sz w:val="20"/>
          <w:szCs w:val="20"/>
        </w:rPr>
        <w:t xml:space="preserve">The chemical reactions at the catholyte region and the corresponding forward </w:t>
      </w:r>
      <w:r w:rsidR="001E37CC" w:rsidRPr="001E37CC">
        <w:rPr>
          <w:rFonts w:ascii="Times New Roman" w:hAnsi="Times New Roman" w:cs="Times New Roman"/>
          <w:i/>
          <w:iCs/>
          <w:sz w:val="20"/>
          <w:szCs w:val="20"/>
        </w:rPr>
        <w:t>k</w:t>
      </w:r>
      <w:r w:rsidR="001E37CC" w:rsidRPr="001E37CC">
        <w:rPr>
          <w:rFonts w:ascii="Times New Roman" w:hAnsi="Times New Roman" w:cs="Times New Roman"/>
          <w:sz w:val="20"/>
          <w:szCs w:val="20"/>
          <w:vertAlign w:val="subscript"/>
        </w:rPr>
        <w:t>f</w:t>
      </w:r>
      <w:r w:rsidR="001E37CC" w:rsidRPr="001E37CC">
        <w:rPr>
          <w:rFonts w:ascii="Times New Roman" w:hAnsi="Times New Roman" w:cs="Times New Roman"/>
          <w:sz w:val="20"/>
          <w:szCs w:val="20"/>
        </w:rPr>
        <w:t xml:space="preserve"> rate constants and reverse </w:t>
      </w:r>
      <w:r w:rsidR="001E37CC" w:rsidRPr="001E37CC">
        <w:rPr>
          <w:rFonts w:ascii="Times New Roman" w:hAnsi="Times New Roman" w:cs="Times New Roman"/>
          <w:i/>
          <w:iCs/>
          <w:sz w:val="20"/>
          <w:szCs w:val="20"/>
        </w:rPr>
        <w:t>k</w:t>
      </w:r>
      <w:r w:rsidR="001E37CC" w:rsidRPr="001E37CC">
        <w:rPr>
          <w:rFonts w:ascii="Times New Roman" w:hAnsi="Times New Roman" w:cs="Times New Roman"/>
          <w:sz w:val="20"/>
          <w:szCs w:val="20"/>
          <w:vertAlign w:val="subscript"/>
        </w:rPr>
        <w:t>r</w:t>
      </w:r>
      <w:r w:rsidR="001E37CC" w:rsidRPr="001E37CC">
        <w:rPr>
          <w:rFonts w:ascii="Times New Roman" w:hAnsi="Times New Roman" w:cs="Times New Roman"/>
          <w:sz w:val="20"/>
          <w:szCs w:val="20"/>
        </w:rPr>
        <w:t xml:space="preserve"> rate constants </w:t>
      </w:r>
      <w:r w:rsidR="001E37CC">
        <w:rPr>
          <w:rFonts w:ascii="Times New Roman" w:hAnsi="Times New Roman" w:cs="Times New Roman"/>
          <w:sz w:val="20"/>
          <w:szCs w:val="20"/>
        </w:rPr>
        <w:t>used in simulation</w:t>
      </w:r>
      <w:r w:rsidR="001E37CC" w:rsidRPr="001E37CC">
        <w:rPr>
          <w:rFonts w:ascii="Times New Roman" w:hAnsi="Times New Roman" w:cs="Times New Roman"/>
          <w:sz w:val="20"/>
          <w:szCs w:val="20"/>
          <w:vertAlign w:val="superscript"/>
        </w:rPr>
        <w:fldChar w:fldCharType="begin" w:fldLock="1"/>
      </w:r>
      <w:r w:rsidR="00D328F7">
        <w:rPr>
          <w:rFonts w:ascii="Times New Roman" w:hAnsi="Times New Roman" w:cs="Times New Roman"/>
          <w:sz w:val="20"/>
          <w:szCs w:val="20"/>
          <w:vertAlign w:val="superscript"/>
        </w:rPr>
        <w:instrText>ADDIN CSL_CITATION {"citationItems":[{"id":"ITEM-1","itemData":{"DOI":"10.1149/1945-7111/ab987a","ISSN":"1945-7111","abstract":"For more than sixty years, markets and hierarchies have dominated our thinking about economic organization1. This paper suggests that a third form, the ecosystem organizational form, has now become so important in practice that it should be accorded equal recognition in theory and in policy-making.","author":[{"dropping-particle":"","family":"Chen","given":"Yikai","non-dropping-particle":"","parse-names":false,"suffix":""},{"dropping-particle":"","family":"Lewis","given":"Nathan S.","non-dropping-particle":"","parse-names":false,"suffix":""},{"dropping-particle":"","family":"Xiang","given":"Chengxiang","non-dropping-particle":"","parse-names":false,"suffix":""}],"container-title":"Journal of The Electrochemical Society","id":"ITEM-1","issue":"11","issued":{"date-parts":[["2020"]]},"page":"114503","publisher":"IOP Publishing","title":" Modeling the Performance of A Flow-Through Gas Diffusion Electrode for Electrochemical Reduction of CO or CO 2 ","type":"article-journal","volume":"167"},"uris":["http://www.mendeley.com/documents/?uuid=54987028-6eae-4c1b-bc38-bb00a301c607"]}],"mendeley":{"formattedCitation":"&lt;sup&gt;37&lt;/sup&gt;","plainTextFormattedCitation":"37","previouslyFormattedCitation":"&lt;sup&gt;32&lt;/sup&gt;"},"properties":{"noteIndex":0},"schema":"https://github.com/citation-style-language/schema/raw/master/csl-citation.json"}</w:instrText>
      </w:r>
      <w:r w:rsidR="001E37CC" w:rsidRPr="001E37CC">
        <w:rPr>
          <w:rFonts w:ascii="Times New Roman" w:hAnsi="Times New Roman" w:cs="Times New Roman"/>
          <w:sz w:val="20"/>
          <w:szCs w:val="20"/>
          <w:vertAlign w:val="superscript"/>
        </w:rPr>
        <w:fldChar w:fldCharType="separate"/>
      </w:r>
      <w:r w:rsidR="00D328F7" w:rsidRPr="00D328F7">
        <w:rPr>
          <w:rFonts w:ascii="Times New Roman" w:hAnsi="Times New Roman" w:cs="Times New Roman"/>
          <w:noProof/>
          <w:sz w:val="20"/>
          <w:szCs w:val="20"/>
          <w:vertAlign w:val="superscript"/>
        </w:rPr>
        <w:t>37</w:t>
      </w:r>
      <w:r w:rsidR="001E37CC" w:rsidRPr="001E37CC">
        <w:rPr>
          <w:rFonts w:ascii="Times New Roman" w:hAnsi="Times New Roman" w:cs="Times New Roman"/>
          <w:sz w:val="20"/>
          <w:szCs w:val="20"/>
          <w:vertAlign w:val="superscript"/>
        </w:rPr>
        <w:fldChar w:fldCharType="end"/>
      </w:r>
      <w:r w:rsidR="001E37CC">
        <w:rPr>
          <w:rFonts w:ascii="Times New Roman" w:hAnsi="Times New Roman" w:cs="Times New Roman"/>
          <w:sz w:val="20"/>
          <w:szCs w:val="20"/>
        </w:rPr>
        <w:t>.</w:t>
      </w:r>
    </w:p>
    <w:tbl>
      <w:tblPr>
        <w:tblStyle w:val="TableGrid"/>
        <w:tblW w:w="0" w:type="auto"/>
        <w:tblInd w:w="1090" w:type="dxa"/>
        <w:tblLook w:val="04A0" w:firstRow="1" w:lastRow="0" w:firstColumn="1" w:lastColumn="0" w:noHBand="0" w:noVBand="1"/>
      </w:tblPr>
      <w:tblGrid>
        <w:gridCol w:w="3549"/>
        <w:gridCol w:w="1984"/>
        <w:gridCol w:w="1667"/>
      </w:tblGrid>
      <w:tr w:rsidR="0070300F" w14:paraId="3797B00B" w14:textId="77777777" w:rsidTr="004B157C">
        <w:tc>
          <w:tcPr>
            <w:tcW w:w="3549" w:type="dxa"/>
          </w:tcPr>
          <w:p w14:paraId="3D2A0F85" w14:textId="77777777" w:rsidR="0070300F" w:rsidRPr="0070300F" w:rsidRDefault="0070300F" w:rsidP="004B157C">
            <w:pPr>
              <w:jc w:val="center"/>
              <w:rPr>
                <w:rFonts w:ascii="Times New Roman" w:hAnsi="Times New Roman" w:cs="Times New Roman"/>
                <w:sz w:val="20"/>
                <w:szCs w:val="20"/>
              </w:rPr>
            </w:pPr>
            <w:r w:rsidRPr="0070300F">
              <w:rPr>
                <w:rFonts w:ascii="Times New Roman" w:hAnsi="Times New Roman" w:cs="Times New Roman"/>
                <w:sz w:val="20"/>
                <w:szCs w:val="20"/>
              </w:rPr>
              <w:t>Reaction</w:t>
            </w:r>
          </w:p>
        </w:tc>
        <w:tc>
          <w:tcPr>
            <w:tcW w:w="1984" w:type="dxa"/>
          </w:tcPr>
          <w:p w14:paraId="11A2310B" w14:textId="77777777" w:rsidR="0070300F" w:rsidRPr="0070300F" w:rsidRDefault="0070300F" w:rsidP="004B157C">
            <w:pPr>
              <w:jc w:val="center"/>
              <w:rPr>
                <w:rFonts w:ascii="Times New Roman" w:hAnsi="Times New Roman" w:cs="Times New Roman"/>
                <w:sz w:val="20"/>
                <w:szCs w:val="20"/>
              </w:rPr>
            </w:pPr>
            <w:r w:rsidRPr="0070300F">
              <w:rPr>
                <w:rFonts w:ascii="Times New Roman" w:hAnsi="Times New Roman" w:cs="Times New Roman"/>
                <w:i/>
                <w:iCs/>
                <w:sz w:val="20"/>
                <w:szCs w:val="20"/>
              </w:rPr>
              <w:t>k</w:t>
            </w:r>
            <w:r w:rsidRPr="0070300F">
              <w:rPr>
                <w:rFonts w:ascii="Times New Roman" w:hAnsi="Times New Roman" w:cs="Times New Roman"/>
                <w:sz w:val="20"/>
                <w:szCs w:val="20"/>
                <w:vertAlign w:val="subscript"/>
              </w:rPr>
              <w:t>f</w:t>
            </w:r>
          </w:p>
        </w:tc>
        <w:tc>
          <w:tcPr>
            <w:tcW w:w="1667" w:type="dxa"/>
          </w:tcPr>
          <w:p w14:paraId="164030AA" w14:textId="77777777" w:rsidR="0070300F" w:rsidRPr="0070300F" w:rsidRDefault="0070300F" w:rsidP="004B157C">
            <w:pPr>
              <w:jc w:val="center"/>
              <w:rPr>
                <w:rFonts w:ascii="Times New Roman" w:hAnsi="Times New Roman" w:cs="Times New Roman"/>
                <w:sz w:val="20"/>
                <w:szCs w:val="20"/>
              </w:rPr>
            </w:pPr>
            <w:r w:rsidRPr="0070300F">
              <w:rPr>
                <w:rFonts w:ascii="Times New Roman" w:hAnsi="Times New Roman" w:cs="Times New Roman"/>
                <w:i/>
                <w:iCs/>
                <w:sz w:val="20"/>
                <w:szCs w:val="20"/>
              </w:rPr>
              <w:t>k</w:t>
            </w:r>
            <w:r w:rsidRPr="0070300F">
              <w:rPr>
                <w:rFonts w:ascii="Times New Roman" w:hAnsi="Times New Roman" w:cs="Times New Roman"/>
                <w:sz w:val="20"/>
                <w:szCs w:val="20"/>
                <w:vertAlign w:val="subscript"/>
              </w:rPr>
              <w:t>r</w:t>
            </w:r>
          </w:p>
        </w:tc>
      </w:tr>
      <w:tr w:rsidR="0070300F" w14:paraId="6891FA4C" w14:textId="77777777" w:rsidTr="004B157C">
        <w:tc>
          <w:tcPr>
            <w:tcW w:w="3549" w:type="dxa"/>
          </w:tcPr>
          <w:p w14:paraId="51495802" w14:textId="77777777" w:rsidR="0070300F" w:rsidRPr="0070300F" w:rsidRDefault="0070300F" w:rsidP="004B157C">
            <w:pPr>
              <w:jc w:val="both"/>
              <w:rPr>
                <w:rFonts w:ascii="Times New Roman" w:hAnsi="Times New Roman" w:cs="Times New Roman"/>
                <w:sz w:val="20"/>
                <w:szCs w:val="20"/>
                <w:lang w:val="en-GB"/>
              </w:rPr>
            </w:pPr>
            <m:oMathPara>
              <m:oMath>
                <m:r>
                  <w:rPr>
                    <w:rFonts w:ascii="Cambria Math" w:hAnsi="Cambria Math" w:cs="Times New Roman"/>
                    <w:sz w:val="20"/>
                    <w:szCs w:val="20"/>
                    <w:lang w:val="en-GB"/>
                  </w:rPr>
                  <m:t>C</m:t>
                </m:r>
                <m:sSub>
                  <m:sSubPr>
                    <m:ctrlPr>
                      <w:rPr>
                        <w:rFonts w:ascii="Cambria Math" w:hAnsi="Cambria Math" w:cs="Times New Roman"/>
                        <w:sz w:val="20"/>
                        <w:szCs w:val="20"/>
                        <w:lang w:val="en-GB"/>
                      </w:rPr>
                    </m:ctrlPr>
                  </m:sSubPr>
                  <m:e>
                    <m:r>
                      <w:rPr>
                        <w:rFonts w:ascii="Cambria Math" w:hAnsi="Cambria Math" w:cs="Times New Roman"/>
                        <w:sz w:val="20"/>
                        <w:szCs w:val="20"/>
                        <w:lang w:val="en-GB"/>
                      </w:rPr>
                      <m:t>O</m:t>
                    </m:r>
                  </m:e>
                  <m:sub>
                    <m:r>
                      <w:rPr>
                        <w:rFonts w:ascii="Cambria Math" w:hAnsi="Cambria Math" w:cs="Times New Roman"/>
                        <w:sz w:val="20"/>
                        <w:szCs w:val="20"/>
                        <w:lang w:val="en-GB"/>
                      </w:rPr>
                      <m:t>2</m:t>
                    </m:r>
                  </m:sub>
                </m:sSub>
                <m:r>
                  <w:rPr>
                    <w:rFonts w:ascii="Cambria Math" w:hAnsi="Cambria Math" w:cs="Times New Roman"/>
                    <w:sz w:val="20"/>
                    <w:szCs w:val="20"/>
                    <w:lang w:val="en-GB"/>
                  </w:rPr>
                  <m:t>+</m:t>
                </m:r>
                <m:sSub>
                  <m:sSubPr>
                    <m:ctrlPr>
                      <w:rPr>
                        <w:rFonts w:ascii="Cambria Math" w:hAnsi="Cambria Math" w:cs="Times New Roman"/>
                        <w:sz w:val="20"/>
                        <w:szCs w:val="20"/>
                        <w:lang w:val="en-GB"/>
                      </w:rPr>
                    </m:ctrlPr>
                  </m:sSubPr>
                  <m:e>
                    <m:r>
                      <w:rPr>
                        <w:rFonts w:ascii="Cambria Math" w:hAnsi="Cambria Math" w:cs="Times New Roman"/>
                        <w:sz w:val="20"/>
                        <w:szCs w:val="20"/>
                        <w:lang w:val="en-GB"/>
                      </w:rPr>
                      <m:t>H</m:t>
                    </m:r>
                  </m:e>
                  <m:sub>
                    <m:r>
                      <w:rPr>
                        <w:rFonts w:ascii="Cambria Math" w:hAnsi="Cambria Math" w:cs="Times New Roman"/>
                        <w:sz w:val="20"/>
                        <w:szCs w:val="20"/>
                        <w:lang w:val="en-GB"/>
                      </w:rPr>
                      <m:t>2</m:t>
                    </m:r>
                  </m:sub>
                </m:sSub>
                <m:r>
                  <w:rPr>
                    <w:rFonts w:ascii="Cambria Math" w:hAnsi="Cambria Math" w:cs="Times New Roman"/>
                    <w:sz w:val="20"/>
                    <w:szCs w:val="20"/>
                    <w:lang w:val="en-GB"/>
                  </w:rPr>
                  <m:t>O↔</m:t>
                </m:r>
                <m:sSup>
                  <m:sSupPr>
                    <m:ctrlPr>
                      <w:rPr>
                        <w:rFonts w:ascii="Cambria Math" w:hAnsi="Cambria Math" w:cs="Times New Roman"/>
                        <w:sz w:val="20"/>
                        <w:szCs w:val="20"/>
                        <w:lang w:val="en-GB"/>
                      </w:rPr>
                    </m:ctrlPr>
                  </m:sSupPr>
                  <m:e>
                    <m:r>
                      <w:rPr>
                        <w:rFonts w:ascii="Cambria Math" w:hAnsi="Cambria Math" w:cs="Times New Roman"/>
                        <w:sz w:val="20"/>
                        <w:szCs w:val="20"/>
                        <w:lang w:val="en-GB"/>
                      </w:rPr>
                      <m:t>H</m:t>
                    </m:r>
                  </m:e>
                  <m:sup>
                    <m:r>
                      <w:rPr>
                        <w:rFonts w:ascii="Cambria Math" w:hAnsi="Cambria Math" w:cs="Times New Roman"/>
                        <w:sz w:val="20"/>
                        <w:szCs w:val="20"/>
                        <w:lang w:val="en-GB"/>
                      </w:rPr>
                      <m:t>+</m:t>
                    </m:r>
                  </m:sup>
                </m:sSup>
                <m:r>
                  <w:rPr>
                    <w:rFonts w:ascii="Cambria Math" w:hAnsi="Cambria Math" w:cs="Times New Roman"/>
                    <w:sz w:val="20"/>
                    <w:szCs w:val="20"/>
                    <w:lang w:val="en-GB"/>
                  </w:rPr>
                  <m:t>+</m:t>
                </m:r>
                <m:sSubSup>
                  <m:sSubSupPr>
                    <m:ctrlPr>
                      <w:rPr>
                        <w:rFonts w:ascii="Cambria Math" w:hAnsi="Cambria Math" w:cs="Times New Roman"/>
                        <w:i/>
                        <w:sz w:val="20"/>
                        <w:szCs w:val="20"/>
                        <w:lang w:val="en-GB"/>
                      </w:rPr>
                    </m:ctrlPr>
                  </m:sSubSupPr>
                  <m:e>
                    <m:r>
                      <w:rPr>
                        <w:rFonts w:ascii="Cambria Math" w:hAnsi="Cambria Math" w:cs="Times New Roman"/>
                        <w:sz w:val="20"/>
                        <w:szCs w:val="20"/>
                        <w:lang w:val="en-GB"/>
                      </w:rPr>
                      <m:t>HCO</m:t>
                    </m:r>
                  </m:e>
                  <m:sub>
                    <m:r>
                      <w:rPr>
                        <w:rFonts w:ascii="Cambria Math" w:hAnsi="Cambria Math" w:cs="Times New Roman"/>
                        <w:sz w:val="20"/>
                        <w:szCs w:val="20"/>
                        <w:lang w:val="en-GB"/>
                      </w:rPr>
                      <m:t>3</m:t>
                    </m:r>
                  </m:sub>
                  <m:sup>
                    <m:r>
                      <w:rPr>
                        <w:rFonts w:ascii="Cambria Math" w:hAnsi="Cambria Math" w:cs="Times New Roman"/>
                        <w:sz w:val="20"/>
                        <w:szCs w:val="20"/>
                        <w:lang w:val="en-GB"/>
                      </w:rPr>
                      <m:t>-</m:t>
                    </m:r>
                  </m:sup>
                </m:sSubSup>
              </m:oMath>
            </m:oMathPara>
          </w:p>
        </w:tc>
        <w:tc>
          <w:tcPr>
            <w:tcW w:w="1984" w:type="dxa"/>
          </w:tcPr>
          <w:p w14:paraId="05C21F8B" w14:textId="77777777" w:rsidR="0070300F" w:rsidRPr="0070300F" w:rsidRDefault="0070300F" w:rsidP="004B157C">
            <w:pPr>
              <w:jc w:val="center"/>
              <w:rPr>
                <w:rFonts w:ascii="Times New Roman" w:hAnsi="Times New Roman" w:cs="Times New Roman"/>
                <w:sz w:val="20"/>
                <w:szCs w:val="20"/>
              </w:rPr>
            </w:pPr>
            <w:r w:rsidRPr="0070300F">
              <w:rPr>
                <w:rFonts w:ascii="Times New Roman" w:hAnsi="Times New Roman" w:cs="Times New Roman"/>
                <w:sz w:val="20"/>
                <w:szCs w:val="20"/>
              </w:rPr>
              <w:t>0.036 [s</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w:t>
            </w:r>
          </w:p>
        </w:tc>
        <w:tc>
          <w:tcPr>
            <w:tcW w:w="1667" w:type="dxa"/>
          </w:tcPr>
          <w:p w14:paraId="0340D0AC" w14:textId="77777777" w:rsidR="0070300F" w:rsidRPr="0070300F" w:rsidRDefault="0070300F" w:rsidP="004B157C">
            <w:pPr>
              <w:jc w:val="center"/>
              <w:rPr>
                <w:rFonts w:ascii="Times New Roman" w:hAnsi="Times New Roman" w:cs="Times New Roman"/>
                <w:sz w:val="20"/>
                <w:szCs w:val="20"/>
              </w:rPr>
            </w:pPr>
            <w:r w:rsidRPr="0070300F">
              <w:rPr>
                <w:rFonts w:ascii="Times New Roman" w:hAnsi="Times New Roman" w:cs="Times New Roman"/>
                <w:sz w:val="20"/>
                <w:szCs w:val="20"/>
              </w:rPr>
              <w:t>7.83×10</w:t>
            </w:r>
            <w:r w:rsidRPr="0070300F">
              <w:rPr>
                <w:rFonts w:ascii="Times New Roman" w:hAnsi="Times New Roman" w:cs="Times New Roman"/>
                <w:sz w:val="20"/>
                <w:szCs w:val="20"/>
                <w:vertAlign w:val="superscript"/>
              </w:rPr>
              <w:t>4</w:t>
            </w:r>
            <w:r w:rsidRPr="0070300F">
              <w:rPr>
                <w:rFonts w:ascii="Times New Roman" w:hAnsi="Times New Roman" w:cs="Times New Roman"/>
                <w:sz w:val="20"/>
                <w:szCs w:val="20"/>
              </w:rPr>
              <w:t xml:space="preserve"> [M</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s</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w:t>
            </w:r>
          </w:p>
        </w:tc>
      </w:tr>
      <w:tr w:rsidR="0070300F" w14:paraId="607192FF" w14:textId="77777777" w:rsidTr="004B157C">
        <w:tc>
          <w:tcPr>
            <w:tcW w:w="3549" w:type="dxa"/>
          </w:tcPr>
          <w:p w14:paraId="433C2F12" w14:textId="77777777" w:rsidR="0070300F" w:rsidRPr="0070300F" w:rsidRDefault="0070300F" w:rsidP="004B157C">
            <w:pPr>
              <w:jc w:val="both"/>
              <w:rPr>
                <w:rFonts w:ascii="Times New Roman" w:hAnsi="Times New Roman" w:cs="Times New Roman"/>
                <w:sz w:val="20"/>
                <w:szCs w:val="20"/>
                <w:lang w:val="en-GB"/>
              </w:rPr>
            </w:pPr>
            <m:oMathPara>
              <m:oMath>
                <m:r>
                  <w:rPr>
                    <w:rFonts w:ascii="Cambria Math" w:hAnsi="Cambria Math" w:cs="Times New Roman"/>
                    <w:sz w:val="20"/>
                    <w:szCs w:val="20"/>
                    <w:lang w:val="en-GB"/>
                  </w:rPr>
                  <m:t>HC</m:t>
                </m:r>
                <m:sSub>
                  <m:sSubPr>
                    <m:ctrlPr>
                      <w:rPr>
                        <w:rFonts w:ascii="Cambria Math" w:hAnsi="Cambria Math" w:cs="Times New Roman"/>
                        <w:sz w:val="20"/>
                        <w:szCs w:val="20"/>
                        <w:lang w:val="en-GB"/>
                      </w:rPr>
                    </m:ctrlPr>
                  </m:sSubPr>
                  <m:e>
                    <m:r>
                      <w:rPr>
                        <w:rFonts w:ascii="Cambria Math" w:hAnsi="Cambria Math" w:cs="Times New Roman"/>
                        <w:sz w:val="20"/>
                        <w:szCs w:val="20"/>
                        <w:lang w:val="en-GB"/>
                      </w:rPr>
                      <m:t>O</m:t>
                    </m:r>
                  </m:e>
                  <m:sub>
                    <m:r>
                      <w:rPr>
                        <w:rFonts w:ascii="Cambria Math" w:hAnsi="Cambria Math" w:cs="Times New Roman"/>
                        <w:sz w:val="20"/>
                        <w:szCs w:val="20"/>
                        <w:lang w:val="en-GB"/>
                      </w:rPr>
                      <m:t>3</m:t>
                    </m:r>
                  </m:sub>
                </m:sSub>
                <m:r>
                  <w:rPr>
                    <w:rFonts w:ascii="Cambria Math" w:hAnsi="Cambria Math" w:cs="Times New Roman"/>
                    <w:sz w:val="20"/>
                    <w:szCs w:val="20"/>
                    <w:lang w:val="en-GB"/>
                  </w:rPr>
                  <m:t>↔</m:t>
                </m:r>
                <m:sSup>
                  <m:sSupPr>
                    <m:ctrlPr>
                      <w:rPr>
                        <w:rFonts w:ascii="Cambria Math" w:hAnsi="Cambria Math" w:cs="Times New Roman"/>
                        <w:sz w:val="20"/>
                        <w:szCs w:val="20"/>
                        <w:lang w:val="en-GB"/>
                      </w:rPr>
                    </m:ctrlPr>
                  </m:sSupPr>
                  <m:e>
                    <m:r>
                      <w:rPr>
                        <w:rFonts w:ascii="Cambria Math" w:hAnsi="Cambria Math" w:cs="Times New Roman"/>
                        <w:sz w:val="20"/>
                        <w:szCs w:val="20"/>
                        <w:lang w:val="en-GB"/>
                      </w:rPr>
                      <m:t>H</m:t>
                    </m:r>
                  </m:e>
                  <m:sup>
                    <m:r>
                      <w:rPr>
                        <w:rFonts w:ascii="Cambria Math" w:hAnsi="Cambria Math" w:cs="Times New Roman"/>
                        <w:sz w:val="20"/>
                        <w:szCs w:val="20"/>
                        <w:lang w:val="en-GB"/>
                      </w:rPr>
                      <m:t>+</m:t>
                    </m:r>
                  </m:sup>
                </m:sSup>
                <m:r>
                  <w:rPr>
                    <w:rFonts w:ascii="Cambria Math" w:hAnsi="Cambria Math" w:cs="Times New Roman"/>
                    <w:sz w:val="20"/>
                    <w:szCs w:val="20"/>
                    <w:lang w:val="en-GB"/>
                  </w:rPr>
                  <m:t>+</m:t>
                </m:r>
                <m:sSubSup>
                  <m:sSubSupPr>
                    <m:ctrlPr>
                      <w:rPr>
                        <w:rFonts w:ascii="Cambria Math" w:hAnsi="Cambria Math" w:cs="Times New Roman"/>
                        <w:i/>
                        <w:sz w:val="20"/>
                        <w:szCs w:val="20"/>
                        <w:lang w:val="en-GB"/>
                      </w:rPr>
                    </m:ctrlPr>
                  </m:sSubSupPr>
                  <m:e>
                    <m:r>
                      <w:rPr>
                        <w:rFonts w:ascii="Cambria Math" w:hAnsi="Cambria Math" w:cs="Times New Roman"/>
                        <w:sz w:val="20"/>
                        <w:szCs w:val="20"/>
                        <w:lang w:val="en-GB"/>
                      </w:rPr>
                      <m:t>CO</m:t>
                    </m:r>
                  </m:e>
                  <m:sub>
                    <m:r>
                      <w:rPr>
                        <w:rFonts w:ascii="Cambria Math" w:hAnsi="Cambria Math" w:cs="Times New Roman"/>
                        <w:sz w:val="20"/>
                        <w:szCs w:val="20"/>
                        <w:lang w:val="en-GB"/>
                      </w:rPr>
                      <m:t>3</m:t>
                    </m:r>
                  </m:sub>
                  <m:sup>
                    <m:r>
                      <w:rPr>
                        <w:rFonts w:ascii="Cambria Math" w:hAnsi="Cambria Math" w:cs="Times New Roman"/>
                        <w:sz w:val="20"/>
                        <w:szCs w:val="20"/>
                        <w:lang w:val="en-GB"/>
                      </w:rPr>
                      <m:t>2-</m:t>
                    </m:r>
                  </m:sup>
                </m:sSubSup>
              </m:oMath>
            </m:oMathPara>
          </w:p>
        </w:tc>
        <w:tc>
          <w:tcPr>
            <w:tcW w:w="1984" w:type="dxa"/>
          </w:tcPr>
          <w:p w14:paraId="76E6A0E0" w14:textId="77777777" w:rsidR="0070300F" w:rsidRPr="0070300F" w:rsidRDefault="0070300F" w:rsidP="004B157C">
            <w:pPr>
              <w:jc w:val="center"/>
              <w:rPr>
                <w:rFonts w:ascii="Times New Roman" w:hAnsi="Times New Roman" w:cs="Times New Roman"/>
                <w:sz w:val="20"/>
                <w:szCs w:val="20"/>
              </w:rPr>
            </w:pPr>
            <w:r w:rsidRPr="0070300F">
              <w:rPr>
                <w:rFonts w:ascii="Times New Roman" w:hAnsi="Times New Roman" w:cs="Times New Roman"/>
                <w:sz w:val="20"/>
                <w:szCs w:val="20"/>
              </w:rPr>
              <w:t>2.5 [s</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w:t>
            </w:r>
          </w:p>
        </w:tc>
        <w:tc>
          <w:tcPr>
            <w:tcW w:w="1667" w:type="dxa"/>
          </w:tcPr>
          <w:p w14:paraId="08B69B54" w14:textId="77777777" w:rsidR="0070300F" w:rsidRPr="0070300F" w:rsidRDefault="0070300F" w:rsidP="004B157C">
            <w:pPr>
              <w:jc w:val="center"/>
              <w:rPr>
                <w:rFonts w:ascii="Times New Roman" w:hAnsi="Times New Roman" w:cs="Times New Roman"/>
                <w:sz w:val="20"/>
                <w:szCs w:val="20"/>
              </w:rPr>
            </w:pPr>
            <w:r w:rsidRPr="0070300F">
              <w:rPr>
                <w:rFonts w:ascii="Times New Roman" w:hAnsi="Times New Roman" w:cs="Times New Roman"/>
                <w:sz w:val="20"/>
                <w:szCs w:val="20"/>
              </w:rPr>
              <w:t>5×10</w:t>
            </w:r>
            <w:r w:rsidRPr="0070300F">
              <w:rPr>
                <w:rFonts w:ascii="Times New Roman" w:hAnsi="Times New Roman" w:cs="Times New Roman"/>
                <w:sz w:val="20"/>
                <w:szCs w:val="20"/>
                <w:vertAlign w:val="superscript"/>
              </w:rPr>
              <w:t>10</w:t>
            </w:r>
            <w:r w:rsidRPr="0070300F">
              <w:rPr>
                <w:rFonts w:ascii="Times New Roman" w:hAnsi="Times New Roman" w:cs="Times New Roman"/>
                <w:sz w:val="20"/>
                <w:szCs w:val="20"/>
              </w:rPr>
              <w:t xml:space="preserve"> [M</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s</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w:t>
            </w:r>
          </w:p>
        </w:tc>
      </w:tr>
      <w:tr w:rsidR="0070300F" w14:paraId="6E1D28E9" w14:textId="77777777" w:rsidTr="004B157C">
        <w:tc>
          <w:tcPr>
            <w:tcW w:w="3549" w:type="dxa"/>
          </w:tcPr>
          <w:p w14:paraId="0021244C" w14:textId="77777777" w:rsidR="0070300F" w:rsidRPr="0070300F" w:rsidRDefault="0070300F" w:rsidP="004B157C">
            <w:pPr>
              <w:jc w:val="both"/>
              <w:rPr>
                <w:rFonts w:ascii="Times New Roman" w:hAnsi="Times New Roman" w:cs="Times New Roman"/>
                <w:sz w:val="20"/>
                <w:szCs w:val="20"/>
                <w:lang w:val="en-GB"/>
              </w:rPr>
            </w:pPr>
            <m:oMathPara>
              <m:oMath>
                <m:r>
                  <w:rPr>
                    <w:rFonts w:ascii="Cambria Math" w:hAnsi="Cambria Math" w:cs="Times New Roman"/>
                    <w:sz w:val="20"/>
                    <w:szCs w:val="20"/>
                    <w:lang w:val="en-GB"/>
                  </w:rPr>
                  <m:t>C</m:t>
                </m:r>
                <m:sSub>
                  <m:sSubPr>
                    <m:ctrlPr>
                      <w:rPr>
                        <w:rFonts w:ascii="Cambria Math" w:hAnsi="Cambria Math" w:cs="Times New Roman"/>
                        <w:sz w:val="20"/>
                        <w:szCs w:val="20"/>
                        <w:lang w:val="en-GB"/>
                      </w:rPr>
                    </m:ctrlPr>
                  </m:sSubPr>
                  <m:e>
                    <m:r>
                      <w:rPr>
                        <w:rFonts w:ascii="Cambria Math" w:hAnsi="Cambria Math" w:cs="Times New Roman"/>
                        <w:sz w:val="20"/>
                        <w:szCs w:val="20"/>
                        <w:lang w:val="en-GB"/>
                      </w:rPr>
                      <m:t>O</m:t>
                    </m:r>
                  </m:e>
                  <m:sub>
                    <m:r>
                      <w:rPr>
                        <w:rFonts w:ascii="Cambria Math" w:hAnsi="Cambria Math" w:cs="Times New Roman"/>
                        <w:sz w:val="20"/>
                        <w:szCs w:val="20"/>
                        <w:lang w:val="en-GB"/>
                      </w:rPr>
                      <m:t>2</m:t>
                    </m:r>
                  </m:sub>
                </m:sSub>
                <m:r>
                  <w:rPr>
                    <w:rFonts w:ascii="Cambria Math" w:hAnsi="Cambria Math" w:cs="Times New Roman"/>
                    <w:sz w:val="20"/>
                    <w:szCs w:val="20"/>
                    <w:lang w:val="en-GB"/>
                  </w:rPr>
                  <m:t>+O</m:t>
                </m:r>
                <m:sSup>
                  <m:sSupPr>
                    <m:ctrlPr>
                      <w:rPr>
                        <w:rFonts w:ascii="Cambria Math" w:hAnsi="Cambria Math" w:cs="Times New Roman"/>
                        <w:sz w:val="20"/>
                        <w:szCs w:val="20"/>
                        <w:lang w:val="en-GB"/>
                      </w:rPr>
                    </m:ctrlPr>
                  </m:sSupPr>
                  <m:e>
                    <m:r>
                      <w:rPr>
                        <w:rFonts w:ascii="Cambria Math" w:hAnsi="Cambria Math" w:cs="Times New Roman"/>
                        <w:sz w:val="20"/>
                        <w:szCs w:val="20"/>
                        <w:lang w:val="en-GB"/>
                      </w:rPr>
                      <m:t>H</m:t>
                    </m:r>
                  </m:e>
                  <m:sup>
                    <m:r>
                      <w:rPr>
                        <w:rFonts w:ascii="Cambria Math" w:hAnsi="Cambria Math" w:cs="Times New Roman"/>
                        <w:sz w:val="20"/>
                        <w:szCs w:val="20"/>
                        <w:lang w:val="en-GB"/>
                      </w:rPr>
                      <m:t>-</m:t>
                    </m:r>
                  </m:sup>
                </m:sSup>
                <m:r>
                  <w:rPr>
                    <w:rFonts w:ascii="Cambria Math" w:hAnsi="Cambria Math" w:cs="Times New Roman"/>
                    <w:sz w:val="20"/>
                    <w:szCs w:val="20"/>
                    <w:lang w:val="en-GB"/>
                  </w:rPr>
                  <m:t>↔</m:t>
                </m:r>
                <m:sSubSup>
                  <m:sSubSupPr>
                    <m:ctrlPr>
                      <w:rPr>
                        <w:rFonts w:ascii="Cambria Math" w:hAnsi="Cambria Math" w:cs="Times New Roman"/>
                        <w:i/>
                        <w:sz w:val="20"/>
                        <w:szCs w:val="20"/>
                        <w:lang w:val="en-GB"/>
                      </w:rPr>
                    </m:ctrlPr>
                  </m:sSubSupPr>
                  <m:e>
                    <m:r>
                      <w:rPr>
                        <w:rFonts w:ascii="Cambria Math" w:hAnsi="Cambria Math" w:cs="Times New Roman"/>
                        <w:sz w:val="20"/>
                        <w:szCs w:val="20"/>
                        <w:lang w:val="en-GB"/>
                      </w:rPr>
                      <m:t>HCO</m:t>
                    </m:r>
                  </m:e>
                  <m:sub>
                    <m:r>
                      <w:rPr>
                        <w:rFonts w:ascii="Cambria Math" w:hAnsi="Cambria Math" w:cs="Times New Roman"/>
                        <w:sz w:val="20"/>
                        <w:szCs w:val="20"/>
                        <w:lang w:val="en-GB"/>
                      </w:rPr>
                      <m:t>3</m:t>
                    </m:r>
                  </m:sub>
                  <m:sup>
                    <m:r>
                      <w:rPr>
                        <w:rFonts w:ascii="Cambria Math" w:hAnsi="Cambria Math" w:cs="Times New Roman"/>
                        <w:sz w:val="20"/>
                        <w:szCs w:val="20"/>
                        <w:lang w:val="en-GB"/>
                      </w:rPr>
                      <m:t>-</m:t>
                    </m:r>
                  </m:sup>
                </m:sSubSup>
              </m:oMath>
            </m:oMathPara>
          </w:p>
        </w:tc>
        <w:tc>
          <w:tcPr>
            <w:tcW w:w="1984" w:type="dxa"/>
          </w:tcPr>
          <w:p w14:paraId="127A1B0E" w14:textId="77777777" w:rsidR="0070300F" w:rsidRPr="0070300F" w:rsidRDefault="0070300F" w:rsidP="004B157C">
            <w:pPr>
              <w:jc w:val="center"/>
              <w:rPr>
                <w:rFonts w:ascii="Times New Roman" w:hAnsi="Times New Roman" w:cs="Times New Roman"/>
                <w:sz w:val="20"/>
                <w:szCs w:val="20"/>
              </w:rPr>
            </w:pPr>
            <w:r w:rsidRPr="0070300F">
              <w:rPr>
                <w:rFonts w:ascii="Times New Roman" w:hAnsi="Times New Roman" w:cs="Times New Roman"/>
                <w:sz w:val="20"/>
                <w:szCs w:val="20"/>
              </w:rPr>
              <w:t>2.23×10</w:t>
            </w:r>
            <w:r w:rsidRPr="0070300F">
              <w:rPr>
                <w:rFonts w:ascii="Times New Roman" w:hAnsi="Times New Roman" w:cs="Times New Roman"/>
                <w:sz w:val="20"/>
                <w:szCs w:val="20"/>
                <w:vertAlign w:val="superscript"/>
              </w:rPr>
              <w:t xml:space="preserve">3 </w:t>
            </w:r>
            <w:r w:rsidRPr="0070300F">
              <w:rPr>
                <w:rFonts w:ascii="Times New Roman" w:hAnsi="Times New Roman" w:cs="Times New Roman"/>
                <w:sz w:val="20"/>
                <w:szCs w:val="20"/>
              </w:rPr>
              <w:t>[M</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s</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w:t>
            </w:r>
          </w:p>
        </w:tc>
        <w:tc>
          <w:tcPr>
            <w:tcW w:w="1667" w:type="dxa"/>
          </w:tcPr>
          <w:p w14:paraId="716C9857" w14:textId="77777777" w:rsidR="0070300F" w:rsidRPr="0070300F" w:rsidRDefault="0070300F" w:rsidP="004B157C">
            <w:pPr>
              <w:jc w:val="center"/>
              <w:rPr>
                <w:rFonts w:ascii="Times New Roman" w:hAnsi="Times New Roman" w:cs="Times New Roman"/>
                <w:sz w:val="20"/>
                <w:szCs w:val="20"/>
              </w:rPr>
            </w:pPr>
            <w:r w:rsidRPr="0070300F">
              <w:rPr>
                <w:rFonts w:ascii="Times New Roman" w:hAnsi="Times New Roman" w:cs="Times New Roman"/>
                <w:sz w:val="20"/>
                <w:szCs w:val="20"/>
              </w:rPr>
              <w:t>4.85×10</w:t>
            </w:r>
            <w:r w:rsidRPr="0070300F">
              <w:rPr>
                <w:rFonts w:ascii="Times New Roman" w:hAnsi="Times New Roman" w:cs="Times New Roman"/>
                <w:sz w:val="20"/>
                <w:szCs w:val="20"/>
                <w:vertAlign w:val="superscript"/>
              </w:rPr>
              <w:t>-5</w:t>
            </w:r>
            <w:r w:rsidRPr="0070300F">
              <w:rPr>
                <w:rFonts w:ascii="Times New Roman" w:hAnsi="Times New Roman" w:cs="Times New Roman"/>
                <w:sz w:val="20"/>
                <w:szCs w:val="20"/>
              </w:rPr>
              <w:t xml:space="preserve"> [M</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s</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w:t>
            </w:r>
          </w:p>
        </w:tc>
      </w:tr>
      <w:tr w:rsidR="0070300F" w14:paraId="09EE2B29" w14:textId="77777777" w:rsidTr="004B157C">
        <w:tc>
          <w:tcPr>
            <w:tcW w:w="3549" w:type="dxa"/>
          </w:tcPr>
          <w:p w14:paraId="6FB766DB" w14:textId="77777777" w:rsidR="0070300F" w:rsidRPr="0070300F" w:rsidRDefault="00D37A04" w:rsidP="004B157C">
            <w:pPr>
              <w:jc w:val="both"/>
              <w:rPr>
                <w:rFonts w:ascii="Times New Roman" w:hAnsi="Times New Roman" w:cs="Times New Roman"/>
                <w:sz w:val="20"/>
                <w:szCs w:val="20"/>
                <w:lang w:val="en-GB"/>
              </w:rPr>
            </w:pPr>
            <m:oMathPara>
              <m:oMath>
                <m:sSubSup>
                  <m:sSubSupPr>
                    <m:ctrlPr>
                      <w:rPr>
                        <w:rFonts w:ascii="Cambria Math" w:hAnsi="Cambria Math" w:cs="Times New Roman"/>
                        <w:i/>
                        <w:sz w:val="20"/>
                        <w:szCs w:val="20"/>
                        <w:lang w:val="en-GB"/>
                      </w:rPr>
                    </m:ctrlPr>
                  </m:sSubSupPr>
                  <m:e>
                    <m:r>
                      <w:rPr>
                        <w:rFonts w:ascii="Cambria Math" w:hAnsi="Cambria Math" w:cs="Times New Roman"/>
                        <w:sz w:val="20"/>
                        <w:szCs w:val="20"/>
                        <w:lang w:val="en-GB"/>
                      </w:rPr>
                      <m:t>HCO</m:t>
                    </m:r>
                  </m:e>
                  <m:sub>
                    <m:r>
                      <w:rPr>
                        <w:rFonts w:ascii="Cambria Math" w:hAnsi="Cambria Math" w:cs="Times New Roman"/>
                        <w:sz w:val="20"/>
                        <w:szCs w:val="20"/>
                        <w:lang w:val="en-GB"/>
                      </w:rPr>
                      <m:t>3</m:t>
                    </m:r>
                  </m:sub>
                  <m:sup>
                    <m:r>
                      <w:rPr>
                        <w:rFonts w:ascii="Cambria Math" w:hAnsi="Cambria Math" w:cs="Times New Roman"/>
                        <w:sz w:val="20"/>
                        <w:szCs w:val="20"/>
                        <w:lang w:val="en-GB"/>
                      </w:rPr>
                      <m:t>-</m:t>
                    </m:r>
                  </m:sup>
                </m:sSubSup>
                <m:r>
                  <w:rPr>
                    <w:rFonts w:ascii="Cambria Math" w:hAnsi="Cambria Math" w:cs="Times New Roman"/>
                    <w:sz w:val="20"/>
                    <w:szCs w:val="20"/>
                    <w:lang w:val="en-GB"/>
                  </w:rPr>
                  <m:t>+O</m:t>
                </m:r>
                <m:sSup>
                  <m:sSupPr>
                    <m:ctrlPr>
                      <w:rPr>
                        <w:rFonts w:ascii="Cambria Math" w:hAnsi="Cambria Math" w:cs="Times New Roman"/>
                        <w:sz w:val="20"/>
                        <w:szCs w:val="20"/>
                        <w:lang w:val="en-GB"/>
                      </w:rPr>
                    </m:ctrlPr>
                  </m:sSupPr>
                  <m:e>
                    <m:r>
                      <w:rPr>
                        <w:rFonts w:ascii="Cambria Math" w:hAnsi="Cambria Math" w:cs="Times New Roman"/>
                        <w:sz w:val="20"/>
                        <w:szCs w:val="20"/>
                        <w:lang w:val="en-GB"/>
                      </w:rPr>
                      <m:t>H</m:t>
                    </m:r>
                  </m:e>
                  <m:sup>
                    <m:r>
                      <w:rPr>
                        <w:rFonts w:ascii="Cambria Math" w:hAnsi="Cambria Math" w:cs="Times New Roman"/>
                        <w:sz w:val="20"/>
                        <w:szCs w:val="20"/>
                        <w:lang w:val="en-GB"/>
                      </w:rPr>
                      <m:t>-</m:t>
                    </m:r>
                  </m:sup>
                </m:sSup>
                <m:r>
                  <w:rPr>
                    <w:rFonts w:ascii="Cambria Math" w:hAnsi="Cambria Math" w:cs="Times New Roman"/>
                    <w:sz w:val="20"/>
                    <w:szCs w:val="20"/>
                    <w:lang w:val="en-GB"/>
                  </w:rPr>
                  <m:t>↔</m:t>
                </m:r>
                <m:sSubSup>
                  <m:sSubSupPr>
                    <m:ctrlPr>
                      <w:rPr>
                        <w:rFonts w:ascii="Cambria Math" w:hAnsi="Cambria Math" w:cs="Times New Roman"/>
                        <w:i/>
                        <w:sz w:val="20"/>
                        <w:szCs w:val="20"/>
                        <w:lang w:val="en-GB"/>
                      </w:rPr>
                    </m:ctrlPr>
                  </m:sSubSupPr>
                  <m:e>
                    <m:r>
                      <w:rPr>
                        <w:rFonts w:ascii="Cambria Math" w:hAnsi="Cambria Math" w:cs="Times New Roman"/>
                        <w:sz w:val="20"/>
                        <w:szCs w:val="20"/>
                        <w:lang w:val="en-GB"/>
                      </w:rPr>
                      <m:t>CO</m:t>
                    </m:r>
                  </m:e>
                  <m:sub>
                    <m:r>
                      <w:rPr>
                        <w:rFonts w:ascii="Cambria Math" w:hAnsi="Cambria Math" w:cs="Times New Roman"/>
                        <w:sz w:val="20"/>
                        <w:szCs w:val="20"/>
                        <w:lang w:val="en-GB"/>
                      </w:rPr>
                      <m:t>3</m:t>
                    </m:r>
                  </m:sub>
                  <m:sup>
                    <m:r>
                      <w:rPr>
                        <w:rFonts w:ascii="Cambria Math" w:hAnsi="Cambria Math" w:cs="Times New Roman"/>
                        <w:sz w:val="20"/>
                        <w:szCs w:val="20"/>
                        <w:lang w:val="en-GB"/>
                      </w:rPr>
                      <m:t>2-</m:t>
                    </m:r>
                  </m:sup>
                </m:sSubSup>
                <m:r>
                  <w:rPr>
                    <w:rFonts w:ascii="Cambria Math" w:hAnsi="Cambria Math" w:cs="Times New Roman"/>
                    <w:sz w:val="20"/>
                    <w:szCs w:val="20"/>
                    <w:lang w:val="en-GB"/>
                  </w:rPr>
                  <m:t>+</m:t>
                </m:r>
                <m:sSub>
                  <m:sSubPr>
                    <m:ctrlPr>
                      <w:rPr>
                        <w:rFonts w:ascii="Cambria Math" w:hAnsi="Cambria Math" w:cs="Times New Roman"/>
                        <w:sz w:val="20"/>
                        <w:szCs w:val="20"/>
                        <w:lang w:val="en-GB"/>
                      </w:rPr>
                    </m:ctrlPr>
                  </m:sSubPr>
                  <m:e>
                    <m:r>
                      <w:rPr>
                        <w:rFonts w:ascii="Cambria Math" w:hAnsi="Cambria Math" w:cs="Times New Roman"/>
                        <w:sz w:val="20"/>
                        <w:szCs w:val="20"/>
                        <w:lang w:val="en-GB"/>
                      </w:rPr>
                      <m:t>H</m:t>
                    </m:r>
                  </m:e>
                  <m:sub>
                    <m:r>
                      <w:rPr>
                        <w:rFonts w:ascii="Cambria Math" w:hAnsi="Cambria Math" w:cs="Times New Roman"/>
                        <w:sz w:val="20"/>
                        <w:szCs w:val="20"/>
                        <w:lang w:val="en-GB"/>
                      </w:rPr>
                      <m:t>2</m:t>
                    </m:r>
                  </m:sub>
                </m:sSub>
                <m:r>
                  <w:rPr>
                    <w:rFonts w:ascii="Cambria Math" w:hAnsi="Cambria Math" w:cs="Times New Roman"/>
                    <w:sz w:val="20"/>
                    <w:szCs w:val="20"/>
                    <w:lang w:val="en-GB"/>
                  </w:rPr>
                  <m:t>O</m:t>
                </m:r>
              </m:oMath>
            </m:oMathPara>
          </w:p>
        </w:tc>
        <w:tc>
          <w:tcPr>
            <w:tcW w:w="1984" w:type="dxa"/>
          </w:tcPr>
          <w:p w14:paraId="69F1D545" w14:textId="77777777" w:rsidR="0070300F" w:rsidRPr="0070300F" w:rsidRDefault="0070300F" w:rsidP="004B157C">
            <w:pPr>
              <w:jc w:val="center"/>
              <w:rPr>
                <w:rFonts w:ascii="Times New Roman" w:hAnsi="Times New Roman" w:cs="Times New Roman"/>
                <w:sz w:val="20"/>
                <w:szCs w:val="20"/>
              </w:rPr>
            </w:pPr>
            <w:r w:rsidRPr="0070300F">
              <w:rPr>
                <w:rFonts w:ascii="Times New Roman" w:hAnsi="Times New Roman" w:cs="Times New Roman"/>
                <w:sz w:val="20"/>
                <w:szCs w:val="20"/>
              </w:rPr>
              <w:t>6×10</w:t>
            </w:r>
            <w:r w:rsidRPr="0070300F">
              <w:rPr>
                <w:rFonts w:ascii="Times New Roman" w:hAnsi="Times New Roman" w:cs="Times New Roman"/>
                <w:sz w:val="20"/>
                <w:szCs w:val="20"/>
                <w:vertAlign w:val="superscript"/>
              </w:rPr>
              <w:t xml:space="preserve">9 </w:t>
            </w:r>
            <w:r w:rsidRPr="0070300F">
              <w:rPr>
                <w:rFonts w:ascii="Times New Roman" w:hAnsi="Times New Roman" w:cs="Times New Roman"/>
                <w:sz w:val="20"/>
                <w:szCs w:val="20"/>
              </w:rPr>
              <w:t>[M</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s</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w:t>
            </w:r>
          </w:p>
        </w:tc>
        <w:tc>
          <w:tcPr>
            <w:tcW w:w="1667" w:type="dxa"/>
          </w:tcPr>
          <w:p w14:paraId="7D8F9FB0" w14:textId="77777777" w:rsidR="0070300F" w:rsidRPr="0070300F" w:rsidRDefault="0070300F" w:rsidP="004B157C">
            <w:pPr>
              <w:jc w:val="center"/>
              <w:rPr>
                <w:rFonts w:ascii="Times New Roman" w:hAnsi="Times New Roman" w:cs="Times New Roman"/>
                <w:sz w:val="20"/>
                <w:szCs w:val="20"/>
              </w:rPr>
            </w:pPr>
            <w:r w:rsidRPr="0070300F">
              <w:rPr>
                <w:rFonts w:ascii="Times New Roman" w:hAnsi="Times New Roman" w:cs="Times New Roman"/>
                <w:sz w:val="20"/>
                <w:szCs w:val="20"/>
              </w:rPr>
              <w:t>1.2 [s</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w:t>
            </w:r>
          </w:p>
        </w:tc>
      </w:tr>
      <w:tr w:rsidR="0070300F" w14:paraId="2E35200E" w14:textId="77777777" w:rsidTr="004B157C">
        <w:tc>
          <w:tcPr>
            <w:tcW w:w="3549" w:type="dxa"/>
          </w:tcPr>
          <w:p w14:paraId="10FA8011" w14:textId="77777777" w:rsidR="0070300F" w:rsidRPr="0070300F" w:rsidRDefault="00D37A04" w:rsidP="004B157C">
            <w:pPr>
              <w:jc w:val="both"/>
              <w:rPr>
                <w:rFonts w:ascii="Times New Roman" w:hAnsi="Times New Roman" w:cs="Times New Roman"/>
                <w:sz w:val="20"/>
                <w:szCs w:val="20"/>
                <w:lang w:val="en-GB"/>
              </w:rPr>
            </w:pPr>
            <m:oMathPara>
              <m:oMath>
                <m:sSub>
                  <m:sSubPr>
                    <m:ctrlPr>
                      <w:rPr>
                        <w:rFonts w:ascii="Cambria Math" w:hAnsi="Cambria Math" w:cs="Times New Roman"/>
                        <w:i/>
                        <w:sz w:val="20"/>
                        <w:szCs w:val="20"/>
                        <w:lang w:val="en-GB"/>
                      </w:rPr>
                    </m:ctrlPr>
                  </m:sSubPr>
                  <m:e>
                    <m:r>
                      <w:rPr>
                        <w:rFonts w:ascii="Cambria Math" w:hAnsi="Cambria Math" w:cs="Times New Roman"/>
                        <w:sz w:val="20"/>
                        <w:szCs w:val="20"/>
                        <w:lang w:val="en-GB"/>
                      </w:rPr>
                      <m:t>K</m:t>
                    </m:r>
                  </m:e>
                  <m:sub>
                    <m:r>
                      <w:rPr>
                        <w:rFonts w:ascii="Cambria Math" w:hAnsi="Cambria Math" w:cs="Times New Roman"/>
                        <w:sz w:val="20"/>
                        <w:szCs w:val="20"/>
                        <w:lang w:val="en-GB"/>
                      </w:rPr>
                      <m:t>2</m:t>
                    </m:r>
                  </m:sub>
                </m:sSub>
                <m:r>
                  <w:rPr>
                    <w:rFonts w:ascii="Cambria Math" w:hAnsi="Cambria Math" w:cs="Times New Roman"/>
                    <w:sz w:val="20"/>
                    <w:szCs w:val="20"/>
                    <w:lang w:val="en-GB"/>
                  </w:rPr>
                  <m:t>S</m:t>
                </m:r>
                <m:sSub>
                  <m:sSubPr>
                    <m:ctrlPr>
                      <w:rPr>
                        <w:rFonts w:ascii="Cambria Math" w:hAnsi="Cambria Math" w:cs="Times New Roman"/>
                        <w:sz w:val="20"/>
                        <w:szCs w:val="20"/>
                        <w:lang w:val="en-GB"/>
                      </w:rPr>
                    </m:ctrlPr>
                  </m:sSubPr>
                  <m:e>
                    <m:r>
                      <w:rPr>
                        <w:rFonts w:ascii="Cambria Math" w:hAnsi="Cambria Math" w:cs="Times New Roman"/>
                        <w:sz w:val="20"/>
                        <w:szCs w:val="20"/>
                        <w:lang w:val="en-GB"/>
                      </w:rPr>
                      <m:t>O</m:t>
                    </m:r>
                  </m:e>
                  <m:sub>
                    <m:r>
                      <w:rPr>
                        <w:rFonts w:ascii="Cambria Math" w:hAnsi="Cambria Math" w:cs="Times New Roman"/>
                        <w:sz w:val="20"/>
                        <w:szCs w:val="20"/>
                        <w:lang w:val="en-GB"/>
                      </w:rPr>
                      <m:t>4</m:t>
                    </m:r>
                  </m:sub>
                </m:sSub>
                <m:r>
                  <w:rPr>
                    <w:rFonts w:ascii="Cambria Math" w:hAnsi="Cambria Math" w:cs="Times New Roman"/>
                    <w:sz w:val="20"/>
                    <w:szCs w:val="20"/>
                    <w:lang w:val="en-GB"/>
                  </w:rPr>
                  <m:t>↔2</m:t>
                </m:r>
                <m:sSup>
                  <m:sSupPr>
                    <m:ctrlPr>
                      <w:rPr>
                        <w:rFonts w:ascii="Cambria Math" w:hAnsi="Cambria Math" w:cs="Times New Roman"/>
                        <w:sz w:val="20"/>
                        <w:szCs w:val="20"/>
                        <w:lang w:val="en-GB"/>
                      </w:rPr>
                    </m:ctrlPr>
                  </m:sSupPr>
                  <m:e>
                    <m:r>
                      <w:rPr>
                        <w:rFonts w:ascii="Cambria Math" w:hAnsi="Cambria Math" w:cs="Times New Roman"/>
                        <w:sz w:val="20"/>
                        <w:szCs w:val="20"/>
                        <w:lang w:val="en-GB"/>
                      </w:rPr>
                      <m:t>K</m:t>
                    </m:r>
                  </m:e>
                  <m:sup>
                    <m:r>
                      <w:rPr>
                        <w:rFonts w:ascii="Cambria Math" w:hAnsi="Cambria Math" w:cs="Times New Roman"/>
                        <w:sz w:val="20"/>
                        <w:szCs w:val="20"/>
                        <w:lang w:val="en-GB"/>
                      </w:rPr>
                      <m:t>+</m:t>
                    </m:r>
                  </m:sup>
                </m:sSup>
                <m:r>
                  <w:rPr>
                    <w:rFonts w:ascii="Cambria Math" w:hAnsi="Cambria Math" w:cs="Times New Roman"/>
                    <w:sz w:val="20"/>
                    <w:szCs w:val="20"/>
                    <w:lang w:val="en-GB"/>
                  </w:rPr>
                  <m:t>+</m:t>
                </m:r>
                <m:sSubSup>
                  <m:sSubSupPr>
                    <m:ctrlPr>
                      <w:rPr>
                        <w:rFonts w:ascii="Cambria Math" w:hAnsi="Cambria Math" w:cs="Times New Roman"/>
                        <w:i/>
                        <w:sz w:val="20"/>
                        <w:szCs w:val="20"/>
                        <w:lang w:val="en-GB"/>
                      </w:rPr>
                    </m:ctrlPr>
                  </m:sSubSupPr>
                  <m:e>
                    <m:r>
                      <w:rPr>
                        <w:rFonts w:ascii="Cambria Math" w:hAnsi="Cambria Math" w:cs="Times New Roman"/>
                        <w:sz w:val="20"/>
                        <w:szCs w:val="20"/>
                        <w:lang w:val="en-GB"/>
                      </w:rPr>
                      <m:t>SO</m:t>
                    </m:r>
                  </m:e>
                  <m:sub>
                    <m:r>
                      <w:rPr>
                        <w:rFonts w:ascii="Cambria Math" w:hAnsi="Cambria Math" w:cs="Times New Roman"/>
                        <w:sz w:val="20"/>
                        <w:szCs w:val="20"/>
                        <w:lang w:val="en-GB"/>
                      </w:rPr>
                      <m:t>4</m:t>
                    </m:r>
                  </m:sub>
                  <m:sup>
                    <m:r>
                      <w:rPr>
                        <w:rFonts w:ascii="Cambria Math" w:hAnsi="Cambria Math" w:cs="Times New Roman"/>
                        <w:sz w:val="20"/>
                        <w:szCs w:val="20"/>
                        <w:lang w:val="en-GB"/>
                      </w:rPr>
                      <m:t>2-</m:t>
                    </m:r>
                  </m:sup>
                </m:sSubSup>
              </m:oMath>
            </m:oMathPara>
          </w:p>
        </w:tc>
        <w:tc>
          <w:tcPr>
            <w:tcW w:w="1984" w:type="dxa"/>
          </w:tcPr>
          <w:p w14:paraId="750FBA2E" w14:textId="77777777" w:rsidR="0070300F" w:rsidRPr="0070300F" w:rsidRDefault="0070300F" w:rsidP="004B157C">
            <w:pPr>
              <w:jc w:val="center"/>
              <w:rPr>
                <w:rFonts w:ascii="Times New Roman" w:hAnsi="Times New Roman" w:cs="Times New Roman"/>
                <w:sz w:val="20"/>
                <w:szCs w:val="20"/>
              </w:rPr>
            </w:pPr>
            <w:r w:rsidRPr="0070300F">
              <w:rPr>
                <w:rFonts w:ascii="Times New Roman" w:hAnsi="Times New Roman" w:cs="Times New Roman"/>
                <w:sz w:val="20"/>
                <w:szCs w:val="20"/>
              </w:rPr>
              <w:t>1×10</w:t>
            </w:r>
            <w:r w:rsidRPr="0070300F">
              <w:rPr>
                <w:rFonts w:ascii="Times New Roman" w:hAnsi="Times New Roman" w:cs="Times New Roman"/>
                <w:sz w:val="20"/>
                <w:szCs w:val="20"/>
                <w:vertAlign w:val="superscript"/>
              </w:rPr>
              <w:t>7</w:t>
            </w:r>
            <w:r w:rsidRPr="0070300F">
              <w:rPr>
                <w:rFonts w:ascii="Times New Roman" w:hAnsi="Times New Roman" w:cs="Times New Roman"/>
                <w:sz w:val="20"/>
                <w:szCs w:val="20"/>
              </w:rPr>
              <w:t xml:space="preserve"> [s</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w:t>
            </w:r>
          </w:p>
        </w:tc>
        <w:tc>
          <w:tcPr>
            <w:tcW w:w="1667" w:type="dxa"/>
          </w:tcPr>
          <w:p w14:paraId="776664C7" w14:textId="77777777" w:rsidR="0070300F" w:rsidRPr="0070300F" w:rsidRDefault="0070300F" w:rsidP="004B157C">
            <w:pPr>
              <w:jc w:val="center"/>
              <w:rPr>
                <w:rFonts w:ascii="Times New Roman" w:hAnsi="Times New Roman" w:cs="Times New Roman"/>
                <w:sz w:val="20"/>
                <w:szCs w:val="20"/>
              </w:rPr>
            </w:pPr>
            <w:r w:rsidRPr="0070300F">
              <w:rPr>
                <w:rFonts w:ascii="Times New Roman" w:hAnsi="Times New Roman" w:cs="Times New Roman"/>
                <w:sz w:val="20"/>
                <w:szCs w:val="20"/>
              </w:rPr>
              <w:t>7.96×10</w:t>
            </w:r>
            <w:r w:rsidRPr="0070300F">
              <w:rPr>
                <w:rFonts w:ascii="Times New Roman" w:hAnsi="Times New Roman" w:cs="Times New Roman"/>
                <w:sz w:val="20"/>
                <w:szCs w:val="20"/>
                <w:vertAlign w:val="superscript"/>
              </w:rPr>
              <w:t>7</w:t>
            </w:r>
            <w:r w:rsidRPr="0070300F">
              <w:rPr>
                <w:rFonts w:ascii="Times New Roman" w:hAnsi="Times New Roman" w:cs="Times New Roman"/>
                <w:sz w:val="20"/>
                <w:szCs w:val="20"/>
              </w:rPr>
              <w:t xml:space="preserve"> [M</w:t>
            </w:r>
            <w:r w:rsidRPr="0070300F">
              <w:rPr>
                <w:rFonts w:ascii="Times New Roman" w:hAnsi="Times New Roman" w:cs="Times New Roman"/>
                <w:sz w:val="20"/>
                <w:szCs w:val="20"/>
                <w:vertAlign w:val="superscript"/>
              </w:rPr>
              <w:t>-2</w:t>
            </w:r>
            <w:r w:rsidRPr="0070300F">
              <w:rPr>
                <w:rFonts w:ascii="Times New Roman" w:hAnsi="Times New Roman" w:cs="Times New Roman"/>
                <w:sz w:val="20"/>
                <w:szCs w:val="20"/>
              </w:rPr>
              <w:t>s</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w:t>
            </w:r>
          </w:p>
        </w:tc>
      </w:tr>
      <w:tr w:rsidR="0070300F" w14:paraId="7CD9CBD9" w14:textId="77777777" w:rsidTr="004B157C">
        <w:tc>
          <w:tcPr>
            <w:tcW w:w="3549" w:type="dxa"/>
          </w:tcPr>
          <w:p w14:paraId="471B7301" w14:textId="77777777" w:rsidR="0070300F" w:rsidRPr="0070300F" w:rsidRDefault="00D37A04" w:rsidP="004B157C">
            <w:pPr>
              <w:jc w:val="both"/>
              <w:rPr>
                <w:rFonts w:ascii="Times New Roman" w:hAnsi="Times New Roman" w:cs="Times New Roman"/>
                <w:sz w:val="20"/>
                <w:szCs w:val="20"/>
                <w:lang w:val="en-GB"/>
              </w:rPr>
            </w:pPr>
            <m:oMathPara>
              <m:oMath>
                <m:sSub>
                  <m:sSubPr>
                    <m:ctrlPr>
                      <w:rPr>
                        <w:rFonts w:ascii="Cambria Math" w:hAnsi="Cambria Math" w:cs="Times New Roman"/>
                        <w:sz w:val="20"/>
                        <w:szCs w:val="20"/>
                        <w:lang w:val="en-GB"/>
                      </w:rPr>
                    </m:ctrlPr>
                  </m:sSubPr>
                  <m:e>
                    <m:r>
                      <w:rPr>
                        <w:rFonts w:ascii="Cambria Math" w:hAnsi="Cambria Math" w:cs="Times New Roman"/>
                        <w:sz w:val="20"/>
                        <w:szCs w:val="20"/>
                        <w:lang w:val="en-GB"/>
                      </w:rPr>
                      <m:t>H</m:t>
                    </m:r>
                  </m:e>
                  <m:sub>
                    <m:r>
                      <w:rPr>
                        <w:rFonts w:ascii="Cambria Math" w:hAnsi="Cambria Math" w:cs="Times New Roman"/>
                        <w:sz w:val="20"/>
                        <w:szCs w:val="20"/>
                        <w:lang w:val="en-GB"/>
                      </w:rPr>
                      <m:t>2</m:t>
                    </m:r>
                  </m:sub>
                </m:sSub>
                <m:r>
                  <w:rPr>
                    <w:rFonts w:ascii="Cambria Math" w:hAnsi="Cambria Math" w:cs="Times New Roman"/>
                    <w:sz w:val="20"/>
                    <w:szCs w:val="20"/>
                    <w:lang w:val="en-GB"/>
                  </w:rPr>
                  <m:t>O↔</m:t>
                </m:r>
                <m:sSup>
                  <m:sSupPr>
                    <m:ctrlPr>
                      <w:rPr>
                        <w:rFonts w:ascii="Cambria Math" w:hAnsi="Cambria Math" w:cs="Times New Roman"/>
                        <w:sz w:val="20"/>
                        <w:szCs w:val="20"/>
                        <w:lang w:val="en-GB"/>
                      </w:rPr>
                    </m:ctrlPr>
                  </m:sSupPr>
                  <m:e>
                    <m:r>
                      <w:rPr>
                        <w:rFonts w:ascii="Cambria Math" w:hAnsi="Cambria Math" w:cs="Times New Roman"/>
                        <w:sz w:val="20"/>
                        <w:szCs w:val="20"/>
                        <w:lang w:val="en-GB"/>
                      </w:rPr>
                      <m:t>H</m:t>
                    </m:r>
                  </m:e>
                  <m:sup>
                    <m:r>
                      <w:rPr>
                        <w:rFonts w:ascii="Cambria Math" w:hAnsi="Cambria Math" w:cs="Times New Roman"/>
                        <w:sz w:val="20"/>
                        <w:szCs w:val="20"/>
                        <w:lang w:val="en-GB"/>
                      </w:rPr>
                      <m:t>+</m:t>
                    </m:r>
                  </m:sup>
                </m:sSup>
                <m:r>
                  <w:rPr>
                    <w:rFonts w:ascii="Cambria Math" w:hAnsi="Cambria Math" w:cs="Times New Roman"/>
                    <w:sz w:val="20"/>
                    <w:szCs w:val="20"/>
                    <w:lang w:val="en-GB"/>
                  </w:rPr>
                  <m:t>+ O</m:t>
                </m:r>
                <m:sSup>
                  <m:sSupPr>
                    <m:ctrlPr>
                      <w:rPr>
                        <w:rFonts w:ascii="Cambria Math" w:hAnsi="Cambria Math" w:cs="Times New Roman"/>
                        <w:sz w:val="20"/>
                        <w:szCs w:val="20"/>
                        <w:lang w:val="en-GB"/>
                      </w:rPr>
                    </m:ctrlPr>
                  </m:sSupPr>
                  <m:e>
                    <m:r>
                      <w:rPr>
                        <w:rFonts w:ascii="Cambria Math" w:hAnsi="Cambria Math" w:cs="Times New Roman"/>
                        <w:sz w:val="20"/>
                        <w:szCs w:val="20"/>
                        <w:lang w:val="en-GB"/>
                      </w:rPr>
                      <m:t>H</m:t>
                    </m:r>
                  </m:e>
                  <m:sup>
                    <m:r>
                      <w:rPr>
                        <w:rFonts w:ascii="Cambria Math" w:hAnsi="Cambria Math" w:cs="Times New Roman"/>
                        <w:sz w:val="20"/>
                        <w:szCs w:val="20"/>
                        <w:lang w:val="en-GB"/>
                      </w:rPr>
                      <m:t>-</m:t>
                    </m:r>
                  </m:sup>
                </m:sSup>
              </m:oMath>
            </m:oMathPara>
          </w:p>
        </w:tc>
        <w:tc>
          <w:tcPr>
            <w:tcW w:w="1984" w:type="dxa"/>
          </w:tcPr>
          <w:p w14:paraId="0317D6DE" w14:textId="77777777" w:rsidR="0070300F" w:rsidRPr="0070300F" w:rsidRDefault="0070300F" w:rsidP="004B157C">
            <w:pPr>
              <w:jc w:val="center"/>
              <w:rPr>
                <w:rFonts w:ascii="Times New Roman" w:hAnsi="Times New Roman" w:cs="Times New Roman"/>
                <w:sz w:val="20"/>
                <w:szCs w:val="20"/>
              </w:rPr>
            </w:pPr>
            <w:r w:rsidRPr="0070300F">
              <w:rPr>
                <w:rFonts w:ascii="Times New Roman" w:hAnsi="Times New Roman" w:cs="Times New Roman"/>
                <w:sz w:val="20"/>
                <w:szCs w:val="20"/>
              </w:rPr>
              <w:t>10</w:t>
            </w:r>
            <w:r w:rsidRPr="0070300F">
              <w:rPr>
                <w:rFonts w:ascii="Times New Roman" w:hAnsi="Times New Roman" w:cs="Times New Roman"/>
                <w:sz w:val="20"/>
                <w:szCs w:val="20"/>
                <w:vertAlign w:val="superscript"/>
              </w:rPr>
              <w:t>8</w:t>
            </w:r>
            <w:r w:rsidRPr="0070300F">
              <w:rPr>
                <w:rFonts w:ascii="Times New Roman" w:hAnsi="Times New Roman" w:cs="Times New Roman"/>
                <w:sz w:val="20"/>
                <w:szCs w:val="20"/>
              </w:rPr>
              <w:t xml:space="preserve"> [s</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w:t>
            </w:r>
          </w:p>
        </w:tc>
        <w:tc>
          <w:tcPr>
            <w:tcW w:w="1667" w:type="dxa"/>
          </w:tcPr>
          <w:p w14:paraId="449AAC89" w14:textId="77777777" w:rsidR="0070300F" w:rsidRPr="0070300F" w:rsidRDefault="0070300F" w:rsidP="004B157C">
            <w:pPr>
              <w:jc w:val="center"/>
              <w:rPr>
                <w:rFonts w:ascii="Times New Roman" w:hAnsi="Times New Roman" w:cs="Times New Roman"/>
                <w:sz w:val="20"/>
                <w:szCs w:val="20"/>
              </w:rPr>
            </w:pPr>
            <w:r w:rsidRPr="0070300F">
              <w:rPr>
                <w:rFonts w:ascii="Times New Roman" w:hAnsi="Times New Roman" w:cs="Times New Roman"/>
                <w:sz w:val="20"/>
                <w:szCs w:val="20"/>
              </w:rPr>
              <w:t>10</w:t>
            </w:r>
            <w:r w:rsidRPr="0070300F">
              <w:rPr>
                <w:rFonts w:ascii="Times New Roman" w:hAnsi="Times New Roman" w:cs="Times New Roman"/>
                <w:sz w:val="20"/>
                <w:szCs w:val="20"/>
                <w:vertAlign w:val="superscript"/>
              </w:rPr>
              <w:t>19</w:t>
            </w:r>
            <w:r w:rsidRPr="0070300F">
              <w:rPr>
                <w:rFonts w:ascii="Times New Roman" w:hAnsi="Times New Roman" w:cs="Times New Roman"/>
                <w:sz w:val="20"/>
                <w:szCs w:val="20"/>
              </w:rPr>
              <w:t xml:space="preserve"> [M</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s</w:t>
            </w:r>
            <w:r w:rsidRPr="0070300F">
              <w:rPr>
                <w:rFonts w:ascii="Times New Roman" w:hAnsi="Times New Roman" w:cs="Times New Roman"/>
                <w:sz w:val="20"/>
                <w:szCs w:val="20"/>
                <w:vertAlign w:val="superscript"/>
              </w:rPr>
              <w:t>-1</w:t>
            </w:r>
            <w:r w:rsidRPr="0070300F">
              <w:rPr>
                <w:rFonts w:ascii="Times New Roman" w:hAnsi="Times New Roman" w:cs="Times New Roman"/>
                <w:sz w:val="20"/>
                <w:szCs w:val="20"/>
              </w:rPr>
              <w:t>]</w:t>
            </w:r>
          </w:p>
        </w:tc>
      </w:tr>
    </w:tbl>
    <w:p w14:paraId="4A6E50FF" w14:textId="7606AEB8" w:rsidR="0070300F" w:rsidRPr="004D1D2E" w:rsidRDefault="004910BF" w:rsidP="0070300F">
      <w:pPr>
        <w:spacing w:after="0" w:line="240" w:lineRule="auto"/>
        <w:jc w:val="both"/>
        <w:rPr>
          <w:rFonts w:ascii="Times New Roman" w:hAnsi="Times New Roman" w:cs="Times New Roman"/>
          <w:sz w:val="20"/>
          <w:szCs w:val="20"/>
          <w:lang w:val="en-GB"/>
        </w:rPr>
      </w:pPr>
      <w:r w:rsidRPr="004D1D2E">
        <w:rPr>
          <w:rFonts w:ascii="Times New Roman" w:hAnsi="Times New Roman" w:cs="Times New Roman"/>
          <w:b/>
          <w:bCs/>
          <w:sz w:val="20"/>
          <w:szCs w:val="20"/>
        </w:rPr>
        <w:t>Supplementary Table 4</w:t>
      </w:r>
      <w:r w:rsidR="00A3677D" w:rsidRPr="004D1D2E">
        <w:rPr>
          <w:rFonts w:ascii="Times New Roman" w:hAnsi="Times New Roman" w:cs="Times New Roman"/>
          <w:b/>
          <w:bCs/>
          <w:sz w:val="20"/>
          <w:szCs w:val="20"/>
        </w:rPr>
        <w:t xml:space="preserve"> </w:t>
      </w:r>
      <w:r w:rsidR="00007015" w:rsidRPr="004D1D2E">
        <w:rPr>
          <w:rFonts w:ascii="Times New Roman" w:hAnsi="Times New Roman" w:cs="Times New Roman"/>
          <w:sz w:val="20"/>
          <w:szCs w:val="20"/>
          <w:lang w:val="en-GB"/>
        </w:rPr>
        <w:t>The species diffusion coefficients used in simulation</w:t>
      </w:r>
      <w:r w:rsidR="00007015" w:rsidRPr="004D1D2E">
        <w:rPr>
          <w:rFonts w:ascii="Times New Roman" w:hAnsi="Times New Roman" w:cs="Times New Roman"/>
          <w:sz w:val="20"/>
          <w:szCs w:val="20"/>
          <w:lang w:val="en-GB"/>
        </w:rPr>
        <w:fldChar w:fldCharType="begin" w:fldLock="1"/>
      </w:r>
      <w:r w:rsidR="00D328F7">
        <w:rPr>
          <w:rFonts w:ascii="Times New Roman" w:hAnsi="Times New Roman" w:cs="Times New Roman"/>
          <w:sz w:val="20"/>
          <w:szCs w:val="20"/>
          <w:lang w:val="en-GB"/>
        </w:rPr>
        <w:instrText>ADDIN CSL_CITATION {"citationItems":[{"id":"ITEM-1","itemData":{"author":[{"dropping-particle":"","family":"Petr Vany ́sek","given":"","non-dropping-particle":"","parse-names":false,"suffix":""}],"container-title":"CRC Handb. Chem. Phys","id":"ITEM-1","issued":{"date-parts":[["1996"]]},"page":"5-98","title":"ionic conductiVity and diffusion at infinite dilution","type":"article-journal","volume":"96"},"uris":["http://www.mendeley.com/documents/?uuid=95636c66-9bd8-4b40-99a1-f30829c4ee43"]},{"id":"ITEM-2","itemData":{"author":[{"dropping-particle":"","family":"Aqion","given":"","non-dropping-particle":"","parse-names":false,"suffix":""}],"container-title":"https://www.aqion.de/site/diffusion-coefficients","id":"ITEM-2","issued":{"date-parts":[["0"]]},"title":"Table of Diffusion Coefficients","type":"webpage"},"uris":["http://www.mendeley.com/documents/?uuid=e658b47a-a4dd-4ec7-bbc8-91b7589841ef"]},{"id":"ITEM-3","itemData":{"DOI":"10.1016/0016-7037(84)90395-8","ISSN":"00167037","abstract":"Sulfur-35 was used to monitor the non-steady-state tracer diffusion of the free sulfate ion and sulfate ion-pairs in aqueous solutions of MgSO4 and Na2SO4. Diffusion coefficients were derived from radiotracer flux measurements taken over ionic strengths ranging from 0.001 to 0.7. The experimental tracer diffusion coefficient is a function of the diffusion coefficients of the free sulfate ion and the sulfate ion-pairs as well as the ion pair equilibrium constant. The free sulfate ion tracer diffusion coefficient was determined independently from both the MgSO4 and Na2SO4, experiments and found to be 1.11 and 1.08 (in units of 10-5 cm2 sec-1, ± 10%, respectively. These values closely agree with that calculated from the Nernst expression, 1.07 sx 10-5cm2 sec-1. The tracer diffusion coefficients of MgSO40 and NaSO4- were determined to be 0.85 and 1.23 sx 10-5 cm2 sec-1, respectively. These numbers are in reasonable agreement with the earlier work on mutual diffusion coefficients by Rard and Miller (1979b) (DMgSO4o = 0.65, Dnaso4- = 1.19) and Harned and Hudson (1951)DMgSO40 = (0.70). A modified version of the theoretical equation developed by Pikal (1971) is proposed for predicting the tracer diffusion coefficients of many ion-pairs relevant to seawater. Many of these predicted values are found to be within 10-20% of the empirical values extracted from mutual diffusion data. The experimental and theoretical diffusion coefficient data are used to calculate revised coupled diffusion coefficients, Dg, according to the model of Lasaga (1979). © 1984.","author":[{"dropping-particle":"","family":"Applin","given":"Kenneth R.","non-dropping-particle":"","parse-names":false,"suffix":""},{"dropping-particle":"","family":"Lasaga","given":"Antonio C.","non-dropping-particle":"","parse-names":false,"suffix":""}],"container-title":"Geochimica et Cosmochimica Acta","id":"ITEM-3","issue":"10","issued":{"date-parts":[["1984"]]},"page":"2151-2162","title":"The determination of SO42-, NaSO4-, and MgSO40 tracer diffusion coefficients and their application to diagenetic flux calculations","type":"article-journal","volume":"48"},"uris":["http://www.mendeley.com/documents/?uuid=a437a786-3b0e-48ad-8dd0-06ca69767302"]},{"id":"ITEM-4","itemData":{"author":[{"dropping-particle":"","family":"Sugisaki","given":"Masayasu","non-dropping-particle":"","parse-names":false,"suffix":""}],"container-title":"Bulletin of the chemical society of Japan","id":"ITEM-4","issued":{"date-parts":[["1975"]]},"page":"2751","title":"Soret Coefficients and Heat of Transport of Polyvalent Electrolytes in an Aqueous Solution","type":"article-journal"},"uris":["http://www.mendeley.com/documents/?uuid=bd4f34a8-d9be-4bc4-9116-76dbcd571aea"]}],"mendeley":{"formattedCitation":"&lt;sup&gt;38–41&lt;/sup&gt;","plainTextFormattedCitation":"38–41","previouslyFormattedCitation":"&lt;sup&gt;33–36&lt;/sup&gt;"},"properties":{"noteIndex":0},"schema":"https://github.com/citation-style-language/schema/raw/master/csl-citation.json"}</w:instrText>
      </w:r>
      <w:r w:rsidR="00007015" w:rsidRPr="004D1D2E">
        <w:rPr>
          <w:rFonts w:ascii="Times New Roman" w:hAnsi="Times New Roman" w:cs="Times New Roman"/>
          <w:sz w:val="20"/>
          <w:szCs w:val="20"/>
          <w:lang w:val="en-GB"/>
        </w:rPr>
        <w:fldChar w:fldCharType="separate"/>
      </w:r>
      <w:r w:rsidR="00D328F7" w:rsidRPr="00D328F7">
        <w:rPr>
          <w:rFonts w:ascii="Times New Roman" w:hAnsi="Times New Roman" w:cs="Times New Roman"/>
          <w:noProof/>
          <w:sz w:val="20"/>
          <w:szCs w:val="20"/>
          <w:vertAlign w:val="superscript"/>
          <w:lang w:val="en-GB"/>
        </w:rPr>
        <w:t>38–41</w:t>
      </w:r>
      <w:r w:rsidR="00007015" w:rsidRPr="004D1D2E">
        <w:rPr>
          <w:rFonts w:ascii="Times New Roman" w:hAnsi="Times New Roman" w:cs="Times New Roman"/>
          <w:sz w:val="20"/>
          <w:szCs w:val="20"/>
          <w:lang w:val="en-GB"/>
        </w:rPr>
        <w:fldChar w:fldCharType="end"/>
      </w:r>
      <w:r w:rsidR="00007015" w:rsidRPr="004D1D2E">
        <w:rPr>
          <w:rFonts w:ascii="Times New Roman" w:hAnsi="Times New Roman" w:cs="Times New Roman"/>
          <w:sz w:val="20"/>
          <w:szCs w:val="20"/>
          <w:lang w:val="en-GB"/>
        </w:rPr>
        <w:t>.</w:t>
      </w:r>
    </w:p>
    <w:tbl>
      <w:tblPr>
        <w:tblStyle w:val="TableGrid"/>
        <w:tblW w:w="0" w:type="auto"/>
        <w:tblInd w:w="2245" w:type="dxa"/>
        <w:tblLook w:val="04A0" w:firstRow="1" w:lastRow="0" w:firstColumn="1" w:lastColumn="0" w:noHBand="0" w:noVBand="1"/>
      </w:tblPr>
      <w:tblGrid>
        <w:gridCol w:w="1170"/>
        <w:gridCol w:w="3870"/>
      </w:tblGrid>
      <w:tr w:rsidR="00EA02FE" w:rsidRPr="004D1D2E" w14:paraId="0504E9A7" w14:textId="77777777" w:rsidTr="004B157C">
        <w:tc>
          <w:tcPr>
            <w:tcW w:w="1170" w:type="dxa"/>
            <w:tcBorders>
              <w:top w:val="single" w:sz="4" w:space="0" w:color="auto"/>
              <w:left w:val="single" w:sz="4" w:space="0" w:color="auto"/>
              <w:bottom w:val="single" w:sz="4" w:space="0" w:color="auto"/>
              <w:right w:val="single" w:sz="4" w:space="0" w:color="auto"/>
            </w:tcBorders>
            <w:hideMark/>
          </w:tcPr>
          <w:p w14:paraId="4D5322A6" w14:textId="77777777" w:rsidR="00EA02FE" w:rsidRPr="004D1D2E" w:rsidRDefault="00EA02FE" w:rsidP="004B157C">
            <w:pPr>
              <w:jc w:val="center"/>
              <w:rPr>
                <w:rFonts w:ascii="Times New Roman" w:hAnsi="Times New Roman" w:cs="Times New Roman"/>
                <w:b/>
                <w:bCs/>
                <w:sz w:val="20"/>
                <w:szCs w:val="20"/>
                <w:lang w:val="en-GB"/>
              </w:rPr>
            </w:pPr>
            <w:r w:rsidRPr="004D1D2E">
              <w:rPr>
                <w:rFonts w:ascii="Times New Roman" w:hAnsi="Times New Roman" w:cs="Times New Roman"/>
                <w:b/>
                <w:bCs/>
                <w:sz w:val="20"/>
                <w:szCs w:val="20"/>
                <w:lang w:val="en-GB"/>
              </w:rPr>
              <w:t>Species</w:t>
            </w:r>
          </w:p>
        </w:tc>
        <w:tc>
          <w:tcPr>
            <w:tcW w:w="3870" w:type="dxa"/>
            <w:tcBorders>
              <w:top w:val="single" w:sz="4" w:space="0" w:color="auto"/>
              <w:left w:val="single" w:sz="4" w:space="0" w:color="auto"/>
              <w:bottom w:val="single" w:sz="4" w:space="0" w:color="auto"/>
              <w:right w:val="single" w:sz="4" w:space="0" w:color="auto"/>
            </w:tcBorders>
            <w:hideMark/>
          </w:tcPr>
          <w:p w14:paraId="09650F34" w14:textId="77777777" w:rsidR="00EA02FE" w:rsidRPr="004D1D2E" w:rsidRDefault="00D37A04" w:rsidP="004B157C">
            <w:pPr>
              <w:jc w:val="center"/>
              <w:rPr>
                <w:rFonts w:ascii="Times New Roman" w:hAnsi="Times New Roman" w:cs="Times New Roman"/>
                <w:sz w:val="20"/>
                <w:szCs w:val="20"/>
                <w:lang w:val="en-GB"/>
              </w:rPr>
            </w:pPr>
            <m:oMath>
              <m:sSub>
                <m:sSubPr>
                  <m:ctrlPr>
                    <w:rPr>
                      <w:rFonts w:ascii="Cambria Math" w:hAnsi="Cambria Math" w:cs="Times New Roman"/>
                      <w:b/>
                      <w:i/>
                      <w:sz w:val="20"/>
                      <w:szCs w:val="20"/>
                      <w:lang w:val="en-GB" w:eastAsia="en-US"/>
                    </w:rPr>
                  </m:ctrlPr>
                </m:sSubPr>
                <m:e>
                  <m:r>
                    <m:rPr>
                      <m:sty m:val="b"/>
                    </m:rPr>
                    <w:rPr>
                      <w:rFonts w:ascii="Cambria Math" w:hAnsi="Cambria Math" w:cs="Times New Roman"/>
                      <w:sz w:val="20"/>
                      <w:szCs w:val="20"/>
                      <w:lang w:val="en-GB"/>
                    </w:rPr>
                    <m:t xml:space="preserve">Diffusion coefficients </m:t>
                  </m:r>
                  <m:r>
                    <m:rPr>
                      <m:sty m:val="bi"/>
                    </m:rPr>
                    <w:rPr>
                      <w:rFonts w:ascii="Cambria Math" w:hAnsi="Cambria Math" w:cs="Times New Roman"/>
                      <w:sz w:val="20"/>
                      <w:szCs w:val="20"/>
                      <w:lang w:val="en-GB"/>
                    </w:rPr>
                    <m:t>D</m:t>
                  </m:r>
                </m:e>
                <m:sub>
                  <m:r>
                    <m:rPr>
                      <m:sty m:val="bi"/>
                    </m:rPr>
                    <w:rPr>
                      <w:rFonts w:ascii="Cambria Math" w:hAnsi="Cambria Math" w:cs="Times New Roman"/>
                      <w:sz w:val="20"/>
                      <w:szCs w:val="20"/>
                      <w:lang w:val="en-GB"/>
                    </w:rPr>
                    <m:t>i</m:t>
                  </m:r>
                </m:sub>
              </m:sSub>
              <m:r>
                <m:rPr>
                  <m:sty m:val="bi"/>
                </m:rPr>
                <w:rPr>
                  <w:rFonts w:ascii="Cambria Math" w:hAnsi="Cambria Math" w:cs="Times New Roman"/>
                  <w:sz w:val="20"/>
                  <w:szCs w:val="20"/>
                  <w:lang w:val="en-GB"/>
                </w:rPr>
                <m:t>(</m:t>
              </m:r>
              <m:sSup>
                <m:sSupPr>
                  <m:ctrlPr>
                    <w:rPr>
                      <w:rFonts w:ascii="Cambria Math" w:hAnsi="Cambria Math" w:cs="Times New Roman"/>
                      <w:b/>
                      <w:sz w:val="20"/>
                      <w:szCs w:val="20"/>
                      <w:lang w:val="en-GB" w:eastAsia="en-US"/>
                    </w:rPr>
                  </m:ctrlPr>
                </m:sSupPr>
                <m:e>
                  <m:sSup>
                    <m:sSupPr>
                      <m:ctrlPr>
                        <w:rPr>
                          <w:rFonts w:ascii="Cambria Math" w:hAnsi="Cambria Math" w:cs="Times New Roman"/>
                          <w:b/>
                          <w:i/>
                          <w:sz w:val="20"/>
                          <w:szCs w:val="20"/>
                          <w:lang w:val="en-GB" w:eastAsia="en-US"/>
                        </w:rPr>
                      </m:ctrlPr>
                    </m:sSupPr>
                    <m:e>
                      <m:r>
                        <m:rPr>
                          <m:sty m:val="bi"/>
                        </m:rPr>
                        <w:rPr>
                          <w:rFonts w:ascii="Cambria Math" w:hAnsi="Cambria Math" w:cs="Times New Roman"/>
                          <w:sz w:val="20"/>
                          <w:szCs w:val="20"/>
                          <w:lang w:val="en-GB"/>
                        </w:rPr>
                        <m:t>10</m:t>
                      </m:r>
                    </m:e>
                    <m:sup>
                      <m:r>
                        <m:rPr>
                          <m:sty m:val="bi"/>
                        </m:rPr>
                        <w:rPr>
                          <w:rFonts w:ascii="Cambria Math" w:hAnsi="Cambria Math" w:cs="Times New Roman"/>
                          <w:sz w:val="20"/>
                          <w:szCs w:val="20"/>
                          <w:lang w:val="en-GB"/>
                        </w:rPr>
                        <m:t>-9</m:t>
                      </m:r>
                    </m:sup>
                  </m:sSup>
                  <m:r>
                    <m:rPr>
                      <m:sty m:val="bi"/>
                    </m:rPr>
                    <w:rPr>
                      <w:rFonts w:ascii="Cambria Math" w:hAnsi="Cambria Math" w:cs="Times New Roman"/>
                      <w:sz w:val="20"/>
                      <w:szCs w:val="20"/>
                      <w:lang w:val="en-GB"/>
                    </w:rPr>
                    <m:t xml:space="preserve"> m</m:t>
                  </m:r>
                </m:e>
                <m:sup>
                  <m:r>
                    <m:rPr>
                      <m:sty m:val="bi"/>
                    </m:rPr>
                    <w:rPr>
                      <w:rFonts w:ascii="Cambria Math" w:hAnsi="Cambria Math" w:cs="Times New Roman"/>
                      <w:sz w:val="20"/>
                      <w:szCs w:val="20"/>
                      <w:lang w:val="en-GB"/>
                    </w:rPr>
                    <m:t>2</m:t>
                  </m:r>
                </m:sup>
              </m:sSup>
              <m:sSup>
                <m:sSupPr>
                  <m:ctrlPr>
                    <w:rPr>
                      <w:rFonts w:ascii="Cambria Math" w:hAnsi="Cambria Math" w:cs="Times New Roman"/>
                      <w:b/>
                      <w:sz w:val="20"/>
                      <w:szCs w:val="20"/>
                      <w:lang w:val="en-GB" w:eastAsia="en-US"/>
                    </w:rPr>
                  </m:ctrlPr>
                </m:sSupPr>
                <m:e>
                  <m:r>
                    <m:rPr>
                      <m:sty m:val="bi"/>
                    </m:rPr>
                    <w:rPr>
                      <w:rFonts w:ascii="Cambria Math" w:hAnsi="Cambria Math" w:cs="Times New Roman"/>
                      <w:sz w:val="20"/>
                      <w:szCs w:val="20"/>
                      <w:lang w:val="en-GB"/>
                    </w:rPr>
                    <m:t>s</m:t>
                  </m:r>
                </m:e>
                <m:sup>
                  <m:r>
                    <m:rPr>
                      <m:sty m:val="bi"/>
                    </m:rPr>
                    <w:rPr>
                      <w:rFonts w:ascii="Cambria Math" w:hAnsi="Cambria Math" w:cs="Times New Roman"/>
                      <w:sz w:val="20"/>
                      <w:szCs w:val="20"/>
                      <w:lang w:val="en-GB"/>
                    </w:rPr>
                    <m:t>-1</m:t>
                  </m:r>
                </m:sup>
              </m:sSup>
            </m:oMath>
            <w:r w:rsidR="00EA02FE" w:rsidRPr="004D1D2E">
              <w:rPr>
                <w:rFonts w:ascii="Times New Roman" w:hAnsi="Times New Roman" w:cs="Times New Roman"/>
                <w:b/>
                <w:sz w:val="20"/>
                <w:szCs w:val="20"/>
                <w:lang w:val="en-GB"/>
              </w:rPr>
              <w:t>)</w:t>
            </w:r>
          </w:p>
        </w:tc>
      </w:tr>
      <w:tr w:rsidR="00EA02FE" w:rsidRPr="004D1D2E" w14:paraId="509D1D8D" w14:textId="77777777" w:rsidTr="004B157C">
        <w:tc>
          <w:tcPr>
            <w:tcW w:w="1170" w:type="dxa"/>
            <w:tcBorders>
              <w:top w:val="single" w:sz="4" w:space="0" w:color="auto"/>
              <w:left w:val="single" w:sz="4" w:space="0" w:color="auto"/>
              <w:bottom w:val="single" w:sz="4" w:space="0" w:color="auto"/>
              <w:right w:val="single" w:sz="4" w:space="0" w:color="auto"/>
            </w:tcBorders>
            <w:hideMark/>
          </w:tcPr>
          <w:p w14:paraId="28846225" w14:textId="77777777" w:rsidR="00EA02FE" w:rsidRPr="004D1D2E" w:rsidRDefault="00EA02FE" w:rsidP="004B157C">
            <w:pPr>
              <w:ind w:left="140"/>
              <w:rPr>
                <w:rFonts w:ascii="Times New Roman" w:hAnsi="Times New Roman" w:cs="Times New Roman"/>
                <w:sz w:val="20"/>
                <w:szCs w:val="20"/>
                <w:lang w:val="en-GB"/>
              </w:rPr>
            </w:pPr>
            <w:r w:rsidRPr="004D1D2E">
              <w:rPr>
                <w:rFonts w:ascii="Times New Roman" w:hAnsi="Times New Roman" w:cs="Times New Roman"/>
                <w:sz w:val="20"/>
                <w:szCs w:val="20"/>
                <w:lang w:val="en-GB"/>
              </w:rPr>
              <w:t>CO</w:t>
            </w:r>
            <w:r w:rsidRPr="004D1D2E">
              <w:rPr>
                <w:rFonts w:ascii="Times New Roman" w:hAnsi="Times New Roman" w:cs="Times New Roman"/>
                <w:sz w:val="20"/>
                <w:szCs w:val="20"/>
                <w:vertAlign w:val="subscript"/>
                <w:lang w:val="en-GB"/>
              </w:rPr>
              <w:t>2</w:t>
            </w:r>
          </w:p>
        </w:tc>
        <w:tc>
          <w:tcPr>
            <w:tcW w:w="3870" w:type="dxa"/>
            <w:tcBorders>
              <w:top w:val="single" w:sz="4" w:space="0" w:color="auto"/>
              <w:left w:val="single" w:sz="4" w:space="0" w:color="auto"/>
              <w:bottom w:val="single" w:sz="4" w:space="0" w:color="auto"/>
              <w:right w:val="single" w:sz="4" w:space="0" w:color="auto"/>
            </w:tcBorders>
            <w:hideMark/>
          </w:tcPr>
          <w:p w14:paraId="79B5DAF0" w14:textId="77777777" w:rsidR="00EA02FE" w:rsidRPr="004D1D2E" w:rsidRDefault="00EA02FE"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1.91</w:t>
            </w:r>
          </w:p>
        </w:tc>
      </w:tr>
      <w:tr w:rsidR="00EA02FE" w:rsidRPr="004D1D2E" w14:paraId="642E1468" w14:textId="77777777" w:rsidTr="004B157C">
        <w:tc>
          <w:tcPr>
            <w:tcW w:w="1170" w:type="dxa"/>
            <w:tcBorders>
              <w:top w:val="single" w:sz="4" w:space="0" w:color="auto"/>
              <w:left w:val="single" w:sz="4" w:space="0" w:color="auto"/>
              <w:bottom w:val="single" w:sz="4" w:space="0" w:color="auto"/>
              <w:right w:val="single" w:sz="4" w:space="0" w:color="auto"/>
            </w:tcBorders>
            <w:hideMark/>
          </w:tcPr>
          <w:p w14:paraId="36838782" w14:textId="77777777" w:rsidR="00EA02FE" w:rsidRPr="004D1D2E" w:rsidRDefault="00EA02FE" w:rsidP="004B157C">
            <w:pPr>
              <w:ind w:left="140"/>
              <w:rPr>
                <w:rFonts w:ascii="Times New Roman" w:hAnsi="Times New Roman" w:cs="Times New Roman"/>
                <w:sz w:val="20"/>
                <w:szCs w:val="20"/>
                <w:lang w:val="en-GB"/>
              </w:rPr>
            </w:pPr>
            <w:r w:rsidRPr="004D1D2E">
              <w:rPr>
                <w:rFonts w:ascii="Times New Roman" w:hAnsi="Times New Roman" w:cs="Times New Roman"/>
                <w:sz w:val="20"/>
                <w:szCs w:val="20"/>
                <w:lang w:val="en-GB"/>
              </w:rPr>
              <w:t>H</w:t>
            </w:r>
            <w:r w:rsidRPr="004D1D2E">
              <w:rPr>
                <w:rFonts w:ascii="Times New Roman" w:hAnsi="Times New Roman" w:cs="Times New Roman"/>
                <w:sz w:val="20"/>
                <w:szCs w:val="20"/>
                <w:vertAlign w:val="subscript"/>
                <w:lang w:val="en-GB"/>
              </w:rPr>
              <w:t>2</w:t>
            </w:r>
            <w:r w:rsidRPr="004D1D2E">
              <w:rPr>
                <w:rFonts w:ascii="Times New Roman" w:hAnsi="Times New Roman" w:cs="Times New Roman"/>
                <w:sz w:val="20"/>
                <w:szCs w:val="20"/>
                <w:lang w:val="en-GB"/>
              </w:rPr>
              <w:t>O</w:t>
            </w:r>
          </w:p>
        </w:tc>
        <w:tc>
          <w:tcPr>
            <w:tcW w:w="3870" w:type="dxa"/>
            <w:tcBorders>
              <w:top w:val="single" w:sz="4" w:space="0" w:color="auto"/>
              <w:left w:val="single" w:sz="4" w:space="0" w:color="auto"/>
              <w:bottom w:val="single" w:sz="4" w:space="0" w:color="auto"/>
              <w:right w:val="single" w:sz="4" w:space="0" w:color="auto"/>
            </w:tcBorders>
            <w:hideMark/>
          </w:tcPr>
          <w:p w14:paraId="6EF26588" w14:textId="77777777" w:rsidR="00EA02FE" w:rsidRPr="004D1D2E" w:rsidRDefault="00EA02FE"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2.57</w:t>
            </w:r>
          </w:p>
        </w:tc>
      </w:tr>
      <w:tr w:rsidR="00EA02FE" w:rsidRPr="004D1D2E" w14:paraId="2D9F6768" w14:textId="77777777" w:rsidTr="004B157C">
        <w:tc>
          <w:tcPr>
            <w:tcW w:w="1170" w:type="dxa"/>
            <w:tcBorders>
              <w:top w:val="single" w:sz="4" w:space="0" w:color="auto"/>
              <w:left w:val="single" w:sz="4" w:space="0" w:color="auto"/>
              <w:bottom w:val="single" w:sz="4" w:space="0" w:color="auto"/>
              <w:right w:val="single" w:sz="4" w:space="0" w:color="auto"/>
            </w:tcBorders>
            <w:hideMark/>
          </w:tcPr>
          <w:p w14:paraId="56D1B950" w14:textId="77777777" w:rsidR="00EA02FE" w:rsidRPr="004D1D2E" w:rsidRDefault="00EA02FE" w:rsidP="004B157C">
            <w:pPr>
              <w:ind w:left="140"/>
              <w:rPr>
                <w:rFonts w:ascii="Times New Roman" w:hAnsi="Times New Roman" w:cs="Times New Roman"/>
                <w:sz w:val="20"/>
                <w:szCs w:val="20"/>
                <w:lang w:val="en-GB"/>
              </w:rPr>
            </w:pPr>
            <w:r w:rsidRPr="004D1D2E">
              <w:rPr>
                <w:rFonts w:ascii="Times New Roman" w:hAnsi="Times New Roman" w:cs="Times New Roman"/>
                <w:sz w:val="20"/>
                <w:szCs w:val="20"/>
                <w:lang w:val="en-GB"/>
              </w:rPr>
              <w:t>K</w:t>
            </w:r>
            <w:r w:rsidRPr="004D1D2E">
              <w:rPr>
                <w:rFonts w:ascii="Times New Roman" w:hAnsi="Times New Roman" w:cs="Times New Roman"/>
                <w:sz w:val="20"/>
                <w:szCs w:val="20"/>
                <w:vertAlign w:val="subscript"/>
                <w:lang w:val="en-GB"/>
              </w:rPr>
              <w:t>2</w:t>
            </w:r>
            <w:r w:rsidRPr="004D1D2E">
              <w:rPr>
                <w:rFonts w:ascii="Times New Roman" w:hAnsi="Times New Roman" w:cs="Times New Roman"/>
                <w:sz w:val="20"/>
                <w:szCs w:val="20"/>
                <w:lang w:val="en-GB"/>
              </w:rPr>
              <w:t>SO</w:t>
            </w:r>
            <w:r w:rsidRPr="004D1D2E">
              <w:rPr>
                <w:rFonts w:ascii="Times New Roman" w:hAnsi="Times New Roman" w:cs="Times New Roman"/>
                <w:sz w:val="20"/>
                <w:szCs w:val="20"/>
                <w:vertAlign w:val="subscript"/>
                <w:lang w:val="en-GB"/>
              </w:rPr>
              <w:t>4</w:t>
            </w:r>
          </w:p>
        </w:tc>
        <w:tc>
          <w:tcPr>
            <w:tcW w:w="3870" w:type="dxa"/>
            <w:tcBorders>
              <w:top w:val="single" w:sz="4" w:space="0" w:color="auto"/>
              <w:left w:val="single" w:sz="4" w:space="0" w:color="auto"/>
              <w:bottom w:val="single" w:sz="4" w:space="0" w:color="auto"/>
              <w:right w:val="single" w:sz="4" w:space="0" w:color="auto"/>
            </w:tcBorders>
            <w:hideMark/>
          </w:tcPr>
          <w:p w14:paraId="46BF229B" w14:textId="77777777" w:rsidR="00EA02FE" w:rsidRPr="004D1D2E" w:rsidRDefault="00EA02FE"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1.39</w:t>
            </w:r>
          </w:p>
        </w:tc>
      </w:tr>
      <w:tr w:rsidR="00EA02FE" w:rsidRPr="004D1D2E" w14:paraId="30D5E018" w14:textId="77777777" w:rsidTr="004B157C">
        <w:tc>
          <w:tcPr>
            <w:tcW w:w="1170" w:type="dxa"/>
            <w:tcBorders>
              <w:top w:val="single" w:sz="4" w:space="0" w:color="auto"/>
              <w:left w:val="single" w:sz="4" w:space="0" w:color="auto"/>
              <w:bottom w:val="single" w:sz="4" w:space="0" w:color="auto"/>
              <w:right w:val="single" w:sz="4" w:space="0" w:color="auto"/>
            </w:tcBorders>
            <w:hideMark/>
          </w:tcPr>
          <w:p w14:paraId="574EC51D" w14:textId="77777777" w:rsidR="00EA02FE" w:rsidRPr="004D1D2E" w:rsidRDefault="00EA02FE" w:rsidP="004B157C">
            <w:pPr>
              <w:ind w:left="140"/>
              <w:rPr>
                <w:rFonts w:ascii="Times New Roman" w:hAnsi="Times New Roman" w:cs="Times New Roman"/>
                <w:sz w:val="20"/>
                <w:szCs w:val="20"/>
                <w:lang w:val="en-GB"/>
              </w:rPr>
            </w:pPr>
            <w:r w:rsidRPr="004D1D2E">
              <w:rPr>
                <w:rFonts w:ascii="Times New Roman" w:hAnsi="Times New Roman" w:cs="Times New Roman"/>
                <w:sz w:val="20"/>
                <w:szCs w:val="20"/>
                <w:lang w:val="en-GB"/>
              </w:rPr>
              <w:t>KHCO</w:t>
            </w:r>
            <w:r w:rsidRPr="004D1D2E">
              <w:rPr>
                <w:rFonts w:ascii="Times New Roman" w:hAnsi="Times New Roman" w:cs="Times New Roman"/>
                <w:sz w:val="20"/>
                <w:szCs w:val="20"/>
                <w:vertAlign w:val="subscript"/>
                <w:lang w:val="en-GB"/>
              </w:rPr>
              <w:t>3</w:t>
            </w:r>
          </w:p>
        </w:tc>
        <w:tc>
          <w:tcPr>
            <w:tcW w:w="3870" w:type="dxa"/>
            <w:tcBorders>
              <w:top w:val="single" w:sz="4" w:space="0" w:color="auto"/>
              <w:left w:val="single" w:sz="4" w:space="0" w:color="auto"/>
              <w:bottom w:val="single" w:sz="4" w:space="0" w:color="auto"/>
              <w:right w:val="single" w:sz="4" w:space="0" w:color="auto"/>
            </w:tcBorders>
            <w:hideMark/>
          </w:tcPr>
          <w:p w14:paraId="03ECDC8E" w14:textId="77777777" w:rsidR="00EA02FE" w:rsidRPr="004D1D2E" w:rsidRDefault="00EA02FE"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1.20</w:t>
            </w:r>
          </w:p>
        </w:tc>
      </w:tr>
      <w:tr w:rsidR="00EA02FE" w:rsidRPr="004D1D2E" w14:paraId="66561C0E" w14:textId="77777777" w:rsidTr="004B157C">
        <w:tc>
          <w:tcPr>
            <w:tcW w:w="1170" w:type="dxa"/>
            <w:tcBorders>
              <w:top w:val="single" w:sz="4" w:space="0" w:color="auto"/>
              <w:left w:val="single" w:sz="4" w:space="0" w:color="auto"/>
              <w:bottom w:val="single" w:sz="4" w:space="0" w:color="auto"/>
              <w:right w:val="single" w:sz="4" w:space="0" w:color="auto"/>
            </w:tcBorders>
            <w:hideMark/>
          </w:tcPr>
          <w:p w14:paraId="1802CE84" w14:textId="77777777" w:rsidR="00EA02FE" w:rsidRPr="004D1D2E" w:rsidRDefault="00EA02FE" w:rsidP="004B157C">
            <w:pPr>
              <w:ind w:left="140"/>
              <w:rPr>
                <w:rFonts w:ascii="Times New Roman" w:hAnsi="Times New Roman" w:cs="Times New Roman"/>
                <w:sz w:val="20"/>
                <w:szCs w:val="20"/>
                <w:lang w:val="en-GB"/>
              </w:rPr>
            </w:pPr>
            <w:r w:rsidRPr="004D1D2E">
              <w:rPr>
                <w:rFonts w:ascii="Times New Roman" w:hAnsi="Times New Roman" w:cs="Times New Roman"/>
                <w:sz w:val="20"/>
                <w:szCs w:val="20"/>
                <w:lang w:val="en-GB"/>
              </w:rPr>
              <w:t>K</w:t>
            </w:r>
            <w:r w:rsidRPr="004D1D2E">
              <w:rPr>
                <w:rFonts w:ascii="Times New Roman" w:hAnsi="Times New Roman" w:cs="Times New Roman"/>
                <w:sz w:val="20"/>
                <w:szCs w:val="20"/>
                <w:vertAlign w:val="superscript"/>
                <w:lang w:val="en-GB"/>
              </w:rPr>
              <w:t>+</w:t>
            </w:r>
          </w:p>
        </w:tc>
        <w:tc>
          <w:tcPr>
            <w:tcW w:w="3870" w:type="dxa"/>
            <w:tcBorders>
              <w:top w:val="single" w:sz="4" w:space="0" w:color="auto"/>
              <w:left w:val="single" w:sz="4" w:space="0" w:color="auto"/>
              <w:bottom w:val="single" w:sz="4" w:space="0" w:color="auto"/>
              <w:right w:val="single" w:sz="4" w:space="0" w:color="auto"/>
            </w:tcBorders>
            <w:hideMark/>
          </w:tcPr>
          <w:p w14:paraId="3EB9509B" w14:textId="77777777" w:rsidR="00EA02FE" w:rsidRPr="004D1D2E" w:rsidRDefault="00EA02FE"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1.98</w:t>
            </w:r>
          </w:p>
        </w:tc>
      </w:tr>
      <w:tr w:rsidR="00EA02FE" w:rsidRPr="004D1D2E" w14:paraId="5139CA71" w14:textId="77777777" w:rsidTr="004B157C">
        <w:tc>
          <w:tcPr>
            <w:tcW w:w="1170" w:type="dxa"/>
            <w:tcBorders>
              <w:top w:val="single" w:sz="4" w:space="0" w:color="auto"/>
              <w:left w:val="single" w:sz="4" w:space="0" w:color="auto"/>
              <w:bottom w:val="single" w:sz="4" w:space="0" w:color="auto"/>
              <w:right w:val="single" w:sz="4" w:space="0" w:color="auto"/>
            </w:tcBorders>
            <w:hideMark/>
          </w:tcPr>
          <w:p w14:paraId="107F2572" w14:textId="77777777" w:rsidR="00EA02FE" w:rsidRPr="004D1D2E" w:rsidRDefault="00EA02FE" w:rsidP="004B157C">
            <w:pPr>
              <w:ind w:left="140"/>
              <w:rPr>
                <w:rFonts w:ascii="Times New Roman" w:hAnsi="Times New Roman" w:cs="Times New Roman"/>
                <w:sz w:val="20"/>
                <w:szCs w:val="20"/>
                <w:lang w:val="en-GB"/>
              </w:rPr>
            </w:pPr>
            <w:r w:rsidRPr="004D1D2E">
              <w:rPr>
                <w:rFonts w:ascii="Times New Roman" w:hAnsi="Times New Roman" w:cs="Times New Roman"/>
                <w:sz w:val="20"/>
                <w:szCs w:val="20"/>
                <w:lang w:val="en-GB"/>
              </w:rPr>
              <w:t>H</w:t>
            </w:r>
            <w:r w:rsidRPr="004D1D2E">
              <w:rPr>
                <w:rFonts w:ascii="Times New Roman" w:hAnsi="Times New Roman" w:cs="Times New Roman"/>
                <w:sz w:val="20"/>
                <w:szCs w:val="20"/>
                <w:vertAlign w:val="superscript"/>
                <w:lang w:val="en-GB"/>
              </w:rPr>
              <w:t>+</w:t>
            </w:r>
          </w:p>
        </w:tc>
        <w:tc>
          <w:tcPr>
            <w:tcW w:w="3870" w:type="dxa"/>
            <w:tcBorders>
              <w:top w:val="single" w:sz="4" w:space="0" w:color="auto"/>
              <w:left w:val="single" w:sz="4" w:space="0" w:color="auto"/>
              <w:bottom w:val="single" w:sz="4" w:space="0" w:color="auto"/>
              <w:right w:val="single" w:sz="4" w:space="0" w:color="auto"/>
            </w:tcBorders>
            <w:hideMark/>
          </w:tcPr>
          <w:p w14:paraId="78CC5084" w14:textId="77777777" w:rsidR="00EA02FE" w:rsidRPr="004D1D2E" w:rsidRDefault="00EA02FE"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9.31</w:t>
            </w:r>
          </w:p>
        </w:tc>
      </w:tr>
      <w:tr w:rsidR="00EA02FE" w:rsidRPr="004D1D2E" w14:paraId="4A985F46" w14:textId="77777777" w:rsidTr="004B157C">
        <w:tc>
          <w:tcPr>
            <w:tcW w:w="1170" w:type="dxa"/>
            <w:tcBorders>
              <w:top w:val="single" w:sz="4" w:space="0" w:color="auto"/>
              <w:left w:val="single" w:sz="4" w:space="0" w:color="auto"/>
              <w:bottom w:val="single" w:sz="4" w:space="0" w:color="auto"/>
              <w:right w:val="single" w:sz="4" w:space="0" w:color="auto"/>
            </w:tcBorders>
            <w:hideMark/>
          </w:tcPr>
          <w:p w14:paraId="31183FDF" w14:textId="77777777" w:rsidR="00EA02FE" w:rsidRPr="004D1D2E" w:rsidRDefault="00EA02FE" w:rsidP="004B157C">
            <w:pPr>
              <w:ind w:left="140"/>
              <w:rPr>
                <w:rFonts w:ascii="Times New Roman" w:hAnsi="Times New Roman" w:cs="Times New Roman"/>
                <w:sz w:val="20"/>
                <w:szCs w:val="20"/>
                <w:lang w:val="en-GB"/>
              </w:rPr>
            </w:pPr>
            <w:r w:rsidRPr="004D1D2E">
              <w:rPr>
                <w:rFonts w:ascii="Times New Roman" w:hAnsi="Times New Roman" w:cs="Times New Roman"/>
                <w:sz w:val="20"/>
                <w:szCs w:val="20"/>
                <w:lang w:val="en-GB"/>
              </w:rPr>
              <w:t>OH</w:t>
            </w:r>
            <w:r w:rsidRPr="004D1D2E">
              <w:rPr>
                <w:rFonts w:ascii="Times New Roman" w:hAnsi="Times New Roman" w:cs="Times New Roman"/>
                <w:sz w:val="20"/>
                <w:szCs w:val="20"/>
                <w:vertAlign w:val="superscript"/>
                <w:lang w:val="en-GB"/>
              </w:rPr>
              <w:t>-</w:t>
            </w:r>
          </w:p>
        </w:tc>
        <w:tc>
          <w:tcPr>
            <w:tcW w:w="3870" w:type="dxa"/>
            <w:tcBorders>
              <w:top w:val="single" w:sz="4" w:space="0" w:color="auto"/>
              <w:left w:val="single" w:sz="4" w:space="0" w:color="auto"/>
              <w:bottom w:val="single" w:sz="4" w:space="0" w:color="auto"/>
              <w:right w:val="single" w:sz="4" w:space="0" w:color="auto"/>
            </w:tcBorders>
            <w:hideMark/>
          </w:tcPr>
          <w:p w14:paraId="0A571A4B" w14:textId="77777777" w:rsidR="00EA02FE" w:rsidRPr="004D1D2E" w:rsidRDefault="00EA02FE"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5.26</w:t>
            </w:r>
          </w:p>
        </w:tc>
      </w:tr>
      <w:tr w:rsidR="00EA02FE" w:rsidRPr="004D1D2E" w14:paraId="4B0C47E3" w14:textId="77777777" w:rsidTr="004B157C">
        <w:tc>
          <w:tcPr>
            <w:tcW w:w="1170" w:type="dxa"/>
            <w:tcBorders>
              <w:top w:val="single" w:sz="4" w:space="0" w:color="auto"/>
              <w:left w:val="single" w:sz="4" w:space="0" w:color="auto"/>
              <w:bottom w:val="single" w:sz="4" w:space="0" w:color="auto"/>
              <w:right w:val="single" w:sz="4" w:space="0" w:color="auto"/>
            </w:tcBorders>
            <w:hideMark/>
          </w:tcPr>
          <w:p w14:paraId="528BEAD4" w14:textId="77777777" w:rsidR="00EA02FE" w:rsidRPr="004D1D2E" w:rsidRDefault="00EA02FE" w:rsidP="004B157C">
            <w:pPr>
              <w:ind w:left="140"/>
              <w:rPr>
                <w:rFonts w:ascii="Times New Roman" w:hAnsi="Times New Roman" w:cs="Times New Roman"/>
                <w:sz w:val="20"/>
                <w:szCs w:val="20"/>
                <w:lang w:val="en-GB"/>
              </w:rPr>
            </w:pPr>
            <w:r w:rsidRPr="004D1D2E">
              <w:rPr>
                <w:rFonts w:ascii="Times New Roman" w:hAnsi="Times New Roman" w:cs="Times New Roman"/>
                <w:sz w:val="20"/>
                <w:szCs w:val="20"/>
                <w:lang w:val="en-GB"/>
              </w:rPr>
              <w:t>HCO</w:t>
            </w:r>
            <w:r w:rsidRPr="004D1D2E">
              <w:rPr>
                <w:rFonts w:ascii="Times New Roman" w:hAnsi="Times New Roman" w:cs="Times New Roman"/>
                <w:sz w:val="20"/>
                <w:szCs w:val="20"/>
                <w:vertAlign w:val="subscript"/>
                <w:lang w:val="en-GB"/>
              </w:rPr>
              <w:t>3</w:t>
            </w:r>
            <w:r w:rsidRPr="004D1D2E">
              <w:rPr>
                <w:rFonts w:ascii="Times New Roman" w:hAnsi="Times New Roman" w:cs="Times New Roman"/>
                <w:sz w:val="20"/>
                <w:szCs w:val="20"/>
                <w:vertAlign w:val="superscript"/>
                <w:lang w:val="en-GB"/>
              </w:rPr>
              <w:t>-</w:t>
            </w:r>
          </w:p>
        </w:tc>
        <w:tc>
          <w:tcPr>
            <w:tcW w:w="3870" w:type="dxa"/>
            <w:tcBorders>
              <w:top w:val="single" w:sz="4" w:space="0" w:color="auto"/>
              <w:left w:val="single" w:sz="4" w:space="0" w:color="auto"/>
              <w:bottom w:val="single" w:sz="4" w:space="0" w:color="auto"/>
              <w:right w:val="single" w:sz="4" w:space="0" w:color="auto"/>
            </w:tcBorders>
            <w:hideMark/>
          </w:tcPr>
          <w:p w14:paraId="5CBC9E28" w14:textId="77777777" w:rsidR="00EA02FE" w:rsidRPr="004D1D2E" w:rsidRDefault="00EA02FE"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1.185</w:t>
            </w:r>
          </w:p>
        </w:tc>
      </w:tr>
      <w:tr w:rsidR="00EA02FE" w:rsidRPr="004D1D2E" w14:paraId="5D4D7535" w14:textId="77777777" w:rsidTr="004B157C">
        <w:tc>
          <w:tcPr>
            <w:tcW w:w="1170" w:type="dxa"/>
            <w:tcBorders>
              <w:top w:val="single" w:sz="4" w:space="0" w:color="auto"/>
              <w:left w:val="single" w:sz="4" w:space="0" w:color="auto"/>
              <w:bottom w:val="single" w:sz="4" w:space="0" w:color="auto"/>
              <w:right w:val="single" w:sz="4" w:space="0" w:color="auto"/>
            </w:tcBorders>
            <w:hideMark/>
          </w:tcPr>
          <w:p w14:paraId="312EA3C3" w14:textId="77777777" w:rsidR="00EA02FE" w:rsidRPr="004D1D2E" w:rsidRDefault="00EA02FE" w:rsidP="004B157C">
            <w:pPr>
              <w:ind w:left="140"/>
              <w:rPr>
                <w:rFonts w:ascii="Times New Roman" w:hAnsi="Times New Roman" w:cs="Times New Roman"/>
                <w:sz w:val="20"/>
                <w:szCs w:val="20"/>
                <w:lang w:val="en-GB"/>
              </w:rPr>
            </w:pPr>
            <w:r w:rsidRPr="004D1D2E">
              <w:rPr>
                <w:rFonts w:ascii="Times New Roman" w:hAnsi="Times New Roman" w:cs="Times New Roman"/>
                <w:sz w:val="20"/>
                <w:szCs w:val="20"/>
                <w:lang w:val="en-GB"/>
              </w:rPr>
              <w:t>CO</w:t>
            </w:r>
            <w:r w:rsidRPr="004D1D2E">
              <w:rPr>
                <w:rFonts w:ascii="Times New Roman" w:hAnsi="Times New Roman" w:cs="Times New Roman"/>
                <w:sz w:val="20"/>
                <w:szCs w:val="20"/>
                <w:vertAlign w:val="subscript"/>
                <w:lang w:val="en-GB"/>
              </w:rPr>
              <w:t>3</w:t>
            </w:r>
            <w:r w:rsidRPr="004D1D2E">
              <w:rPr>
                <w:rFonts w:ascii="Times New Roman" w:hAnsi="Times New Roman" w:cs="Times New Roman"/>
                <w:sz w:val="20"/>
                <w:szCs w:val="20"/>
                <w:vertAlign w:val="superscript"/>
                <w:lang w:val="en-GB"/>
              </w:rPr>
              <w:t>2-</w:t>
            </w:r>
          </w:p>
        </w:tc>
        <w:tc>
          <w:tcPr>
            <w:tcW w:w="3870" w:type="dxa"/>
            <w:tcBorders>
              <w:top w:val="single" w:sz="4" w:space="0" w:color="auto"/>
              <w:left w:val="single" w:sz="4" w:space="0" w:color="auto"/>
              <w:bottom w:val="single" w:sz="4" w:space="0" w:color="auto"/>
              <w:right w:val="single" w:sz="4" w:space="0" w:color="auto"/>
            </w:tcBorders>
            <w:hideMark/>
          </w:tcPr>
          <w:p w14:paraId="654D3093" w14:textId="77777777" w:rsidR="00EA02FE" w:rsidRPr="004D1D2E" w:rsidRDefault="00EA02FE"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0.923</w:t>
            </w:r>
          </w:p>
        </w:tc>
      </w:tr>
      <w:tr w:rsidR="00EA02FE" w:rsidRPr="004D1D2E" w14:paraId="1D58A337" w14:textId="77777777" w:rsidTr="004B157C">
        <w:tc>
          <w:tcPr>
            <w:tcW w:w="1170" w:type="dxa"/>
            <w:tcBorders>
              <w:top w:val="single" w:sz="4" w:space="0" w:color="auto"/>
              <w:left w:val="single" w:sz="4" w:space="0" w:color="auto"/>
              <w:bottom w:val="single" w:sz="4" w:space="0" w:color="auto"/>
              <w:right w:val="single" w:sz="4" w:space="0" w:color="auto"/>
            </w:tcBorders>
            <w:hideMark/>
          </w:tcPr>
          <w:p w14:paraId="7F964B1E" w14:textId="77777777" w:rsidR="00EA02FE" w:rsidRPr="004D1D2E" w:rsidRDefault="00EA02FE" w:rsidP="004B157C">
            <w:pPr>
              <w:ind w:left="140"/>
              <w:rPr>
                <w:rFonts w:ascii="Times New Roman" w:hAnsi="Times New Roman" w:cs="Times New Roman"/>
                <w:sz w:val="20"/>
                <w:szCs w:val="20"/>
                <w:lang w:val="en-GB"/>
              </w:rPr>
            </w:pPr>
            <w:r w:rsidRPr="004D1D2E">
              <w:rPr>
                <w:rFonts w:ascii="Times New Roman" w:hAnsi="Times New Roman" w:cs="Times New Roman"/>
                <w:sz w:val="20"/>
                <w:szCs w:val="20"/>
                <w:lang w:val="en-GB"/>
              </w:rPr>
              <w:t>SO</w:t>
            </w:r>
            <w:r w:rsidRPr="004D1D2E">
              <w:rPr>
                <w:rFonts w:ascii="Times New Roman" w:hAnsi="Times New Roman" w:cs="Times New Roman"/>
                <w:sz w:val="20"/>
                <w:szCs w:val="20"/>
                <w:vertAlign w:val="subscript"/>
                <w:lang w:val="en-GB"/>
              </w:rPr>
              <w:t>4</w:t>
            </w:r>
            <w:r w:rsidRPr="004D1D2E">
              <w:rPr>
                <w:rFonts w:ascii="Times New Roman" w:hAnsi="Times New Roman" w:cs="Times New Roman"/>
                <w:sz w:val="20"/>
                <w:szCs w:val="20"/>
                <w:vertAlign w:val="superscript"/>
                <w:lang w:val="en-GB"/>
              </w:rPr>
              <w:t>2-</w:t>
            </w:r>
          </w:p>
        </w:tc>
        <w:tc>
          <w:tcPr>
            <w:tcW w:w="3870" w:type="dxa"/>
            <w:tcBorders>
              <w:top w:val="single" w:sz="4" w:space="0" w:color="auto"/>
              <w:left w:val="single" w:sz="4" w:space="0" w:color="auto"/>
              <w:bottom w:val="single" w:sz="4" w:space="0" w:color="auto"/>
              <w:right w:val="single" w:sz="4" w:space="0" w:color="auto"/>
            </w:tcBorders>
            <w:hideMark/>
          </w:tcPr>
          <w:p w14:paraId="43CCA812" w14:textId="77777777" w:rsidR="00EA02FE" w:rsidRPr="004D1D2E" w:rsidRDefault="00EA02FE"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1.07</w:t>
            </w:r>
          </w:p>
        </w:tc>
      </w:tr>
    </w:tbl>
    <w:p w14:paraId="4D18D93F" w14:textId="1EE80885" w:rsidR="00EA02FE" w:rsidRPr="004D1D2E" w:rsidRDefault="002615E3" w:rsidP="0070300F">
      <w:pPr>
        <w:spacing w:after="0" w:line="240" w:lineRule="auto"/>
        <w:jc w:val="both"/>
        <w:rPr>
          <w:rFonts w:ascii="Times New Roman" w:hAnsi="Times New Roman" w:cs="Times New Roman"/>
          <w:sz w:val="20"/>
          <w:szCs w:val="20"/>
          <w:lang w:val="en-GB"/>
        </w:rPr>
      </w:pPr>
      <w:r w:rsidRPr="004D1D2E">
        <w:rPr>
          <w:rFonts w:ascii="Times New Roman" w:hAnsi="Times New Roman" w:cs="Times New Roman"/>
          <w:b/>
          <w:bCs/>
          <w:sz w:val="20"/>
          <w:szCs w:val="20"/>
        </w:rPr>
        <w:t>Supplementary Table 5</w:t>
      </w:r>
      <w:r w:rsidR="00330845" w:rsidRPr="004D1D2E">
        <w:rPr>
          <w:rFonts w:ascii="Times New Roman" w:hAnsi="Times New Roman" w:cs="Times New Roman"/>
          <w:b/>
          <w:bCs/>
          <w:sz w:val="20"/>
          <w:szCs w:val="20"/>
        </w:rPr>
        <w:t xml:space="preserve"> </w:t>
      </w:r>
      <w:r w:rsidR="00962012" w:rsidRPr="004D1D2E">
        <w:rPr>
          <w:rFonts w:ascii="Times New Roman" w:hAnsi="Times New Roman" w:cs="Times New Roman"/>
          <w:sz w:val="20"/>
          <w:szCs w:val="20"/>
        </w:rPr>
        <w:t>The sechenov coefficients used in simulation</w:t>
      </w:r>
      <w:r w:rsidR="00962012" w:rsidRPr="004D1D2E">
        <w:rPr>
          <w:rFonts w:ascii="Times New Roman" w:hAnsi="Times New Roman" w:cs="Times New Roman"/>
          <w:sz w:val="20"/>
          <w:szCs w:val="20"/>
          <w:lang w:val="en-GB"/>
        </w:rPr>
        <w:fldChar w:fldCharType="begin" w:fldLock="1"/>
      </w:r>
      <w:r w:rsidR="00D328F7">
        <w:rPr>
          <w:rFonts w:ascii="Times New Roman" w:hAnsi="Times New Roman" w:cs="Times New Roman"/>
          <w:sz w:val="20"/>
          <w:szCs w:val="20"/>
          <w:lang w:val="en-GB"/>
        </w:rPr>
        <w:instrText>ADDIN CSL_CITATION {"citationItems":[{"id":"ITEM-1","itemData":{"DOI":"10.1002/aic.690420130","ISSN":"00011541","author":[{"dropping-particle":"","family":"Weisenberger","given":"S.","non-dropping-particle":"","parse-names":false,"suffix":""},{"dropping-particle":"","family":"Schumpe","given":"A.","non-dropping-particle":"","parse-names":false,"suffix":""}],"container-title":"AIChE Journal","id":"ITEM-1","issue":"1","issued":{"date-parts":[["1996"]]},"page":"298-300","title":"Estimation of Gas Solubilities in Salt Solutions at Temperatures from 273 K to 363 K","type":"article-journal","volume":"42"},"uris":["http://www.mendeley.com/documents/?uuid=b180a0f3-d752-49d6-a2a4-0622a5559f31"]}],"mendeley":{"formattedCitation":"&lt;sup&gt;42&lt;/sup&gt;","plainTextFormattedCitation":"42","previouslyFormattedCitation":"&lt;sup&gt;37&lt;/sup&gt;"},"properties":{"noteIndex":0},"schema":"https://github.com/citation-style-language/schema/raw/master/csl-citation.json"}</w:instrText>
      </w:r>
      <w:r w:rsidR="00962012" w:rsidRPr="004D1D2E">
        <w:rPr>
          <w:rFonts w:ascii="Times New Roman" w:hAnsi="Times New Roman" w:cs="Times New Roman"/>
          <w:sz w:val="20"/>
          <w:szCs w:val="20"/>
          <w:lang w:val="en-GB"/>
        </w:rPr>
        <w:fldChar w:fldCharType="separate"/>
      </w:r>
      <w:r w:rsidR="00D328F7" w:rsidRPr="00D328F7">
        <w:rPr>
          <w:rFonts w:ascii="Times New Roman" w:hAnsi="Times New Roman" w:cs="Times New Roman"/>
          <w:noProof/>
          <w:sz w:val="20"/>
          <w:szCs w:val="20"/>
          <w:vertAlign w:val="superscript"/>
          <w:lang w:val="en-GB"/>
        </w:rPr>
        <w:t>42</w:t>
      </w:r>
      <w:r w:rsidR="00962012" w:rsidRPr="004D1D2E">
        <w:rPr>
          <w:rFonts w:ascii="Times New Roman" w:hAnsi="Times New Roman" w:cs="Times New Roman"/>
          <w:sz w:val="20"/>
          <w:szCs w:val="20"/>
          <w:lang w:val="en-GB"/>
        </w:rPr>
        <w:fldChar w:fldCharType="end"/>
      </w:r>
      <w:r w:rsidR="00007015" w:rsidRPr="004D1D2E">
        <w:rPr>
          <w:rFonts w:ascii="Times New Roman" w:hAnsi="Times New Roman" w:cs="Times New Roman"/>
          <w:sz w:val="20"/>
          <w:szCs w:val="20"/>
          <w:lang w:val="en-GB"/>
        </w:rPr>
        <w:t>.</w:t>
      </w:r>
    </w:p>
    <w:tbl>
      <w:tblPr>
        <w:tblStyle w:val="TableGrid"/>
        <w:tblW w:w="0" w:type="auto"/>
        <w:tblInd w:w="3145" w:type="dxa"/>
        <w:tblLook w:val="04A0" w:firstRow="1" w:lastRow="0" w:firstColumn="1" w:lastColumn="0" w:noHBand="0" w:noVBand="1"/>
      </w:tblPr>
      <w:tblGrid>
        <w:gridCol w:w="1530"/>
        <w:gridCol w:w="2610"/>
      </w:tblGrid>
      <w:tr w:rsidR="00A3677D" w:rsidRPr="004D1D2E" w14:paraId="210C4866" w14:textId="77777777" w:rsidTr="004B157C">
        <w:tc>
          <w:tcPr>
            <w:tcW w:w="1530" w:type="dxa"/>
            <w:tcBorders>
              <w:top w:val="single" w:sz="4" w:space="0" w:color="auto"/>
              <w:left w:val="single" w:sz="4" w:space="0" w:color="auto"/>
              <w:bottom w:val="single" w:sz="4" w:space="0" w:color="auto"/>
              <w:right w:val="single" w:sz="4" w:space="0" w:color="auto"/>
            </w:tcBorders>
            <w:hideMark/>
          </w:tcPr>
          <w:p w14:paraId="3540355B" w14:textId="77777777" w:rsidR="00A3677D" w:rsidRPr="004D1D2E" w:rsidRDefault="00A3677D" w:rsidP="004B157C">
            <w:pPr>
              <w:jc w:val="center"/>
              <w:rPr>
                <w:rFonts w:ascii="Times New Roman" w:hAnsi="Times New Roman" w:cs="Times New Roman"/>
                <w:b/>
                <w:bCs/>
                <w:sz w:val="20"/>
                <w:szCs w:val="20"/>
                <w:lang w:val="en-GB"/>
              </w:rPr>
            </w:pPr>
            <w:r w:rsidRPr="004D1D2E">
              <w:rPr>
                <w:rFonts w:ascii="Times New Roman" w:hAnsi="Times New Roman" w:cs="Times New Roman"/>
                <w:b/>
                <w:bCs/>
                <w:sz w:val="20"/>
                <w:szCs w:val="20"/>
                <w:lang w:val="en-GB"/>
              </w:rPr>
              <w:t>Species</w:t>
            </w:r>
          </w:p>
        </w:tc>
        <w:tc>
          <w:tcPr>
            <w:tcW w:w="2610" w:type="dxa"/>
            <w:tcBorders>
              <w:top w:val="single" w:sz="4" w:space="0" w:color="auto"/>
              <w:left w:val="single" w:sz="4" w:space="0" w:color="auto"/>
              <w:bottom w:val="single" w:sz="4" w:space="0" w:color="auto"/>
              <w:right w:val="single" w:sz="4" w:space="0" w:color="auto"/>
            </w:tcBorders>
            <w:hideMark/>
          </w:tcPr>
          <w:p w14:paraId="7B4BABD7" w14:textId="77777777" w:rsidR="00A3677D" w:rsidRPr="004D1D2E" w:rsidRDefault="00A3677D" w:rsidP="004B157C">
            <w:pPr>
              <w:jc w:val="center"/>
              <w:rPr>
                <w:rFonts w:ascii="Times New Roman" w:hAnsi="Times New Roman" w:cs="Times New Roman"/>
                <w:b/>
                <w:bCs/>
                <w:sz w:val="20"/>
                <w:szCs w:val="20"/>
                <w:lang w:val="en-GB"/>
              </w:rPr>
            </w:pPr>
            <w:r w:rsidRPr="004D1D2E">
              <w:rPr>
                <w:rFonts w:ascii="Times New Roman" w:hAnsi="Times New Roman" w:cs="Times New Roman"/>
                <w:b/>
                <w:bCs/>
                <w:sz w:val="20"/>
                <w:szCs w:val="20"/>
                <w:lang w:val="en-GB"/>
              </w:rPr>
              <w:t>Sechenov coefficients</w:t>
            </w:r>
          </w:p>
        </w:tc>
      </w:tr>
      <w:tr w:rsidR="00A3677D" w:rsidRPr="004D1D2E" w14:paraId="396B4FF1" w14:textId="77777777" w:rsidTr="004B157C">
        <w:tc>
          <w:tcPr>
            <w:tcW w:w="1530" w:type="dxa"/>
            <w:tcBorders>
              <w:top w:val="single" w:sz="4" w:space="0" w:color="auto"/>
              <w:left w:val="single" w:sz="4" w:space="0" w:color="auto"/>
              <w:bottom w:val="single" w:sz="4" w:space="0" w:color="auto"/>
              <w:right w:val="single" w:sz="4" w:space="0" w:color="auto"/>
            </w:tcBorders>
            <w:hideMark/>
          </w:tcPr>
          <w:p w14:paraId="6F423D1B" w14:textId="77777777" w:rsidR="00A3677D" w:rsidRPr="004D1D2E" w:rsidRDefault="00A3677D"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h</w:t>
            </w:r>
            <w:r w:rsidRPr="004D1D2E">
              <w:rPr>
                <w:rFonts w:ascii="Times New Roman" w:hAnsi="Times New Roman" w:cs="Times New Roman"/>
                <w:sz w:val="20"/>
                <w:szCs w:val="20"/>
                <w:vertAlign w:val="subscript"/>
                <w:lang w:val="en-GB"/>
              </w:rPr>
              <w:t>G,0,CO2</w:t>
            </w:r>
          </w:p>
        </w:tc>
        <w:tc>
          <w:tcPr>
            <w:tcW w:w="2610" w:type="dxa"/>
            <w:tcBorders>
              <w:top w:val="single" w:sz="4" w:space="0" w:color="auto"/>
              <w:left w:val="single" w:sz="4" w:space="0" w:color="auto"/>
              <w:bottom w:val="single" w:sz="4" w:space="0" w:color="auto"/>
              <w:right w:val="single" w:sz="4" w:space="0" w:color="auto"/>
            </w:tcBorders>
            <w:hideMark/>
          </w:tcPr>
          <w:p w14:paraId="5B2F1CA8" w14:textId="77777777" w:rsidR="00A3677D" w:rsidRPr="004D1D2E" w:rsidRDefault="00A3677D"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-0.0172</w:t>
            </w:r>
          </w:p>
        </w:tc>
      </w:tr>
      <w:tr w:rsidR="00A3677D" w:rsidRPr="004D1D2E" w14:paraId="167A00A2" w14:textId="77777777" w:rsidTr="004B157C">
        <w:tc>
          <w:tcPr>
            <w:tcW w:w="1530" w:type="dxa"/>
            <w:tcBorders>
              <w:top w:val="single" w:sz="4" w:space="0" w:color="auto"/>
              <w:left w:val="single" w:sz="4" w:space="0" w:color="auto"/>
              <w:bottom w:val="single" w:sz="4" w:space="0" w:color="auto"/>
              <w:right w:val="single" w:sz="4" w:space="0" w:color="auto"/>
            </w:tcBorders>
            <w:hideMark/>
          </w:tcPr>
          <w:p w14:paraId="64E6B481" w14:textId="77777777" w:rsidR="00A3677D" w:rsidRPr="004D1D2E" w:rsidRDefault="00A3677D"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h</w:t>
            </w:r>
            <w:r w:rsidRPr="004D1D2E">
              <w:rPr>
                <w:rFonts w:ascii="Times New Roman" w:hAnsi="Times New Roman" w:cs="Times New Roman"/>
                <w:sz w:val="20"/>
                <w:szCs w:val="20"/>
                <w:vertAlign w:val="subscript"/>
                <w:lang w:val="en-GB"/>
              </w:rPr>
              <w:t>T,CO2</w:t>
            </w:r>
          </w:p>
        </w:tc>
        <w:tc>
          <w:tcPr>
            <w:tcW w:w="2610" w:type="dxa"/>
            <w:tcBorders>
              <w:top w:val="single" w:sz="4" w:space="0" w:color="auto"/>
              <w:left w:val="single" w:sz="4" w:space="0" w:color="auto"/>
              <w:bottom w:val="single" w:sz="4" w:space="0" w:color="auto"/>
              <w:right w:val="single" w:sz="4" w:space="0" w:color="auto"/>
            </w:tcBorders>
            <w:hideMark/>
          </w:tcPr>
          <w:p w14:paraId="01A79E8C" w14:textId="77777777" w:rsidR="00A3677D" w:rsidRPr="004D1D2E" w:rsidRDefault="00A3677D"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-0.000338</w:t>
            </w:r>
          </w:p>
        </w:tc>
      </w:tr>
      <w:tr w:rsidR="00A3677D" w:rsidRPr="004D1D2E" w14:paraId="0FA7A811" w14:textId="77777777" w:rsidTr="004B157C">
        <w:tc>
          <w:tcPr>
            <w:tcW w:w="1530" w:type="dxa"/>
            <w:tcBorders>
              <w:top w:val="single" w:sz="4" w:space="0" w:color="auto"/>
              <w:left w:val="single" w:sz="4" w:space="0" w:color="auto"/>
              <w:bottom w:val="single" w:sz="4" w:space="0" w:color="auto"/>
              <w:right w:val="single" w:sz="4" w:space="0" w:color="auto"/>
            </w:tcBorders>
            <w:hideMark/>
          </w:tcPr>
          <w:p w14:paraId="6176FAED" w14:textId="77777777" w:rsidR="00A3677D" w:rsidRPr="004D1D2E" w:rsidRDefault="00A3677D"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h</w:t>
            </w:r>
            <w:r w:rsidRPr="004D1D2E">
              <w:rPr>
                <w:rFonts w:ascii="Times New Roman" w:hAnsi="Times New Roman" w:cs="Times New Roman"/>
                <w:sz w:val="20"/>
                <w:szCs w:val="20"/>
                <w:vertAlign w:val="subscript"/>
                <w:lang w:val="en-GB"/>
              </w:rPr>
              <w:t>K</w:t>
            </w:r>
          </w:p>
        </w:tc>
        <w:tc>
          <w:tcPr>
            <w:tcW w:w="2610" w:type="dxa"/>
            <w:tcBorders>
              <w:top w:val="single" w:sz="4" w:space="0" w:color="auto"/>
              <w:left w:val="single" w:sz="4" w:space="0" w:color="auto"/>
              <w:bottom w:val="single" w:sz="4" w:space="0" w:color="auto"/>
              <w:right w:val="single" w:sz="4" w:space="0" w:color="auto"/>
            </w:tcBorders>
            <w:hideMark/>
          </w:tcPr>
          <w:p w14:paraId="2C8544A8" w14:textId="77777777" w:rsidR="00A3677D" w:rsidRPr="004D1D2E" w:rsidRDefault="00A3677D"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0.0922</w:t>
            </w:r>
          </w:p>
        </w:tc>
      </w:tr>
      <w:tr w:rsidR="00A3677D" w:rsidRPr="004D1D2E" w14:paraId="6C6C770F" w14:textId="77777777" w:rsidTr="004B157C">
        <w:tc>
          <w:tcPr>
            <w:tcW w:w="1530" w:type="dxa"/>
            <w:tcBorders>
              <w:top w:val="single" w:sz="4" w:space="0" w:color="auto"/>
              <w:left w:val="single" w:sz="4" w:space="0" w:color="auto"/>
              <w:bottom w:val="single" w:sz="4" w:space="0" w:color="auto"/>
              <w:right w:val="single" w:sz="4" w:space="0" w:color="auto"/>
            </w:tcBorders>
            <w:hideMark/>
          </w:tcPr>
          <w:p w14:paraId="2DE74F25" w14:textId="77777777" w:rsidR="00A3677D" w:rsidRPr="004D1D2E" w:rsidRDefault="00A3677D"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h</w:t>
            </w:r>
            <w:r w:rsidRPr="004D1D2E">
              <w:rPr>
                <w:rFonts w:ascii="Times New Roman" w:hAnsi="Times New Roman" w:cs="Times New Roman"/>
                <w:sz w:val="20"/>
                <w:szCs w:val="20"/>
                <w:vertAlign w:val="subscript"/>
                <w:lang w:val="en-GB"/>
              </w:rPr>
              <w:t>OH</w:t>
            </w:r>
          </w:p>
        </w:tc>
        <w:tc>
          <w:tcPr>
            <w:tcW w:w="2610" w:type="dxa"/>
            <w:tcBorders>
              <w:top w:val="single" w:sz="4" w:space="0" w:color="auto"/>
              <w:left w:val="single" w:sz="4" w:space="0" w:color="auto"/>
              <w:bottom w:val="single" w:sz="4" w:space="0" w:color="auto"/>
              <w:right w:val="single" w:sz="4" w:space="0" w:color="auto"/>
            </w:tcBorders>
            <w:hideMark/>
          </w:tcPr>
          <w:p w14:paraId="1DD41669" w14:textId="77777777" w:rsidR="00A3677D" w:rsidRPr="004D1D2E" w:rsidRDefault="00A3677D"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0.0839</w:t>
            </w:r>
          </w:p>
        </w:tc>
      </w:tr>
      <w:tr w:rsidR="00A3677D" w:rsidRPr="004D1D2E" w14:paraId="178C1142" w14:textId="77777777" w:rsidTr="004B157C">
        <w:tc>
          <w:tcPr>
            <w:tcW w:w="1530" w:type="dxa"/>
            <w:tcBorders>
              <w:top w:val="single" w:sz="4" w:space="0" w:color="auto"/>
              <w:left w:val="single" w:sz="4" w:space="0" w:color="auto"/>
              <w:bottom w:val="single" w:sz="4" w:space="0" w:color="auto"/>
              <w:right w:val="single" w:sz="4" w:space="0" w:color="auto"/>
            </w:tcBorders>
            <w:hideMark/>
          </w:tcPr>
          <w:p w14:paraId="18206E24" w14:textId="77777777" w:rsidR="00A3677D" w:rsidRPr="004D1D2E" w:rsidRDefault="00A3677D"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h</w:t>
            </w:r>
            <w:r w:rsidRPr="004D1D2E">
              <w:rPr>
                <w:rFonts w:ascii="Times New Roman" w:hAnsi="Times New Roman" w:cs="Times New Roman"/>
                <w:sz w:val="20"/>
                <w:szCs w:val="20"/>
                <w:vertAlign w:val="subscript"/>
                <w:lang w:val="en-GB"/>
              </w:rPr>
              <w:t>HCO3</w:t>
            </w:r>
          </w:p>
        </w:tc>
        <w:tc>
          <w:tcPr>
            <w:tcW w:w="2610" w:type="dxa"/>
            <w:tcBorders>
              <w:top w:val="single" w:sz="4" w:space="0" w:color="auto"/>
              <w:left w:val="single" w:sz="4" w:space="0" w:color="auto"/>
              <w:bottom w:val="single" w:sz="4" w:space="0" w:color="auto"/>
              <w:right w:val="single" w:sz="4" w:space="0" w:color="auto"/>
            </w:tcBorders>
            <w:hideMark/>
          </w:tcPr>
          <w:p w14:paraId="2F2E1FF0" w14:textId="77777777" w:rsidR="00A3677D" w:rsidRPr="004D1D2E" w:rsidRDefault="00A3677D"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0.0967</w:t>
            </w:r>
          </w:p>
        </w:tc>
      </w:tr>
      <w:tr w:rsidR="00A3677D" w:rsidRPr="004D1D2E" w14:paraId="174C803D" w14:textId="77777777" w:rsidTr="004B157C">
        <w:tc>
          <w:tcPr>
            <w:tcW w:w="1530" w:type="dxa"/>
            <w:tcBorders>
              <w:top w:val="single" w:sz="4" w:space="0" w:color="auto"/>
              <w:left w:val="single" w:sz="4" w:space="0" w:color="auto"/>
              <w:bottom w:val="single" w:sz="4" w:space="0" w:color="auto"/>
              <w:right w:val="single" w:sz="4" w:space="0" w:color="auto"/>
            </w:tcBorders>
            <w:hideMark/>
          </w:tcPr>
          <w:p w14:paraId="737EC6FF" w14:textId="77777777" w:rsidR="00A3677D" w:rsidRPr="004D1D2E" w:rsidRDefault="00A3677D"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h</w:t>
            </w:r>
            <w:r w:rsidRPr="004D1D2E">
              <w:rPr>
                <w:rFonts w:ascii="Times New Roman" w:hAnsi="Times New Roman" w:cs="Times New Roman"/>
                <w:sz w:val="20"/>
                <w:szCs w:val="20"/>
                <w:vertAlign w:val="subscript"/>
                <w:lang w:val="en-GB"/>
              </w:rPr>
              <w:t>CO3</w:t>
            </w:r>
          </w:p>
        </w:tc>
        <w:tc>
          <w:tcPr>
            <w:tcW w:w="2610" w:type="dxa"/>
            <w:tcBorders>
              <w:top w:val="single" w:sz="4" w:space="0" w:color="auto"/>
              <w:left w:val="single" w:sz="4" w:space="0" w:color="auto"/>
              <w:bottom w:val="single" w:sz="4" w:space="0" w:color="auto"/>
              <w:right w:val="single" w:sz="4" w:space="0" w:color="auto"/>
            </w:tcBorders>
            <w:hideMark/>
          </w:tcPr>
          <w:p w14:paraId="61A5236A" w14:textId="77777777" w:rsidR="00A3677D" w:rsidRPr="004D1D2E" w:rsidRDefault="00A3677D" w:rsidP="004B157C">
            <w:pPr>
              <w:jc w:val="center"/>
              <w:rPr>
                <w:rFonts w:ascii="Times New Roman" w:hAnsi="Times New Roman" w:cs="Times New Roman"/>
                <w:sz w:val="20"/>
                <w:szCs w:val="20"/>
                <w:lang w:val="en-GB"/>
              </w:rPr>
            </w:pPr>
            <w:r w:rsidRPr="004D1D2E">
              <w:rPr>
                <w:rFonts w:ascii="Times New Roman" w:hAnsi="Times New Roman" w:cs="Times New Roman"/>
                <w:sz w:val="20"/>
                <w:szCs w:val="20"/>
                <w:lang w:val="en-GB"/>
              </w:rPr>
              <w:t>0.1423</w:t>
            </w:r>
          </w:p>
        </w:tc>
      </w:tr>
    </w:tbl>
    <w:p w14:paraId="028B4E1C" w14:textId="77777777" w:rsidR="00A3677D" w:rsidRPr="004D1D2E" w:rsidRDefault="00A3677D" w:rsidP="0070300F">
      <w:pPr>
        <w:spacing w:after="0" w:line="240" w:lineRule="auto"/>
        <w:jc w:val="both"/>
        <w:rPr>
          <w:rFonts w:ascii="Times New Roman" w:hAnsi="Times New Roman" w:cs="Times New Roman"/>
          <w:sz w:val="20"/>
          <w:szCs w:val="20"/>
          <w:lang w:val="en-GB"/>
        </w:rPr>
      </w:pPr>
    </w:p>
    <w:p w14:paraId="67E019C0" w14:textId="5FAD6E0E" w:rsidR="004B7FE0" w:rsidRPr="009D52EB" w:rsidRDefault="004B7FE0">
      <w:pPr>
        <w:rPr>
          <w:rFonts w:ascii="Times New Roman" w:hAnsi="Times New Roman" w:cs="Times New Roman"/>
          <w:b/>
          <w:bCs/>
          <w:sz w:val="24"/>
          <w:szCs w:val="24"/>
        </w:rPr>
      </w:pPr>
      <w:r w:rsidRPr="009D52EB">
        <w:rPr>
          <w:rFonts w:ascii="Times New Roman" w:hAnsi="Times New Roman" w:cs="Times New Roman"/>
          <w:b/>
          <w:bCs/>
          <w:sz w:val="24"/>
          <w:szCs w:val="24"/>
        </w:rPr>
        <w:br w:type="page"/>
      </w:r>
    </w:p>
    <w:p w14:paraId="1B33003B" w14:textId="6D9E3A6E" w:rsidR="00EC418D" w:rsidRPr="009D52EB" w:rsidRDefault="0070300F">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w:t>
      </w:r>
      <w:r w:rsidR="00EC418D" w:rsidRPr="009D52EB">
        <w:rPr>
          <w:rFonts w:ascii="Times New Roman" w:hAnsi="Times New Roman" w:cs="Times New Roman"/>
          <w:b/>
          <w:bCs/>
          <w:sz w:val="24"/>
          <w:szCs w:val="24"/>
        </w:rPr>
        <w:t>References</w:t>
      </w:r>
    </w:p>
    <w:p w14:paraId="3A5BFDC8" w14:textId="3159358D" w:rsidR="00D328F7" w:rsidRPr="00D328F7" w:rsidRDefault="005F7CE1"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805810">
        <w:rPr>
          <w:rFonts w:ascii="Times New Roman" w:hAnsi="Times New Roman" w:cs="Times New Roman"/>
          <w:sz w:val="24"/>
          <w:szCs w:val="24"/>
        </w:rPr>
        <w:fldChar w:fldCharType="begin" w:fldLock="1"/>
      </w:r>
      <w:r w:rsidRPr="009D52EB">
        <w:rPr>
          <w:rFonts w:ascii="Times New Roman" w:hAnsi="Times New Roman" w:cs="Times New Roman"/>
          <w:sz w:val="24"/>
          <w:szCs w:val="24"/>
        </w:rPr>
        <w:instrText xml:space="preserve">ADDIN Mendeley Bibliography CSL_BIBLIOGRAPHY </w:instrText>
      </w:r>
      <w:r w:rsidRPr="00805810">
        <w:rPr>
          <w:rFonts w:ascii="Times New Roman" w:hAnsi="Times New Roman" w:cs="Times New Roman"/>
          <w:sz w:val="24"/>
          <w:szCs w:val="24"/>
        </w:rPr>
        <w:fldChar w:fldCharType="separate"/>
      </w:r>
      <w:r w:rsidR="00D328F7" w:rsidRPr="00D328F7">
        <w:rPr>
          <w:rFonts w:ascii="Times New Roman" w:hAnsi="Times New Roman" w:cs="Times New Roman"/>
          <w:noProof/>
          <w:sz w:val="24"/>
          <w:szCs w:val="24"/>
        </w:rPr>
        <w:t>1.</w:t>
      </w:r>
      <w:r w:rsidR="00D328F7" w:rsidRPr="00D328F7">
        <w:rPr>
          <w:rFonts w:ascii="Times New Roman" w:hAnsi="Times New Roman" w:cs="Times New Roman"/>
          <w:noProof/>
          <w:sz w:val="24"/>
          <w:szCs w:val="24"/>
        </w:rPr>
        <w:tab/>
        <w:t xml:space="preserve">García de Arquer, F.P., Dinh, C.T., Ozden, A., Wicks, J., McCallum, C., Kirmani, A.R., Nam, D.H., Gabardo, C., Seifitokaldani, A., Wang, X., et al. (2020). CO2 electrolysis to multicarbon products at activities greater than 1 A cm−2. Science </w:t>
      </w:r>
      <w:r w:rsidR="00D328F7" w:rsidRPr="00D328F7">
        <w:rPr>
          <w:rFonts w:ascii="Times New Roman" w:hAnsi="Times New Roman" w:cs="Times New Roman"/>
          <w:i/>
          <w:iCs/>
          <w:noProof/>
          <w:sz w:val="24"/>
          <w:szCs w:val="24"/>
        </w:rPr>
        <w:t>367</w:t>
      </w:r>
      <w:r w:rsidR="00D328F7" w:rsidRPr="00D328F7">
        <w:rPr>
          <w:rFonts w:ascii="Times New Roman" w:hAnsi="Times New Roman" w:cs="Times New Roman"/>
          <w:noProof/>
          <w:sz w:val="24"/>
          <w:szCs w:val="24"/>
        </w:rPr>
        <w:t>, 661–666.</w:t>
      </w:r>
    </w:p>
    <w:p w14:paraId="7623AD68"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2.</w:t>
      </w:r>
      <w:r w:rsidRPr="00D328F7">
        <w:rPr>
          <w:rFonts w:ascii="Times New Roman" w:hAnsi="Times New Roman" w:cs="Times New Roman"/>
          <w:noProof/>
          <w:sz w:val="24"/>
          <w:szCs w:val="24"/>
        </w:rPr>
        <w:tab/>
        <w:t xml:space="preserve">Li, F., Thevenon, A., Rosas-Hernández, A., Wang, Z., Li, Y., Gabardo, C.M., Ozden, A., Dinh, C.T., Li, J., Wang, Y., et al. (2020). Molecular tuning of CO2-to-ethylene conversion. Nature </w:t>
      </w:r>
      <w:r w:rsidRPr="00D328F7">
        <w:rPr>
          <w:rFonts w:ascii="Times New Roman" w:hAnsi="Times New Roman" w:cs="Times New Roman"/>
          <w:i/>
          <w:iCs/>
          <w:noProof/>
          <w:sz w:val="24"/>
          <w:szCs w:val="24"/>
        </w:rPr>
        <w:t>577</w:t>
      </w:r>
      <w:r w:rsidRPr="00D328F7">
        <w:rPr>
          <w:rFonts w:ascii="Times New Roman" w:hAnsi="Times New Roman" w:cs="Times New Roman"/>
          <w:noProof/>
          <w:sz w:val="24"/>
          <w:szCs w:val="24"/>
        </w:rPr>
        <w:t>, 509–513.</w:t>
      </w:r>
    </w:p>
    <w:p w14:paraId="51C0611F"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3.</w:t>
      </w:r>
      <w:r w:rsidRPr="00D328F7">
        <w:rPr>
          <w:rFonts w:ascii="Times New Roman" w:hAnsi="Times New Roman" w:cs="Times New Roman"/>
          <w:noProof/>
          <w:sz w:val="24"/>
          <w:szCs w:val="24"/>
        </w:rPr>
        <w:tab/>
        <w:t xml:space="preserve">Ross, M.B., De Luna, P., Li, Y., Dinh, C.T., Kim, D., Yang, P., and Sargent, E.H. (2019). Designing materials for electrochemical carbon dioxide recycling. Nat. Catal. </w:t>
      </w:r>
      <w:r w:rsidRPr="00D328F7">
        <w:rPr>
          <w:rFonts w:ascii="Times New Roman" w:hAnsi="Times New Roman" w:cs="Times New Roman"/>
          <w:i/>
          <w:iCs/>
          <w:noProof/>
          <w:sz w:val="24"/>
          <w:szCs w:val="24"/>
        </w:rPr>
        <w:t>2</w:t>
      </w:r>
      <w:r w:rsidRPr="00D328F7">
        <w:rPr>
          <w:rFonts w:ascii="Times New Roman" w:hAnsi="Times New Roman" w:cs="Times New Roman"/>
          <w:noProof/>
          <w:sz w:val="24"/>
          <w:szCs w:val="24"/>
        </w:rPr>
        <w:t>, 648–658.</w:t>
      </w:r>
    </w:p>
    <w:p w14:paraId="5C5AC34B"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4.</w:t>
      </w:r>
      <w:r w:rsidRPr="00D328F7">
        <w:rPr>
          <w:rFonts w:ascii="Times New Roman" w:hAnsi="Times New Roman" w:cs="Times New Roman"/>
          <w:noProof/>
          <w:sz w:val="24"/>
          <w:szCs w:val="24"/>
        </w:rPr>
        <w:tab/>
        <w:t xml:space="preserve">Li, F., Li, Y.C., Wang, Z., Li, J., Nam, D.H., Lum, Y., Luo, M., Wang, X., Ozden, A., Hung, S.F., et al. (2020). Cooperative CO2-to-ethanol conversion via enriched intermediates at molecule–metal catalyst interfaces. Nat. Catal. </w:t>
      </w:r>
      <w:r w:rsidRPr="00D328F7">
        <w:rPr>
          <w:rFonts w:ascii="Times New Roman" w:hAnsi="Times New Roman" w:cs="Times New Roman"/>
          <w:i/>
          <w:iCs/>
          <w:noProof/>
          <w:sz w:val="24"/>
          <w:szCs w:val="24"/>
        </w:rPr>
        <w:t>3</w:t>
      </w:r>
      <w:r w:rsidRPr="00D328F7">
        <w:rPr>
          <w:rFonts w:ascii="Times New Roman" w:hAnsi="Times New Roman" w:cs="Times New Roman"/>
          <w:noProof/>
          <w:sz w:val="24"/>
          <w:szCs w:val="24"/>
        </w:rPr>
        <w:t>, 75–82.</w:t>
      </w:r>
    </w:p>
    <w:p w14:paraId="2102F6B4"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5.</w:t>
      </w:r>
      <w:r w:rsidRPr="00D328F7">
        <w:rPr>
          <w:rFonts w:ascii="Times New Roman" w:hAnsi="Times New Roman" w:cs="Times New Roman"/>
          <w:noProof/>
          <w:sz w:val="24"/>
          <w:szCs w:val="24"/>
        </w:rPr>
        <w:tab/>
        <w:t>Wang, Y., Wang, Z., Dinh, C.T., Li, J., Ozden, A., Golam Kibria, M., Seifitokaldani, A., Tan, C.S., Gabardo, C.M., Luo, M., et al. (2019). Catalyst synthesis under CO2 electroreduction favours faceting and promotes renewable fuels electrosynthesis. Nat. Catal.</w:t>
      </w:r>
    </w:p>
    <w:p w14:paraId="09BF24CC"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6.</w:t>
      </w:r>
      <w:r w:rsidRPr="00D328F7">
        <w:rPr>
          <w:rFonts w:ascii="Times New Roman" w:hAnsi="Times New Roman" w:cs="Times New Roman"/>
          <w:noProof/>
          <w:sz w:val="24"/>
          <w:szCs w:val="24"/>
        </w:rPr>
        <w:tab/>
        <w:t xml:space="preserve">Huang, J.E., Li, F., Ozden, A., Rasouli, A.S., Pelayo, F., Arquer, G. De, Liu, S., Zhang, S., Luo, M., Xu, Y., et al. (2021). CO 2 electrolysis to multi-carbon products in strong acid. Science </w:t>
      </w:r>
      <w:r w:rsidRPr="00D328F7">
        <w:rPr>
          <w:rFonts w:ascii="Times New Roman" w:hAnsi="Times New Roman" w:cs="Times New Roman"/>
          <w:i/>
          <w:iCs/>
          <w:noProof/>
          <w:sz w:val="24"/>
          <w:szCs w:val="24"/>
        </w:rPr>
        <w:t>372</w:t>
      </w:r>
      <w:r w:rsidRPr="00D328F7">
        <w:rPr>
          <w:rFonts w:ascii="Times New Roman" w:hAnsi="Times New Roman" w:cs="Times New Roman"/>
          <w:noProof/>
          <w:sz w:val="24"/>
          <w:szCs w:val="24"/>
        </w:rPr>
        <w:t>, 1074–1078.</w:t>
      </w:r>
    </w:p>
    <w:p w14:paraId="04F34B94"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7.</w:t>
      </w:r>
      <w:r w:rsidRPr="00D328F7">
        <w:rPr>
          <w:rFonts w:ascii="Times New Roman" w:hAnsi="Times New Roman" w:cs="Times New Roman"/>
          <w:noProof/>
          <w:sz w:val="24"/>
          <w:szCs w:val="24"/>
        </w:rPr>
        <w:tab/>
        <w:t xml:space="preserve">Dinh, C.T., Burdyny, T., Kibria, G., Seifitokaldani, A., Gabardo, C.M., Pelayo García De Arquer, F., Kiani, A., Edwards, J.P., De Luna, P., Bushuyev, O.S., et al. (2018). CO2 electroreduction to ethylene via hydroxide-mediated copper catalysis at an abrupt interface. Science </w:t>
      </w:r>
      <w:r w:rsidRPr="00D328F7">
        <w:rPr>
          <w:rFonts w:ascii="Times New Roman" w:hAnsi="Times New Roman" w:cs="Times New Roman"/>
          <w:i/>
          <w:iCs/>
          <w:noProof/>
          <w:sz w:val="24"/>
          <w:szCs w:val="24"/>
        </w:rPr>
        <w:t>360</w:t>
      </w:r>
      <w:r w:rsidRPr="00D328F7">
        <w:rPr>
          <w:rFonts w:ascii="Times New Roman" w:hAnsi="Times New Roman" w:cs="Times New Roman"/>
          <w:noProof/>
          <w:sz w:val="24"/>
          <w:szCs w:val="24"/>
        </w:rPr>
        <w:t>, 783–787.</w:t>
      </w:r>
    </w:p>
    <w:p w14:paraId="04A7195A"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8.</w:t>
      </w:r>
      <w:r w:rsidRPr="00D328F7">
        <w:rPr>
          <w:rFonts w:ascii="Times New Roman" w:hAnsi="Times New Roman" w:cs="Times New Roman"/>
          <w:noProof/>
          <w:sz w:val="24"/>
          <w:szCs w:val="24"/>
        </w:rPr>
        <w:tab/>
        <w:t xml:space="preserve">Vermaas, D.A., and Smith, W.A. (2016). Synergistic Electrochemical CO2 Reduction and Water Oxidation with a Bipolar Membrane. ACS Energy Lett. </w:t>
      </w:r>
      <w:r w:rsidRPr="00D328F7">
        <w:rPr>
          <w:rFonts w:ascii="Times New Roman" w:hAnsi="Times New Roman" w:cs="Times New Roman"/>
          <w:i/>
          <w:iCs/>
          <w:noProof/>
          <w:sz w:val="24"/>
          <w:szCs w:val="24"/>
        </w:rPr>
        <w:t>1</w:t>
      </w:r>
      <w:r w:rsidRPr="00D328F7">
        <w:rPr>
          <w:rFonts w:ascii="Times New Roman" w:hAnsi="Times New Roman" w:cs="Times New Roman"/>
          <w:noProof/>
          <w:sz w:val="24"/>
          <w:szCs w:val="24"/>
        </w:rPr>
        <w:t>, 1143–1148.</w:t>
      </w:r>
    </w:p>
    <w:p w14:paraId="19844819"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9.</w:t>
      </w:r>
      <w:r w:rsidRPr="00D328F7">
        <w:rPr>
          <w:rFonts w:ascii="Times New Roman" w:hAnsi="Times New Roman" w:cs="Times New Roman"/>
          <w:noProof/>
          <w:sz w:val="24"/>
          <w:szCs w:val="24"/>
        </w:rPr>
        <w:tab/>
        <w:t xml:space="preserve">Kibria, M.G., Edwards, J.P., Gabardo, C.M., Dinh, C.T., Seifitokaldani, A., Sinton, D., and Sargent, E.H. (2019). Electrochemical CO2 Reduction into Chemical Feedstocks: From Mechanistic Electrocatalysis Models to System Design. Adv. Mater. </w:t>
      </w:r>
      <w:r w:rsidRPr="00D328F7">
        <w:rPr>
          <w:rFonts w:ascii="Times New Roman" w:hAnsi="Times New Roman" w:cs="Times New Roman"/>
          <w:i/>
          <w:iCs/>
          <w:noProof/>
          <w:sz w:val="24"/>
          <w:szCs w:val="24"/>
        </w:rPr>
        <w:t>31</w:t>
      </w:r>
      <w:r w:rsidRPr="00D328F7">
        <w:rPr>
          <w:rFonts w:ascii="Times New Roman" w:hAnsi="Times New Roman" w:cs="Times New Roman"/>
          <w:noProof/>
          <w:sz w:val="24"/>
          <w:szCs w:val="24"/>
        </w:rPr>
        <w:t>, 1–24.</w:t>
      </w:r>
    </w:p>
    <w:p w14:paraId="02CE959E"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10.</w:t>
      </w:r>
      <w:r w:rsidRPr="00D328F7">
        <w:rPr>
          <w:rFonts w:ascii="Times New Roman" w:hAnsi="Times New Roman" w:cs="Times New Roman"/>
          <w:noProof/>
          <w:sz w:val="24"/>
          <w:szCs w:val="24"/>
        </w:rPr>
        <w:tab/>
        <w:t xml:space="preserve">Rabinowitz, J.A., and Kanan, M.W. (2020). The future of low-temperature carbon dioxide electrolysis depends on solving one basic problem. Nat. Commun. </w:t>
      </w:r>
      <w:r w:rsidRPr="00D328F7">
        <w:rPr>
          <w:rFonts w:ascii="Times New Roman" w:hAnsi="Times New Roman" w:cs="Times New Roman"/>
          <w:i/>
          <w:iCs/>
          <w:noProof/>
          <w:sz w:val="24"/>
          <w:szCs w:val="24"/>
        </w:rPr>
        <w:t>11</w:t>
      </w:r>
      <w:r w:rsidRPr="00D328F7">
        <w:rPr>
          <w:rFonts w:ascii="Times New Roman" w:hAnsi="Times New Roman" w:cs="Times New Roman"/>
          <w:noProof/>
          <w:sz w:val="24"/>
          <w:szCs w:val="24"/>
        </w:rPr>
        <w:t>, 10–12.</w:t>
      </w:r>
    </w:p>
    <w:p w14:paraId="4A4E7A28"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11.</w:t>
      </w:r>
      <w:r w:rsidRPr="00D328F7">
        <w:rPr>
          <w:rFonts w:ascii="Times New Roman" w:hAnsi="Times New Roman" w:cs="Times New Roman"/>
          <w:noProof/>
          <w:sz w:val="24"/>
          <w:szCs w:val="24"/>
        </w:rPr>
        <w:tab/>
        <w:t xml:space="preserve">Ma, M., Clark, E.L., Chorkendorff, K.T.T.S.D., and Seger, B. (2020). Insights into the carbon balance for CO2 electroreduction on Cu using gas diffusion electrode reactor designs. Energy Environ. Sci. </w:t>
      </w:r>
      <w:r w:rsidRPr="00D328F7">
        <w:rPr>
          <w:rFonts w:ascii="Times New Roman" w:hAnsi="Times New Roman" w:cs="Times New Roman"/>
          <w:i/>
          <w:iCs/>
          <w:noProof/>
          <w:sz w:val="24"/>
          <w:szCs w:val="24"/>
        </w:rPr>
        <w:t>13</w:t>
      </w:r>
      <w:r w:rsidRPr="00D328F7">
        <w:rPr>
          <w:rFonts w:ascii="Times New Roman" w:hAnsi="Times New Roman" w:cs="Times New Roman"/>
          <w:noProof/>
          <w:sz w:val="24"/>
          <w:szCs w:val="24"/>
        </w:rPr>
        <w:t>, 977–985.</w:t>
      </w:r>
    </w:p>
    <w:p w14:paraId="3FB12D5F"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12.</w:t>
      </w:r>
      <w:r w:rsidRPr="00D328F7">
        <w:rPr>
          <w:rFonts w:ascii="Times New Roman" w:hAnsi="Times New Roman" w:cs="Times New Roman"/>
          <w:noProof/>
          <w:sz w:val="24"/>
          <w:szCs w:val="24"/>
        </w:rPr>
        <w:tab/>
        <w:t>Ozden, A., Wang, Y., Li, F., Luo, M., Sisler, J., Thevenon, A., Rosas-Hernández, A., Burdyny, T., Lum, Y., Yadegari, H., et al. (2021). Cascade CO2 electroreduction enables efficient carbonate-free production of ethylene. Joule, 1–14.</w:t>
      </w:r>
    </w:p>
    <w:p w14:paraId="0B266204"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13.</w:t>
      </w:r>
      <w:r w:rsidRPr="00D328F7">
        <w:rPr>
          <w:rFonts w:ascii="Times New Roman" w:hAnsi="Times New Roman" w:cs="Times New Roman"/>
          <w:noProof/>
          <w:sz w:val="24"/>
          <w:szCs w:val="24"/>
        </w:rPr>
        <w:tab/>
        <w:t xml:space="preserve">Ma, M., Kim, S., Chorkendorff, I., and Seger, B. (2020). Role of ion-selective membranes in the carbon balance for CO2electroreduction: Via gas diffusion electrode reactor designs. Chem. Sci. </w:t>
      </w:r>
      <w:r w:rsidRPr="00D328F7">
        <w:rPr>
          <w:rFonts w:ascii="Times New Roman" w:hAnsi="Times New Roman" w:cs="Times New Roman"/>
          <w:i/>
          <w:iCs/>
          <w:noProof/>
          <w:sz w:val="24"/>
          <w:szCs w:val="24"/>
        </w:rPr>
        <w:t>11</w:t>
      </w:r>
      <w:r w:rsidRPr="00D328F7">
        <w:rPr>
          <w:rFonts w:ascii="Times New Roman" w:hAnsi="Times New Roman" w:cs="Times New Roman"/>
          <w:noProof/>
          <w:sz w:val="24"/>
          <w:szCs w:val="24"/>
        </w:rPr>
        <w:t>, 8854–8861.</w:t>
      </w:r>
    </w:p>
    <w:p w14:paraId="5A8AF863"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lastRenderedPageBreak/>
        <w:t>14.</w:t>
      </w:r>
      <w:r w:rsidRPr="00D328F7">
        <w:rPr>
          <w:rFonts w:ascii="Times New Roman" w:hAnsi="Times New Roman" w:cs="Times New Roman"/>
          <w:noProof/>
          <w:sz w:val="24"/>
          <w:szCs w:val="24"/>
        </w:rPr>
        <w:tab/>
        <w:t xml:space="preserve">Ma, S., Sadakiyo, M., Luo, R., Heima, M., Yamauchi, M., and Kenis, P.J.A. (2016). One-step electrosynthesis of ethylene and ethanol from CO 2 in an alkaline electrolyzer. J. Power Sources </w:t>
      </w:r>
      <w:r w:rsidRPr="00D328F7">
        <w:rPr>
          <w:rFonts w:ascii="Times New Roman" w:hAnsi="Times New Roman" w:cs="Times New Roman"/>
          <w:i/>
          <w:iCs/>
          <w:noProof/>
          <w:sz w:val="24"/>
          <w:szCs w:val="24"/>
        </w:rPr>
        <w:t>301</w:t>
      </w:r>
      <w:r w:rsidRPr="00D328F7">
        <w:rPr>
          <w:rFonts w:ascii="Times New Roman" w:hAnsi="Times New Roman" w:cs="Times New Roman"/>
          <w:noProof/>
          <w:sz w:val="24"/>
          <w:szCs w:val="24"/>
        </w:rPr>
        <w:t>, 219–228.</w:t>
      </w:r>
    </w:p>
    <w:p w14:paraId="2067CC01"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15.</w:t>
      </w:r>
      <w:r w:rsidRPr="00D328F7">
        <w:rPr>
          <w:rFonts w:ascii="Times New Roman" w:hAnsi="Times New Roman" w:cs="Times New Roman"/>
          <w:noProof/>
          <w:sz w:val="24"/>
          <w:szCs w:val="24"/>
        </w:rPr>
        <w:tab/>
        <w:t xml:space="preserve">Verma, S., Hamasaki, Y., Kim, C., Huang, W., Lu, S., Jhong, H.R.M., Gewirth, A.A., Fujigaya, T., Nakashima, N., and Kenis, P.J.A. (2018). Insights into the Low Overpotential Electroreduction of CO2 to CO on a Supported Gold Catalyst in an Alkaline Flow Electrolyzer. ACS Energy Lett. </w:t>
      </w:r>
      <w:r w:rsidRPr="00D328F7">
        <w:rPr>
          <w:rFonts w:ascii="Times New Roman" w:hAnsi="Times New Roman" w:cs="Times New Roman"/>
          <w:i/>
          <w:iCs/>
          <w:noProof/>
          <w:sz w:val="24"/>
          <w:szCs w:val="24"/>
        </w:rPr>
        <w:t>3</w:t>
      </w:r>
      <w:r w:rsidRPr="00D328F7">
        <w:rPr>
          <w:rFonts w:ascii="Times New Roman" w:hAnsi="Times New Roman" w:cs="Times New Roman"/>
          <w:noProof/>
          <w:sz w:val="24"/>
          <w:szCs w:val="24"/>
        </w:rPr>
        <w:t>, 193–198.</w:t>
      </w:r>
    </w:p>
    <w:p w14:paraId="4909F444"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16.</w:t>
      </w:r>
      <w:r w:rsidRPr="00D328F7">
        <w:rPr>
          <w:rFonts w:ascii="Times New Roman" w:hAnsi="Times New Roman" w:cs="Times New Roman"/>
          <w:noProof/>
          <w:sz w:val="24"/>
          <w:szCs w:val="24"/>
        </w:rPr>
        <w:tab/>
        <w:t xml:space="preserve">Larrazábal, G.O., Strøm-Hansen, P., Heli, J.P., Zeiter, K., Therkildsen, K.T., Chorkendorff, I., and Seger, B. (2019). Analysis of Mass Flows and Membrane Cross-over in CO2 Reduction at High Current Densities in an MEA-Type Electrolyzer. ACS Appl. Mater. Interfaces </w:t>
      </w:r>
      <w:r w:rsidRPr="00D328F7">
        <w:rPr>
          <w:rFonts w:ascii="Times New Roman" w:hAnsi="Times New Roman" w:cs="Times New Roman"/>
          <w:i/>
          <w:iCs/>
          <w:noProof/>
          <w:sz w:val="24"/>
          <w:szCs w:val="24"/>
        </w:rPr>
        <w:t>11</w:t>
      </w:r>
      <w:r w:rsidRPr="00D328F7">
        <w:rPr>
          <w:rFonts w:ascii="Times New Roman" w:hAnsi="Times New Roman" w:cs="Times New Roman"/>
          <w:noProof/>
          <w:sz w:val="24"/>
          <w:szCs w:val="24"/>
        </w:rPr>
        <w:t>, 41281–41288.</w:t>
      </w:r>
    </w:p>
    <w:p w14:paraId="1DECAD7F"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17.</w:t>
      </w:r>
      <w:r w:rsidRPr="00D328F7">
        <w:rPr>
          <w:rFonts w:ascii="Times New Roman" w:hAnsi="Times New Roman" w:cs="Times New Roman"/>
          <w:noProof/>
          <w:sz w:val="24"/>
          <w:szCs w:val="24"/>
        </w:rPr>
        <w:tab/>
        <w:t xml:space="preserve">Gabardo, C.M., O’Brien, C.P., Edwards, J.P., McCallum, C., Xu, Y., Dinh, C.T., Li, J., Sargent, E.H., and Sinton, D. (2019). Continuous Carbon Dioxide Electroreduction to Concentrated Multi-carbon Products Using a Membrane Electrode Assembly. Joule </w:t>
      </w:r>
      <w:r w:rsidRPr="00D328F7">
        <w:rPr>
          <w:rFonts w:ascii="Times New Roman" w:hAnsi="Times New Roman" w:cs="Times New Roman"/>
          <w:i/>
          <w:iCs/>
          <w:noProof/>
          <w:sz w:val="24"/>
          <w:szCs w:val="24"/>
        </w:rPr>
        <w:t>3</w:t>
      </w:r>
      <w:r w:rsidRPr="00D328F7">
        <w:rPr>
          <w:rFonts w:ascii="Times New Roman" w:hAnsi="Times New Roman" w:cs="Times New Roman"/>
          <w:noProof/>
          <w:sz w:val="24"/>
          <w:szCs w:val="24"/>
        </w:rPr>
        <w:t>, 2777–2791.</w:t>
      </w:r>
    </w:p>
    <w:p w14:paraId="1BC89DFB"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18.</w:t>
      </w:r>
      <w:r w:rsidRPr="00D328F7">
        <w:rPr>
          <w:rFonts w:ascii="Times New Roman" w:hAnsi="Times New Roman" w:cs="Times New Roman"/>
          <w:noProof/>
          <w:sz w:val="24"/>
          <w:szCs w:val="24"/>
        </w:rPr>
        <w:tab/>
        <w:t xml:space="preserve">Jeng, E., and Jiao, F. (2020). Investigation of CO2 single-pass conversion in a flow electrolyzer. React. Chem. Eng. </w:t>
      </w:r>
      <w:r w:rsidRPr="00D328F7">
        <w:rPr>
          <w:rFonts w:ascii="Times New Roman" w:hAnsi="Times New Roman" w:cs="Times New Roman"/>
          <w:i/>
          <w:iCs/>
          <w:noProof/>
          <w:sz w:val="24"/>
          <w:szCs w:val="24"/>
        </w:rPr>
        <w:t>5</w:t>
      </w:r>
      <w:r w:rsidRPr="00D328F7">
        <w:rPr>
          <w:rFonts w:ascii="Times New Roman" w:hAnsi="Times New Roman" w:cs="Times New Roman"/>
          <w:noProof/>
          <w:sz w:val="24"/>
          <w:szCs w:val="24"/>
        </w:rPr>
        <w:t>, 1768–1775.</w:t>
      </w:r>
    </w:p>
    <w:p w14:paraId="7A616C8A"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19.</w:t>
      </w:r>
      <w:r w:rsidRPr="00D328F7">
        <w:rPr>
          <w:rFonts w:ascii="Times New Roman" w:hAnsi="Times New Roman" w:cs="Times New Roman"/>
          <w:noProof/>
          <w:sz w:val="24"/>
          <w:szCs w:val="24"/>
        </w:rPr>
        <w:tab/>
        <w:t xml:space="preserve">B. Endrodi, E. Kecsenovity, A. Samu, T. Halmagyi, S. Rojas-Carbonell, L. Wang, Y.Y. and C.J. (2020). High carbonate ion conductance of a robust PiperION membrane allows industrial current density and conversion in a zero-gap carbon. Energy Environ. Sci. </w:t>
      </w:r>
      <w:r w:rsidRPr="00D328F7">
        <w:rPr>
          <w:rFonts w:ascii="Times New Roman" w:hAnsi="Times New Roman" w:cs="Times New Roman"/>
          <w:i/>
          <w:iCs/>
          <w:noProof/>
          <w:sz w:val="24"/>
          <w:szCs w:val="24"/>
        </w:rPr>
        <w:t>13</w:t>
      </w:r>
      <w:r w:rsidRPr="00D328F7">
        <w:rPr>
          <w:rFonts w:ascii="Times New Roman" w:hAnsi="Times New Roman" w:cs="Times New Roman"/>
          <w:noProof/>
          <w:sz w:val="24"/>
          <w:szCs w:val="24"/>
        </w:rPr>
        <w:t>, 4098–4105.</w:t>
      </w:r>
    </w:p>
    <w:p w14:paraId="068DD97B"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20.</w:t>
      </w:r>
      <w:r w:rsidRPr="00D328F7">
        <w:rPr>
          <w:rFonts w:ascii="Times New Roman" w:hAnsi="Times New Roman" w:cs="Times New Roman"/>
          <w:noProof/>
          <w:sz w:val="24"/>
          <w:szCs w:val="24"/>
        </w:rPr>
        <w:tab/>
        <w:t xml:space="preserve">Oener, S.Z., Foster, M.J., and Boettcher, S.W. (2020). Accelerating water dissociation in bipolar membranes and for electrocatalysis. Science </w:t>
      </w:r>
      <w:r w:rsidRPr="00D328F7">
        <w:rPr>
          <w:rFonts w:ascii="Times New Roman" w:hAnsi="Times New Roman" w:cs="Times New Roman"/>
          <w:i/>
          <w:iCs/>
          <w:noProof/>
          <w:sz w:val="24"/>
          <w:szCs w:val="24"/>
        </w:rPr>
        <w:t>369</w:t>
      </w:r>
      <w:r w:rsidRPr="00D328F7">
        <w:rPr>
          <w:rFonts w:ascii="Times New Roman" w:hAnsi="Times New Roman" w:cs="Times New Roman"/>
          <w:noProof/>
          <w:sz w:val="24"/>
          <w:szCs w:val="24"/>
        </w:rPr>
        <w:t>, 1099–1103.</w:t>
      </w:r>
    </w:p>
    <w:p w14:paraId="0ADCF42A"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21.</w:t>
      </w:r>
      <w:r w:rsidRPr="00D328F7">
        <w:rPr>
          <w:rFonts w:ascii="Times New Roman" w:hAnsi="Times New Roman" w:cs="Times New Roman"/>
          <w:noProof/>
          <w:sz w:val="24"/>
          <w:szCs w:val="24"/>
        </w:rPr>
        <w:tab/>
        <w:t xml:space="preserve">Chen, Y., Vise, A., Klein, W.E., Cetinbas, F.C., Myers, D.J., Smith, W.A., Smith, W.A., Smith, W.A., Deutsch, T.G., and Neyerlin, K.C. (2020). A Robust, Scalable Platform for the Electrochemical Conversion of CO2to Formate: Identifying Pathways to Higher Energy Efficiencies. ACS Energy Lett. </w:t>
      </w:r>
      <w:r w:rsidRPr="00D328F7">
        <w:rPr>
          <w:rFonts w:ascii="Times New Roman" w:hAnsi="Times New Roman" w:cs="Times New Roman"/>
          <w:i/>
          <w:iCs/>
          <w:noProof/>
          <w:sz w:val="24"/>
          <w:szCs w:val="24"/>
        </w:rPr>
        <w:t>5</w:t>
      </w:r>
      <w:r w:rsidRPr="00D328F7">
        <w:rPr>
          <w:rFonts w:ascii="Times New Roman" w:hAnsi="Times New Roman" w:cs="Times New Roman"/>
          <w:noProof/>
          <w:sz w:val="24"/>
          <w:szCs w:val="24"/>
        </w:rPr>
        <w:t>, 1825–1833.</w:t>
      </w:r>
    </w:p>
    <w:p w14:paraId="598FB6BD"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22.</w:t>
      </w:r>
      <w:r w:rsidRPr="00D328F7">
        <w:rPr>
          <w:rFonts w:ascii="Times New Roman" w:hAnsi="Times New Roman" w:cs="Times New Roman"/>
          <w:noProof/>
          <w:sz w:val="24"/>
          <w:szCs w:val="24"/>
        </w:rPr>
        <w:tab/>
        <w:t xml:space="preserve">Yan, Z., Hitt, J.L., Zeng, Z., Hickner, M.A., and Mallouk, T.E. (2021). Improving the efficiency of CO2 electrolysis by using a bipolar membrane with a weak-acid cation exchange layer. Nat. Chem. </w:t>
      </w:r>
      <w:r w:rsidRPr="00D328F7">
        <w:rPr>
          <w:rFonts w:ascii="Times New Roman" w:hAnsi="Times New Roman" w:cs="Times New Roman"/>
          <w:i/>
          <w:iCs/>
          <w:noProof/>
          <w:sz w:val="24"/>
          <w:szCs w:val="24"/>
        </w:rPr>
        <w:t>13</w:t>
      </w:r>
      <w:r w:rsidRPr="00D328F7">
        <w:rPr>
          <w:rFonts w:ascii="Times New Roman" w:hAnsi="Times New Roman" w:cs="Times New Roman"/>
          <w:noProof/>
          <w:sz w:val="24"/>
          <w:szCs w:val="24"/>
        </w:rPr>
        <w:t>, 33–40.</w:t>
      </w:r>
    </w:p>
    <w:p w14:paraId="7962556F"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23.</w:t>
      </w:r>
      <w:r w:rsidRPr="00D328F7">
        <w:rPr>
          <w:rFonts w:ascii="Times New Roman" w:hAnsi="Times New Roman" w:cs="Times New Roman"/>
          <w:noProof/>
          <w:sz w:val="24"/>
          <w:szCs w:val="24"/>
        </w:rPr>
        <w:tab/>
        <w:t xml:space="preserve">Yang, K., Li, M., Subramanian, S., Blommaert, M.A., Smith, W.A., and Burdyny, T. (2021). Cation-Driven Increases of CO 2 Utilization in a Bipolar Membrane Electrode Assembly for CO 2 Electrolysis. ACS Energy Lett. </w:t>
      </w:r>
      <w:r w:rsidRPr="00D328F7">
        <w:rPr>
          <w:rFonts w:ascii="Times New Roman" w:hAnsi="Times New Roman" w:cs="Times New Roman"/>
          <w:i/>
          <w:iCs/>
          <w:noProof/>
          <w:sz w:val="24"/>
          <w:szCs w:val="24"/>
        </w:rPr>
        <w:t>6</w:t>
      </w:r>
      <w:r w:rsidRPr="00D328F7">
        <w:rPr>
          <w:rFonts w:ascii="Times New Roman" w:hAnsi="Times New Roman" w:cs="Times New Roman"/>
          <w:noProof/>
          <w:sz w:val="24"/>
          <w:szCs w:val="24"/>
        </w:rPr>
        <w:t>, 4291–4298.</w:t>
      </w:r>
    </w:p>
    <w:p w14:paraId="4C748F4A"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24.</w:t>
      </w:r>
      <w:r w:rsidRPr="00D328F7">
        <w:rPr>
          <w:rFonts w:ascii="Times New Roman" w:hAnsi="Times New Roman" w:cs="Times New Roman"/>
          <w:noProof/>
          <w:sz w:val="24"/>
          <w:szCs w:val="24"/>
        </w:rPr>
        <w:tab/>
        <w:t xml:space="preserve">Salvatore, D.A., Weekes, D.M., He, J., Dettelbach, K.E., Li, Y.C., Mallouk, T.E., and Berlinguette, C.P. (2018). Electrolysis of Gaseous CO2 to CO in a Flow Cell with a Bipolar Membrane. ACS Energy Lett. </w:t>
      </w:r>
      <w:r w:rsidRPr="00D328F7">
        <w:rPr>
          <w:rFonts w:ascii="Times New Roman" w:hAnsi="Times New Roman" w:cs="Times New Roman"/>
          <w:i/>
          <w:iCs/>
          <w:noProof/>
          <w:sz w:val="24"/>
          <w:szCs w:val="24"/>
        </w:rPr>
        <w:t>3</w:t>
      </w:r>
      <w:r w:rsidRPr="00D328F7">
        <w:rPr>
          <w:rFonts w:ascii="Times New Roman" w:hAnsi="Times New Roman" w:cs="Times New Roman"/>
          <w:noProof/>
          <w:sz w:val="24"/>
          <w:szCs w:val="24"/>
        </w:rPr>
        <w:t>, 149–154.</w:t>
      </w:r>
    </w:p>
    <w:p w14:paraId="2EA9EF69"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25.</w:t>
      </w:r>
      <w:r w:rsidRPr="00D328F7">
        <w:rPr>
          <w:rFonts w:ascii="Times New Roman" w:hAnsi="Times New Roman" w:cs="Times New Roman"/>
          <w:noProof/>
          <w:sz w:val="24"/>
          <w:szCs w:val="24"/>
        </w:rPr>
        <w:tab/>
        <w:t xml:space="preserve">Delacourt, C., Ridgway, P.L., Kerr, J.B., and Newman, J. (2008). Design of an Electrochemical Cell Making Syngas (CO+H2) from CO2 and H2O Reduction at Room Temperature. J. Electrochem. Soc. </w:t>
      </w:r>
      <w:r w:rsidRPr="00D328F7">
        <w:rPr>
          <w:rFonts w:ascii="Times New Roman" w:hAnsi="Times New Roman" w:cs="Times New Roman"/>
          <w:i/>
          <w:iCs/>
          <w:noProof/>
          <w:sz w:val="24"/>
          <w:szCs w:val="24"/>
        </w:rPr>
        <w:t>155</w:t>
      </w:r>
      <w:r w:rsidRPr="00D328F7">
        <w:rPr>
          <w:rFonts w:ascii="Times New Roman" w:hAnsi="Times New Roman" w:cs="Times New Roman"/>
          <w:noProof/>
          <w:sz w:val="24"/>
          <w:szCs w:val="24"/>
        </w:rPr>
        <w:t>, B42.</w:t>
      </w:r>
    </w:p>
    <w:p w14:paraId="48526DB4"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26.</w:t>
      </w:r>
      <w:r w:rsidRPr="00D328F7">
        <w:rPr>
          <w:rFonts w:ascii="Times New Roman" w:hAnsi="Times New Roman" w:cs="Times New Roman"/>
          <w:noProof/>
          <w:sz w:val="24"/>
          <w:szCs w:val="24"/>
        </w:rPr>
        <w:tab/>
        <w:t xml:space="preserve">Lee, G., Li, Y.C., Kim, J.Y., Peng, T., Nam, D.H., Sedighian Rasouli, A., Li, F., Luo, M., </w:t>
      </w:r>
      <w:r w:rsidRPr="00D328F7">
        <w:rPr>
          <w:rFonts w:ascii="Times New Roman" w:hAnsi="Times New Roman" w:cs="Times New Roman"/>
          <w:noProof/>
          <w:sz w:val="24"/>
          <w:szCs w:val="24"/>
        </w:rPr>
        <w:lastRenderedPageBreak/>
        <w:t xml:space="preserve">Ip, A.H., Joo, Y.C., et al. (2021). Electrochemical upgrade of CO2 from amine capture solution. Nat. Energy </w:t>
      </w:r>
      <w:r w:rsidRPr="00D328F7">
        <w:rPr>
          <w:rFonts w:ascii="Times New Roman" w:hAnsi="Times New Roman" w:cs="Times New Roman"/>
          <w:i/>
          <w:iCs/>
          <w:noProof/>
          <w:sz w:val="24"/>
          <w:szCs w:val="24"/>
        </w:rPr>
        <w:t>6</w:t>
      </w:r>
      <w:r w:rsidRPr="00D328F7">
        <w:rPr>
          <w:rFonts w:ascii="Times New Roman" w:hAnsi="Times New Roman" w:cs="Times New Roman"/>
          <w:noProof/>
          <w:sz w:val="24"/>
          <w:szCs w:val="24"/>
        </w:rPr>
        <w:t>, 46–53.</w:t>
      </w:r>
    </w:p>
    <w:p w14:paraId="1D477513"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27.</w:t>
      </w:r>
      <w:r w:rsidRPr="00D328F7">
        <w:rPr>
          <w:rFonts w:ascii="Times New Roman" w:hAnsi="Times New Roman" w:cs="Times New Roman"/>
          <w:noProof/>
          <w:sz w:val="24"/>
          <w:szCs w:val="24"/>
        </w:rPr>
        <w:tab/>
        <w:t xml:space="preserve">Singh, M.R., Kwon, Y., Lum, Y., Ager, J.W., and Bell, A.T. (2016). Hydrolysis of Electrolyte Cations Enhances the Electrochemical Reduction of CO2 over Ag and Cu. J. Am. Chem. Soc. </w:t>
      </w:r>
      <w:r w:rsidRPr="00D328F7">
        <w:rPr>
          <w:rFonts w:ascii="Times New Roman" w:hAnsi="Times New Roman" w:cs="Times New Roman"/>
          <w:i/>
          <w:iCs/>
          <w:noProof/>
          <w:sz w:val="24"/>
          <w:szCs w:val="24"/>
        </w:rPr>
        <w:t>138</w:t>
      </w:r>
      <w:r w:rsidRPr="00D328F7">
        <w:rPr>
          <w:rFonts w:ascii="Times New Roman" w:hAnsi="Times New Roman" w:cs="Times New Roman"/>
          <w:noProof/>
          <w:sz w:val="24"/>
          <w:szCs w:val="24"/>
        </w:rPr>
        <w:t>, 13006–13012.</w:t>
      </w:r>
    </w:p>
    <w:p w14:paraId="596315D8"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28.</w:t>
      </w:r>
      <w:r w:rsidRPr="00D328F7">
        <w:rPr>
          <w:rFonts w:ascii="Times New Roman" w:hAnsi="Times New Roman" w:cs="Times New Roman"/>
          <w:noProof/>
          <w:sz w:val="24"/>
          <w:szCs w:val="24"/>
        </w:rPr>
        <w:tab/>
        <w:t xml:space="preserve">Resasco, J., Chen, L.D., Clark, E., Tsai, C., Hahn, C., Jaramillo, T.F., Chan, K., and Bell, A.T. (2017). Promoter Effects of Alkali Metal Cations on the Electrochemical Reduction of Carbon Dioxide. J. Am. Chem. Soc. </w:t>
      </w:r>
      <w:r w:rsidRPr="00D328F7">
        <w:rPr>
          <w:rFonts w:ascii="Times New Roman" w:hAnsi="Times New Roman" w:cs="Times New Roman"/>
          <w:i/>
          <w:iCs/>
          <w:noProof/>
          <w:sz w:val="24"/>
          <w:szCs w:val="24"/>
        </w:rPr>
        <w:t>139</w:t>
      </w:r>
      <w:r w:rsidRPr="00D328F7">
        <w:rPr>
          <w:rFonts w:ascii="Times New Roman" w:hAnsi="Times New Roman" w:cs="Times New Roman"/>
          <w:noProof/>
          <w:sz w:val="24"/>
          <w:szCs w:val="24"/>
        </w:rPr>
        <w:t>, 11277–11287.</w:t>
      </w:r>
    </w:p>
    <w:p w14:paraId="4949E54C"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29.</w:t>
      </w:r>
      <w:r w:rsidRPr="00D328F7">
        <w:rPr>
          <w:rFonts w:ascii="Times New Roman" w:hAnsi="Times New Roman" w:cs="Times New Roman"/>
          <w:noProof/>
          <w:sz w:val="24"/>
          <w:szCs w:val="24"/>
        </w:rPr>
        <w:tab/>
        <w:t xml:space="preserve">Sa, Y.J., Lee, C.W., Lee, S.Y., Na, J., Lee, U., and Hwang, Y.J. (2020). Catalyst-electrolyte interface chemistry for electrochemical CO2 reduction. Chem. Soc. Rev. </w:t>
      </w:r>
      <w:r w:rsidRPr="00D328F7">
        <w:rPr>
          <w:rFonts w:ascii="Times New Roman" w:hAnsi="Times New Roman" w:cs="Times New Roman"/>
          <w:i/>
          <w:iCs/>
          <w:noProof/>
          <w:sz w:val="24"/>
          <w:szCs w:val="24"/>
        </w:rPr>
        <w:t>49</w:t>
      </w:r>
      <w:r w:rsidRPr="00D328F7">
        <w:rPr>
          <w:rFonts w:ascii="Times New Roman" w:hAnsi="Times New Roman" w:cs="Times New Roman"/>
          <w:noProof/>
          <w:sz w:val="24"/>
          <w:szCs w:val="24"/>
        </w:rPr>
        <w:t>, 6632–6665.</w:t>
      </w:r>
    </w:p>
    <w:p w14:paraId="32EE68AE"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30.</w:t>
      </w:r>
      <w:r w:rsidRPr="00D328F7">
        <w:rPr>
          <w:rFonts w:ascii="Times New Roman" w:hAnsi="Times New Roman" w:cs="Times New Roman"/>
          <w:noProof/>
          <w:sz w:val="24"/>
          <w:szCs w:val="24"/>
        </w:rPr>
        <w:tab/>
        <w:t xml:space="preserve">Xu, Y., Edwards, J.P., Liu, S., Miao, R.K., Huang, J.E., Gabardo, C.M., O’Brien, C.P., Li, J., Sargent, E.H., and Sinton, D. (2021).  Self-Cleaning CO 2 Reduction Systems: Unsteady Electrochemical Forcing Enables Stability . ACS Energy Lett. </w:t>
      </w:r>
      <w:r w:rsidRPr="00D328F7">
        <w:rPr>
          <w:rFonts w:ascii="Times New Roman" w:hAnsi="Times New Roman" w:cs="Times New Roman"/>
          <w:i/>
          <w:iCs/>
          <w:noProof/>
          <w:sz w:val="24"/>
          <w:szCs w:val="24"/>
        </w:rPr>
        <w:t>6</w:t>
      </w:r>
      <w:r w:rsidRPr="00D328F7">
        <w:rPr>
          <w:rFonts w:ascii="Times New Roman" w:hAnsi="Times New Roman" w:cs="Times New Roman"/>
          <w:noProof/>
          <w:sz w:val="24"/>
          <w:szCs w:val="24"/>
        </w:rPr>
        <w:t>, 809–815.</w:t>
      </w:r>
    </w:p>
    <w:p w14:paraId="7F32AD67"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31.</w:t>
      </w:r>
      <w:r w:rsidRPr="00D328F7">
        <w:rPr>
          <w:rFonts w:ascii="Times New Roman" w:hAnsi="Times New Roman" w:cs="Times New Roman"/>
          <w:noProof/>
          <w:sz w:val="24"/>
          <w:szCs w:val="24"/>
        </w:rPr>
        <w:tab/>
        <w:t xml:space="preserve">McGrogan, F.P., Swamy, T., Bishop, S.R., Eggleton, E., Porz, L., Chen, X., Chiang, Y.M., and Van Vliet, K.J. (2017). Compliant Yet Brittle Mechanical Behavior of Li2S–P2S5 Lithium-Ion-Conducting Solid Electrolyte. Adv. Energy Mater. </w:t>
      </w:r>
      <w:r w:rsidRPr="00D328F7">
        <w:rPr>
          <w:rFonts w:ascii="Times New Roman" w:hAnsi="Times New Roman" w:cs="Times New Roman"/>
          <w:i/>
          <w:iCs/>
          <w:noProof/>
          <w:sz w:val="24"/>
          <w:szCs w:val="24"/>
        </w:rPr>
        <w:t>7</w:t>
      </w:r>
      <w:r w:rsidRPr="00D328F7">
        <w:rPr>
          <w:rFonts w:ascii="Times New Roman" w:hAnsi="Times New Roman" w:cs="Times New Roman"/>
          <w:noProof/>
          <w:sz w:val="24"/>
          <w:szCs w:val="24"/>
        </w:rPr>
        <w:t>, 1–5.</w:t>
      </w:r>
    </w:p>
    <w:p w14:paraId="56335296"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32.</w:t>
      </w:r>
      <w:r w:rsidRPr="00D328F7">
        <w:rPr>
          <w:rFonts w:ascii="Times New Roman" w:hAnsi="Times New Roman" w:cs="Times New Roman"/>
          <w:noProof/>
          <w:sz w:val="24"/>
          <w:szCs w:val="24"/>
        </w:rPr>
        <w:tab/>
        <w:t xml:space="preserve">Xie, K., Wu, H., Meng, Y., Lu, K., Wei, Z., and Zhang, Z. (2015). Poly(3,4-dinitrothiophene)/SWCNT composite as a low overpotential hydrogen evolution metal-free catalyst. J. Mater. Chem. A </w:t>
      </w:r>
      <w:r w:rsidRPr="00D328F7">
        <w:rPr>
          <w:rFonts w:ascii="Times New Roman" w:hAnsi="Times New Roman" w:cs="Times New Roman"/>
          <w:i/>
          <w:iCs/>
          <w:noProof/>
          <w:sz w:val="24"/>
          <w:szCs w:val="24"/>
        </w:rPr>
        <w:t>3</w:t>
      </w:r>
      <w:r w:rsidRPr="00D328F7">
        <w:rPr>
          <w:rFonts w:ascii="Times New Roman" w:hAnsi="Times New Roman" w:cs="Times New Roman"/>
          <w:noProof/>
          <w:sz w:val="24"/>
          <w:szCs w:val="24"/>
        </w:rPr>
        <w:t>, 78–82.</w:t>
      </w:r>
    </w:p>
    <w:p w14:paraId="09F41C3D"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33.</w:t>
      </w:r>
      <w:r w:rsidRPr="00D328F7">
        <w:rPr>
          <w:rFonts w:ascii="Times New Roman" w:hAnsi="Times New Roman" w:cs="Times New Roman"/>
          <w:noProof/>
          <w:sz w:val="24"/>
          <w:szCs w:val="24"/>
        </w:rPr>
        <w:tab/>
        <w:t xml:space="preserve">Xie, K., Qin, X., Wang, X., Wang, Y., Tao, H., Wu, Q., Yang, L., and Hu, Z. (2012). Carbon nanocages as supercapacitor electrode materials. Adv. Mater. </w:t>
      </w:r>
      <w:r w:rsidRPr="00D328F7">
        <w:rPr>
          <w:rFonts w:ascii="Times New Roman" w:hAnsi="Times New Roman" w:cs="Times New Roman"/>
          <w:i/>
          <w:iCs/>
          <w:noProof/>
          <w:sz w:val="24"/>
          <w:szCs w:val="24"/>
        </w:rPr>
        <w:t>24</w:t>
      </w:r>
      <w:r w:rsidRPr="00D328F7">
        <w:rPr>
          <w:rFonts w:ascii="Times New Roman" w:hAnsi="Times New Roman" w:cs="Times New Roman"/>
          <w:noProof/>
          <w:sz w:val="24"/>
          <w:szCs w:val="24"/>
        </w:rPr>
        <w:t>, 347–352.</w:t>
      </w:r>
    </w:p>
    <w:p w14:paraId="74EBF82B"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34.</w:t>
      </w:r>
      <w:r w:rsidRPr="00D328F7">
        <w:rPr>
          <w:rFonts w:ascii="Times New Roman" w:hAnsi="Times New Roman" w:cs="Times New Roman"/>
          <w:noProof/>
          <w:sz w:val="24"/>
          <w:szCs w:val="24"/>
        </w:rPr>
        <w:tab/>
        <w:t xml:space="preserve">Seo, S.J., Woo, J.J., Yun, S.H., Lee, H.J., Park, J.S., Xu, T., Yang, T.H., Lee, J., and Moon, S.H. (2010). Analyses of interfacial resistances in a membrane-electrode assembly for a proton exchange membrane fuel cell using symmetrical impedance spectroscopy. Phys. Chem. Chem. Phys. </w:t>
      </w:r>
      <w:r w:rsidRPr="00D328F7">
        <w:rPr>
          <w:rFonts w:ascii="Times New Roman" w:hAnsi="Times New Roman" w:cs="Times New Roman"/>
          <w:i/>
          <w:iCs/>
          <w:noProof/>
          <w:sz w:val="24"/>
          <w:szCs w:val="24"/>
        </w:rPr>
        <w:t>12</w:t>
      </w:r>
      <w:r w:rsidRPr="00D328F7">
        <w:rPr>
          <w:rFonts w:ascii="Times New Roman" w:hAnsi="Times New Roman" w:cs="Times New Roman"/>
          <w:noProof/>
          <w:sz w:val="24"/>
          <w:szCs w:val="24"/>
        </w:rPr>
        <w:t>, 15291–15300.</w:t>
      </w:r>
    </w:p>
    <w:p w14:paraId="1B9C89AD"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35.</w:t>
      </w:r>
      <w:r w:rsidRPr="00D328F7">
        <w:rPr>
          <w:rFonts w:ascii="Times New Roman" w:hAnsi="Times New Roman" w:cs="Times New Roman"/>
          <w:noProof/>
          <w:sz w:val="24"/>
          <w:szCs w:val="24"/>
        </w:rPr>
        <w:tab/>
        <w:t xml:space="preserve">Rashid, N., Ahmad, M., and Ingole, P.P. (2020). Dendritic copper microstructured electrodeposits for e ffi cient and selective electrochemical reduction of carbon dioxide into C1 and C2 hydrocarbons. J. CO2 Util. </w:t>
      </w:r>
      <w:r w:rsidRPr="00D328F7">
        <w:rPr>
          <w:rFonts w:ascii="Times New Roman" w:hAnsi="Times New Roman" w:cs="Times New Roman"/>
          <w:i/>
          <w:iCs/>
          <w:noProof/>
          <w:sz w:val="24"/>
          <w:szCs w:val="24"/>
        </w:rPr>
        <w:t>38</w:t>
      </w:r>
      <w:r w:rsidRPr="00D328F7">
        <w:rPr>
          <w:rFonts w:ascii="Times New Roman" w:hAnsi="Times New Roman" w:cs="Times New Roman"/>
          <w:noProof/>
          <w:sz w:val="24"/>
          <w:szCs w:val="24"/>
        </w:rPr>
        <w:t>, 385–397.</w:t>
      </w:r>
    </w:p>
    <w:p w14:paraId="5F5A75A8"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36.</w:t>
      </w:r>
      <w:r w:rsidRPr="00D328F7">
        <w:rPr>
          <w:rFonts w:ascii="Times New Roman" w:hAnsi="Times New Roman" w:cs="Times New Roman"/>
          <w:noProof/>
          <w:sz w:val="24"/>
          <w:szCs w:val="24"/>
        </w:rPr>
        <w:tab/>
        <w:t xml:space="preserve">Sisler, J., Shaihroz Kha, Ip, A.H., Jaffer, M.W.S.S.A., and Sargent, E.H. (2021). Ethylene Electrosynthesis : A Comparative Techno-economic Analysis of Alkaline vs Membrane Electrode Assembly vs CO2−CO− C2H4 Tandems. ACS Energy Lett. </w:t>
      </w:r>
      <w:r w:rsidRPr="00D328F7">
        <w:rPr>
          <w:rFonts w:ascii="Times New Roman" w:hAnsi="Times New Roman" w:cs="Times New Roman"/>
          <w:i/>
          <w:iCs/>
          <w:noProof/>
          <w:sz w:val="24"/>
          <w:szCs w:val="24"/>
        </w:rPr>
        <w:t>6</w:t>
      </w:r>
      <w:r w:rsidRPr="00D328F7">
        <w:rPr>
          <w:rFonts w:ascii="Times New Roman" w:hAnsi="Times New Roman" w:cs="Times New Roman"/>
          <w:noProof/>
          <w:sz w:val="24"/>
          <w:szCs w:val="24"/>
        </w:rPr>
        <w:t>, 997–1002.</w:t>
      </w:r>
    </w:p>
    <w:p w14:paraId="2C6096A2"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37.</w:t>
      </w:r>
      <w:r w:rsidRPr="00D328F7">
        <w:rPr>
          <w:rFonts w:ascii="Times New Roman" w:hAnsi="Times New Roman" w:cs="Times New Roman"/>
          <w:noProof/>
          <w:sz w:val="24"/>
          <w:szCs w:val="24"/>
        </w:rPr>
        <w:tab/>
        <w:t xml:space="preserve">Chen, Y., Lewis, N.S., and Xiang, C. (2020).  Modeling the Performance of A Flow-Through Gas Diffusion Electrode for Electrochemical Reduction of CO or CO 2 . J. Electrochem. Soc. </w:t>
      </w:r>
      <w:r w:rsidRPr="00D328F7">
        <w:rPr>
          <w:rFonts w:ascii="Times New Roman" w:hAnsi="Times New Roman" w:cs="Times New Roman"/>
          <w:i/>
          <w:iCs/>
          <w:noProof/>
          <w:sz w:val="24"/>
          <w:szCs w:val="24"/>
        </w:rPr>
        <w:t>167</w:t>
      </w:r>
      <w:r w:rsidRPr="00D328F7">
        <w:rPr>
          <w:rFonts w:ascii="Times New Roman" w:hAnsi="Times New Roman" w:cs="Times New Roman"/>
          <w:noProof/>
          <w:sz w:val="24"/>
          <w:szCs w:val="24"/>
        </w:rPr>
        <w:t>, 114503.</w:t>
      </w:r>
    </w:p>
    <w:p w14:paraId="107F8E36"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38.</w:t>
      </w:r>
      <w:r w:rsidRPr="00D328F7">
        <w:rPr>
          <w:rFonts w:ascii="Times New Roman" w:hAnsi="Times New Roman" w:cs="Times New Roman"/>
          <w:noProof/>
          <w:sz w:val="24"/>
          <w:szCs w:val="24"/>
        </w:rPr>
        <w:tab/>
        <w:t xml:space="preserve">Petr Vany ́sek (1996). ionic conductiVity and diffusion at infinite dilution. CRC Handb. Chem. Phys </w:t>
      </w:r>
      <w:r w:rsidRPr="00D328F7">
        <w:rPr>
          <w:rFonts w:ascii="Times New Roman" w:hAnsi="Times New Roman" w:cs="Times New Roman"/>
          <w:i/>
          <w:iCs/>
          <w:noProof/>
          <w:sz w:val="24"/>
          <w:szCs w:val="24"/>
        </w:rPr>
        <w:t>96</w:t>
      </w:r>
      <w:r w:rsidRPr="00D328F7">
        <w:rPr>
          <w:rFonts w:ascii="Times New Roman" w:hAnsi="Times New Roman" w:cs="Times New Roman"/>
          <w:noProof/>
          <w:sz w:val="24"/>
          <w:szCs w:val="24"/>
        </w:rPr>
        <w:t>, 5–98.</w:t>
      </w:r>
    </w:p>
    <w:p w14:paraId="087F5A6E"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39.</w:t>
      </w:r>
      <w:r w:rsidRPr="00D328F7">
        <w:rPr>
          <w:rFonts w:ascii="Times New Roman" w:hAnsi="Times New Roman" w:cs="Times New Roman"/>
          <w:noProof/>
          <w:sz w:val="24"/>
          <w:szCs w:val="24"/>
        </w:rPr>
        <w:tab/>
        <w:t>Aqion Table of Diffusion Coefficients. https://www.aqion.de/site/diffusion-coefficients.</w:t>
      </w:r>
    </w:p>
    <w:p w14:paraId="18BCD2E7"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lastRenderedPageBreak/>
        <w:t>40.</w:t>
      </w:r>
      <w:r w:rsidRPr="00D328F7">
        <w:rPr>
          <w:rFonts w:ascii="Times New Roman" w:hAnsi="Times New Roman" w:cs="Times New Roman"/>
          <w:noProof/>
          <w:sz w:val="24"/>
          <w:szCs w:val="24"/>
        </w:rPr>
        <w:tab/>
        <w:t xml:space="preserve">Applin, K.R., and Lasaga, A.C. (1984). The determination of SO42-, NaSO4-, and MgSO40 tracer diffusion coefficients and their application to diagenetic flux calculations. Geochim. Cosmochim. Acta </w:t>
      </w:r>
      <w:r w:rsidRPr="00D328F7">
        <w:rPr>
          <w:rFonts w:ascii="Times New Roman" w:hAnsi="Times New Roman" w:cs="Times New Roman"/>
          <w:i/>
          <w:iCs/>
          <w:noProof/>
          <w:sz w:val="24"/>
          <w:szCs w:val="24"/>
        </w:rPr>
        <w:t>48</w:t>
      </w:r>
      <w:r w:rsidRPr="00D328F7">
        <w:rPr>
          <w:rFonts w:ascii="Times New Roman" w:hAnsi="Times New Roman" w:cs="Times New Roman"/>
          <w:noProof/>
          <w:sz w:val="24"/>
          <w:szCs w:val="24"/>
        </w:rPr>
        <w:t>, 2151–2162.</w:t>
      </w:r>
    </w:p>
    <w:p w14:paraId="1EF3B073"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szCs w:val="24"/>
        </w:rPr>
      </w:pPr>
      <w:r w:rsidRPr="00D328F7">
        <w:rPr>
          <w:rFonts w:ascii="Times New Roman" w:hAnsi="Times New Roman" w:cs="Times New Roman"/>
          <w:noProof/>
          <w:sz w:val="24"/>
          <w:szCs w:val="24"/>
        </w:rPr>
        <w:t>41.</w:t>
      </w:r>
      <w:r w:rsidRPr="00D328F7">
        <w:rPr>
          <w:rFonts w:ascii="Times New Roman" w:hAnsi="Times New Roman" w:cs="Times New Roman"/>
          <w:noProof/>
          <w:sz w:val="24"/>
          <w:szCs w:val="24"/>
        </w:rPr>
        <w:tab/>
        <w:t>Sugisaki, M. (1975). Soret Coefficients and Heat of Transport of Polyvalent Electrolytes in an Aqueous Solution. Bull. Chem. Soc. Jpn., 2751.</w:t>
      </w:r>
    </w:p>
    <w:p w14:paraId="05C4FF07" w14:textId="77777777" w:rsidR="00D328F7" w:rsidRPr="00D328F7" w:rsidRDefault="00D328F7" w:rsidP="00D328F7">
      <w:pPr>
        <w:widowControl w:val="0"/>
        <w:autoSpaceDE w:val="0"/>
        <w:autoSpaceDN w:val="0"/>
        <w:adjustRightInd w:val="0"/>
        <w:spacing w:line="240" w:lineRule="auto"/>
        <w:ind w:left="640" w:hanging="640"/>
        <w:rPr>
          <w:rFonts w:ascii="Times New Roman" w:hAnsi="Times New Roman" w:cs="Times New Roman"/>
          <w:noProof/>
          <w:sz w:val="24"/>
        </w:rPr>
      </w:pPr>
      <w:r w:rsidRPr="00D328F7">
        <w:rPr>
          <w:rFonts w:ascii="Times New Roman" w:hAnsi="Times New Roman" w:cs="Times New Roman"/>
          <w:noProof/>
          <w:sz w:val="24"/>
          <w:szCs w:val="24"/>
        </w:rPr>
        <w:t>42.</w:t>
      </w:r>
      <w:r w:rsidRPr="00D328F7">
        <w:rPr>
          <w:rFonts w:ascii="Times New Roman" w:hAnsi="Times New Roman" w:cs="Times New Roman"/>
          <w:noProof/>
          <w:sz w:val="24"/>
          <w:szCs w:val="24"/>
        </w:rPr>
        <w:tab/>
        <w:t xml:space="preserve">Weisenberger, S., and Schumpe, A. (1996). Estimation of Gas Solubilities in Salt Solutions at Temperatures from 273 K to 363 K. AIChE J. </w:t>
      </w:r>
      <w:r w:rsidRPr="00D328F7">
        <w:rPr>
          <w:rFonts w:ascii="Times New Roman" w:hAnsi="Times New Roman" w:cs="Times New Roman"/>
          <w:i/>
          <w:iCs/>
          <w:noProof/>
          <w:sz w:val="24"/>
          <w:szCs w:val="24"/>
        </w:rPr>
        <w:t>42</w:t>
      </w:r>
      <w:r w:rsidRPr="00D328F7">
        <w:rPr>
          <w:rFonts w:ascii="Times New Roman" w:hAnsi="Times New Roman" w:cs="Times New Roman"/>
          <w:noProof/>
          <w:sz w:val="24"/>
          <w:szCs w:val="24"/>
        </w:rPr>
        <w:t>, 298–300.</w:t>
      </w:r>
    </w:p>
    <w:p w14:paraId="097BEFB9" w14:textId="77777777" w:rsidR="00456468" w:rsidRPr="00805810" w:rsidRDefault="005F7CE1">
      <w:pPr>
        <w:jc w:val="both"/>
        <w:rPr>
          <w:rFonts w:ascii="Times New Roman" w:hAnsi="Times New Roman" w:cs="Times New Roman"/>
          <w:sz w:val="24"/>
          <w:szCs w:val="24"/>
        </w:rPr>
      </w:pPr>
      <w:r w:rsidRPr="00805810">
        <w:rPr>
          <w:rFonts w:ascii="Times New Roman" w:hAnsi="Times New Roman" w:cs="Times New Roman"/>
          <w:sz w:val="24"/>
          <w:szCs w:val="24"/>
        </w:rPr>
        <w:fldChar w:fldCharType="end"/>
      </w:r>
    </w:p>
    <w:p w14:paraId="76AD244E" w14:textId="4E18E1FB" w:rsidR="00EC418D" w:rsidRPr="009D52EB" w:rsidRDefault="00EC418D">
      <w:pPr>
        <w:jc w:val="both"/>
        <w:rPr>
          <w:rFonts w:ascii="Times New Roman" w:hAnsi="Times New Roman" w:cs="Times New Roman"/>
          <w:sz w:val="24"/>
          <w:szCs w:val="24"/>
        </w:rPr>
      </w:pPr>
    </w:p>
    <w:sectPr w:rsidR="00EC418D" w:rsidRPr="009D52EB">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6195F" w14:textId="77777777" w:rsidR="00D37A04" w:rsidRDefault="00D37A04" w:rsidP="006E17D9">
      <w:pPr>
        <w:spacing w:after="0" w:line="240" w:lineRule="auto"/>
      </w:pPr>
      <w:r>
        <w:separator/>
      </w:r>
    </w:p>
  </w:endnote>
  <w:endnote w:type="continuationSeparator" w:id="0">
    <w:p w14:paraId="4729F393" w14:textId="77777777" w:rsidR="00D37A04" w:rsidRDefault="00D37A04" w:rsidP="006E1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646929"/>
      <w:docPartObj>
        <w:docPartGallery w:val="Page Numbers (Bottom of Page)"/>
        <w:docPartUnique/>
      </w:docPartObj>
    </w:sdtPr>
    <w:sdtEndPr>
      <w:rPr>
        <w:noProof/>
      </w:rPr>
    </w:sdtEndPr>
    <w:sdtContent>
      <w:p w14:paraId="14E2954E" w14:textId="2E2B187E" w:rsidR="00825722" w:rsidRDefault="00825722">
        <w:pPr>
          <w:pStyle w:val="Footer"/>
          <w:jc w:val="center"/>
        </w:pPr>
        <w:r>
          <w:fldChar w:fldCharType="begin"/>
        </w:r>
        <w:r>
          <w:instrText xml:space="preserve"> PAGE   \* MERGEFORMAT </w:instrText>
        </w:r>
        <w:r>
          <w:fldChar w:fldCharType="separate"/>
        </w:r>
        <w:r>
          <w:rPr>
            <w:noProof/>
          </w:rPr>
          <w:t>28</w:t>
        </w:r>
        <w:r>
          <w:rPr>
            <w:noProof/>
          </w:rPr>
          <w:fldChar w:fldCharType="end"/>
        </w:r>
      </w:p>
    </w:sdtContent>
  </w:sdt>
  <w:p w14:paraId="77CD5C0D" w14:textId="77777777" w:rsidR="00825722" w:rsidRDefault="00825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19A26" w14:textId="77777777" w:rsidR="00D37A04" w:rsidRDefault="00D37A04" w:rsidP="006E17D9">
      <w:pPr>
        <w:spacing w:after="0" w:line="240" w:lineRule="auto"/>
      </w:pPr>
      <w:r>
        <w:separator/>
      </w:r>
    </w:p>
  </w:footnote>
  <w:footnote w:type="continuationSeparator" w:id="0">
    <w:p w14:paraId="1CB29C73" w14:textId="77777777" w:rsidR="00D37A04" w:rsidRDefault="00D37A04" w:rsidP="006E17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110A9"/>
    <w:multiLevelType w:val="hybridMultilevel"/>
    <w:tmpl w:val="401CD72C"/>
    <w:lvl w:ilvl="0" w:tplc="68E21D94">
      <w:start w:val="1"/>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78E7940"/>
    <w:multiLevelType w:val="hybridMultilevel"/>
    <w:tmpl w:val="4B044AC8"/>
    <w:lvl w:ilvl="0" w:tplc="AA724E82">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9D7139"/>
    <w:multiLevelType w:val="hybridMultilevel"/>
    <w:tmpl w:val="A0AC6240"/>
    <w:lvl w:ilvl="0" w:tplc="6C569A36">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ctiveWritingStyle w:appName="MSWord" w:lang="en-US" w:vendorID="64" w:dllVersion="0" w:nlCheck="1" w:checkStyle="0"/>
  <w:activeWritingStyle w:appName="MSWord" w:lang="en-AU" w:vendorID="64" w:dllVersion="0" w:nlCheck="1" w:checkStyle="0"/>
  <w:activeWritingStyle w:appName="MSWord" w:lang="en-CA" w:vendorID="64" w:dllVersion="0" w:nlCheck="1" w:checkStyle="0"/>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GB"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AwNrE0szCwNDAzszBX0lEKTi0uzszPAykwsagFAE63Y6wtAAAA"/>
    <w:docVar w:name="EN.InstantFormat" w:val="&lt;ENInstantFormat&gt;&lt;Enabled&gt;0&lt;/Enabled&gt;&lt;ScanUnformatted&gt;1&lt;/ScanUnformatted&gt;&lt;ScanChanges&gt;1&lt;/ScanChanges&gt;&lt;Suspended&gt;0&lt;/Suspended&gt;&lt;/ENInstantFormat&gt;"/>
    <w:docVar w:name="EN.Layout" w:val="&lt;ENLayout&gt;&lt;Style&gt;J Amer Chem Societ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azt2esr7epv9refwdq52xtnxx0vz9r2zzp9&quot;&gt;CCI Ionics&lt;record-ids&gt;&lt;item&gt;53&lt;/item&gt;&lt;/record-ids&gt;&lt;/item&gt;&lt;/Libraries&gt;"/>
  </w:docVars>
  <w:rsids>
    <w:rsidRoot w:val="001F1F06"/>
    <w:rsid w:val="00000258"/>
    <w:rsid w:val="00000C4C"/>
    <w:rsid w:val="00001C8D"/>
    <w:rsid w:val="00001F3F"/>
    <w:rsid w:val="0000545E"/>
    <w:rsid w:val="0000558D"/>
    <w:rsid w:val="00005C67"/>
    <w:rsid w:val="00005CC3"/>
    <w:rsid w:val="00006680"/>
    <w:rsid w:val="0000690D"/>
    <w:rsid w:val="0000700A"/>
    <w:rsid w:val="00007015"/>
    <w:rsid w:val="000102C7"/>
    <w:rsid w:val="000119C8"/>
    <w:rsid w:val="00014D65"/>
    <w:rsid w:val="0001528F"/>
    <w:rsid w:val="0001542C"/>
    <w:rsid w:val="00015969"/>
    <w:rsid w:val="00016497"/>
    <w:rsid w:val="000166C6"/>
    <w:rsid w:val="00016C38"/>
    <w:rsid w:val="00016D61"/>
    <w:rsid w:val="00017465"/>
    <w:rsid w:val="00017489"/>
    <w:rsid w:val="000202AF"/>
    <w:rsid w:val="00020A7D"/>
    <w:rsid w:val="00020F41"/>
    <w:rsid w:val="0002138E"/>
    <w:rsid w:val="00021746"/>
    <w:rsid w:val="00022EDE"/>
    <w:rsid w:val="00023D2C"/>
    <w:rsid w:val="00023EB0"/>
    <w:rsid w:val="00025F72"/>
    <w:rsid w:val="000265DA"/>
    <w:rsid w:val="00027424"/>
    <w:rsid w:val="00030556"/>
    <w:rsid w:val="000312EF"/>
    <w:rsid w:val="000314DC"/>
    <w:rsid w:val="000316FA"/>
    <w:rsid w:val="000329CE"/>
    <w:rsid w:val="000336E3"/>
    <w:rsid w:val="00033E15"/>
    <w:rsid w:val="0003472E"/>
    <w:rsid w:val="00035DC0"/>
    <w:rsid w:val="00035E0F"/>
    <w:rsid w:val="00035FBD"/>
    <w:rsid w:val="000368C9"/>
    <w:rsid w:val="000402C4"/>
    <w:rsid w:val="00041791"/>
    <w:rsid w:val="00041C6E"/>
    <w:rsid w:val="00041E45"/>
    <w:rsid w:val="00042802"/>
    <w:rsid w:val="00043400"/>
    <w:rsid w:val="0004378E"/>
    <w:rsid w:val="0004399A"/>
    <w:rsid w:val="00045288"/>
    <w:rsid w:val="000455C3"/>
    <w:rsid w:val="00050E58"/>
    <w:rsid w:val="00051428"/>
    <w:rsid w:val="000514E0"/>
    <w:rsid w:val="00052AA2"/>
    <w:rsid w:val="000532AE"/>
    <w:rsid w:val="00053323"/>
    <w:rsid w:val="00054150"/>
    <w:rsid w:val="0005425B"/>
    <w:rsid w:val="00054942"/>
    <w:rsid w:val="00055FE3"/>
    <w:rsid w:val="00056C7B"/>
    <w:rsid w:val="00057A0E"/>
    <w:rsid w:val="00060EF3"/>
    <w:rsid w:val="0006315B"/>
    <w:rsid w:val="00064927"/>
    <w:rsid w:val="000662A2"/>
    <w:rsid w:val="00067754"/>
    <w:rsid w:val="00070D2F"/>
    <w:rsid w:val="000713B4"/>
    <w:rsid w:val="00072531"/>
    <w:rsid w:val="00072D11"/>
    <w:rsid w:val="000737DC"/>
    <w:rsid w:val="000739B6"/>
    <w:rsid w:val="00074C6E"/>
    <w:rsid w:val="00075195"/>
    <w:rsid w:val="00076787"/>
    <w:rsid w:val="00076CED"/>
    <w:rsid w:val="0007728D"/>
    <w:rsid w:val="00077805"/>
    <w:rsid w:val="000779F2"/>
    <w:rsid w:val="000804B4"/>
    <w:rsid w:val="0008113D"/>
    <w:rsid w:val="000828C7"/>
    <w:rsid w:val="00083252"/>
    <w:rsid w:val="0008353B"/>
    <w:rsid w:val="00084016"/>
    <w:rsid w:val="00084E76"/>
    <w:rsid w:val="00084FF0"/>
    <w:rsid w:val="00085131"/>
    <w:rsid w:val="0008593E"/>
    <w:rsid w:val="00085AA7"/>
    <w:rsid w:val="00085CC9"/>
    <w:rsid w:val="0008637C"/>
    <w:rsid w:val="0008674A"/>
    <w:rsid w:val="00086F42"/>
    <w:rsid w:val="00087425"/>
    <w:rsid w:val="000876CF"/>
    <w:rsid w:val="00087894"/>
    <w:rsid w:val="000902F7"/>
    <w:rsid w:val="0009087E"/>
    <w:rsid w:val="00090E46"/>
    <w:rsid w:val="000915FF"/>
    <w:rsid w:val="0009417E"/>
    <w:rsid w:val="00096174"/>
    <w:rsid w:val="00097278"/>
    <w:rsid w:val="00097A8E"/>
    <w:rsid w:val="00097D78"/>
    <w:rsid w:val="000A006E"/>
    <w:rsid w:val="000A0A20"/>
    <w:rsid w:val="000A1411"/>
    <w:rsid w:val="000A1999"/>
    <w:rsid w:val="000A38F3"/>
    <w:rsid w:val="000A3FDD"/>
    <w:rsid w:val="000A4B96"/>
    <w:rsid w:val="000A60A7"/>
    <w:rsid w:val="000A6C0E"/>
    <w:rsid w:val="000B0625"/>
    <w:rsid w:val="000B0D81"/>
    <w:rsid w:val="000B15F7"/>
    <w:rsid w:val="000B3499"/>
    <w:rsid w:val="000B392E"/>
    <w:rsid w:val="000B3CDF"/>
    <w:rsid w:val="000B3E42"/>
    <w:rsid w:val="000B477F"/>
    <w:rsid w:val="000B4D72"/>
    <w:rsid w:val="000B5F70"/>
    <w:rsid w:val="000B66C7"/>
    <w:rsid w:val="000B68CD"/>
    <w:rsid w:val="000B70F6"/>
    <w:rsid w:val="000C07D9"/>
    <w:rsid w:val="000C0F9C"/>
    <w:rsid w:val="000C10E1"/>
    <w:rsid w:val="000C2B8A"/>
    <w:rsid w:val="000C3927"/>
    <w:rsid w:val="000C5543"/>
    <w:rsid w:val="000C5A76"/>
    <w:rsid w:val="000C5B7F"/>
    <w:rsid w:val="000C5DCB"/>
    <w:rsid w:val="000C6106"/>
    <w:rsid w:val="000C6555"/>
    <w:rsid w:val="000C66BD"/>
    <w:rsid w:val="000C6E03"/>
    <w:rsid w:val="000C72AA"/>
    <w:rsid w:val="000C7553"/>
    <w:rsid w:val="000C7B27"/>
    <w:rsid w:val="000D1894"/>
    <w:rsid w:val="000D2623"/>
    <w:rsid w:val="000D306D"/>
    <w:rsid w:val="000D3451"/>
    <w:rsid w:val="000D5296"/>
    <w:rsid w:val="000D6A9E"/>
    <w:rsid w:val="000D6CD2"/>
    <w:rsid w:val="000D7E72"/>
    <w:rsid w:val="000D7F57"/>
    <w:rsid w:val="000E041E"/>
    <w:rsid w:val="000E205F"/>
    <w:rsid w:val="000E40C4"/>
    <w:rsid w:val="000E43CD"/>
    <w:rsid w:val="000E4C2F"/>
    <w:rsid w:val="000E5A08"/>
    <w:rsid w:val="000E6624"/>
    <w:rsid w:val="000E7276"/>
    <w:rsid w:val="000E7424"/>
    <w:rsid w:val="000E7D96"/>
    <w:rsid w:val="000F0EFE"/>
    <w:rsid w:val="000F2046"/>
    <w:rsid w:val="000F2861"/>
    <w:rsid w:val="000F31F1"/>
    <w:rsid w:val="000F3216"/>
    <w:rsid w:val="000F38AA"/>
    <w:rsid w:val="000F47EF"/>
    <w:rsid w:val="000F4E06"/>
    <w:rsid w:val="000F5F24"/>
    <w:rsid w:val="000F6379"/>
    <w:rsid w:val="000F7E59"/>
    <w:rsid w:val="00101167"/>
    <w:rsid w:val="00102C21"/>
    <w:rsid w:val="00102EBE"/>
    <w:rsid w:val="001037CE"/>
    <w:rsid w:val="001040C6"/>
    <w:rsid w:val="001049A5"/>
    <w:rsid w:val="00104A3C"/>
    <w:rsid w:val="0010520C"/>
    <w:rsid w:val="00105C59"/>
    <w:rsid w:val="00105DAE"/>
    <w:rsid w:val="001061FB"/>
    <w:rsid w:val="00110B03"/>
    <w:rsid w:val="00111F28"/>
    <w:rsid w:val="00112C34"/>
    <w:rsid w:val="00112FF3"/>
    <w:rsid w:val="00113584"/>
    <w:rsid w:val="001146ED"/>
    <w:rsid w:val="00114A7D"/>
    <w:rsid w:val="00115CA1"/>
    <w:rsid w:val="00116982"/>
    <w:rsid w:val="00117202"/>
    <w:rsid w:val="00117BB3"/>
    <w:rsid w:val="00117CCD"/>
    <w:rsid w:val="0012038C"/>
    <w:rsid w:val="001203C0"/>
    <w:rsid w:val="001207BD"/>
    <w:rsid w:val="001208E3"/>
    <w:rsid w:val="00121880"/>
    <w:rsid w:val="00122310"/>
    <w:rsid w:val="00122727"/>
    <w:rsid w:val="001228E8"/>
    <w:rsid w:val="00122DB2"/>
    <w:rsid w:val="00124925"/>
    <w:rsid w:val="00124ACF"/>
    <w:rsid w:val="00125635"/>
    <w:rsid w:val="001256BE"/>
    <w:rsid w:val="00125BB1"/>
    <w:rsid w:val="00125EF8"/>
    <w:rsid w:val="0012601A"/>
    <w:rsid w:val="00126489"/>
    <w:rsid w:val="00127C9D"/>
    <w:rsid w:val="00130992"/>
    <w:rsid w:val="00131941"/>
    <w:rsid w:val="00131ADE"/>
    <w:rsid w:val="00131B68"/>
    <w:rsid w:val="00132E51"/>
    <w:rsid w:val="0013307B"/>
    <w:rsid w:val="00135BEE"/>
    <w:rsid w:val="00135C8C"/>
    <w:rsid w:val="00135EDF"/>
    <w:rsid w:val="00136968"/>
    <w:rsid w:val="00137EB0"/>
    <w:rsid w:val="00140228"/>
    <w:rsid w:val="00142D3D"/>
    <w:rsid w:val="00143563"/>
    <w:rsid w:val="00143EBF"/>
    <w:rsid w:val="00144CAB"/>
    <w:rsid w:val="00145F4E"/>
    <w:rsid w:val="00146622"/>
    <w:rsid w:val="00146F30"/>
    <w:rsid w:val="001475F6"/>
    <w:rsid w:val="00147F0B"/>
    <w:rsid w:val="0015083F"/>
    <w:rsid w:val="00151187"/>
    <w:rsid w:val="0015190D"/>
    <w:rsid w:val="00151997"/>
    <w:rsid w:val="001535B7"/>
    <w:rsid w:val="00153652"/>
    <w:rsid w:val="00155190"/>
    <w:rsid w:val="00155207"/>
    <w:rsid w:val="00156336"/>
    <w:rsid w:val="00157336"/>
    <w:rsid w:val="001600EF"/>
    <w:rsid w:val="001637A5"/>
    <w:rsid w:val="00163C27"/>
    <w:rsid w:val="00164270"/>
    <w:rsid w:val="00166DF3"/>
    <w:rsid w:val="00166F4D"/>
    <w:rsid w:val="001670BD"/>
    <w:rsid w:val="00167AA3"/>
    <w:rsid w:val="00171126"/>
    <w:rsid w:val="00171301"/>
    <w:rsid w:val="00171A8F"/>
    <w:rsid w:val="00171DA5"/>
    <w:rsid w:val="00172F47"/>
    <w:rsid w:val="0017300E"/>
    <w:rsid w:val="00173538"/>
    <w:rsid w:val="00173890"/>
    <w:rsid w:val="001739EE"/>
    <w:rsid w:val="00174072"/>
    <w:rsid w:val="0017497C"/>
    <w:rsid w:val="001753C5"/>
    <w:rsid w:val="00175610"/>
    <w:rsid w:val="0018042F"/>
    <w:rsid w:val="0018194D"/>
    <w:rsid w:val="00182C82"/>
    <w:rsid w:val="00182D2A"/>
    <w:rsid w:val="0018433F"/>
    <w:rsid w:val="00184BD2"/>
    <w:rsid w:val="00184F4B"/>
    <w:rsid w:val="001851AD"/>
    <w:rsid w:val="00185A58"/>
    <w:rsid w:val="0018697D"/>
    <w:rsid w:val="00186A1C"/>
    <w:rsid w:val="001871DC"/>
    <w:rsid w:val="00187C4C"/>
    <w:rsid w:val="00190797"/>
    <w:rsid w:val="001910D8"/>
    <w:rsid w:val="0019211C"/>
    <w:rsid w:val="0019346E"/>
    <w:rsid w:val="001936F1"/>
    <w:rsid w:val="00194CA2"/>
    <w:rsid w:val="00194CF0"/>
    <w:rsid w:val="00194E88"/>
    <w:rsid w:val="00195FCB"/>
    <w:rsid w:val="00196A2A"/>
    <w:rsid w:val="00197268"/>
    <w:rsid w:val="00197708"/>
    <w:rsid w:val="001A04ED"/>
    <w:rsid w:val="001A076F"/>
    <w:rsid w:val="001A0C1B"/>
    <w:rsid w:val="001A0C86"/>
    <w:rsid w:val="001A2865"/>
    <w:rsid w:val="001A2C29"/>
    <w:rsid w:val="001A2CCE"/>
    <w:rsid w:val="001A2EDC"/>
    <w:rsid w:val="001A3FD5"/>
    <w:rsid w:val="001A4EE9"/>
    <w:rsid w:val="001A7563"/>
    <w:rsid w:val="001A7BDA"/>
    <w:rsid w:val="001B0F84"/>
    <w:rsid w:val="001B150E"/>
    <w:rsid w:val="001B1DFD"/>
    <w:rsid w:val="001B3278"/>
    <w:rsid w:val="001B370B"/>
    <w:rsid w:val="001B3A7E"/>
    <w:rsid w:val="001B401A"/>
    <w:rsid w:val="001B4512"/>
    <w:rsid w:val="001B47B3"/>
    <w:rsid w:val="001B6455"/>
    <w:rsid w:val="001B7C82"/>
    <w:rsid w:val="001B7D1A"/>
    <w:rsid w:val="001C09F9"/>
    <w:rsid w:val="001C0B00"/>
    <w:rsid w:val="001C0FB9"/>
    <w:rsid w:val="001C26D9"/>
    <w:rsid w:val="001C2AC1"/>
    <w:rsid w:val="001C30F2"/>
    <w:rsid w:val="001C3180"/>
    <w:rsid w:val="001C3B75"/>
    <w:rsid w:val="001C526C"/>
    <w:rsid w:val="001C7265"/>
    <w:rsid w:val="001C7322"/>
    <w:rsid w:val="001D00B3"/>
    <w:rsid w:val="001D1A47"/>
    <w:rsid w:val="001D3309"/>
    <w:rsid w:val="001D4762"/>
    <w:rsid w:val="001D4D06"/>
    <w:rsid w:val="001D5A3E"/>
    <w:rsid w:val="001D5E4F"/>
    <w:rsid w:val="001D6792"/>
    <w:rsid w:val="001D7436"/>
    <w:rsid w:val="001D7CB3"/>
    <w:rsid w:val="001D7D5D"/>
    <w:rsid w:val="001D7DBD"/>
    <w:rsid w:val="001E0151"/>
    <w:rsid w:val="001E02E2"/>
    <w:rsid w:val="001E0326"/>
    <w:rsid w:val="001E075E"/>
    <w:rsid w:val="001E0F69"/>
    <w:rsid w:val="001E37CC"/>
    <w:rsid w:val="001E4B4E"/>
    <w:rsid w:val="001E598A"/>
    <w:rsid w:val="001E5CF0"/>
    <w:rsid w:val="001E62AC"/>
    <w:rsid w:val="001E6486"/>
    <w:rsid w:val="001E6548"/>
    <w:rsid w:val="001E693C"/>
    <w:rsid w:val="001E6D14"/>
    <w:rsid w:val="001E77DF"/>
    <w:rsid w:val="001F0C15"/>
    <w:rsid w:val="001F0C60"/>
    <w:rsid w:val="001F0D69"/>
    <w:rsid w:val="001F10C5"/>
    <w:rsid w:val="001F1F06"/>
    <w:rsid w:val="001F2936"/>
    <w:rsid w:val="001F2B7A"/>
    <w:rsid w:val="001F31AD"/>
    <w:rsid w:val="001F3BDE"/>
    <w:rsid w:val="001F463E"/>
    <w:rsid w:val="001F57DF"/>
    <w:rsid w:val="001F6246"/>
    <w:rsid w:val="001F697C"/>
    <w:rsid w:val="001F72CE"/>
    <w:rsid w:val="0020026D"/>
    <w:rsid w:val="002003DE"/>
    <w:rsid w:val="00200596"/>
    <w:rsid w:val="00201654"/>
    <w:rsid w:val="00201F5B"/>
    <w:rsid w:val="002024B3"/>
    <w:rsid w:val="002026ED"/>
    <w:rsid w:val="00202795"/>
    <w:rsid w:val="002037C9"/>
    <w:rsid w:val="00203DA9"/>
    <w:rsid w:val="00205A2B"/>
    <w:rsid w:val="00205EB1"/>
    <w:rsid w:val="00206762"/>
    <w:rsid w:val="00206AD4"/>
    <w:rsid w:val="00206D2F"/>
    <w:rsid w:val="00206DEA"/>
    <w:rsid w:val="00207947"/>
    <w:rsid w:val="00210A25"/>
    <w:rsid w:val="00211E15"/>
    <w:rsid w:val="00213364"/>
    <w:rsid w:val="002138D6"/>
    <w:rsid w:val="00213A3A"/>
    <w:rsid w:val="0021536A"/>
    <w:rsid w:val="0021541A"/>
    <w:rsid w:val="00215A39"/>
    <w:rsid w:val="00220A5F"/>
    <w:rsid w:val="00220C4F"/>
    <w:rsid w:val="0022102A"/>
    <w:rsid w:val="00221879"/>
    <w:rsid w:val="002220A8"/>
    <w:rsid w:val="0022258B"/>
    <w:rsid w:val="00223363"/>
    <w:rsid w:val="00224B15"/>
    <w:rsid w:val="00224B1D"/>
    <w:rsid w:val="00224D38"/>
    <w:rsid w:val="00226780"/>
    <w:rsid w:val="00226EB0"/>
    <w:rsid w:val="00227D17"/>
    <w:rsid w:val="0023010C"/>
    <w:rsid w:val="00230628"/>
    <w:rsid w:val="002306D5"/>
    <w:rsid w:val="002315A9"/>
    <w:rsid w:val="00231612"/>
    <w:rsid w:val="00231FDD"/>
    <w:rsid w:val="00232D04"/>
    <w:rsid w:val="00233070"/>
    <w:rsid w:val="0023334E"/>
    <w:rsid w:val="002339A6"/>
    <w:rsid w:val="0023494F"/>
    <w:rsid w:val="00235962"/>
    <w:rsid w:val="00235A1B"/>
    <w:rsid w:val="00235D39"/>
    <w:rsid w:val="002362B8"/>
    <w:rsid w:val="00240E77"/>
    <w:rsid w:val="0024216A"/>
    <w:rsid w:val="002425F8"/>
    <w:rsid w:val="00243E92"/>
    <w:rsid w:val="0024484F"/>
    <w:rsid w:val="00244A83"/>
    <w:rsid w:val="00245468"/>
    <w:rsid w:val="00245891"/>
    <w:rsid w:val="00246309"/>
    <w:rsid w:val="00246575"/>
    <w:rsid w:val="00246E20"/>
    <w:rsid w:val="002474BA"/>
    <w:rsid w:val="00250F07"/>
    <w:rsid w:val="0025137A"/>
    <w:rsid w:val="002527EA"/>
    <w:rsid w:val="0025299A"/>
    <w:rsid w:val="002532C1"/>
    <w:rsid w:val="00253722"/>
    <w:rsid w:val="002539A7"/>
    <w:rsid w:val="00253F62"/>
    <w:rsid w:val="002542CC"/>
    <w:rsid w:val="002556EC"/>
    <w:rsid w:val="00255C9C"/>
    <w:rsid w:val="00255FE8"/>
    <w:rsid w:val="002564D5"/>
    <w:rsid w:val="00256811"/>
    <w:rsid w:val="00257DC8"/>
    <w:rsid w:val="002602BE"/>
    <w:rsid w:val="00260BDC"/>
    <w:rsid w:val="002615E3"/>
    <w:rsid w:val="002620D9"/>
    <w:rsid w:val="002626DC"/>
    <w:rsid w:val="0026276E"/>
    <w:rsid w:val="0026305E"/>
    <w:rsid w:val="00264542"/>
    <w:rsid w:val="00265797"/>
    <w:rsid w:val="00266D37"/>
    <w:rsid w:val="00266EC2"/>
    <w:rsid w:val="00267479"/>
    <w:rsid w:val="0027165E"/>
    <w:rsid w:val="002719DD"/>
    <w:rsid w:val="00271D51"/>
    <w:rsid w:val="002725A4"/>
    <w:rsid w:val="00273603"/>
    <w:rsid w:val="00273A44"/>
    <w:rsid w:val="002741FC"/>
    <w:rsid w:val="00274C98"/>
    <w:rsid w:val="00275928"/>
    <w:rsid w:val="00276FC8"/>
    <w:rsid w:val="002770A2"/>
    <w:rsid w:val="00277905"/>
    <w:rsid w:val="00277976"/>
    <w:rsid w:val="00277C28"/>
    <w:rsid w:val="00277FE7"/>
    <w:rsid w:val="00280943"/>
    <w:rsid w:val="00280C95"/>
    <w:rsid w:val="0028212F"/>
    <w:rsid w:val="0028234D"/>
    <w:rsid w:val="002823C1"/>
    <w:rsid w:val="00282A3E"/>
    <w:rsid w:val="00282C17"/>
    <w:rsid w:val="0028301E"/>
    <w:rsid w:val="002838BF"/>
    <w:rsid w:val="00283DE8"/>
    <w:rsid w:val="00284776"/>
    <w:rsid w:val="00284B07"/>
    <w:rsid w:val="00284F64"/>
    <w:rsid w:val="002854F8"/>
    <w:rsid w:val="00285F02"/>
    <w:rsid w:val="00286339"/>
    <w:rsid w:val="0028651C"/>
    <w:rsid w:val="00286B69"/>
    <w:rsid w:val="00286B7D"/>
    <w:rsid w:val="00286BA9"/>
    <w:rsid w:val="00286DC7"/>
    <w:rsid w:val="00287A5D"/>
    <w:rsid w:val="002904C6"/>
    <w:rsid w:val="00291AAF"/>
    <w:rsid w:val="002925C5"/>
    <w:rsid w:val="00292C81"/>
    <w:rsid w:val="00292D60"/>
    <w:rsid w:val="00293CE3"/>
    <w:rsid w:val="0029479E"/>
    <w:rsid w:val="002948A7"/>
    <w:rsid w:val="00294D46"/>
    <w:rsid w:val="00296033"/>
    <w:rsid w:val="002960DB"/>
    <w:rsid w:val="00296119"/>
    <w:rsid w:val="0029642B"/>
    <w:rsid w:val="002969C9"/>
    <w:rsid w:val="00296D0A"/>
    <w:rsid w:val="002A0880"/>
    <w:rsid w:val="002A0C98"/>
    <w:rsid w:val="002A1F77"/>
    <w:rsid w:val="002A21DC"/>
    <w:rsid w:val="002A23F2"/>
    <w:rsid w:val="002A2FE8"/>
    <w:rsid w:val="002A5570"/>
    <w:rsid w:val="002A5B3B"/>
    <w:rsid w:val="002A637A"/>
    <w:rsid w:val="002A6F78"/>
    <w:rsid w:val="002A6FC1"/>
    <w:rsid w:val="002A7514"/>
    <w:rsid w:val="002A7992"/>
    <w:rsid w:val="002A7D59"/>
    <w:rsid w:val="002A7D6F"/>
    <w:rsid w:val="002A7F6A"/>
    <w:rsid w:val="002B1CCF"/>
    <w:rsid w:val="002B4982"/>
    <w:rsid w:val="002B4CD6"/>
    <w:rsid w:val="002B55AC"/>
    <w:rsid w:val="002B5650"/>
    <w:rsid w:val="002B591A"/>
    <w:rsid w:val="002B5AC6"/>
    <w:rsid w:val="002B6039"/>
    <w:rsid w:val="002B6B48"/>
    <w:rsid w:val="002C0528"/>
    <w:rsid w:val="002C10C3"/>
    <w:rsid w:val="002C147F"/>
    <w:rsid w:val="002C2431"/>
    <w:rsid w:val="002C46B2"/>
    <w:rsid w:val="002C4A72"/>
    <w:rsid w:val="002C4E7D"/>
    <w:rsid w:val="002C5029"/>
    <w:rsid w:val="002C644A"/>
    <w:rsid w:val="002C7D73"/>
    <w:rsid w:val="002D0321"/>
    <w:rsid w:val="002D1A6C"/>
    <w:rsid w:val="002D2DF5"/>
    <w:rsid w:val="002D3669"/>
    <w:rsid w:val="002D3B1C"/>
    <w:rsid w:val="002D446F"/>
    <w:rsid w:val="002D76E3"/>
    <w:rsid w:val="002D7D50"/>
    <w:rsid w:val="002E025C"/>
    <w:rsid w:val="002E1518"/>
    <w:rsid w:val="002E1604"/>
    <w:rsid w:val="002E1F1C"/>
    <w:rsid w:val="002E26F9"/>
    <w:rsid w:val="002E2947"/>
    <w:rsid w:val="002E3AB9"/>
    <w:rsid w:val="002E47F3"/>
    <w:rsid w:val="002E5116"/>
    <w:rsid w:val="002E5D7D"/>
    <w:rsid w:val="002E607B"/>
    <w:rsid w:val="002E630A"/>
    <w:rsid w:val="002E640E"/>
    <w:rsid w:val="002F2B02"/>
    <w:rsid w:val="002F33DA"/>
    <w:rsid w:val="002F34E7"/>
    <w:rsid w:val="002F43AA"/>
    <w:rsid w:val="002F493B"/>
    <w:rsid w:val="002F5AA1"/>
    <w:rsid w:val="002F5D42"/>
    <w:rsid w:val="002F63D3"/>
    <w:rsid w:val="002F6C95"/>
    <w:rsid w:val="002F7C4B"/>
    <w:rsid w:val="00300181"/>
    <w:rsid w:val="0030018F"/>
    <w:rsid w:val="00300CDE"/>
    <w:rsid w:val="0030138F"/>
    <w:rsid w:val="0030228A"/>
    <w:rsid w:val="00302D4F"/>
    <w:rsid w:val="003043C9"/>
    <w:rsid w:val="0030496C"/>
    <w:rsid w:val="003057A0"/>
    <w:rsid w:val="00305825"/>
    <w:rsid w:val="00306795"/>
    <w:rsid w:val="00306970"/>
    <w:rsid w:val="00306BC7"/>
    <w:rsid w:val="00307AF6"/>
    <w:rsid w:val="00307D0F"/>
    <w:rsid w:val="00310001"/>
    <w:rsid w:val="003100FD"/>
    <w:rsid w:val="00310A8B"/>
    <w:rsid w:val="00311202"/>
    <w:rsid w:val="003115D0"/>
    <w:rsid w:val="00313197"/>
    <w:rsid w:val="00313A81"/>
    <w:rsid w:val="00313E75"/>
    <w:rsid w:val="003142EF"/>
    <w:rsid w:val="00314450"/>
    <w:rsid w:val="003148C5"/>
    <w:rsid w:val="00315743"/>
    <w:rsid w:val="0031644D"/>
    <w:rsid w:val="003168C1"/>
    <w:rsid w:val="003168E4"/>
    <w:rsid w:val="0031693D"/>
    <w:rsid w:val="00316E8A"/>
    <w:rsid w:val="0032009B"/>
    <w:rsid w:val="00320B04"/>
    <w:rsid w:val="0032105F"/>
    <w:rsid w:val="00321117"/>
    <w:rsid w:val="00321A3A"/>
    <w:rsid w:val="00321B55"/>
    <w:rsid w:val="003234D9"/>
    <w:rsid w:val="003241E9"/>
    <w:rsid w:val="00324B49"/>
    <w:rsid w:val="003268E0"/>
    <w:rsid w:val="00327F1C"/>
    <w:rsid w:val="00330845"/>
    <w:rsid w:val="00331465"/>
    <w:rsid w:val="0033177E"/>
    <w:rsid w:val="00332356"/>
    <w:rsid w:val="003324BA"/>
    <w:rsid w:val="00333D0D"/>
    <w:rsid w:val="00333F34"/>
    <w:rsid w:val="003357F3"/>
    <w:rsid w:val="00336268"/>
    <w:rsid w:val="003363A4"/>
    <w:rsid w:val="00336508"/>
    <w:rsid w:val="0033690F"/>
    <w:rsid w:val="00337717"/>
    <w:rsid w:val="00337E60"/>
    <w:rsid w:val="00340256"/>
    <w:rsid w:val="003406BE"/>
    <w:rsid w:val="00340BA1"/>
    <w:rsid w:val="00341148"/>
    <w:rsid w:val="0034150A"/>
    <w:rsid w:val="00342DB7"/>
    <w:rsid w:val="00343182"/>
    <w:rsid w:val="00343E38"/>
    <w:rsid w:val="00344432"/>
    <w:rsid w:val="00344AE5"/>
    <w:rsid w:val="00345AF1"/>
    <w:rsid w:val="00345C42"/>
    <w:rsid w:val="0034744B"/>
    <w:rsid w:val="003477E3"/>
    <w:rsid w:val="00350F44"/>
    <w:rsid w:val="0035276E"/>
    <w:rsid w:val="00353963"/>
    <w:rsid w:val="0035446F"/>
    <w:rsid w:val="003552EA"/>
    <w:rsid w:val="00357346"/>
    <w:rsid w:val="00357695"/>
    <w:rsid w:val="003578F4"/>
    <w:rsid w:val="00357BB3"/>
    <w:rsid w:val="003605A4"/>
    <w:rsid w:val="00360611"/>
    <w:rsid w:val="003608A1"/>
    <w:rsid w:val="003608AA"/>
    <w:rsid w:val="00360F79"/>
    <w:rsid w:val="00361625"/>
    <w:rsid w:val="00361D7F"/>
    <w:rsid w:val="00362129"/>
    <w:rsid w:val="003628DE"/>
    <w:rsid w:val="00362E04"/>
    <w:rsid w:val="00362F13"/>
    <w:rsid w:val="00364BB2"/>
    <w:rsid w:val="00365AA0"/>
    <w:rsid w:val="00365CF9"/>
    <w:rsid w:val="00366334"/>
    <w:rsid w:val="0036769B"/>
    <w:rsid w:val="0037080A"/>
    <w:rsid w:val="00370DCC"/>
    <w:rsid w:val="003730B4"/>
    <w:rsid w:val="00373339"/>
    <w:rsid w:val="00373B14"/>
    <w:rsid w:val="00373D28"/>
    <w:rsid w:val="00374B44"/>
    <w:rsid w:val="003752AD"/>
    <w:rsid w:val="003757D6"/>
    <w:rsid w:val="00375DC5"/>
    <w:rsid w:val="00377B1B"/>
    <w:rsid w:val="00377CF4"/>
    <w:rsid w:val="003801D9"/>
    <w:rsid w:val="00381076"/>
    <w:rsid w:val="00381154"/>
    <w:rsid w:val="0038176E"/>
    <w:rsid w:val="003822CC"/>
    <w:rsid w:val="003827AE"/>
    <w:rsid w:val="00383073"/>
    <w:rsid w:val="00383BA5"/>
    <w:rsid w:val="00383E9C"/>
    <w:rsid w:val="003843E1"/>
    <w:rsid w:val="0038446A"/>
    <w:rsid w:val="00384AA8"/>
    <w:rsid w:val="00384D18"/>
    <w:rsid w:val="00384E73"/>
    <w:rsid w:val="00384F67"/>
    <w:rsid w:val="0038545B"/>
    <w:rsid w:val="0038580A"/>
    <w:rsid w:val="00385A3D"/>
    <w:rsid w:val="00385B63"/>
    <w:rsid w:val="00386434"/>
    <w:rsid w:val="003921E1"/>
    <w:rsid w:val="00392ECD"/>
    <w:rsid w:val="00393131"/>
    <w:rsid w:val="003955F7"/>
    <w:rsid w:val="003956D4"/>
    <w:rsid w:val="00396E04"/>
    <w:rsid w:val="00396E24"/>
    <w:rsid w:val="00396ECD"/>
    <w:rsid w:val="003975F1"/>
    <w:rsid w:val="003A1223"/>
    <w:rsid w:val="003A1F39"/>
    <w:rsid w:val="003A2873"/>
    <w:rsid w:val="003A34FC"/>
    <w:rsid w:val="003A36A5"/>
    <w:rsid w:val="003A4508"/>
    <w:rsid w:val="003A4C2A"/>
    <w:rsid w:val="003A5261"/>
    <w:rsid w:val="003A5A50"/>
    <w:rsid w:val="003A6273"/>
    <w:rsid w:val="003A787D"/>
    <w:rsid w:val="003B04AE"/>
    <w:rsid w:val="003B165D"/>
    <w:rsid w:val="003B1684"/>
    <w:rsid w:val="003B2A49"/>
    <w:rsid w:val="003B364C"/>
    <w:rsid w:val="003B3F50"/>
    <w:rsid w:val="003B44CB"/>
    <w:rsid w:val="003B5E3F"/>
    <w:rsid w:val="003B6088"/>
    <w:rsid w:val="003B6BF4"/>
    <w:rsid w:val="003B712C"/>
    <w:rsid w:val="003B753D"/>
    <w:rsid w:val="003B76F1"/>
    <w:rsid w:val="003B7AAE"/>
    <w:rsid w:val="003C0B0B"/>
    <w:rsid w:val="003C1527"/>
    <w:rsid w:val="003C243F"/>
    <w:rsid w:val="003C41BA"/>
    <w:rsid w:val="003C4350"/>
    <w:rsid w:val="003C5020"/>
    <w:rsid w:val="003C506A"/>
    <w:rsid w:val="003C54CF"/>
    <w:rsid w:val="003C6DA4"/>
    <w:rsid w:val="003C7DDD"/>
    <w:rsid w:val="003D04A6"/>
    <w:rsid w:val="003D0B04"/>
    <w:rsid w:val="003D17EB"/>
    <w:rsid w:val="003D195C"/>
    <w:rsid w:val="003D2C1D"/>
    <w:rsid w:val="003D3AD2"/>
    <w:rsid w:val="003D43BE"/>
    <w:rsid w:val="003D51BE"/>
    <w:rsid w:val="003D5C91"/>
    <w:rsid w:val="003D5E3D"/>
    <w:rsid w:val="003D6CF2"/>
    <w:rsid w:val="003D6F30"/>
    <w:rsid w:val="003D71BA"/>
    <w:rsid w:val="003D7A69"/>
    <w:rsid w:val="003E0720"/>
    <w:rsid w:val="003E0872"/>
    <w:rsid w:val="003E10CE"/>
    <w:rsid w:val="003E1BE9"/>
    <w:rsid w:val="003E2FA8"/>
    <w:rsid w:val="003E413A"/>
    <w:rsid w:val="003E43C0"/>
    <w:rsid w:val="003E53C4"/>
    <w:rsid w:val="003E53E8"/>
    <w:rsid w:val="003E540E"/>
    <w:rsid w:val="003E573E"/>
    <w:rsid w:val="003E5BF0"/>
    <w:rsid w:val="003E606F"/>
    <w:rsid w:val="003F12EC"/>
    <w:rsid w:val="003F1874"/>
    <w:rsid w:val="003F201B"/>
    <w:rsid w:val="003F3B84"/>
    <w:rsid w:val="003F3DE0"/>
    <w:rsid w:val="003F4028"/>
    <w:rsid w:val="003F4410"/>
    <w:rsid w:val="003F4F47"/>
    <w:rsid w:val="003F5726"/>
    <w:rsid w:val="003F5BD3"/>
    <w:rsid w:val="003F6AFC"/>
    <w:rsid w:val="0040062E"/>
    <w:rsid w:val="0040204E"/>
    <w:rsid w:val="004046E6"/>
    <w:rsid w:val="00405036"/>
    <w:rsid w:val="00405039"/>
    <w:rsid w:val="004060D1"/>
    <w:rsid w:val="00407976"/>
    <w:rsid w:val="004125C4"/>
    <w:rsid w:val="00412605"/>
    <w:rsid w:val="00412B0C"/>
    <w:rsid w:val="00412F87"/>
    <w:rsid w:val="0041357F"/>
    <w:rsid w:val="00414ACD"/>
    <w:rsid w:val="00415010"/>
    <w:rsid w:val="004153F7"/>
    <w:rsid w:val="00415A3B"/>
    <w:rsid w:val="00415CA2"/>
    <w:rsid w:val="00415E85"/>
    <w:rsid w:val="00416097"/>
    <w:rsid w:val="00416140"/>
    <w:rsid w:val="00417284"/>
    <w:rsid w:val="00417B2A"/>
    <w:rsid w:val="00420975"/>
    <w:rsid w:val="004216D3"/>
    <w:rsid w:val="0042342E"/>
    <w:rsid w:val="004234AA"/>
    <w:rsid w:val="00423694"/>
    <w:rsid w:val="00423FBA"/>
    <w:rsid w:val="00424413"/>
    <w:rsid w:val="00424474"/>
    <w:rsid w:val="004249F1"/>
    <w:rsid w:val="00424E45"/>
    <w:rsid w:val="00425669"/>
    <w:rsid w:val="00425E4D"/>
    <w:rsid w:val="004266C9"/>
    <w:rsid w:val="00426A53"/>
    <w:rsid w:val="00426A75"/>
    <w:rsid w:val="004271C6"/>
    <w:rsid w:val="00430A87"/>
    <w:rsid w:val="00430BF3"/>
    <w:rsid w:val="00430CC4"/>
    <w:rsid w:val="0043154C"/>
    <w:rsid w:val="00431C54"/>
    <w:rsid w:val="00433D6E"/>
    <w:rsid w:val="004346DC"/>
    <w:rsid w:val="00434DC9"/>
    <w:rsid w:val="00435201"/>
    <w:rsid w:val="0043591F"/>
    <w:rsid w:val="00436D6B"/>
    <w:rsid w:val="00440461"/>
    <w:rsid w:val="00441803"/>
    <w:rsid w:val="00441D89"/>
    <w:rsid w:val="0044231C"/>
    <w:rsid w:val="00442F9F"/>
    <w:rsid w:val="00443656"/>
    <w:rsid w:val="00443692"/>
    <w:rsid w:val="00443E5E"/>
    <w:rsid w:val="004448A9"/>
    <w:rsid w:val="00444D3E"/>
    <w:rsid w:val="0044665D"/>
    <w:rsid w:val="00446FF8"/>
    <w:rsid w:val="0044759D"/>
    <w:rsid w:val="00447E67"/>
    <w:rsid w:val="004500C5"/>
    <w:rsid w:val="00450333"/>
    <w:rsid w:val="00450ED6"/>
    <w:rsid w:val="00452496"/>
    <w:rsid w:val="0045325F"/>
    <w:rsid w:val="00454970"/>
    <w:rsid w:val="00456468"/>
    <w:rsid w:val="00456875"/>
    <w:rsid w:val="00456C58"/>
    <w:rsid w:val="0046030D"/>
    <w:rsid w:val="00461090"/>
    <w:rsid w:val="004611B3"/>
    <w:rsid w:val="00461782"/>
    <w:rsid w:val="00461FC5"/>
    <w:rsid w:val="0046228D"/>
    <w:rsid w:val="00465F5E"/>
    <w:rsid w:val="0046709D"/>
    <w:rsid w:val="00467A4D"/>
    <w:rsid w:val="00470237"/>
    <w:rsid w:val="004703B4"/>
    <w:rsid w:val="004706F9"/>
    <w:rsid w:val="00470ABF"/>
    <w:rsid w:val="00471119"/>
    <w:rsid w:val="00472177"/>
    <w:rsid w:val="00473F2F"/>
    <w:rsid w:val="00474153"/>
    <w:rsid w:val="00474454"/>
    <w:rsid w:val="00476187"/>
    <w:rsid w:val="0047665C"/>
    <w:rsid w:val="004769B3"/>
    <w:rsid w:val="00477263"/>
    <w:rsid w:val="004777E5"/>
    <w:rsid w:val="00481721"/>
    <w:rsid w:val="00484D43"/>
    <w:rsid w:val="0048529D"/>
    <w:rsid w:val="00485B90"/>
    <w:rsid w:val="00485C0D"/>
    <w:rsid w:val="00486333"/>
    <w:rsid w:val="00486829"/>
    <w:rsid w:val="00487185"/>
    <w:rsid w:val="00487672"/>
    <w:rsid w:val="0048790B"/>
    <w:rsid w:val="00487A48"/>
    <w:rsid w:val="004910BF"/>
    <w:rsid w:val="004917CB"/>
    <w:rsid w:val="004922A3"/>
    <w:rsid w:val="004925EA"/>
    <w:rsid w:val="004932BB"/>
    <w:rsid w:val="00493488"/>
    <w:rsid w:val="004938EF"/>
    <w:rsid w:val="00493D98"/>
    <w:rsid w:val="004959D0"/>
    <w:rsid w:val="00495DCF"/>
    <w:rsid w:val="004A0695"/>
    <w:rsid w:val="004A11C2"/>
    <w:rsid w:val="004A17EC"/>
    <w:rsid w:val="004A21CC"/>
    <w:rsid w:val="004A2531"/>
    <w:rsid w:val="004A5DC1"/>
    <w:rsid w:val="004A66D6"/>
    <w:rsid w:val="004A69E7"/>
    <w:rsid w:val="004A7917"/>
    <w:rsid w:val="004A7ADC"/>
    <w:rsid w:val="004B0D77"/>
    <w:rsid w:val="004B134A"/>
    <w:rsid w:val="004B1866"/>
    <w:rsid w:val="004B1C4E"/>
    <w:rsid w:val="004B3153"/>
    <w:rsid w:val="004B4462"/>
    <w:rsid w:val="004B4812"/>
    <w:rsid w:val="004B4E8E"/>
    <w:rsid w:val="004B5288"/>
    <w:rsid w:val="004B72C4"/>
    <w:rsid w:val="004B7BD2"/>
    <w:rsid w:val="004B7FE0"/>
    <w:rsid w:val="004C17AD"/>
    <w:rsid w:val="004C200F"/>
    <w:rsid w:val="004C2341"/>
    <w:rsid w:val="004C3CAA"/>
    <w:rsid w:val="004C3E5E"/>
    <w:rsid w:val="004C4A32"/>
    <w:rsid w:val="004C73B9"/>
    <w:rsid w:val="004C774E"/>
    <w:rsid w:val="004D0975"/>
    <w:rsid w:val="004D1D2E"/>
    <w:rsid w:val="004D20AB"/>
    <w:rsid w:val="004D2AB5"/>
    <w:rsid w:val="004D3DF3"/>
    <w:rsid w:val="004D4039"/>
    <w:rsid w:val="004D40C8"/>
    <w:rsid w:val="004D5137"/>
    <w:rsid w:val="004D52C9"/>
    <w:rsid w:val="004D57FF"/>
    <w:rsid w:val="004D5812"/>
    <w:rsid w:val="004D5FD9"/>
    <w:rsid w:val="004E1915"/>
    <w:rsid w:val="004E1CB5"/>
    <w:rsid w:val="004E2542"/>
    <w:rsid w:val="004E2EC5"/>
    <w:rsid w:val="004E32ED"/>
    <w:rsid w:val="004E3DCB"/>
    <w:rsid w:val="004E3E1A"/>
    <w:rsid w:val="004E5043"/>
    <w:rsid w:val="004E50AE"/>
    <w:rsid w:val="004E545A"/>
    <w:rsid w:val="004E61A2"/>
    <w:rsid w:val="004E6776"/>
    <w:rsid w:val="004E7CD9"/>
    <w:rsid w:val="004E7FCB"/>
    <w:rsid w:val="004F0024"/>
    <w:rsid w:val="004F05E8"/>
    <w:rsid w:val="004F1704"/>
    <w:rsid w:val="004F3758"/>
    <w:rsid w:val="004F412E"/>
    <w:rsid w:val="004F4A68"/>
    <w:rsid w:val="004F7ADC"/>
    <w:rsid w:val="005015F8"/>
    <w:rsid w:val="00502AB1"/>
    <w:rsid w:val="0050301F"/>
    <w:rsid w:val="00503820"/>
    <w:rsid w:val="00503A1A"/>
    <w:rsid w:val="0050415A"/>
    <w:rsid w:val="00505612"/>
    <w:rsid w:val="00505943"/>
    <w:rsid w:val="00505C7A"/>
    <w:rsid w:val="00506E28"/>
    <w:rsid w:val="00510181"/>
    <w:rsid w:val="0051128E"/>
    <w:rsid w:val="00511799"/>
    <w:rsid w:val="0051329B"/>
    <w:rsid w:val="005139BF"/>
    <w:rsid w:val="00513A0C"/>
    <w:rsid w:val="00513F61"/>
    <w:rsid w:val="00514691"/>
    <w:rsid w:val="00515214"/>
    <w:rsid w:val="005155BF"/>
    <w:rsid w:val="00515CCA"/>
    <w:rsid w:val="00516396"/>
    <w:rsid w:val="00516725"/>
    <w:rsid w:val="00516EBB"/>
    <w:rsid w:val="005176FE"/>
    <w:rsid w:val="005201B0"/>
    <w:rsid w:val="005207C8"/>
    <w:rsid w:val="005225F9"/>
    <w:rsid w:val="005246BA"/>
    <w:rsid w:val="0052494D"/>
    <w:rsid w:val="0052583F"/>
    <w:rsid w:val="005265B0"/>
    <w:rsid w:val="005274E2"/>
    <w:rsid w:val="005275B4"/>
    <w:rsid w:val="0053048A"/>
    <w:rsid w:val="005312E6"/>
    <w:rsid w:val="00531543"/>
    <w:rsid w:val="00531F0D"/>
    <w:rsid w:val="0053219F"/>
    <w:rsid w:val="00532DA4"/>
    <w:rsid w:val="005343D4"/>
    <w:rsid w:val="00534655"/>
    <w:rsid w:val="00535947"/>
    <w:rsid w:val="00536A43"/>
    <w:rsid w:val="0053704E"/>
    <w:rsid w:val="00537D79"/>
    <w:rsid w:val="00540300"/>
    <w:rsid w:val="00540397"/>
    <w:rsid w:val="00541667"/>
    <w:rsid w:val="00541E88"/>
    <w:rsid w:val="005433F8"/>
    <w:rsid w:val="005440AC"/>
    <w:rsid w:val="005449EA"/>
    <w:rsid w:val="00545276"/>
    <w:rsid w:val="005463BF"/>
    <w:rsid w:val="0054775E"/>
    <w:rsid w:val="00547A9F"/>
    <w:rsid w:val="00547B4A"/>
    <w:rsid w:val="00547D56"/>
    <w:rsid w:val="00550E6D"/>
    <w:rsid w:val="00551062"/>
    <w:rsid w:val="0055223B"/>
    <w:rsid w:val="00552464"/>
    <w:rsid w:val="00554ED5"/>
    <w:rsid w:val="005614D7"/>
    <w:rsid w:val="00561A8B"/>
    <w:rsid w:val="00562063"/>
    <w:rsid w:val="00562703"/>
    <w:rsid w:val="00563165"/>
    <w:rsid w:val="00563D74"/>
    <w:rsid w:val="00563E9A"/>
    <w:rsid w:val="005659B0"/>
    <w:rsid w:val="00565A42"/>
    <w:rsid w:val="00566046"/>
    <w:rsid w:val="00566FC5"/>
    <w:rsid w:val="00567800"/>
    <w:rsid w:val="00567934"/>
    <w:rsid w:val="00567C8C"/>
    <w:rsid w:val="0057128F"/>
    <w:rsid w:val="00571F12"/>
    <w:rsid w:val="00572194"/>
    <w:rsid w:val="00572AD1"/>
    <w:rsid w:val="00573880"/>
    <w:rsid w:val="00573D63"/>
    <w:rsid w:val="005747AC"/>
    <w:rsid w:val="00574FCC"/>
    <w:rsid w:val="005754BF"/>
    <w:rsid w:val="005765D6"/>
    <w:rsid w:val="00576DF4"/>
    <w:rsid w:val="00577123"/>
    <w:rsid w:val="005777B2"/>
    <w:rsid w:val="00577FA9"/>
    <w:rsid w:val="00580701"/>
    <w:rsid w:val="00582F98"/>
    <w:rsid w:val="0058328A"/>
    <w:rsid w:val="00584953"/>
    <w:rsid w:val="00584997"/>
    <w:rsid w:val="00584B8D"/>
    <w:rsid w:val="00585A39"/>
    <w:rsid w:val="00585B07"/>
    <w:rsid w:val="005864C1"/>
    <w:rsid w:val="00587CAF"/>
    <w:rsid w:val="00590E22"/>
    <w:rsid w:val="00591EEA"/>
    <w:rsid w:val="005927A1"/>
    <w:rsid w:val="00592892"/>
    <w:rsid w:val="00592906"/>
    <w:rsid w:val="005931A6"/>
    <w:rsid w:val="00593E11"/>
    <w:rsid w:val="00594543"/>
    <w:rsid w:val="00594C1B"/>
    <w:rsid w:val="00595234"/>
    <w:rsid w:val="00595549"/>
    <w:rsid w:val="005955E4"/>
    <w:rsid w:val="00595F21"/>
    <w:rsid w:val="005964AB"/>
    <w:rsid w:val="00597DC7"/>
    <w:rsid w:val="005A01D1"/>
    <w:rsid w:val="005A03BA"/>
    <w:rsid w:val="005A1AB4"/>
    <w:rsid w:val="005A1E2A"/>
    <w:rsid w:val="005A22CC"/>
    <w:rsid w:val="005A22D4"/>
    <w:rsid w:val="005A2538"/>
    <w:rsid w:val="005A39F7"/>
    <w:rsid w:val="005A7441"/>
    <w:rsid w:val="005A78FB"/>
    <w:rsid w:val="005A7D50"/>
    <w:rsid w:val="005B008B"/>
    <w:rsid w:val="005B19C3"/>
    <w:rsid w:val="005B239E"/>
    <w:rsid w:val="005B2D8D"/>
    <w:rsid w:val="005B66B9"/>
    <w:rsid w:val="005B7E1F"/>
    <w:rsid w:val="005C0102"/>
    <w:rsid w:val="005C0261"/>
    <w:rsid w:val="005C0CCF"/>
    <w:rsid w:val="005C1395"/>
    <w:rsid w:val="005C1F0A"/>
    <w:rsid w:val="005C2002"/>
    <w:rsid w:val="005C550F"/>
    <w:rsid w:val="005C5737"/>
    <w:rsid w:val="005C6423"/>
    <w:rsid w:val="005C6776"/>
    <w:rsid w:val="005C6A60"/>
    <w:rsid w:val="005C7101"/>
    <w:rsid w:val="005C760D"/>
    <w:rsid w:val="005C7876"/>
    <w:rsid w:val="005D0D1D"/>
    <w:rsid w:val="005D2BA7"/>
    <w:rsid w:val="005D36EB"/>
    <w:rsid w:val="005D5F31"/>
    <w:rsid w:val="005D62BF"/>
    <w:rsid w:val="005D6D5F"/>
    <w:rsid w:val="005D7F92"/>
    <w:rsid w:val="005E1068"/>
    <w:rsid w:val="005E1D61"/>
    <w:rsid w:val="005E2461"/>
    <w:rsid w:val="005E253C"/>
    <w:rsid w:val="005E2621"/>
    <w:rsid w:val="005E28BA"/>
    <w:rsid w:val="005E3D6E"/>
    <w:rsid w:val="005E4699"/>
    <w:rsid w:val="005E4785"/>
    <w:rsid w:val="005E5E20"/>
    <w:rsid w:val="005F10C5"/>
    <w:rsid w:val="005F15BC"/>
    <w:rsid w:val="005F29A3"/>
    <w:rsid w:val="005F362A"/>
    <w:rsid w:val="005F39A1"/>
    <w:rsid w:val="005F3A13"/>
    <w:rsid w:val="005F3C44"/>
    <w:rsid w:val="005F4DF5"/>
    <w:rsid w:val="005F4F74"/>
    <w:rsid w:val="005F5DF3"/>
    <w:rsid w:val="005F60F4"/>
    <w:rsid w:val="005F631A"/>
    <w:rsid w:val="005F653A"/>
    <w:rsid w:val="005F65AB"/>
    <w:rsid w:val="005F662E"/>
    <w:rsid w:val="005F72A6"/>
    <w:rsid w:val="005F7CE1"/>
    <w:rsid w:val="00600361"/>
    <w:rsid w:val="00600FD6"/>
    <w:rsid w:val="00602105"/>
    <w:rsid w:val="0060300D"/>
    <w:rsid w:val="00603FE9"/>
    <w:rsid w:val="006046DF"/>
    <w:rsid w:val="006048BA"/>
    <w:rsid w:val="00605649"/>
    <w:rsid w:val="006059AA"/>
    <w:rsid w:val="0060730A"/>
    <w:rsid w:val="00607451"/>
    <w:rsid w:val="00607698"/>
    <w:rsid w:val="006113B0"/>
    <w:rsid w:val="00613522"/>
    <w:rsid w:val="006173F6"/>
    <w:rsid w:val="00617A6A"/>
    <w:rsid w:val="00617E40"/>
    <w:rsid w:val="006203D8"/>
    <w:rsid w:val="006204E1"/>
    <w:rsid w:val="006206BD"/>
    <w:rsid w:val="00621279"/>
    <w:rsid w:val="00621DC0"/>
    <w:rsid w:val="00622CD6"/>
    <w:rsid w:val="0062348E"/>
    <w:rsid w:val="006243CC"/>
    <w:rsid w:val="006243D4"/>
    <w:rsid w:val="006245EE"/>
    <w:rsid w:val="0062781E"/>
    <w:rsid w:val="006278A4"/>
    <w:rsid w:val="006306BF"/>
    <w:rsid w:val="00630BCC"/>
    <w:rsid w:val="00630CAC"/>
    <w:rsid w:val="00631CA7"/>
    <w:rsid w:val="0063204F"/>
    <w:rsid w:val="006327FE"/>
    <w:rsid w:val="00632AEC"/>
    <w:rsid w:val="00633FDE"/>
    <w:rsid w:val="00634B46"/>
    <w:rsid w:val="00635B78"/>
    <w:rsid w:val="00636360"/>
    <w:rsid w:val="00637F2B"/>
    <w:rsid w:val="00640B6A"/>
    <w:rsid w:val="00640BD7"/>
    <w:rsid w:val="00641001"/>
    <w:rsid w:val="00641CFF"/>
    <w:rsid w:val="006427E4"/>
    <w:rsid w:val="0064470D"/>
    <w:rsid w:val="00645524"/>
    <w:rsid w:val="00645AB2"/>
    <w:rsid w:val="00650297"/>
    <w:rsid w:val="006505CD"/>
    <w:rsid w:val="00650A2A"/>
    <w:rsid w:val="00650DFD"/>
    <w:rsid w:val="00652779"/>
    <w:rsid w:val="006536AB"/>
    <w:rsid w:val="00653981"/>
    <w:rsid w:val="00655325"/>
    <w:rsid w:val="006553F9"/>
    <w:rsid w:val="00656618"/>
    <w:rsid w:val="00660566"/>
    <w:rsid w:val="00660FAB"/>
    <w:rsid w:val="00661135"/>
    <w:rsid w:val="00661418"/>
    <w:rsid w:val="0066147F"/>
    <w:rsid w:val="00661C2D"/>
    <w:rsid w:val="0066231C"/>
    <w:rsid w:val="006633E6"/>
    <w:rsid w:val="00664887"/>
    <w:rsid w:val="006655C0"/>
    <w:rsid w:val="0066574F"/>
    <w:rsid w:val="00666071"/>
    <w:rsid w:val="00666115"/>
    <w:rsid w:val="00666252"/>
    <w:rsid w:val="0066795B"/>
    <w:rsid w:val="00670D22"/>
    <w:rsid w:val="00671D0F"/>
    <w:rsid w:val="0067225B"/>
    <w:rsid w:val="00672651"/>
    <w:rsid w:val="00672716"/>
    <w:rsid w:val="0067286D"/>
    <w:rsid w:val="00673A91"/>
    <w:rsid w:val="006744D5"/>
    <w:rsid w:val="00674545"/>
    <w:rsid w:val="00674E9B"/>
    <w:rsid w:val="00675474"/>
    <w:rsid w:val="00675A34"/>
    <w:rsid w:val="00675ABA"/>
    <w:rsid w:val="00676B6A"/>
    <w:rsid w:val="00677479"/>
    <w:rsid w:val="00680596"/>
    <w:rsid w:val="00681163"/>
    <w:rsid w:val="00682516"/>
    <w:rsid w:val="006826D5"/>
    <w:rsid w:val="006836E4"/>
    <w:rsid w:val="00685335"/>
    <w:rsid w:val="00685E59"/>
    <w:rsid w:val="0068658D"/>
    <w:rsid w:val="00686984"/>
    <w:rsid w:val="0068774B"/>
    <w:rsid w:val="00687C22"/>
    <w:rsid w:val="00687C5E"/>
    <w:rsid w:val="0069080D"/>
    <w:rsid w:val="00690A3A"/>
    <w:rsid w:val="00691056"/>
    <w:rsid w:val="006918C5"/>
    <w:rsid w:val="0069259D"/>
    <w:rsid w:val="006926CF"/>
    <w:rsid w:val="00693216"/>
    <w:rsid w:val="0069348C"/>
    <w:rsid w:val="006942DE"/>
    <w:rsid w:val="00695D43"/>
    <w:rsid w:val="00696069"/>
    <w:rsid w:val="0069609E"/>
    <w:rsid w:val="006967D0"/>
    <w:rsid w:val="00696C5F"/>
    <w:rsid w:val="006977A4"/>
    <w:rsid w:val="00697F68"/>
    <w:rsid w:val="006A04E7"/>
    <w:rsid w:val="006A0625"/>
    <w:rsid w:val="006A075B"/>
    <w:rsid w:val="006A0A72"/>
    <w:rsid w:val="006A12FF"/>
    <w:rsid w:val="006A2EF6"/>
    <w:rsid w:val="006A3AA7"/>
    <w:rsid w:val="006A3C4B"/>
    <w:rsid w:val="006A3E53"/>
    <w:rsid w:val="006A3E5B"/>
    <w:rsid w:val="006A4D66"/>
    <w:rsid w:val="006A4F78"/>
    <w:rsid w:val="006A54D4"/>
    <w:rsid w:val="006A55D3"/>
    <w:rsid w:val="006A6A14"/>
    <w:rsid w:val="006A6BF6"/>
    <w:rsid w:val="006A7789"/>
    <w:rsid w:val="006B0550"/>
    <w:rsid w:val="006B0CFB"/>
    <w:rsid w:val="006B3374"/>
    <w:rsid w:val="006B3464"/>
    <w:rsid w:val="006B3D03"/>
    <w:rsid w:val="006B4FCC"/>
    <w:rsid w:val="006B5EEB"/>
    <w:rsid w:val="006B76A8"/>
    <w:rsid w:val="006B7C37"/>
    <w:rsid w:val="006C0596"/>
    <w:rsid w:val="006C09A2"/>
    <w:rsid w:val="006C15BD"/>
    <w:rsid w:val="006C5384"/>
    <w:rsid w:val="006C7744"/>
    <w:rsid w:val="006C7C3E"/>
    <w:rsid w:val="006D0696"/>
    <w:rsid w:val="006D0B49"/>
    <w:rsid w:val="006D0BCE"/>
    <w:rsid w:val="006D0EA0"/>
    <w:rsid w:val="006D15F9"/>
    <w:rsid w:val="006D1A51"/>
    <w:rsid w:val="006D1D9D"/>
    <w:rsid w:val="006D3059"/>
    <w:rsid w:val="006D33BF"/>
    <w:rsid w:val="006D3972"/>
    <w:rsid w:val="006D460C"/>
    <w:rsid w:val="006D486B"/>
    <w:rsid w:val="006D48CC"/>
    <w:rsid w:val="006D4FE0"/>
    <w:rsid w:val="006D5F5C"/>
    <w:rsid w:val="006D696F"/>
    <w:rsid w:val="006D6CEB"/>
    <w:rsid w:val="006E0C50"/>
    <w:rsid w:val="006E0C55"/>
    <w:rsid w:val="006E17D9"/>
    <w:rsid w:val="006E1E29"/>
    <w:rsid w:val="006E1FEA"/>
    <w:rsid w:val="006E5866"/>
    <w:rsid w:val="006E6659"/>
    <w:rsid w:val="006E73FA"/>
    <w:rsid w:val="006F25BA"/>
    <w:rsid w:val="006F36F4"/>
    <w:rsid w:val="006F48B8"/>
    <w:rsid w:val="006F4BFC"/>
    <w:rsid w:val="006F4F23"/>
    <w:rsid w:val="006F591B"/>
    <w:rsid w:val="006F5FC0"/>
    <w:rsid w:val="006F60C5"/>
    <w:rsid w:val="006F68C3"/>
    <w:rsid w:val="006F6F0B"/>
    <w:rsid w:val="0070022F"/>
    <w:rsid w:val="007017BC"/>
    <w:rsid w:val="00701E92"/>
    <w:rsid w:val="0070300F"/>
    <w:rsid w:val="00704832"/>
    <w:rsid w:val="0070501F"/>
    <w:rsid w:val="00705733"/>
    <w:rsid w:val="00705D2E"/>
    <w:rsid w:val="00706075"/>
    <w:rsid w:val="007064C3"/>
    <w:rsid w:val="00706974"/>
    <w:rsid w:val="00706D4C"/>
    <w:rsid w:val="0070754E"/>
    <w:rsid w:val="00707AE3"/>
    <w:rsid w:val="007104B4"/>
    <w:rsid w:val="007118CE"/>
    <w:rsid w:val="00711ECD"/>
    <w:rsid w:val="00711F82"/>
    <w:rsid w:val="0071345F"/>
    <w:rsid w:val="00714F58"/>
    <w:rsid w:val="00715987"/>
    <w:rsid w:val="00715DDE"/>
    <w:rsid w:val="00717082"/>
    <w:rsid w:val="00717C9B"/>
    <w:rsid w:val="00720179"/>
    <w:rsid w:val="00721A66"/>
    <w:rsid w:val="00721C2C"/>
    <w:rsid w:val="00722C1D"/>
    <w:rsid w:val="00723704"/>
    <w:rsid w:val="007237CD"/>
    <w:rsid w:val="00723B9A"/>
    <w:rsid w:val="00723C81"/>
    <w:rsid w:val="00723D00"/>
    <w:rsid w:val="00723DDE"/>
    <w:rsid w:val="00723F01"/>
    <w:rsid w:val="00724224"/>
    <w:rsid w:val="007245CC"/>
    <w:rsid w:val="007250DD"/>
    <w:rsid w:val="007254DF"/>
    <w:rsid w:val="00726459"/>
    <w:rsid w:val="007266F3"/>
    <w:rsid w:val="00727977"/>
    <w:rsid w:val="00727F1B"/>
    <w:rsid w:val="0073017B"/>
    <w:rsid w:val="00730975"/>
    <w:rsid w:val="0073160A"/>
    <w:rsid w:val="0073195E"/>
    <w:rsid w:val="00732077"/>
    <w:rsid w:val="00734500"/>
    <w:rsid w:val="007345E8"/>
    <w:rsid w:val="007353AE"/>
    <w:rsid w:val="00735736"/>
    <w:rsid w:val="00735A8F"/>
    <w:rsid w:val="00736B9D"/>
    <w:rsid w:val="00736DC1"/>
    <w:rsid w:val="00740E04"/>
    <w:rsid w:val="00741FA8"/>
    <w:rsid w:val="0074210E"/>
    <w:rsid w:val="0074355C"/>
    <w:rsid w:val="00743749"/>
    <w:rsid w:val="00743C03"/>
    <w:rsid w:val="00746309"/>
    <w:rsid w:val="0074674F"/>
    <w:rsid w:val="00746AC4"/>
    <w:rsid w:val="00747682"/>
    <w:rsid w:val="007479C5"/>
    <w:rsid w:val="007479E2"/>
    <w:rsid w:val="00747D6E"/>
    <w:rsid w:val="00750CA0"/>
    <w:rsid w:val="00751362"/>
    <w:rsid w:val="007516B2"/>
    <w:rsid w:val="00752D41"/>
    <w:rsid w:val="00753E31"/>
    <w:rsid w:val="0075657E"/>
    <w:rsid w:val="007566B2"/>
    <w:rsid w:val="0075714E"/>
    <w:rsid w:val="00757184"/>
    <w:rsid w:val="007577C6"/>
    <w:rsid w:val="00757B52"/>
    <w:rsid w:val="0076035D"/>
    <w:rsid w:val="00760D6E"/>
    <w:rsid w:val="00761BC1"/>
    <w:rsid w:val="00762879"/>
    <w:rsid w:val="00762F7C"/>
    <w:rsid w:val="00764F3A"/>
    <w:rsid w:val="00765866"/>
    <w:rsid w:val="0076617E"/>
    <w:rsid w:val="00766703"/>
    <w:rsid w:val="00766CDD"/>
    <w:rsid w:val="00766CE4"/>
    <w:rsid w:val="00766E2C"/>
    <w:rsid w:val="0076712C"/>
    <w:rsid w:val="0076758A"/>
    <w:rsid w:val="007700E0"/>
    <w:rsid w:val="00770F74"/>
    <w:rsid w:val="00772628"/>
    <w:rsid w:val="00773376"/>
    <w:rsid w:val="0077349B"/>
    <w:rsid w:val="00773A12"/>
    <w:rsid w:val="00773C9C"/>
    <w:rsid w:val="00773D74"/>
    <w:rsid w:val="007742D4"/>
    <w:rsid w:val="00774A53"/>
    <w:rsid w:val="00774DC4"/>
    <w:rsid w:val="00775013"/>
    <w:rsid w:val="00775CD9"/>
    <w:rsid w:val="007760E0"/>
    <w:rsid w:val="007777C8"/>
    <w:rsid w:val="00780D88"/>
    <w:rsid w:val="00783316"/>
    <w:rsid w:val="00783B9A"/>
    <w:rsid w:val="00783F13"/>
    <w:rsid w:val="007856EC"/>
    <w:rsid w:val="00785891"/>
    <w:rsid w:val="0078594F"/>
    <w:rsid w:val="00786CB3"/>
    <w:rsid w:val="007907CD"/>
    <w:rsid w:val="00790CD9"/>
    <w:rsid w:val="007919D1"/>
    <w:rsid w:val="0079256F"/>
    <w:rsid w:val="007926D0"/>
    <w:rsid w:val="007927F6"/>
    <w:rsid w:val="00794297"/>
    <w:rsid w:val="00794634"/>
    <w:rsid w:val="00794A32"/>
    <w:rsid w:val="0079614F"/>
    <w:rsid w:val="007963B2"/>
    <w:rsid w:val="0079661D"/>
    <w:rsid w:val="00796713"/>
    <w:rsid w:val="00796A9D"/>
    <w:rsid w:val="00796DAC"/>
    <w:rsid w:val="00797766"/>
    <w:rsid w:val="007979BA"/>
    <w:rsid w:val="007A00E9"/>
    <w:rsid w:val="007A1296"/>
    <w:rsid w:val="007A14B8"/>
    <w:rsid w:val="007A2482"/>
    <w:rsid w:val="007A3320"/>
    <w:rsid w:val="007A33C5"/>
    <w:rsid w:val="007A4881"/>
    <w:rsid w:val="007A4C41"/>
    <w:rsid w:val="007A4EB6"/>
    <w:rsid w:val="007A55EA"/>
    <w:rsid w:val="007A7166"/>
    <w:rsid w:val="007A7D9B"/>
    <w:rsid w:val="007B00C8"/>
    <w:rsid w:val="007B0674"/>
    <w:rsid w:val="007B1621"/>
    <w:rsid w:val="007B2751"/>
    <w:rsid w:val="007B3168"/>
    <w:rsid w:val="007B397A"/>
    <w:rsid w:val="007B413C"/>
    <w:rsid w:val="007B4C32"/>
    <w:rsid w:val="007B50ED"/>
    <w:rsid w:val="007B52D5"/>
    <w:rsid w:val="007B5F2E"/>
    <w:rsid w:val="007B6775"/>
    <w:rsid w:val="007C0C17"/>
    <w:rsid w:val="007C477F"/>
    <w:rsid w:val="007C4A70"/>
    <w:rsid w:val="007C4B21"/>
    <w:rsid w:val="007C4F27"/>
    <w:rsid w:val="007C6855"/>
    <w:rsid w:val="007C7255"/>
    <w:rsid w:val="007C792E"/>
    <w:rsid w:val="007D09EC"/>
    <w:rsid w:val="007D0EA0"/>
    <w:rsid w:val="007D180A"/>
    <w:rsid w:val="007D21FF"/>
    <w:rsid w:val="007D32A2"/>
    <w:rsid w:val="007D3E32"/>
    <w:rsid w:val="007D4216"/>
    <w:rsid w:val="007D5B43"/>
    <w:rsid w:val="007D5CBB"/>
    <w:rsid w:val="007D7D1A"/>
    <w:rsid w:val="007D7E4C"/>
    <w:rsid w:val="007E0BF2"/>
    <w:rsid w:val="007E0DE2"/>
    <w:rsid w:val="007E1AD1"/>
    <w:rsid w:val="007E29FB"/>
    <w:rsid w:val="007E3BFE"/>
    <w:rsid w:val="007E3C66"/>
    <w:rsid w:val="007E52AE"/>
    <w:rsid w:val="007E57AC"/>
    <w:rsid w:val="007E5F1A"/>
    <w:rsid w:val="007E68D1"/>
    <w:rsid w:val="007F00EF"/>
    <w:rsid w:val="007F1678"/>
    <w:rsid w:val="007F1A96"/>
    <w:rsid w:val="007F2E99"/>
    <w:rsid w:val="007F4F8B"/>
    <w:rsid w:val="007F5AE1"/>
    <w:rsid w:val="007F61B5"/>
    <w:rsid w:val="007F63D3"/>
    <w:rsid w:val="007F65AF"/>
    <w:rsid w:val="007F78E7"/>
    <w:rsid w:val="007F7C94"/>
    <w:rsid w:val="007F7E70"/>
    <w:rsid w:val="00801623"/>
    <w:rsid w:val="00801D10"/>
    <w:rsid w:val="00802006"/>
    <w:rsid w:val="00802DE1"/>
    <w:rsid w:val="008031E9"/>
    <w:rsid w:val="0080329B"/>
    <w:rsid w:val="0080391D"/>
    <w:rsid w:val="008040AF"/>
    <w:rsid w:val="00804CEF"/>
    <w:rsid w:val="0080546E"/>
    <w:rsid w:val="00805553"/>
    <w:rsid w:val="00805810"/>
    <w:rsid w:val="008064C0"/>
    <w:rsid w:val="008064F7"/>
    <w:rsid w:val="00806686"/>
    <w:rsid w:val="00807041"/>
    <w:rsid w:val="008103EE"/>
    <w:rsid w:val="00810513"/>
    <w:rsid w:val="00811BB9"/>
    <w:rsid w:val="00811FDE"/>
    <w:rsid w:val="00812355"/>
    <w:rsid w:val="008125CD"/>
    <w:rsid w:val="00812941"/>
    <w:rsid w:val="008146FB"/>
    <w:rsid w:val="00815752"/>
    <w:rsid w:val="00815C50"/>
    <w:rsid w:val="0081650C"/>
    <w:rsid w:val="00817B25"/>
    <w:rsid w:val="008200CF"/>
    <w:rsid w:val="00820567"/>
    <w:rsid w:val="00821765"/>
    <w:rsid w:val="00821D5F"/>
    <w:rsid w:val="00822796"/>
    <w:rsid w:val="00823888"/>
    <w:rsid w:val="00823A39"/>
    <w:rsid w:val="00824297"/>
    <w:rsid w:val="00824946"/>
    <w:rsid w:val="00824B27"/>
    <w:rsid w:val="0082500F"/>
    <w:rsid w:val="008252A7"/>
    <w:rsid w:val="00825722"/>
    <w:rsid w:val="00825EBB"/>
    <w:rsid w:val="0082640E"/>
    <w:rsid w:val="00826CC4"/>
    <w:rsid w:val="00827552"/>
    <w:rsid w:val="00827A2A"/>
    <w:rsid w:val="00827F63"/>
    <w:rsid w:val="00827FFC"/>
    <w:rsid w:val="0083141A"/>
    <w:rsid w:val="0083205A"/>
    <w:rsid w:val="00833D3D"/>
    <w:rsid w:val="00834631"/>
    <w:rsid w:val="0083595D"/>
    <w:rsid w:val="00835AED"/>
    <w:rsid w:val="0084012F"/>
    <w:rsid w:val="008407BF"/>
    <w:rsid w:val="00841460"/>
    <w:rsid w:val="0084336E"/>
    <w:rsid w:val="008436C2"/>
    <w:rsid w:val="00843F39"/>
    <w:rsid w:val="00844097"/>
    <w:rsid w:val="00844770"/>
    <w:rsid w:val="00844E3B"/>
    <w:rsid w:val="00845B25"/>
    <w:rsid w:val="00845E0B"/>
    <w:rsid w:val="00845F54"/>
    <w:rsid w:val="00846448"/>
    <w:rsid w:val="0084660C"/>
    <w:rsid w:val="00846DF9"/>
    <w:rsid w:val="008470AC"/>
    <w:rsid w:val="00847140"/>
    <w:rsid w:val="008473BC"/>
    <w:rsid w:val="0084788F"/>
    <w:rsid w:val="008478B5"/>
    <w:rsid w:val="00847BDC"/>
    <w:rsid w:val="008504E9"/>
    <w:rsid w:val="008512FE"/>
    <w:rsid w:val="00851A8C"/>
    <w:rsid w:val="00852098"/>
    <w:rsid w:val="00852E49"/>
    <w:rsid w:val="0085320C"/>
    <w:rsid w:val="008534B3"/>
    <w:rsid w:val="00854B22"/>
    <w:rsid w:val="00855228"/>
    <w:rsid w:val="008552A8"/>
    <w:rsid w:val="00855A0D"/>
    <w:rsid w:val="00855FEA"/>
    <w:rsid w:val="00856D17"/>
    <w:rsid w:val="00857B03"/>
    <w:rsid w:val="00860431"/>
    <w:rsid w:val="00860A0A"/>
    <w:rsid w:val="00860AD8"/>
    <w:rsid w:val="00860F59"/>
    <w:rsid w:val="008626EF"/>
    <w:rsid w:val="00862771"/>
    <w:rsid w:val="008627CB"/>
    <w:rsid w:val="00862E2A"/>
    <w:rsid w:val="00863C56"/>
    <w:rsid w:val="00863DA7"/>
    <w:rsid w:val="00864212"/>
    <w:rsid w:val="00865C64"/>
    <w:rsid w:val="00867309"/>
    <w:rsid w:val="0086736A"/>
    <w:rsid w:val="008673FD"/>
    <w:rsid w:val="008714AD"/>
    <w:rsid w:val="0087176F"/>
    <w:rsid w:val="00874710"/>
    <w:rsid w:val="00874D38"/>
    <w:rsid w:val="00876906"/>
    <w:rsid w:val="00881647"/>
    <w:rsid w:val="0088175B"/>
    <w:rsid w:val="00882E3C"/>
    <w:rsid w:val="008831D2"/>
    <w:rsid w:val="00883E84"/>
    <w:rsid w:val="0088431C"/>
    <w:rsid w:val="00884474"/>
    <w:rsid w:val="00885549"/>
    <w:rsid w:val="008858CC"/>
    <w:rsid w:val="00885CA2"/>
    <w:rsid w:val="00885CAD"/>
    <w:rsid w:val="00885D87"/>
    <w:rsid w:val="00886DF8"/>
    <w:rsid w:val="0089022C"/>
    <w:rsid w:val="008913FC"/>
    <w:rsid w:val="00891F2D"/>
    <w:rsid w:val="00892BC8"/>
    <w:rsid w:val="00894AE1"/>
    <w:rsid w:val="00894F7C"/>
    <w:rsid w:val="00895709"/>
    <w:rsid w:val="00896073"/>
    <w:rsid w:val="00896FEC"/>
    <w:rsid w:val="00897AD8"/>
    <w:rsid w:val="00897FE8"/>
    <w:rsid w:val="008A2186"/>
    <w:rsid w:val="008A26C1"/>
    <w:rsid w:val="008A3034"/>
    <w:rsid w:val="008A318A"/>
    <w:rsid w:val="008A33B6"/>
    <w:rsid w:val="008A4733"/>
    <w:rsid w:val="008A4BA7"/>
    <w:rsid w:val="008A5577"/>
    <w:rsid w:val="008A5755"/>
    <w:rsid w:val="008A6BFB"/>
    <w:rsid w:val="008A7A28"/>
    <w:rsid w:val="008A7B77"/>
    <w:rsid w:val="008A7C94"/>
    <w:rsid w:val="008B00CC"/>
    <w:rsid w:val="008B021A"/>
    <w:rsid w:val="008B097C"/>
    <w:rsid w:val="008B0A76"/>
    <w:rsid w:val="008B0BD8"/>
    <w:rsid w:val="008B1113"/>
    <w:rsid w:val="008B1257"/>
    <w:rsid w:val="008B1A70"/>
    <w:rsid w:val="008B2575"/>
    <w:rsid w:val="008B28C9"/>
    <w:rsid w:val="008B2E1D"/>
    <w:rsid w:val="008B3822"/>
    <w:rsid w:val="008B4F07"/>
    <w:rsid w:val="008B5469"/>
    <w:rsid w:val="008B55A7"/>
    <w:rsid w:val="008B57F4"/>
    <w:rsid w:val="008B587C"/>
    <w:rsid w:val="008B6627"/>
    <w:rsid w:val="008B6EDF"/>
    <w:rsid w:val="008C0033"/>
    <w:rsid w:val="008C10C9"/>
    <w:rsid w:val="008C19D7"/>
    <w:rsid w:val="008C28E5"/>
    <w:rsid w:val="008C2DEF"/>
    <w:rsid w:val="008C4733"/>
    <w:rsid w:val="008C520F"/>
    <w:rsid w:val="008C60F3"/>
    <w:rsid w:val="008D0351"/>
    <w:rsid w:val="008D1561"/>
    <w:rsid w:val="008D3ADD"/>
    <w:rsid w:val="008D3BAB"/>
    <w:rsid w:val="008D3E9F"/>
    <w:rsid w:val="008D4A90"/>
    <w:rsid w:val="008D5A91"/>
    <w:rsid w:val="008D5EE6"/>
    <w:rsid w:val="008D69D3"/>
    <w:rsid w:val="008E00A7"/>
    <w:rsid w:val="008E0809"/>
    <w:rsid w:val="008E098E"/>
    <w:rsid w:val="008E0EA1"/>
    <w:rsid w:val="008E1772"/>
    <w:rsid w:val="008E19C5"/>
    <w:rsid w:val="008E2340"/>
    <w:rsid w:val="008E24F0"/>
    <w:rsid w:val="008E2B77"/>
    <w:rsid w:val="008E46E3"/>
    <w:rsid w:val="008E4CD9"/>
    <w:rsid w:val="008E4F15"/>
    <w:rsid w:val="008E4F31"/>
    <w:rsid w:val="008E54B2"/>
    <w:rsid w:val="008E54C3"/>
    <w:rsid w:val="008E75EE"/>
    <w:rsid w:val="008E78E5"/>
    <w:rsid w:val="008E7ABC"/>
    <w:rsid w:val="008F036D"/>
    <w:rsid w:val="008F2ACD"/>
    <w:rsid w:val="008F2B7E"/>
    <w:rsid w:val="008F2F97"/>
    <w:rsid w:val="008F41FC"/>
    <w:rsid w:val="008F446D"/>
    <w:rsid w:val="008F4FC4"/>
    <w:rsid w:val="008F5012"/>
    <w:rsid w:val="008F50E2"/>
    <w:rsid w:val="008F53AD"/>
    <w:rsid w:val="008F715B"/>
    <w:rsid w:val="0090082F"/>
    <w:rsid w:val="009009FC"/>
    <w:rsid w:val="00901125"/>
    <w:rsid w:val="00901E4C"/>
    <w:rsid w:val="009020BF"/>
    <w:rsid w:val="00904D64"/>
    <w:rsid w:val="00904F82"/>
    <w:rsid w:val="00906344"/>
    <w:rsid w:val="009065AC"/>
    <w:rsid w:val="009065D5"/>
    <w:rsid w:val="00906C5B"/>
    <w:rsid w:val="00907826"/>
    <w:rsid w:val="009078F6"/>
    <w:rsid w:val="009079BD"/>
    <w:rsid w:val="00910245"/>
    <w:rsid w:val="009105AC"/>
    <w:rsid w:val="00910C95"/>
    <w:rsid w:val="00911397"/>
    <w:rsid w:val="00911BB4"/>
    <w:rsid w:val="00912034"/>
    <w:rsid w:val="00912393"/>
    <w:rsid w:val="00912648"/>
    <w:rsid w:val="0091269E"/>
    <w:rsid w:val="0091315B"/>
    <w:rsid w:val="00913A80"/>
    <w:rsid w:val="00914310"/>
    <w:rsid w:val="009143E7"/>
    <w:rsid w:val="00914C1C"/>
    <w:rsid w:val="0091556D"/>
    <w:rsid w:val="00915650"/>
    <w:rsid w:val="0091619D"/>
    <w:rsid w:val="0091642A"/>
    <w:rsid w:val="00917CF6"/>
    <w:rsid w:val="009225E5"/>
    <w:rsid w:val="00922725"/>
    <w:rsid w:val="009238A5"/>
    <w:rsid w:val="00923D5D"/>
    <w:rsid w:val="00923DC7"/>
    <w:rsid w:val="00923FB1"/>
    <w:rsid w:val="009243D1"/>
    <w:rsid w:val="00924823"/>
    <w:rsid w:val="0092483B"/>
    <w:rsid w:val="009258B3"/>
    <w:rsid w:val="0092612D"/>
    <w:rsid w:val="00933441"/>
    <w:rsid w:val="0093375A"/>
    <w:rsid w:val="00934840"/>
    <w:rsid w:val="00934CFF"/>
    <w:rsid w:val="009375C0"/>
    <w:rsid w:val="00937AD3"/>
    <w:rsid w:val="00940A96"/>
    <w:rsid w:val="009425A6"/>
    <w:rsid w:val="00942846"/>
    <w:rsid w:val="00942C8E"/>
    <w:rsid w:val="009430EF"/>
    <w:rsid w:val="00943ABC"/>
    <w:rsid w:val="00943F2E"/>
    <w:rsid w:val="00944DEF"/>
    <w:rsid w:val="00945811"/>
    <w:rsid w:val="00946268"/>
    <w:rsid w:val="009464DE"/>
    <w:rsid w:val="00946C3A"/>
    <w:rsid w:val="00947FCE"/>
    <w:rsid w:val="00951650"/>
    <w:rsid w:val="00952081"/>
    <w:rsid w:val="009527AE"/>
    <w:rsid w:val="0095286D"/>
    <w:rsid w:val="00952B3C"/>
    <w:rsid w:val="00952FF0"/>
    <w:rsid w:val="00954630"/>
    <w:rsid w:val="009548B4"/>
    <w:rsid w:val="009565ED"/>
    <w:rsid w:val="00957107"/>
    <w:rsid w:val="00957937"/>
    <w:rsid w:val="009600DB"/>
    <w:rsid w:val="009608B7"/>
    <w:rsid w:val="00960C40"/>
    <w:rsid w:val="00960DD3"/>
    <w:rsid w:val="0096129D"/>
    <w:rsid w:val="00962012"/>
    <w:rsid w:val="0096265D"/>
    <w:rsid w:val="00962DF0"/>
    <w:rsid w:val="00964685"/>
    <w:rsid w:val="0096571A"/>
    <w:rsid w:val="00965975"/>
    <w:rsid w:val="00965B17"/>
    <w:rsid w:val="00965B1E"/>
    <w:rsid w:val="00966AA5"/>
    <w:rsid w:val="00966E04"/>
    <w:rsid w:val="00967319"/>
    <w:rsid w:val="009674F2"/>
    <w:rsid w:val="009676B1"/>
    <w:rsid w:val="00967FFE"/>
    <w:rsid w:val="00970E2F"/>
    <w:rsid w:val="00971A26"/>
    <w:rsid w:val="009727BE"/>
    <w:rsid w:val="00972BCB"/>
    <w:rsid w:val="009731A2"/>
    <w:rsid w:val="00973B03"/>
    <w:rsid w:val="0097451D"/>
    <w:rsid w:val="009746CC"/>
    <w:rsid w:val="00974B1D"/>
    <w:rsid w:val="00974E12"/>
    <w:rsid w:val="00975168"/>
    <w:rsid w:val="00975454"/>
    <w:rsid w:val="00975D60"/>
    <w:rsid w:val="00975F38"/>
    <w:rsid w:val="009761B5"/>
    <w:rsid w:val="0097645B"/>
    <w:rsid w:val="00982084"/>
    <w:rsid w:val="00982300"/>
    <w:rsid w:val="009836B0"/>
    <w:rsid w:val="0098379A"/>
    <w:rsid w:val="00983940"/>
    <w:rsid w:val="00984008"/>
    <w:rsid w:val="009843C9"/>
    <w:rsid w:val="009851A9"/>
    <w:rsid w:val="0098577F"/>
    <w:rsid w:val="00985FD4"/>
    <w:rsid w:val="0098636B"/>
    <w:rsid w:val="00986DC4"/>
    <w:rsid w:val="00987460"/>
    <w:rsid w:val="00987C04"/>
    <w:rsid w:val="00990846"/>
    <w:rsid w:val="00990CA6"/>
    <w:rsid w:val="009922D4"/>
    <w:rsid w:val="00992B7D"/>
    <w:rsid w:val="00992D4E"/>
    <w:rsid w:val="009937ED"/>
    <w:rsid w:val="0099392A"/>
    <w:rsid w:val="00994809"/>
    <w:rsid w:val="00994A99"/>
    <w:rsid w:val="00994AFC"/>
    <w:rsid w:val="00996253"/>
    <w:rsid w:val="009972B5"/>
    <w:rsid w:val="00997466"/>
    <w:rsid w:val="00997B1B"/>
    <w:rsid w:val="00997C04"/>
    <w:rsid w:val="009A12B7"/>
    <w:rsid w:val="009A1914"/>
    <w:rsid w:val="009A1D95"/>
    <w:rsid w:val="009A1EDD"/>
    <w:rsid w:val="009A2A2C"/>
    <w:rsid w:val="009A2A68"/>
    <w:rsid w:val="009A4680"/>
    <w:rsid w:val="009A5DAF"/>
    <w:rsid w:val="009A5E67"/>
    <w:rsid w:val="009A6D5B"/>
    <w:rsid w:val="009B0CCD"/>
    <w:rsid w:val="009B0F8C"/>
    <w:rsid w:val="009B13B6"/>
    <w:rsid w:val="009B1EC0"/>
    <w:rsid w:val="009B20A5"/>
    <w:rsid w:val="009B2429"/>
    <w:rsid w:val="009B36A4"/>
    <w:rsid w:val="009B3D57"/>
    <w:rsid w:val="009B4E87"/>
    <w:rsid w:val="009B582D"/>
    <w:rsid w:val="009B59BB"/>
    <w:rsid w:val="009B620B"/>
    <w:rsid w:val="009B6521"/>
    <w:rsid w:val="009B7909"/>
    <w:rsid w:val="009C12C7"/>
    <w:rsid w:val="009C1628"/>
    <w:rsid w:val="009C21D0"/>
    <w:rsid w:val="009C2BD8"/>
    <w:rsid w:val="009C2CDE"/>
    <w:rsid w:val="009C4346"/>
    <w:rsid w:val="009C45FC"/>
    <w:rsid w:val="009C4A23"/>
    <w:rsid w:val="009C5038"/>
    <w:rsid w:val="009C6DF1"/>
    <w:rsid w:val="009C7628"/>
    <w:rsid w:val="009D14B7"/>
    <w:rsid w:val="009D293D"/>
    <w:rsid w:val="009D2C23"/>
    <w:rsid w:val="009D3673"/>
    <w:rsid w:val="009D450C"/>
    <w:rsid w:val="009D4F07"/>
    <w:rsid w:val="009D52EB"/>
    <w:rsid w:val="009D537B"/>
    <w:rsid w:val="009D6551"/>
    <w:rsid w:val="009D7398"/>
    <w:rsid w:val="009D7D7D"/>
    <w:rsid w:val="009D7EA6"/>
    <w:rsid w:val="009D7F53"/>
    <w:rsid w:val="009E122C"/>
    <w:rsid w:val="009E1A87"/>
    <w:rsid w:val="009E2829"/>
    <w:rsid w:val="009E2B7C"/>
    <w:rsid w:val="009E36B2"/>
    <w:rsid w:val="009E44AC"/>
    <w:rsid w:val="009E48B9"/>
    <w:rsid w:val="009E4DB2"/>
    <w:rsid w:val="009E4E2C"/>
    <w:rsid w:val="009E558D"/>
    <w:rsid w:val="009E621A"/>
    <w:rsid w:val="009E79E1"/>
    <w:rsid w:val="009F0667"/>
    <w:rsid w:val="009F0D05"/>
    <w:rsid w:val="009F1171"/>
    <w:rsid w:val="009F2055"/>
    <w:rsid w:val="009F222F"/>
    <w:rsid w:val="009F231E"/>
    <w:rsid w:val="009F277F"/>
    <w:rsid w:val="009F2E04"/>
    <w:rsid w:val="009F2E81"/>
    <w:rsid w:val="009F4446"/>
    <w:rsid w:val="009F465B"/>
    <w:rsid w:val="009F47A8"/>
    <w:rsid w:val="009F4821"/>
    <w:rsid w:val="009F48FD"/>
    <w:rsid w:val="009F692D"/>
    <w:rsid w:val="009F6F4F"/>
    <w:rsid w:val="009F70DE"/>
    <w:rsid w:val="00A0047D"/>
    <w:rsid w:val="00A006F4"/>
    <w:rsid w:val="00A01D23"/>
    <w:rsid w:val="00A02C25"/>
    <w:rsid w:val="00A043C0"/>
    <w:rsid w:val="00A05894"/>
    <w:rsid w:val="00A063CC"/>
    <w:rsid w:val="00A06C32"/>
    <w:rsid w:val="00A07054"/>
    <w:rsid w:val="00A100B9"/>
    <w:rsid w:val="00A103F3"/>
    <w:rsid w:val="00A10D22"/>
    <w:rsid w:val="00A113AA"/>
    <w:rsid w:val="00A11ED6"/>
    <w:rsid w:val="00A12569"/>
    <w:rsid w:val="00A12BBC"/>
    <w:rsid w:val="00A1318A"/>
    <w:rsid w:val="00A137AB"/>
    <w:rsid w:val="00A14112"/>
    <w:rsid w:val="00A14126"/>
    <w:rsid w:val="00A16E29"/>
    <w:rsid w:val="00A20105"/>
    <w:rsid w:val="00A2030D"/>
    <w:rsid w:val="00A20BA7"/>
    <w:rsid w:val="00A20DB3"/>
    <w:rsid w:val="00A21144"/>
    <w:rsid w:val="00A2151C"/>
    <w:rsid w:val="00A21560"/>
    <w:rsid w:val="00A228BF"/>
    <w:rsid w:val="00A22BA1"/>
    <w:rsid w:val="00A23F47"/>
    <w:rsid w:val="00A2520B"/>
    <w:rsid w:val="00A27932"/>
    <w:rsid w:val="00A27B8E"/>
    <w:rsid w:val="00A3030D"/>
    <w:rsid w:val="00A30A7C"/>
    <w:rsid w:val="00A31C33"/>
    <w:rsid w:val="00A31DA0"/>
    <w:rsid w:val="00A3347A"/>
    <w:rsid w:val="00A33DBF"/>
    <w:rsid w:val="00A34495"/>
    <w:rsid w:val="00A344E2"/>
    <w:rsid w:val="00A34AB7"/>
    <w:rsid w:val="00A34F63"/>
    <w:rsid w:val="00A35578"/>
    <w:rsid w:val="00A359CE"/>
    <w:rsid w:val="00A35D2C"/>
    <w:rsid w:val="00A35EE3"/>
    <w:rsid w:val="00A3677D"/>
    <w:rsid w:val="00A37FBE"/>
    <w:rsid w:val="00A405C2"/>
    <w:rsid w:val="00A412F6"/>
    <w:rsid w:val="00A41EFB"/>
    <w:rsid w:val="00A420C0"/>
    <w:rsid w:val="00A42334"/>
    <w:rsid w:val="00A4361E"/>
    <w:rsid w:val="00A4366F"/>
    <w:rsid w:val="00A4451A"/>
    <w:rsid w:val="00A44793"/>
    <w:rsid w:val="00A4519B"/>
    <w:rsid w:val="00A45206"/>
    <w:rsid w:val="00A45C52"/>
    <w:rsid w:val="00A46016"/>
    <w:rsid w:val="00A4692D"/>
    <w:rsid w:val="00A47220"/>
    <w:rsid w:val="00A47616"/>
    <w:rsid w:val="00A50AC3"/>
    <w:rsid w:val="00A511D4"/>
    <w:rsid w:val="00A51979"/>
    <w:rsid w:val="00A51B32"/>
    <w:rsid w:val="00A533D3"/>
    <w:rsid w:val="00A5395C"/>
    <w:rsid w:val="00A53C10"/>
    <w:rsid w:val="00A53FAD"/>
    <w:rsid w:val="00A54B19"/>
    <w:rsid w:val="00A55527"/>
    <w:rsid w:val="00A57A24"/>
    <w:rsid w:val="00A60623"/>
    <w:rsid w:val="00A60D57"/>
    <w:rsid w:val="00A619DA"/>
    <w:rsid w:val="00A61EAE"/>
    <w:rsid w:val="00A61F7F"/>
    <w:rsid w:val="00A620F0"/>
    <w:rsid w:val="00A62A42"/>
    <w:rsid w:val="00A6344C"/>
    <w:rsid w:val="00A6345B"/>
    <w:rsid w:val="00A645D1"/>
    <w:rsid w:val="00A67681"/>
    <w:rsid w:val="00A67821"/>
    <w:rsid w:val="00A701D1"/>
    <w:rsid w:val="00A706BB"/>
    <w:rsid w:val="00A7071B"/>
    <w:rsid w:val="00A708C6"/>
    <w:rsid w:val="00A71F64"/>
    <w:rsid w:val="00A7301F"/>
    <w:rsid w:val="00A73579"/>
    <w:rsid w:val="00A73668"/>
    <w:rsid w:val="00A73781"/>
    <w:rsid w:val="00A749E4"/>
    <w:rsid w:val="00A75505"/>
    <w:rsid w:val="00A75A88"/>
    <w:rsid w:val="00A7699C"/>
    <w:rsid w:val="00A801AD"/>
    <w:rsid w:val="00A80760"/>
    <w:rsid w:val="00A81A76"/>
    <w:rsid w:val="00A8268B"/>
    <w:rsid w:val="00A82A2F"/>
    <w:rsid w:val="00A82F2F"/>
    <w:rsid w:val="00A8438A"/>
    <w:rsid w:val="00A852B7"/>
    <w:rsid w:val="00A856AF"/>
    <w:rsid w:val="00A85B6A"/>
    <w:rsid w:val="00A85CC3"/>
    <w:rsid w:val="00A86C96"/>
    <w:rsid w:val="00A90C72"/>
    <w:rsid w:val="00A90DFC"/>
    <w:rsid w:val="00A927DF"/>
    <w:rsid w:val="00A933A8"/>
    <w:rsid w:val="00A93FFF"/>
    <w:rsid w:val="00A94F07"/>
    <w:rsid w:val="00A9514E"/>
    <w:rsid w:val="00A9541A"/>
    <w:rsid w:val="00A95954"/>
    <w:rsid w:val="00A95E42"/>
    <w:rsid w:val="00A960AB"/>
    <w:rsid w:val="00A9621F"/>
    <w:rsid w:val="00A96C08"/>
    <w:rsid w:val="00A97018"/>
    <w:rsid w:val="00A9736A"/>
    <w:rsid w:val="00A973D2"/>
    <w:rsid w:val="00A976DC"/>
    <w:rsid w:val="00A97EED"/>
    <w:rsid w:val="00AA09AA"/>
    <w:rsid w:val="00AA0DCC"/>
    <w:rsid w:val="00AA2457"/>
    <w:rsid w:val="00AA248A"/>
    <w:rsid w:val="00AA299D"/>
    <w:rsid w:val="00AA3F96"/>
    <w:rsid w:val="00AA4D4C"/>
    <w:rsid w:val="00AA50D7"/>
    <w:rsid w:val="00AA685E"/>
    <w:rsid w:val="00AA6AA8"/>
    <w:rsid w:val="00AA6F7A"/>
    <w:rsid w:val="00AA73D3"/>
    <w:rsid w:val="00AA7B2D"/>
    <w:rsid w:val="00AA7B57"/>
    <w:rsid w:val="00AA7D87"/>
    <w:rsid w:val="00AB069C"/>
    <w:rsid w:val="00AB0A1E"/>
    <w:rsid w:val="00AB1933"/>
    <w:rsid w:val="00AB2091"/>
    <w:rsid w:val="00AB2BFC"/>
    <w:rsid w:val="00AB343F"/>
    <w:rsid w:val="00AB3DAB"/>
    <w:rsid w:val="00AB4427"/>
    <w:rsid w:val="00AB4642"/>
    <w:rsid w:val="00AB485D"/>
    <w:rsid w:val="00AB503E"/>
    <w:rsid w:val="00AB5C70"/>
    <w:rsid w:val="00AB6B20"/>
    <w:rsid w:val="00AB75EF"/>
    <w:rsid w:val="00AC05D6"/>
    <w:rsid w:val="00AC1508"/>
    <w:rsid w:val="00AC2A80"/>
    <w:rsid w:val="00AC3B62"/>
    <w:rsid w:val="00AC3C84"/>
    <w:rsid w:val="00AC4413"/>
    <w:rsid w:val="00AC4B38"/>
    <w:rsid w:val="00AC4B79"/>
    <w:rsid w:val="00AC5BCB"/>
    <w:rsid w:val="00AC6D15"/>
    <w:rsid w:val="00AC72FF"/>
    <w:rsid w:val="00AD0AE8"/>
    <w:rsid w:val="00AD14D8"/>
    <w:rsid w:val="00AD1F58"/>
    <w:rsid w:val="00AD2258"/>
    <w:rsid w:val="00AD4E91"/>
    <w:rsid w:val="00AD5A59"/>
    <w:rsid w:val="00AD654C"/>
    <w:rsid w:val="00AD6BC9"/>
    <w:rsid w:val="00AE062A"/>
    <w:rsid w:val="00AE15A5"/>
    <w:rsid w:val="00AE1A21"/>
    <w:rsid w:val="00AE1A6A"/>
    <w:rsid w:val="00AE2439"/>
    <w:rsid w:val="00AE351E"/>
    <w:rsid w:val="00AE4AEE"/>
    <w:rsid w:val="00AE4BE5"/>
    <w:rsid w:val="00AE4F75"/>
    <w:rsid w:val="00AE67E4"/>
    <w:rsid w:val="00AE6CC1"/>
    <w:rsid w:val="00AE6EFB"/>
    <w:rsid w:val="00AF033F"/>
    <w:rsid w:val="00AF1181"/>
    <w:rsid w:val="00AF12AD"/>
    <w:rsid w:val="00AF1AFF"/>
    <w:rsid w:val="00AF22F2"/>
    <w:rsid w:val="00AF26B8"/>
    <w:rsid w:val="00AF2B03"/>
    <w:rsid w:val="00AF30EE"/>
    <w:rsid w:val="00AF329F"/>
    <w:rsid w:val="00AF3568"/>
    <w:rsid w:val="00AF3BE6"/>
    <w:rsid w:val="00AF3C7B"/>
    <w:rsid w:val="00AF46E0"/>
    <w:rsid w:val="00AF487C"/>
    <w:rsid w:val="00AF487D"/>
    <w:rsid w:val="00AF4BAB"/>
    <w:rsid w:val="00AF53A4"/>
    <w:rsid w:val="00AF5472"/>
    <w:rsid w:val="00AF600B"/>
    <w:rsid w:val="00AF7ABF"/>
    <w:rsid w:val="00AF7D54"/>
    <w:rsid w:val="00B00615"/>
    <w:rsid w:val="00B007B8"/>
    <w:rsid w:val="00B00A33"/>
    <w:rsid w:val="00B01542"/>
    <w:rsid w:val="00B033DB"/>
    <w:rsid w:val="00B03481"/>
    <w:rsid w:val="00B03A55"/>
    <w:rsid w:val="00B03B44"/>
    <w:rsid w:val="00B03D6F"/>
    <w:rsid w:val="00B04356"/>
    <w:rsid w:val="00B0548D"/>
    <w:rsid w:val="00B055C8"/>
    <w:rsid w:val="00B058CB"/>
    <w:rsid w:val="00B070A8"/>
    <w:rsid w:val="00B07BF6"/>
    <w:rsid w:val="00B109CD"/>
    <w:rsid w:val="00B1164B"/>
    <w:rsid w:val="00B123CF"/>
    <w:rsid w:val="00B12972"/>
    <w:rsid w:val="00B12B70"/>
    <w:rsid w:val="00B13A05"/>
    <w:rsid w:val="00B144E9"/>
    <w:rsid w:val="00B14CD5"/>
    <w:rsid w:val="00B152DD"/>
    <w:rsid w:val="00B15B3A"/>
    <w:rsid w:val="00B15C1B"/>
    <w:rsid w:val="00B164AB"/>
    <w:rsid w:val="00B17099"/>
    <w:rsid w:val="00B17155"/>
    <w:rsid w:val="00B17AD5"/>
    <w:rsid w:val="00B17E9C"/>
    <w:rsid w:val="00B20DAF"/>
    <w:rsid w:val="00B21478"/>
    <w:rsid w:val="00B221EF"/>
    <w:rsid w:val="00B23109"/>
    <w:rsid w:val="00B23325"/>
    <w:rsid w:val="00B24D03"/>
    <w:rsid w:val="00B26627"/>
    <w:rsid w:val="00B26B51"/>
    <w:rsid w:val="00B2755D"/>
    <w:rsid w:val="00B27FB4"/>
    <w:rsid w:val="00B3251D"/>
    <w:rsid w:val="00B32BE9"/>
    <w:rsid w:val="00B34760"/>
    <w:rsid w:val="00B35860"/>
    <w:rsid w:val="00B35AA1"/>
    <w:rsid w:val="00B35C79"/>
    <w:rsid w:val="00B3669A"/>
    <w:rsid w:val="00B36BC3"/>
    <w:rsid w:val="00B378AD"/>
    <w:rsid w:val="00B4488B"/>
    <w:rsid w:val="00B450DE"/>
    <w:rsid w:val="00B469A0"/>
    <w:rsid w:val="00B46FDC"/>
    <w:rsid w:val="00B47731"/>
    <w:rsid w:val="00B5106A"/>
    <w:rsid w:val="00B510CD"/>
    <w:rsid w:val="00B514E5"/>
    <w:rsid w:val="00B516E1"/>
    <w:rsid w:val="00B51F8F"/>
    <w:rsid w:val="00B52EEE"/>
    <w:rsid w:val="00B53889"/>
    <w:rsid w:val="00B539F5"/>
    <w:rsid w:val="00B54C78"/>
    <w:rsid w:val="00B5502E"/>
    <w:rsid w:val="00B5563F"/>
    <w:rsid w:val="00B55A0C"/>
    <w:rsid w:val="00B56743"/>
    <w:rsid w:val="00B56D5A"/>
    <w:rsid w:val="00B577CA"/>
    <w:rsid w:val="00B57923"/>
    <w:rsid w:val="00B57DDC"/>
    <w:rsid w:val="00B60096"/>
    <w:rsid w:val="00B6041A"/>
    <w:rsid w:val="00B60C61"/>
    <w:rsid w:val="00B611BF"/>
    <w:rsid w:val="00B6276C"/>
    <w:rsid w:val="00B62822"/>
    <w:rsid w:val="00B6339E"/>
    <w:rsid w:val="00B64F34"/>
    <w:rsid w:val="00B65491"/>
    <w:rsid w:val="00B6561A"/>
    <w:rsid w:val="00B65CAF"/>
    <w:rsid w:val="00B6607F"/>
    <w:rsid w:val="00B673B8"/>
    <w:rsid w:val="00B70026"/>
    <w:rsid w:val="00B70408"/>
    <w:rsid w:val="00B705DE"/>
    <w:rsid w:val="00B70D69"/>
    <w:rsid w:val="00B71895"/>
    <w:rsid w:val="00B7217A"/>
    <w:rsid w:val="00B72281"/>
    <w:rsid w:val="00B72510"/>
    <w:rsid w:val="00B73B7B"/>
    <w:rsid w:val="00B73D12"/>
    <w:rsid w:val="00B73F45"/>
    <w:rsid w:val="00B7569E"/>
    <w:rsid w:val="00B75A4A"/>
    <w:rsid w:val="00B77848"/>
    <w:rsid w:val="00B7793C"/>
    <w:rsid w:val="00B801FC"/>
    <w:rsid w:val="00B81043"/>
    <w:rsid w:val="00B81CC3"/>
    <w:rsid w:val="00B82790"/>
    <w:rsid w:val="00B8334D"/>
    <w:rsid w:val="00B85A47"/>
    <w:rsid w:val="00B863A7"/>
    <w:rsid w:val="00B86DA2"/>
    <w:rsid w:val="00B86E84"/>
    <w:rsid w:val="00B9007F"/>
    <w:rsid w:val="00B90D1A"/>
    <w:rsid w:val="00B923E6"/>
    <w:rsid w:val="00B929E7"/>
    <w:rsid w:val="00B92DB2"/>
    <w:rsid w:val="00B93732"/>
    <w:rsid w:val="00B93819"/>
    <w:rsid w:val="00B93825"/>
    <w:rsid w:val="00B9398A"/>
    <w:rsid w:val="00B93DCB"/>
    <w:rsid w:val="00B93F4F"/>
    <w:rsid w:val="00B95054"/>
    <w:rsid w:val="00B95FDE"/>
    <w:rsid w:val="00B96501"/>
    <w:rsid w:val="00B966F1"/>
    <w:rsid w:val="00B969E3"/>
    <w:rsid w:val="00B96C54"/>
    <w:rsid w:val="00B971E5"/>
    <w:rsid w:val="00B9740E"/>
    <w:rsid w:val="00B97436"/>
    <w:rsid w:val="00BA07CF"/>
    <w:rsid w:val="00BA0B79"/>
    <w:rsid w:val="00BA260C"/>
    <w:rsid w:val="00BA2E03"/>
    <w:rsid w:val="00BA3567"/>
    <w:rsid w:val="00BA37C4"/>
    <w:rsid w:val="00BA3842"/>
    <w:rsid w:val="00BA3F89"/>
    <w:rsid w:val="00BA4026"/>
    <w:rsid w:val="00BA42F7"/>
    <w:rsid w:val="00BA46BB"/>
    <w:rsid w:val="00BA481F"/>
    <w:rsid w:val="00BA4E95"/>
    <w:rsid w:val="00BA508B"/>
    <w:rsid w:val="00BA5717"/>
    <w:rsid w:val="00BA5867"/>
    <w:rsid w:val="00BA5B45"/>
    <w:rsid w:val="00BA5B84"/>
    <w:rsid w:val="00BA5CE5"/>
    <w:rsid w:val="00BA61F0"/>
    <w:rsid w:val="00BA70B1"/>
    <w:rsid w:val="00BA72E9"/>
    <w:rsid w:val="00BA771F"/>
    <w:rsid w:val="00BB015B"/>
    <w:rsid w:val="00BB09ED"/>
    <w:rsid w:val="00BB11D9"/>
    <w:rsid w:val="00BB14C2"/>
    <w:rsid w:val="00BB19D6"/>
    <w:rsid w:val="00BB25D4"/>
    <w:rsid w:val="00BB25F3"/>
    <w:rsid w:val="00BB3629"/>
    <w:rsid w:val="00BB3727"/>
    <w:rsid w:val="00BB3C0D"/>
    <w:rsid w:val="00BB3EDF"/>
    <w:rsid w:val="00BB40F0"/>
    <w:rsid w:val="00BB5CE0"/>
    <w:rsid w:val="00BB7F7C"/>
    <w:rsid w:val="00BC0B7E"/>
    <w:rsid w:val="00BC1EE6"/>
    <w:rsid w:val="00BC26C8"/>
    <w:rsid w:val="00BC361B"/>
    <w:rsid w:val="00BC498B"/>
    <w:rsid w:val="00BC4A6E"/>
    <w:rsid w:val="00BC59D7"/>
    <w:rsid w:val="00BC5E1F"/>
    <w:rsid w:val="00BC6A39"/>
    <w:rsid w:val="00BC6DE7"/>
    <w:rsid w:val="00BC6ECD"/>
    <w:rsid w:val="00BC7F5B"/>
    <w:rsid w:val="00BD038C"/>
    <w:rsid w:val="00BD0725"/>
    <w:rsid w:val="00BD08E1"/>
    <w:rsid w:val="00BD2A2B"/>
    <w:rsid w:val="00BD389F"/>
    <w:rsid w:val="00BD3C91"/>
    <w:rsid w:val="00BD3EBB"/>
    <w:rsid w:val="00BD524E"/>
    <w:rsid w:val="00BD575A"/>
    <w:rsid w:val="00BD62DC"/>
    <w:rsid w:val="00BD7709"/>
    <w:rsid w:val="00BE07A4"/>
    <w:rsid w:val="00BE0B4B"/>
    <w:rsid w:val="00BE0D0E"/>
    <w:rsid w:val="00BE0E6F"/>
    <w:rsid w:val="00BE17ED"/>
    <w:rsid w:val="00BE19BF"/>
    <w:rsid w:val="00BE4231"/>
    <w:rsid w:val="00BE5DF4"/>
    <w:rsid w:val="00BE5F8D"/>
    <w:rsid w:val="00BE6721"/>
    <w:rsid w:val="00BE6B19"/>
    <w:rsid w:val="00BF09CC"/>
    <w:rsid w:val="00BF1A85"/>
    <w:rsid w:val="00BF2A71"/>
    <w:rsid w:val="00BF3CB9"/>
    <w:rsid w:val="00BF46D2"/>
    <w:rsid w:val="00BF7351"/>
    <w:rsid w:val="00C010E1"/>
    <w:rsid w:val="00C011C1"/>
    <w:rsid w:val="00C0134F"/>
    <w:rsid w:val="00C0144F"/>
    <w:rsid w:val="00C01CEF"/>
    <w:rsid w:val="00C024FF"/>
    <w:rsid w:val="00C02520"/>
    <w:rsid w:val="00C03E8A"/>
    <w:rsid w:val="00C0513F"/>
    <w:rsid w:val="00C05871"/>
    <w:rsid w:val="00C059EE"/>
    <w:rsid w:val="00C05C2A"/>
    <w:rsid w:val="00C05CA0"/>
    <w:rsid w:val="00C06ABC"/>
    <w:rsid w:val="00C06C3C"/>
    <w:rsid w:val="00C07F3B"/>
    <w:rsid w:val="00C106CB"/>
    <w:rsid w:val="00C1150D"/>
    <w:rsid w:val="00C118B1"/>
    <w:rsid w:val="00C12650"/>
    <w:rsid w:val="00C1279F"/>
    <w:rsid w:val="00C13BFB"/>
    <w:rsid w:val="00C140D1"/>
    <w:rsid w:val="00C146AF"/>
    <w:rsid w:val="00C14B2D"/>
    <w:rsid w:val="00C153E8"/>
    <w:rsid w:val="00C159D8"/>
    <w:rsid w:val="00C166D0"/>
    <w:rsid w:val="00C1752F"/>
    <w:rsid w:val="00C17A87"/>
    <w:rsid w:val="00C17CDC"/>
    <w:rsid w:val="00C20659"/>
    <w:rsid w:val="00C21028"/>
    <w:rsid w:val="00C2110B"/>
    <w:rsid w:val="00C22454"/>
    <w:rsid w:val="00C22EE1"/>
    <w:rsid w:val="00C23613"/>
    <w:rsid w:val="00C23AB7"/>
    <w:rsid w:val="00C240FA"/>
    <w:rsid w:val="00C25A47"/>
    <w:rsid w:val="00C25E9A"/>
    <w:rsid w:val="00C26E8A"/>
    <w:rsid w:val="00C26F87"/>
    <w:rsid w:val="00C30072"/>
    <w:rsid w:val="00C30676"/>
    <w:rsid w:val="00C30A7D"/>
    <w:rsid w:val="00C30C34"/>
    <w:rsid w:val="00C30DED"/>
    <w:rsid w:val="00C3222D"/>
    <w:rsid w:val="00C32A90"/>
    <w:rsid w:val="00C32AA3"/>
    <w:rsid w:val="00C32E3D"/>
    <w:rsid w:val="00C33471"/>
    <w:rsid w:val="00C354CB"/>
    <w:rsid w:val="00C35B69"/>
    <w:rsid w:val="00C35FB5"/>
    <w:rsid w:val="00C366AA"/>
    <w:rsid w:val="00C366BA"/>
    <w:rsid w:val="00C3698D"/>
    <w:rsid w:val="00C37AE5"/>
    <w:rsid w:val="00C37C8D"/>
    <w:rsid w:val="00C4197C"/>
    <w:rsid w:val="00C44246"/>
    <w:rsid w:val="00C44E54"/>
    <w:rsid w:val="00C45132"/>
    <w:rsid w:val="00C4590B"/>
    <w:rsid w:val="00C45E75"/>
    <w:rsid w:val="00C46046"/>
    <w:rsid w:val="00C464AC"/>
    <w:rsid w:val="00C4748C"/>
    <w:rsid w:val="00C47CD0"/>
    <w:rsid w:val="00C47F0D"/>
    <w:rsid w:val="00C500B6"/>
    <w:rsid w:val="00C50514"/>
    <w:rsid w:val="00C51067"/>
    <w:rsid w:val="00C518A2"/>
    <w:rsid w:val="00C52D7E"/>
    <w:rsid w:val="00C54152"/>
    <w:rsid w:val="00C55E4E"/>
    <w:rsid w:val="00C56571"/>
    <w:rsid w:val="00C56F83"/>
    <w:rsid w:val="00C6013D"/>
    <w:rsid w:val="00C617AC"/>
    <w:rsid w:val="00C6199B"/>
    <w:rsid w:val="00C61F10"/>
    <w:rsid w:val="00C6290A"/>
    <w:rsid w:val="00C62CCC"/>
    <w:rsid w:val="00C6312E"/>
    <w:rsid w:val="00C63CEC"/>
    <w:rsid w:val="00C64607"/>
    <w:rsid w:val="00C64818"/>
    <w:rsid w:val="00C64973"/>
    <w:rsid w:val="00C64C39"/>
    <w:rsid w:val="00C65B41"/>
    <w:rsid w:val="00C66387"/>
    <w:rsid w:val="00C66E7C"/>
    <w:rsid w:val="00C66FB4"/>
    <w:rsid w:val="00C70ACC"/>
    <w:rsid w:val="00C71A00"/>
    <w:rsid w:val="00C72190"/>
    <w:rsid w:val="00C72FDC"/>
    <w:rsid w:val="00C72FE5"/>
    <w:rsid w:val="00C731E8"/>
    <w:rsid w:val="00C7474C"/>
    <w:rsid w:val="00C74E1E"/>
    <w:rsid w:val="00C75038"/>
    <w:rsid w:val="00C75496"/>
    <w:rsid w:val="00C75CD0"/>
    <w:rsid w:val="00C76CD2"/>
    <w:rsid w:val="00C80D14"/>
    <w:rsid w:val="00C80FA3"/>
    <w:rsid w:val="00C81D7F"/>
    <w:rsid w:val="00C83194"/>
    <w:rsid w:val="00C83403"/>
    <w:rsid w:val="00C84ABC"/>
    <w:rsid w:val="00C85420"/>
    <w:rsid w:val="00C85464"/>
    <w:rsid w:val="00C85802"/>
    <w:rsid w:val="00C85E0C"/>
    <w:rsid w:val="00C8694F"/>
    <w:rsid w:val="00C87096"/>
    <w:rsid w:val="00C87E76"/>
    <w:rsid w:val="00C9078D"/>
    <w:rsid w:val="00C90B34"/>
    <w:rsid w:val="00C91304"/>
    <w:rsid w:val="00C91A2D"/>
    <w:rsid w:val="00C92283"/>
    <w:rsid w:val="00C92772"/>
    <w:rsid w:val="00C9412E"/>
    <w:rsid w:val="00C94777"/>
    <w:rsid w:val="00C949A1"/>
    <w:rsid w:val="00C96584"/>
    <w:rsid w:val="00C965C4"/>
    <w:rsid w:val="00C975D2"/>
    <w:rsid w:val="00CA0418"/>
    <w:rsid w:val="00CA1ABC"/>
    <w:rsid w:val="00CA1E2F"/>
    <w:rsid w:val="00CA1ECB"/>
    <w:rsid w:val="00CA486A"/>
    <w:rsid w:val="00CA684A"/>
    <w:rsid w:val="00CA7DEB"/>
    <w:rsid w:val="00CB053B"/>
    <w:rsid w:val="00CB11EB"/>
    <w:rsid w:val="00CB12DE"/>
    <w:rsid w:val="00CB20E4"/>
    <w:rsid w:val="00CB2D93"/>
    <w:rsid w:val="00CB373C"/>
    <w:rsid w:val="00CB392A"/>
    <w:rsid w:val="00CB3D8D"/>
    <w:rsid w:val="00CB59E1"/>
    <w:rsid w:val="00CB5B4D"/>
    <w:rsid w:val="00CB6488"/>
    <w:rsid w:val="00CB669B"/>
    <w:rsid w:val="00CB7964"/>
    <w:rsid w:val="00CB7C08"/>
    <w:rsid w:val="00CB7E08"/>
    <w:rsid w:val="00CC04D9"/>
    <w:rsid w:val="00CC1192"/>
    <w:rsid w:val="00CC11B4"/>
    <w:rsid w:val="00CC12A5"/>
    <w:rsid w:val="00CC23FF"/>
    <w:rsid w:val="00CC2AEC"/>
    <w:rsid w:val="00CC2D93"/>
    <w:rsid w:val="00CC2F77"/>
    <w:rsid w:val="00CC3123"/>
    <w:rsid w:val="00CC39B1"/>
    <w:rsid w:val="00CC4054"/>
    <w:rsid w:val="00CC4A05"/>
    <w:rsid w:val="00CC5915"/>
    <w:rsid w:val="00CC5F0F"/>
    <w:rsid w:val="00CC65DA"/>
    <w:rsid w:val="00CC6ACB"/>
    <w:rsid w:val="00CC7ED0"/>
    <w:rsid w:val="00CD0B3A"/>
    <w:rsid w:val="00CD12E7"/>
    <w:rsid w:val="00CD17CC"/>
    <w:rsid w:val="00CD1AD9"/>
    <w:rsid w:val="00CD1B2E"/>
    <w:rsid w:val="00CD1B2F"/>
    <w:rsid w:val="00CD1D92"/>
    <w:rsid w:val="00CD2236"/>
    <w:rsid w:val="00CD2CFC"/>
    <w:rsid w:val="00CD4255"/>
    <w:rsid w:val="00CD4729"/>
    <w:rsid w:val="00CD47D6"/>
    <w:rsid w:val="00CD52EA"/>
    <w:rsid w:val="00CD5882"/>
    <w:rsid w:val="00CD5CBC"/>
    <w:rsid w:val="00CD6366"/>
    <w:rsid w:val="00CD6511"/>
    <w:rsid w:val="00CD67FC"/>
    <w:rsid w:val="00CD6A1C"/>
    <w:rsid w:val="00CD6B9E"/>
    <w:rsid w:val="00CD7412"/>
    <w:rsid w:val="00CE16E3"/>
    <w:rsid w:val="00CE22C8"/>
    <w:rsid w:val="00CE3693"/>
    <w:rsid w:val="00CE3AFF"/>
    <w:rsid w:val="00CE4D0F"/>
    <w:rsid w:val="00CE4F1A"/>
    <w:rsid w:val="00CF0D04"/>
    <w:rsid w:val="00CF192A"/>
    <w:rsid w:val="00CF394C"/>
    <w:rsid w:val="00CF3A27"/>
    <w:rsid w:val="00CF41DE"/>
    <w:rsid w:val="00CF464A"/>
    <w:rsid w:val="00CF4D0E"/>
    <w:rsid w:val="00CF5142"/>
    <w:rsid w:val="00CF5870"/>
    <w:rsid w:val="00CF6A65"/>
    <w:rsid w:val="00CF7087"/>
    <w:rsid w:val="00D00023"/>
    <w:rsid w:val="00D01F3A"/>
    <w:rsid w:val="00D0280A"/>
    <w:rsid w:val="00D04BDC"/>
    <w:rsid w:val="00D05957"/>
    <w:rsid w:val="00D05E4C"/>
    <w:rsid w:val="00D06464"/>
    <w:rsid w:val="00D06627"/>
    <w:rsid w:val="00D07739"/>
    <w:rsid w:val="00D07F4A"/>
    <w:rsid w:val="00D10805"/>
    <w:rsid w:val="00D11AA2"/>
    <w:rsid w:val="00D11F8E"/>
    <w:rsid w:val="00D12B79"/>
    <w:rsid w:val="00D13E47"/>
    <w:rsid w:val="00D14EDE"/>
    <w:rsid w:val="00D169FB"/>
    <w:rsid w:val="00D16B17"/>
    <w:rsid w:val="00D1747F"/>
    <w:rsid w:val="00D177A2"/>
    <w:rsid w:val="00D17A81"/>
    <w:rsid w:val="00D202D4"/>
    <w:rsid w:val="00D20DBE"/>
    <w:rsid w:val="00D21406"/>
    <w:rsid w:val="00D2272D"/>
    <w:rsid w:val="00D23B4E"/>
    <w:rsid w:val="00D23B53"/>
    <w:rsid w:val="00D23E91"/>
    <w:rsid w:val="00D2552F"/>
    <w:rsid w:val="00D26583"/>
    <w:rsid w:val="00D26E4B"/>
    <w:rsid w:val="00D26ECB"/>
    <w:rsid w:val="00D27732"/>
    <w:rsid w:val="00D300C0"/>
    <w:rsid w:val="00D30BA9"/>
    <w:rsid w:val="00D31551"/>
    <w:rsid w:val="00D31F9A"/>
    <w:rsid w:val="00D3239A"/>
    <w:rsid w:val="00D328F7"/>
    <w:rsid w:val="00D32D62"/>
    <w:rsid w:val="00D32F97"/>
    <w:rsid w:val="00D33AA5"/>
    <w:rsid w:val="00D33BD4"/>
    <w:rsid w:val="00D34616"/>
    <w:rsid w:val="00D34FD7"/>
    <w:rsid w:val="00D35917"/>
    <w:rsid w:val="00D37A04"/>
    <w:rsid w:val="00D401B6"/>
    <w:rsid w:val="00D40288"/>
    <w:rsid w:val="00D4187A"/>
    <w:rsid w:val="00D41FA0"/>
    <w:rsid w:val="00D42436"/>
    <w:rsid w:val="00D4243D"/>
    <w:rsid w:val="00D42A87"/>
    <w:rsid w:val="00D43DB0"/>
    <w:rsid w:val="00D45408"/>
    <w:rsid w:val="00D46556"/>
    <w:rsid w:val="00D507D8"/>
    <w:rsid w:val="00D513DB"/>
    <w:rsid w:val="00D51ADE"/>
    <w:rsid w:val="00D51B5F"/>
    <w:rsid w:val="00D523C3"/>
    <w:rsid w:val="00D52D57"/>
    <w:rsid w:val="00D54307"/>
    <w:rsid w:val="00D55CD0"/>
    <w:rsid w:val="00D5777F"/>
    <w:rsid w:val="00D61A43"/>
    <w:rsid w:val="00D61D49"/>
    <w:rsid w:val="00D61F29"/>
    <w:rsid w:val="00D61F61"/>
    <w:rsid w:val="00D620C2"/>
    <w:rsid w:val="00D62C98"/>
    <w:rsid w:val="00D6368A"/>
    <w:rsid w:val="00D64E29"/>
    <w:rsid w:val="00D65445"/>
    <w:rsid w:val="00D664C9"/>
    <w:rsid w:val="00D66E58"/>
    <w:rsid w:val="00D6718D"/>
    <w:rsid w:val="00D675DC"/>
    <w:rsid w:val="00D67620"/>
    <w:rsid w:val="00D6762F"/>
    <w:rsid w:val="00D704F6"/>
    <w:rsid w:val="00D725E5"/>
    <w:rsid w:val="00D72828"/>
    <w:rsid w:val="00D73D00"/>
    <w:rsid w:val="00D74307"/>
    <w:rsid w:val="00D763D3"/>
    <w:rsid w:val="00D801C9"/>
    <w:rsid w:val="00D81761"/>
    <w:rsid w:val="00D828C1"/>
    <w:rsid w:val="00D82C1C"/>
    <w:rsid w:val="00D842A4"/>
    <w:rsid w:val="00D84A54"/>
    <w:rsid w:val="00D854F7"/>
    <w:rsid w:val="00D86509"/>
    <w:rsid w:val="00D86F9E"/>
    <w:rsid w:val="00D87704"/>
    <w:rsid w:val="00D9121B"/>
    <w:rsid w:val="00D918E6"/>
    <w:rsid w:val="00D91C97"/>
    <w:rsid w:val="00D92771"/>
    <w:rsid w:val="00D929E0"/>
    <w:rsid w:val="00D92E75"/>
    <w:rsid w:val="00D93ED2"/>
    <w:rsid w:val="00D94293"/>
    <w:rsid w:val="00D9462D"/>
    <w:rsid w:val="00D946D0"/>
    <w:rsid w:val="00D94943"/>
    <w:rsid w:val="00D94CF9"/>
    <w:rsid w:val="00D960E7"/>
    <w:rsid w:val="00D96D3A"/>
    <w:rsid w:val="00D97680"/>
    <w:rsid w:val="00DA0742"/>
    <w:rsid w:val="00DA0838"/>
    <w:rsid w:val="00DA0C9C"/>
    <w:rsid w:val="00DA0EF4"/>
    <w:rsid w:val="00DA2563"/>
    <w:rsid w:val="00DA2A7D"/>
    <w:rsid w:val="00DA4A4C"/>
    <w:rsid w:val="00DA5FE5"/>
    <w:rsid w:val="00DA622C"/>
    <w:rsid w:val="00DA6E45"/>
    <w:rsid w:val="00DA746A"/>
    <w:rsid w:val="00DA75C3"/>
    <w:rsid w:val="00DA7618"/>
    <w:rsid w:val="00DA76E9"/>
    <w:rsid w:val="00DB034A"/>
    <w:rsid w:val="00DB0442"/>
    <w:rsid w:val="00DB13F7"/>
    <w:rsid w:val="00DB2482"/>
    <w:rsid w:val="00DB380B"/>
    <w:rsid w:val="00DB386E"/>
    <w:rsid w:val="00DB6816"/>
    <w:rsid w:val="00DB7F3A"/>
    <w:rsid w:val="00DC288A"/>
    <w:rsid w:val="00DC296F"/>
    <w:rsid w:val="00DC2E6A"/>
    <w:rsid w:val="00DC3B18"/>
    <w:rsid w:val="00DC4533"/>
    <w:rsid w:val="00DC4CBE"/>
    <w:rsid w:val="00DC6A08"/>
    <w:rsid w:val="00DC7AD6"/>
    <w:rsid w:val="00DD067F"/>
    <w:rsid w:val="00DD0E3F"/>
    <w:rsid w:val="00DD1193"/>
    <w:rsid w:val="00DD170D"/>
    <w:rsid w:val="00DD1774"/>
    <w:rsid w:val="00DD206E"/>
    <w:rsid w:val="00DD26E9"/>
    <w:rsid w:val="00DD3D51"/>
    <w:rsid w:val="00DD5B9D"/>
    <w:rsid w:val="00DD6300"/>
    <w:rsid w:val="00DD6576"/>
    <w:rsid w:val="00DE0DCA"/>
    <w:rsid w:val="00DE210A"/>
    <w:rsid w:val="00DE24CD"/>
    <w:rsid w:val="00DE253C"/>
    <w:rsid w:val="00DE302C"/>
    <w:rsid w:val="00DE388A"/>
    <w:rsid w:val="00DE39D5"/>
    <w:rsid w:val="00DE49DF"/>
    <w:rsid w:val="00DE4B38"/>
    <w:rsid w:val="00DE4E4B"/>
    <w:rsid w:val="00DE674E"/>
    <w:rsid w:val="00DE693E"/>
    <w:rsid w:val="00DE69C1"/>
    <w:rsid w:val="00DE6F5A"/>
    <w:rsid w:val="00DE72D1"/>
    <w:rsid w:val="00DE7934"/>
    <w:rsid w:val="00DE7976"/>
    <w:rsid w:val="00DE7A2A"/>
    <w:rsid w:val="00DE7F48"/>
    <w:rsid w:val="00DF1332"/>
    <w:rsid w:val="00DF1914"/>
    <w:rsid w:val="00DF29AF"/>
    <w:rsid w:val="00DF45FC"/>
    <w:rsid w:val="00DF465C"/>
    <w:rsid w:val="00DF4F4C"/>
    <w:rsid w:val="00DF60A7"/>
    <w:rsid w:val="00DF7B90"/>
    <w:rsid w:val="00DF7E24"/>
    <w:rsid w:val="00E00D4D"/>
    <w:rsid w:val="00E02429"/>
    <w:rsid w:val="00E02778"/>
    <w:rsid w:val="00E02A7E"/>
    <w:rsid w:val="00E034CF"/>
    <w:rsid w:val="00E03F85"/>
    <w:rsid w:val="00E0444B"/>
    <w:rsid w:val="00E045C5"/>
    <w:rsid w:val="00E04A84"/>
    <w:rsid w:val="00E04C61"/>
    <w:rsid w:val="00E055D4"/>
    <w:rsid w:val="00E0565E"/>
    <w:rsid w:val="00E05C1B"/>
    <w:rsid w:val="00E05F30"/>
    <w:rsid w:val="00E06215"/>
    <w:rsid w:val="00E0695E"/>
    <w:rsid w:val="00E07041"/>
    <w:rsid w:val="00E1002C"/>
    <w:rsid w:val="00E1038E"/>
    <w:rsid w:val="00E11136"/>
    <w:rsid w:val="00E11829"/>
    <w:rsid w:val="00E11A00"/>
    <w:rsid w:val="00E12AE7"/>
    <w:rsid w:val="00E138B9"/>
    <w:rsid w:val="00E13AB1"/>
    <w:rsid w:val="00E1459A"/>
    <w:rsid w:val="00E14F37"/>
    <w:rsid w:val="00E1531C"/>
    <w:rsid w:val="00E15A18"/>
    <w:rsid w:val="00E1666D"/>
    <w:rsid w:val="00E17B6B"/>
    <w:rsid w:val="00E2007E"/>
    <w:rsid w:val="00E20D29"/>
    <w:rsid w:val="00E20FC1"/>
    <w:rsid w:val="00E215C2"/>
    <w:rsid w:val="00E217D1"/>
    <w:rsid w:val="00E21D17"/>
    <w:rsid w:val="00E21F35"/>
    <w:rsid w:val="00E22EBC"/>
    <w:rsid w:val="00E22FB0"/>
    <w:rsid w:val="00E2437D"/>
    <w:rsid w:val="00E253CD"/>
    <w:rsid w:val="00E2577F"/>
    <w:rsid w:val="00E2580D"/>
    <w:rsid w:val="00E267CC"/>
    <w:rsid w:val="00E26904"/>
    <w:rsid w:val="00E27DC1"/>
    <w:rsid w:val="00E302EB"/>
    <w:rsid w:val="00E31959"/>
    <w:rsid w:val="00E32097"/>
    <w:rsid w:val="00E32478"/>
    <w:rsid w:val="00E32A3F"/>
    <w:rsid w:val="00E32AAF"/>
    <w:rsid w:val="00E32F9C"/>
    <w:rsid w:val="00E32FBA"/>
    <w:rsid w:val="00E3309E"/>
    <w:rsid w:val="00E3322B"/>
    <w:rsid w:val="00E337AC"/>
    <w:rsid w:val="00E34996"/>
    <w:rsid w:val="00E34F93"/>
    <w:rsid w:val="00E35045"/>
    <w:rsid w:val="00E3556E"/>
    <w:rsid w:val="00E35BFF"/>
    <w:rsid w:val="00E35FDF"/>
    <w:rsid w:val="00E37511"/>
    <w:rsid w:val="00E41B0B"/>
    <w:rsid w:val="00E427E8"/>
    <w:rsid w:val="00E43A25"/>
    <w:rsid w:val="00E44270"/>
    <w:rsid w:val="00E44D82"/>
    <w:rsid w:val="00E450D7"/>
    <w:rsid w:val="00E45374"/>
    <w:rsid w:val="00E45B79"/>
    <w:rsid w:val="00E45EF5"/>
    <w:rsid w:val="00E461DD"/>
    <w:rsid w:val="00E46251"/>
    <w:rsid w:val="00E46A24"/>
    <w:rsid w:val="00E46E4F"/>
    <w:rsid w:val="00E47578"/>
    <w:rsid w:val="00E47D43"/>
    <w:rsid w:val="00E5002C"/>
    <w:rsid w:val="00E50266"/>
    <w:rsid w:val="00E50512"/>
    <w:rsid w:val="00E50C25"/>
    <w:rsid w:val="00E517EA"/>
    <w:rsid w:val="00E52C2E"/>
    <w:rsid w:val="00E52CBB"/>
    <w:rsid w:val="00E53128"/>
    <w:rsid w:val="00E53198"/>
    <w:rsid w:val="00E53B00"/>
    <w:rsid w:val="00E53D8C"/>
    <w:rsid w:val="00E55825"/>
    <w:rsid w:val="00E571A8"/>
    <w:rsid w:val="00E57452"/>
    <w:rsid w:val="00E603A9"/>
    <w:rsid w:val="00E621BA"/>
    <w:rsid w:val="00E62889"/>
    <w:rsid w:val="00E63267"/>
    <w:rsid w:val="00E6365F"/>
    <w:rsid w:val="00E63BDD"/>
    <w:rsid w:val="00E658F3"/>
    <w:rsid w:val="00E6623F"/>
    <w:rsid w:val="00E66CF6"/>
    <w:rsid w:val="00E67296"/>
    <w:rsid w:val="00E70AAD"/>
    <w:rsid w:val="00E71E33"/>
    <w:rsid w:val="00E727F4"/>
    <w:rsid w:val="00E75364"/>
    <w:rsid w:val="00E7556C"/>
    <w:rsid w:val="00E75716"/>
    <w:rsid w:val="00E75F4A"/>
    <w:rsid w:val="00E763A0"/>
    <w:rsid w:val="00E77939"/>
    <w:rsid w:val="00E81556"/>
    <w:rsid w:val="00E81F02"/>
    <w:rsid w:val="00E82CAF"/>
    <w:rsid w:val="00E842A7"/>
    <w:rsid w:val="00E84C46"/>
    <w:rsid w:val="00E84EFB"/>
    <w:rsid w:val="00E85A90"/>
    <w:rsid w:val="00E85E3D"/>
    <w:rsid w:val="00E861F6"/>
    <w:rsid w:val="00E87395"/>
    <w:rsid w:val="00E87954"/>
    <w:rsid w:val="00E90013"/>
    <w:rsid w:val="00E91E80"/>
    <w:rsid w:val="00E91F96"/>
    <w:rsid w:val="00E91FE3"/>
    <w:rsid w:val="00E92581"/>
    <w:rsid w:val="00E928D9"/>
    <w:rsid w:val="00E937E1"/>
    <w:rsid w:val="00E93B5D"/>
    <w:rsid w:val="00E947BE"/>
    <w:rsid w:val="00E960E8"/>
    <w:rsid w:val="00E97024"/>
    <w:rsid w:val="00E97652"/>
    <w:rsid w:val="00E97671"/>
    <w:rsid w:val="00E97B43"/>
    <w:rsid w:val="00EA00B6"/>
    <w:rsid w:val="00EA02AB"/>
    <w:rsid w:val="00EA02FE"/>
    <w:rsid w:val="00EA0F4E"/>
    <w:rsid w:val="00EA1F71"/>
    <w:rsid w:val="00EA25A5"/>
    <w:rsid w:val="00EA37FF"/>
    <w:rsid w:val="00EA3F1D"/>
    <w:rsid w:val="00EA5885"/>
    <w:rsid w:val="00EA6BB3"/>
    <w:rsid w:val="00EA73AD"/>
    <w:rsid w:val="00EA7BFF"/>
    <w:rsid w:val="00EB0048"/>
    <w:rsid w:val="00EB0100"/>
    <w:rsid w:val="00EB0186"/>
    <w:rsid w:val="00EB11D7"/>
    <w:rsid w:val="00EB2078"/>
    <w:rsid w:val="00EB209F"/>
    <w:rsid w:val="00EB2D3D"/>
    <w:rsid w:val="00EB4A41"/>
    <w:rsid w:val="00EB4A88"/>
    <w:rsid w:val="00EB4E5D"/>
    <w:rsid w:val="00EB4FCA"/>
    <w:rsid w:val="00EB5683"/>
    <w:rsid w:val="00EC0164"/>
    <w:rsid w:val="00EC1CE6"/>
    <w:rsid w:val="00EC289C"/>
    <w:rsid w:val="00EC2B3E"/>
    <w:rsid w:val="00EC2FA6"/>
    <w:rsid w:val="00EC418D"/>
    <w:rsid w:val="00EC543F"/>
    <w:rsid w:val="00EC557E"/>
    <w:rsid w:val="00EC6BF7"/>
    <w:rsid w:val="00EC7FFA"/>
    <w:rsid w:val="00ED0FC7"/>
    <w:rsid w:val="00ED114B"/>
    <w:rsid w:val="00ED1CA8"/>
    <w:rsid w:val="00ED2115"/>
    <w:rsid w:val="00ED223B"/>
    <w:rsid w:val="00ED26FB"/>
    <w:rsid w:val="00ED2DFA"/>
    <w:rsid w:val="00ED395B"/>
    <w:rsid w:val="00ED49DE"/>
    <w:rsid w:val="00ED65BC"/>
    <w:rsid w:val="00ED6AF6"/>
    <w:rsid w:val="00ED6F2C"/>
    <w:rsid w:val="00ED79BE"/>
    <w:rsid w:val="00ED7F11"/>
    <w:rsid w:val="00EE0989"/>
    <w:rsid w:val="00EE0F18"/>
    <w:rsid w:val="00EE15BD"/>
    <w:rsid w:val="00EE2B2C"/>
    <w:rsid w:val="00EE2EFD"/>
    <w:rsid w:val="00EE3368"/>
    <w:rsid w:val="00EE3A1C"/>
    <w:rsid w:val="00EE452A"/>
    <w:rsid w:val="00EE556E"/>
    <w:rsid w:val="00EE6A1D"/>
    <w:rsid w:val="00EF02AD"/>
    <w:rsid w:val="00EF12CF"/>
    <w:rsid w:val="00EF13D7"/>
    <w:rsid w:val="00EF1F53"/>
    <w:rsid w:val="00EF351A"/>
    <w:rsid w:val="00EF46FA"/>
    <w:rsid w:val="00EF53F5"/>
    <w:rsid w:val="00EF5436"/>
    <w:rsid w:val="00EF57B0"/>
    <w:rsid w:val="00EF5EEB"/>
    <w:rsid w:val="00EF6DD4"/>
    <w:rsid w:val="00EF6E19"/>
    <w:rsid w:val="00EF6E9A"/>
    <w:rsid w:val="00EF73A0"/>
    <w:rsid w:val="00EF7441"/>
    <w:rsid w:val="00EF74DA"/>
    <w:rsid w:val="00EF7557"/>
    <w:rsid w:val="00F006D1"/>
    <w:rsid w:val="00F00ED2"/>
    <w:rsid w:val="00F00F5F"/>
    <w:rsid w:val="00F01A53"/>
    <w:rsid w:val="00F01F6F"/>
    <w:rsid w:val="00F025E5"/>
    <w:rsid w:val="00F0461D"/>
    <w:rsid w:val="00F047D8"/>
    <w:rsid w:val="00F0502E"/>
    <w:rsid w:val="00F05706"/>
    <w:rsid w:val="00F05801"/>
    <w:rsid w:val="00F10792"/>
    <w:rsid w:val="00F10E13"/>
    <w:rsid w:val="00F10E44"/>
    <w:rsid w:val="00F11D81"/>
    <w:rsid w:val="00F13CD1"/>
    <w:rsid w:val="00F13FA7"/>
    <w:rsid w:val="00F1411B"/>
    <w:rsid w:val="00F141D3"/>
    <w:rsid w:val="00F14DF9"/>
    <w:rsid w:val="00F14E50"/>
    <w:rsid w:val="00F14F27"/>
    <w:rsid w:val="00F151B7"/>
    <w:rsid w:val="00F15294"/>
    <w:rsid w:val="00F15AFA"/>
    <w:rsid w:val="00F15CD5"/>
    <w:rsid w:val="00F16993"/>
    <w:rsid w:val="00F17125"/>
    <w:rsid w:val="00F17153"/>
    <w:rsid w:val="00F17DD8"/>
    <w:rsid w:val="00F21CF9"/>
    <w:rsid w:val="00F21F00"/>
    <w:rsid w:val="00F22219"/>
    <w:rsid w:val="00F22244"/>
    <w:rsid w:val="00F22376"/>
    <w:rsid w:val="00F25B89"/>
    <w:rsid w:val="00F263B0"/>
    <w:rsid w:val="00F2673D"/>
    <w:rsid w:val="00F277DA"/>
    <w:rsid w:val="00F32F1B"/>
    <w:rsid w:val="00F33DEA"/>
    <w:rsid w:val="00F33E59"/>
    <w:rsid w:val="00F33E7D"/>
    <w:rsid w:val="00F347C7"/>
    <w:rsid w:val="00F3600D"/>
    <w:rsid w:val="00F3625C"/>
    <w:rsid w:val="00F36EF1"/>
    <w:rsid w:val="00F3741B"/>
    <w:rsid w:val="00F4032A"/>
    <w:rsid w:val="00F405DC"/>
    <w:rsid w:val="00F41985"/>
    <w:rsid w:val="00F41B13"/>
    <w:rsid w:val="00F420E5"/>
    <w:rsid w:val="00F424BA"/>
    <w:rsid w:val="00F42B56"/>
    <w:rsid w:val="00F42D61"/>
    <w:rsid w:val="00F42F6C"/>
    <w:rsid w:val="00F43125"/>
    <w:rsid w:val="00F43A4D"/>
    <w:rsid w:val="00F43F52"/>
    <w:rsid w:val="00F459BA"/>
    <w:rsid w:val="00F45F73"/>
    <w:rsid w:val="00F468A5"/>
    <w:rsid w:val="00F515F1"/>
    <w:rsid w:val="00F53295"/>
    <w:rsid w:val="00F5463C"/>
    <w:rsid w:val="00F54C21"/>
    <w:rsid w:val="00F54D61"/>
    <w:rsid w:val="00F54E85"/>
    <w:rsid w:val="00F5515B"/>
    <w:rsid w:val="00F553B2"/>
    <w:rsid w:val="00F55402"/>
    <w:rsid w:val="00F55D7C"/>
    <w:rsid w:val="00F57195"/>
    <w:rsid w:val="00F576A8"/>
    <w:rsid w:val="00F61186"/>
    <w:rsid w:val="00F637F0"/>
    <w:rsid w:val="00F63973"/>
    <w:rsid w:val="00F642D7"/>
    <w:rsid w:val="00F66309"/>
    <w:rsid w:val="00F66CA8"/>
    <w:rsid w:val="00F706AC"/>
    <w:rsid w:val="00F70A48"/>
    <w:rsid w:val="00F7113A"/>
    <w:rsid w:val="00F72573"/>
    <w:rsid w:val="00F738D1"/>
    <w:rsid w:val="00F741BA"/>
    <w:rsid w:val="00F757EC"/>
    <w:rsid w:val="00F759E9"/>
    <w:rsid w:val="00F7616C"/>
    <w:rsid w:val="00F76641"/>
    <w:rsid w:val="00F81E4A"/>
    <w:rsid w:val="00F82530"/>
    <w:rsid w:val="00F82C62"/>
    <w:rsid w:val="00F831EF"/>
    <w:rsid w:val="00F841BC"/>
    <w:rsid w:val="00F85283"/>
    <w:rsid w:val="00F85656"/>
    <w:rsid w:val="00F867D1"/>
    <w:rsid w:val="00F86DEE"/>
    <w:rsid w:val="00F90C60"/>
    <w:rsid w:val="00F9169F"/>
    <w:rsid w:val="00F92352"/>
    <w:rsid w:val="00F925D6"/>
    <w:rsid w:val="00F92D33"/>
    <w:rsid w:val="00F94340"/>
    <w:rsid w:val="00F94A49"/>
    <w:rsid w:val="00F95EF3"/>
    <w:rsid w:val="00F97A59"/>
    <w:rsid w:val="00F97CB1"/>
    <w:rsid w:val="00F97EEA"/>
    <w:rsid w:val="00FA0DF8"/>
    <w:rsid w:val="00FA1813"/>
    <w:rsid w:val="00FA4561"/>
    <w:rsid w:val="00FA61A6"/>
    <w:rsid w:val="00FA7B1F"/>
    <w:rsid w:val="00FB0D45"/>
    <w:rsid w:val="00FB11DB"/>
    <w:rsid w:val="00FB16E5"/>
    <w:rsid w:val="00FB1870"/>
    <w:rsid w:val="00FB18C5"/>
    <w:rsid w:val="00FB2264"/>
    <w:rsid w:val="00FB23DD"/>
    <w:rsid w:val="00FB36C9"/>
    <w:rsid w:val="00FB37EF"/>
    <w:rsid w:val="00FB4689"/>
    <w:rsid w:val="00FB4AE5"/>
    <w:rsid w:val="00FB52B2"/>
    <w:rsid w:val="00FB5B6C"/>
    <w:rsid w:val="00FB5F7C"/>
    <w:rsid w:val="00FB745D"/>
    <w:rsid w:val="00FB7557"/>
    <w:rsid w:val="00FB75C1"/>
    <w:rsid w:val="00FB7B7B"/>
    <w:rsid w:val="00FC06AE"/>
    <w:rsid w:val="00FC183D"/>
    <w:rsid w:val="00FC1C72"/>
    <w:rsid w:val="00FC1D1C"/>
    <w:rsid w:val="00FC2D00"/>
    <w:rsid w:val="00FC55FF"/>
    <w:rsid w:val="00FC7834"/>
    <w:rsid w:val="00FC79B7"/>
    <w:rsid w:val="00FC7DD3"/>
    <w:rsid w:val="00FD059A"/>
    <w:rsid w:val="00FD0C0F"/>
    <w:rsid w:val="00FD0D84"/>
    <w:rsid w:val="00FD0FEA"/>
    <w:rsid w:val="00FD1084"/>
    <w:rsid w:val="00FD10B0"/>
    <w:rsid w:val="00FD2A15"/>
    <w:rsid w:val="00FD4A45"/>
    <w:rsid w:val="00FD4B68"/>
    <w:rsid w:val="00FD5AAA"/>
    <w:rsid w:val="00FD659C"/>
    <w:rsid w:val="00FD6EB0"/>
    <w:rsid w:val="00FD7325"/>
    <w:rsid w:val="00FD78FC"/>
    <w:rsid w:val="00FD7C54"/>
    <w:rsid w:val="00FD7DAD"/>
    <w:rsid w:val="00FE1065"/>
    <w:rsid w:val="00FE37F9"/>
    <w:rsid w:val="00FE3D08"/>
    <w:rsid w:val="00FE513E"/>
    <w:rsid w:val="00FE6116"/>
    <w:rsid w:val="00FE6C43"/>
    <w:rsid w:val="00FE71CD"/>
    <w:rsid w:val="00FE7690"/>
    <w:rsid w:val="00FE77E6"/>
    <w:rsid w:val="00FF00C6"/>
    <w:rsid w:val="00FF048C"/>
    <w:rsid w:val="00FF0A05"/>
    <w:rsid w:val="00FF1251"/>
    <w:rsid w:val="00FF1435"/>
    <w:rsid w:val="00FF143F"/>
    <w:rsid w:val="00FF1AA4"/>
    <w:rsid w:val="00FF264B"/>
    <w:rsid w:val="00FF2F5F"/>
    <w:rsid w:val="00FF3F48"/>
    <w:rsid w:val="00FF4D51"/>
    <w:rsid w:val="00FF5B5B"/>
    <w:rsid w:val="00FF71C1"/>
    <w:rsid w:val="00FF7B05"/>
    <w:rsid w:val="00FF7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BD41B"/>
  <w15:chartTrackingRefBased/>
  <w15:docId w15:val="{F75FEA9A-8757-4ACE-B9F1-270009437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676"/>
  </w:style>
  <w:style w:type="paragraph" w:styleId="Heading1">
    <w:name w:val="heading 1"/>
    <w:basedOn w:val="Normal"/>
    <w:next w:val="Normal"/>
    <w:link w:val="Heading1Char"/>
    <w:uiPriority w:val="9"/>
    <w:qFormat/>
    <w:rsid w:val="00362E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0720"/>
    <w:rPr>
      <w:color w:val="0563C1" w:themeColor="hyperlink"/>
      <w:u w:val="single"/>
    </w:rPr>
  </w:style>
  <w:style w:type="character" w:customStyle="1" w:styleId="UnresolvedMention1">
    <w:name w:val="Unresolved Mention1"/>
    <w:basedOn w:val="DefaultParagraphFont"/>
    <w:uiPriority w:val="99"/>
    <w:semiHidden/>
    <w:unhideWhenUsed/>
    <w:rsid w:val="003E0720"/>
    <w:rPr>
      <w:color w:val="605E5C"/>
      <w:shd w:val="clear" w:color="auto" w:fill="E1DFDD"/>
    </w:rPr>
  </w:style>
  <w:style w:type="table" w:styleId="TableGrid">
    <w:name w:val="Table Grid"/>
    <w:basedOn w:val="TableNormal"/>
    <w:uiPriority w:val="39"/>
    <w:rsid w:val="00CB2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sid w:val="007A4881"/>
    <w:rPr>
      <w:sz w:val="16"/>
      <w:szCs w:val="16"/>
    </w:rPr>
  </w:style>
  <w:style w:type="paragraph" w:styleId="CommentText">
    <w:name w:val="annotation text"/>
    <w:basedOn w:val="Normal"/>
    <w:link w:val="CommentTextChar"/>
    <w:uiPriority w:val="99"/>
    <w:unhideWhenUsed/>
    <w:qFormat/>
    <w:rsid w:val="007A4881"/>
    <w:pPr>
      <w:spacing w:line="240" w:lineRule="auto"/>
    </w:pPr>
    <w:rPr>
      <w:sz w:val="20"/>
      <w:szCs w:val="20"/>
      <w:lang w:val="en-AU"/>
    </w:rPr>
  </w:style>
  <w:style w:type="character" w:customStyle="1" w:styleId="CommentTextChar">
    <w:name w:val="Comment Text Char"/>
    <w:basedOn w:val="DefaultParagraphFont"/>
    <w:link w:val="CommentText"/>
    <w:uiPriority w:val="99"/>
    <w:qFormat/>
    <w:rsid w:val="007A4881"/>
    <w:rPr>
      <w:sz w:val="20"/>
      <w:szCs w:val="20"/>
      <w:lang w:val="en-AU"/>
    </w:rPr>
  </w:style>
  <w:style w:type="paragraph" w:styleId="BalloonText">
    <w:name w:val="Balloon Text"/>
    <w:basedOn w:val="Normal"/>
    <w:link w:val="BalloonTextChar"/>
    <w:uiPriority w:val="99"/>
    <w:semiHidden/>
    <w:unhideWhenUsed/>
    <w:rsid w:val="007A48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881"/>
    <w:rPr>
      <w:rFonts w:ascii="Segoe UI" w:hAnsi="Segoe UI" w:cs="Segoe UI"/>
      <w:sz w:val="18"/>
      <w:szCs w:val="18"/>
    </w:rPr>
  </w:style>
  <w:style w:type="paragraph" w:styleId="Header">
    <w:name w:val="header"/>
    <w:basedOn w:val="Normal"/>
    <w:link w:val="HeaderChar"/>
    <w:uiPriority w:val="99"/>
    <w:unhideWhenUsed/>
    <w:rsid w:val="006E17D9"/>
    <w:pPr>
      <w:tabs>
        <w:tab w:val="center" w:pos="4320"/>
        <w:tab w:val="right" w:pos="8640"/>
      </w:tabs>
      <w:spacing w:after="0" w:line="240" w:lineRule="auto"/>
    </w:pPr>
  </w:style>
  <w:style w:type="character" w:customStyle="1" w:styleId="HeaderChar">
    <w:name w:val="Header Char"/>
    <w:basedOn w:val="DefaultParagraphFont"/>
    <w:link w:val="Header"/>
    <w:uiPriority w:val="99"/>
    <w:rsid w:val="006E17D9"/>
  </w:style>
  <w:style w:type="paragraph" w:styleId="Footer">
    <w:name w:val="footer"/>
    <w:basedOn w:val="Normal"/>
    <w:link w:val="FooterChar"/>
    <w:uiPriority w:val="99"/>
    <w:unhideWhenUsed/>
    <w:rsid w:val="006E17D9"/>
    <w:pPr>
      <w:tabs>
        <w:tab w:val="center" w:pos="4320"/>
        <w:tab w:val="right" w:pos="8640"/>
      </w:tabs>
      <w:spacing w:after="0" w:line="240" w:lineRule="auto"/>
    </w:pPr>
  </w:style>
  <w:style w:type="character" w:customStyle="1" w:styleId="FooterChar">
    <w:name w:val="Footer Char"/>
    <w:basedOn w:val="DefaultParagraphFont"/>
    <w:link w:val="Footer"/>
    <w:uiPriority w:val="99"/>
    <w:rsid w:val="006E17D9"/>
  </w:style>
  <w:style w:type="character" w:styleId="PlaceholderText">
    <w:name w:val="Placeholder Text"/>
    <w:basedOn w:val="DefaultParagraphFont"/>
    <w:uiPriority w:val="99"/>
    <w:semiHidden/>
    <w:rsid w:val="00DC7AD6"/>
    <w:rPr>
      <w:color w:val="808080"/>
    </w:rPr>
  </w:style>
  <w:style w:type="paragraph" w:customStyle="1" w:styleId="EndNoteBibliographyTitle">
    <w:name w:val="EndNote Bibliography Title"/>
    <w:basedOn w:val="Normal"/>
    <w:link w:val="EndNoteBibliographyTitleChar"/>
    <w:rsid w:val="0045646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56468"/>
    <w:rPr>
      <w:rFonts w:ascii="Calibri" w:hAnsi="Calibri" w:cs="Calibri"/>
      <w:noProof/>
    </w:rPr>
  </w:style>
  <w:style w:type="paragraph" w:customStyle="1" w:styleId="EndNoteBibliography">
    <w:name w:val="EndNote Bibliography"/>
    <w:basedOn w:val="Normal"/>
    <w:link w:val="EndNoteBibliographyChar"/>
    <w:rsid w:val="00456468"/>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456468"/>
    <w:rPr>
      <w:rFonts w:ascii="Calibri" w:hAnsi="Calibri" w:cs="Calibri"/>
      <w:noProof/>
    </w:rPr>
  </w:style>
  <w:style w:type="paragraph" w:styleId="CommentSubject">
    <w:name w:val="annotation subject"/>
    <w:basedOn w:val="CommentText"/>
    <w:next w:val="CommentText"/>
    <w:link w:val="CommentSubjectChar"/>
    <w:uiPriority w:val="99"/>
    <w:semiHidden/>
    <w:unhideWhenUsed/>
    <w:rsid w:val="00456468"/>
    <w:rPr>
      <w:b/>
      <w:bCs/>
      <w:lang w:val="en-US"/>
    </w:rPr>
  </w:style>
  <w:style w:type="character" w:customStyle="1" w:styleId="CommentSubjectChar">
    <w:name w:val="Comment Subject Char"/>
    <w:basedOn w:val="CommentTextChar"/>
    <w:link w:val="CommentSubject"/>
    <w:uiPriority w:val="99"/>
    <w:semiHidden/>
    <w:rsid w:val="00456468"/>
    <w:rPr>
      <w:b/>
      <w:bCs/>
      <w:sz w:val="20"/>
      <w:szCs w:val="20"/>
      <w:lang w:val="en-AU"/>
    </w:rPr>
  </w:style>
  <w:style w:type="character" w:styleId="FollowedHyperlink">
    <w:name w:val="FollowedHyperlink"/>
    <w:basedOn w:val="DefaultParagraphFont"/>
    <w:uiPriority w:val="99"/>
    <w:semiHidden/>
    <w:unhideWhenUsed/>
    <w:rsid w:val="00685335"/>
    <w:rPr>
      <w:color w:val="954F72" w:themeColor="followedHyperlink"/>
      <w:u w:val="single"/>
    </w:rPr>
  </w:style>
  <w:style w:type="paragraph" w:styleId="Revision">
    <w:name w:val="Revision"/>
    <w:hidden/>
    <w:uiPriority w:val="99"/>
    <w:semiHidden/>
    <w:rsid w:val="00D72828"/>
    <w:pPr>
      <w:spacing w:after="0" w:line="240" w:lineRule="auto"/>
    </w:pPr>
  </w:style>
  <w:style w:type="paragraph" w:styleId="ListParagraph">
    <w:name w:val="List Paragraph"/>
    <w:basedOn w:val="Normal"/>
    <w:uiPriority w:val="34"/>
    <w:qFormat/>
    <w:rsid w:val="00221879"/>
    <w:pPr>
      <w:ind w:left="720"/>
      <w:contextualSpacing/>
    </w:pPr>
  </w:style>
  <w:style w:type="character" w:customStyle="1" w:styleId="Heading1Char">
    <w:name w:val="Heading 1 Char"/>
    <w:basedOn w:val="DefaultParagraphFont"/>
    <w:link w:val="Heading1"/>
    <w:uiPriority w:val="9"/>
    <w:rsid w:val="00362E0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6309">
      <w:bodyDiv w:val="1"/>
      <w:marLeft w:val="0"/>
      <w:marRight w:val="0"/>
      <w:marTop w:val="0"/>
      <w:marBottom w:val="0"/>
      <w:divBdr>
        <w:top w:val="none" w:sz="0" w:space="0" w:color="auto"/>
        <w:left w:val="none" w:sz="0" w:space="0" w:color="auto"/>
        <w:bottom w:val="none" w:sz="0" w:space="0" w:color="auto"/>
        <w:right w:val="none" w:sz="0" w:space="0" w:color="auto"/>
      </w:divBdr>
    </w:div>
    <w:div w:id="75979100">
      <w:bodyDiv w:val="1"/>
      <w:marLeft w:val="0"/>
      <w:marRight w:val="0"/>
      <w:marTop w:val="0"/>
      <w:marBottom w:val="0"/>
      <w:divBdr>
        <w:top w:val="none" w:sz="0" w:space="0" w:color="auto"/>
        <w:left w:val="none" w:sz="0" w:space="0" w:color="auto"/>
        <w:bottom w:val="none" w:sz="0" w:space="0" w:color="auto"/>
        <w:right w:val="none" w:sz="0" w:space="0" w:color="auto"/>
      </w:divBdr>
    </w:div>
    <w:div w:id="128321716">
      <w:bodyDiv w:val="1"/>
      <w:marLeft w:val="0"/>
      <w:marRight w:val="0"/>
      <w:marTop w:val="0"/>
      <w:marBottom w:val="0"/>
      <w:divBdr>
        <w:top w:val="none" w:sz="0" w:space="0" w:color="auto"/>
        <w:left w:val="none" w:sz="0" w:space="0" w:color="auto"/>
        <w:bottom w:val="none" w:sz="0" w:space="0" w:color="auto"/>
        <w:right w:val="none" w:sz="0" w:space="0" w:color="auto"/>
      </w:divBdr>
    </w:div>
    <w:div w:id="219250406">
      <w:bodyDiv w:val="1"/>
      <w:marLeft w:val="0"/>
      <w:marRight w:val="0"/>
      <w:marTop w:val="0"/>
      <w:marBottom w:val="0"/>
      <w:divBdr>
        <w:top w:val="none" w:sz="0" w:space="0" w:color="auto"/>
        <w:left w:val="none" w:sz="0" w:space="0" w:color="auto"/>
        <w:bottom w:val="none" w:sz="0" w:space="0" w:color="auto"/>
        <w:right w:val="none" w:sz="0" w:space="0" w:color="auto"/>
      </w:divBdr>
    </w:div>
    <w:div w:id="530267176">
      <w:bodyDiv w:val="1"/>
      <w:marLeft w:val="0"/>
      <w:marRight w:val="0"/>
      <w:marTop w:val="0"/>
      <w:marBottom w:val="0"/>
      <w:divBdr>
        <w:top w:val="none" w:sz="0" w:space="0" w:color="auto"/>
        <w:left w:val="none" w:sz="0" w:space="0" w:color="auto"/>
        <w:bottom w:val="none" w:sz="0" w:space="0" w:color="auto"/>
        <w:right w:val="none" w:sz="0" w:space="0" w:color="auto"/>
      </w:divBdr>
    </w:div>
    <w:div w:id="788162010">
      <w:bodyDiv w:val="1"/>
      <w:marLeft w:val="0"/>
      <w:marRight w:val="0"/>
      <w:marTop w:val="0"/>
      <w:marBottom w:val="0"/>
      <w:divBdr>
        <w:top w:val="none" w:sz="0" w:space="0" w:color="auto"/>
        <w:left w:val="none" w:sz="0" w:space="0" w:color="auto"/>
        <w:bottom w:val="none" w:sz="0" w:space="0" w:color="auto"/>
        <w:right w:val="none" w:sz="0" w:space="0" w:color="auto"/>
      </w:divBdr>
    </w:div>
    <w:div w:id="831526834">
      <w:bodyDiv w:val="1"/>
      <w:marLeft w:val="0"/>
      <w:marRight w:val="0"/>
      <w:marTop w:val="0"/>
      <w:marBottom w:val="0"/>
      <w:divBdr>
        <w:top w:val="none" w:sz="0" w:space="0" w:color="auto"/>
        <w:left w:val="none" w:sz="0" w:space="0" w:color="auto"/>
        <w:bottom w:val="none" w:sz="0" w:space="0" w:color="auto"/>
        <w:right w:val="none" w:sz="0" w:space="0" w:color="auto"/>
      </w:divBdr>
    </w:div>
    <w:div w:id="1184905497">
      <w:bodyDiv w:val="1"/>
      <w:marLeft w:val="0"/>
      <w:marRight w:val="0"/>
      <w:marTop w:val="0"/>
      <w:marBottom w:val="0"/>
      <w:divBdr>
        <w:top w:val="none" w:sz="0" w:space="0" w:color="auto"/>
        <w:left w:val="none" w:sz="0" w:space="0" w:color="auto"/>
        <w:bottom w:val="none" w:sz="0" w:space="0" w:color="auto"/>
        <w:right w:val="none" w:sz="0" w:space="0" w:color="auto"/>
      </w:divBdr>
    </w:div>
    <w:div w:id="1336882142">
      <w:bodyDiv w:val="1"/>
      <w:marLeft w:val="0"/>
      <w:marRight w:val="0"/>
      <w:marTop w:val="0"/>
      <w:marBottom w:val="0"/>
      <w:divBdr>
        <w:top w:val="none" w:sz="0" w:space="0" w:color="auto"/>
        <w:left w:val="none" w:sz="0" w:space="0" w:color="auto"/>
        <w:bottom w:val="none" w:sz="0" w:space="0" w:color="auto"/>
        <w:right w:val="none" w:sz="0" w:space="0" w:color="auto"/>
      </w:divBdr>
    </w:div>
    <w:div w:id="1390375877">
      <w:bodyDiv w:val="1"/>
      <w:marLeft w:val="0"/>
      <w:marRight w:val="0"/>
      <w:marTop w:val="0"/>
      <w:marBottom w:val="0"/>
      <w:divBdr>
        <w:top w:val="none" w:sz="0" w:space="0" w:color="auto"/>
        <w:left w:val="none" w:sz="0" w:space="0" w:color="auto"/>
        <w:bottom w:val="none" w:sz="0" w:space="0" w:color="auto"/>
        <w:right w:val="none" w:sz="0" w:space="0" w:color="auto"/>
      </w:divBdr>
    </w:div>
    <w:div w:id="14349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tiff"/><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88978-AB64-4099-B1C3-7DD7B487D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37720</Words>
  <Characters>215005</Characters>
  <Application>Microsoft Office Word</Application>
  <DocSecurity>0</DocSecurity>
  <Lines>1791</Lines>
  <Paragraphs>504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 Xie</dc:creator>
  <cp:keywords/>
  <dc:description/>
  <cp:lastModifiedBy>Ke Xie</cp:lastModifiedBy>
  <cp:revision>2</cp:revision>
  <cp:lastPrinted>2022-05-31T03:32:00Z</cp:lastPrinted>
  <dcterms:created xsi:type="dcterms:W3CDTF">2022-06-22T15:14:00Z</dcterms:created>
  <dcterms:modified xsi:type="dcterms:W3CDTF">2022-06-22T15:14:00Z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http://www.zotero.org/styles/advanced-materials</vt:lpwstr>
  </property>
  <property fmtid="{D5CDD505-2E9C-101B-9397-08002B2CF9AE}" pid="3" name="Mendeley Recent Style Name 0_1">
    <vt:lpwstr>Advanced Materials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http://www.zotero.org/styles/applied-physics-a</vt:lpwstr>
  </property>
  <property fmtid="{D5CDD505-2E9C-101B-9397-08002B2CF9AE}" pid="7" name="Mendeley Recent Style Name 2_1">
    <vt:lpwstr>Applied Physics A</vt:lpwstr>
  </property>
  <property fmtid="{D5CDD505-2E9C-101B-9397-08002B2CF9AE}" pid="8" name="Mendeley Recent Style Id 3_1">
    <vt:lpwstr>http://www.zotero.org/styles/carbon</vt:lpwstr>
  </property>
  <property fmtid="{D5CDD505-2E9C-101B-9397-08002B2CF9AE}" pid="9" name="Mendeley Recent Style Name 3_1">
    <vt:lpwstr>Carbon</vt:lpwstr>
  </property>
  <property fmtid="{D5CDD505-2E9C-101B-9397-08002B2CF9AE}" pid="10" name="Mendeley Recent Style Id 4_1">
    <vt:lpwstr>http://www.zotero.org/styles/chemical-communications</vt:lpwstr>
  </property>
  <property fmtid="{D5CDD505-2E9C-101B-9397-08002B2CF9AE}" pid="11" name="Mendeley Recent Style Name 4_1">
    <vt:lpwstr>Chemical Communications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http://csl.mendeley.com/styles/578240141/advanced-materials</vt:lpwstr>
  </property>
  <property fmtid="{D5CDD505-2E9C-101B-9397-08002B2CF9AE}" pid="15" name="Mendeley Recent Style Name 6_1">
    <vt:lpwstr>DECRA application</vt:lpwstr>
  </property>
  <property fmtid="{D5CDD505-2E9C-101B-9397-08002B2CF9AE}" pid="16" name="Mendeley Recent Style Id 7_1">
    <vt:lpwstr>http://www.zotero.org/styles/joule</vt:lpwstr>
  </property>
  <property fmtid="{D5CDD505-2E9C-101B-9397-08002B2CF9AE}" pid="17" name="Mendeley Recent Style Name 7_1">
    <vt:lpwstr>Joule</vt:lpwstr>
  </property>
  <property fmtid="{D5CDD505-2E9C-101B-9397-08002B2CF9AE}" pid="18" name="Mendeley Recent Style Id 8_1">
    <vt:lpwstr>http://www.zotero.org/styles/nature-materials</vt:lpwstr>
  </property>
  <property fmtid="{D5CDD505-2E9C-101B-9397-08002B2CF9AE}" pid="19" name="Mendeley Recent Style Name 8_1">
    <vt:lpwstr>Nature Materials</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6fc37cba-576d-32f8-b2a6-3b2452e530f8</vt:lpwstr>
  </property>
  <property fmtid="{D5CDD505-2E9C-101B-9397-08002B2CF9AE}" pid="24" name="Mendeley Citation Style_1">
    <vt:lpwstr>http://www.zotero.org/styles/joule</vt:lpwstr>
  </property>
</Properties>
</file>