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0000003" w14:textId="2FE7BCEC" w:rsidR="008258D4" w:rsidRDefault="00B41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</w:t>
      </w:r>
      <w:r w:rsidR="0040204E">
        <w:rPr>
          <w:color w:val="000000"/>
          <w:sz w:val="24"/>
          <w:szCs w:val="24"/>
        </w:rPr>
        <w:t xml:space="preserve"> 1</w:t>
      </w:r>
    </w:p>
    <w:p w14:paraId="00000004" w14:textId="7ACEC0EC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0C6F91">
        <w:t xml:space="preserve">A mapping between the sample IDs for the CD138+ cells </w:t>
      </w:r>
      <w:proofErr w:type="spellStart"/>
      <w:r w:rsidR="000C6F91">
        <w:t>analyzed</w:t>
      </w:r>
      <w:proofErr w:type="spellEnd"/>
      <w:r w:rsidR="000C6F91">
        <w:t xml:space="preserve"> in this study and the corresponding sample IDs for the CD138- cells </w:t>
      </w:r>
      <w:proofErr w:type="spellStart"/>
      <w:r w:rsidR="000C6F91">
        <w:t>analyzed</w:t>
      </w:r>
      <w:proofErr w:type="spellEnd"/>
      <w:r w:rsidR="000C6F91">
        <w:t xml:space="preserve"> in </w:t>
      </w:r>
      <w:proofErr w:type="spellStart"/>
      <w:r w:rsidR="000C6F91">
        <w:t>Zavidij</w:t>
      </w:r>
      <w:proofErr w:type="spellEnd"/>
      <w:r w:rsidR="000C6F91">
        <w:t xml:space="preserve"> et al.</w:t>
      </w:r>
    </w:p>
    <w:p w14:paraId="0000000A" w14:textId="1A38F091" w:rsidR="008258D4" w:rsidRDefault="008258D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42D61EF" w14:textId="03295289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2</w:t>
      </w:r>
    </w:p>
    <w:p w14:paraId="1C12F36E" w14:textId="5CC3D7FE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Description</w:t>
      </w:r>
      <w:proofErr w:type="gramStart"/>
      <w:r>
        <w:rPr>
          <w:color w:val="000000"/>
          <w:sz w:val="24"/>
          <w:szCs w:val="24"/>
        </w:rPr>
        <w:t xml:space="preserve">: </w:t>
      </w:r>
      <w:r w:rsidR="000C6F91">
        <w:t>.</w:t>
      </w:r>
      <w:proofErr w:type="gramEnd"/>
      <w:r w:rsidR="000C6F91">
        <w:t xml:space="preserve"> List of clinical measurements for samples used for single-cell RNA sequencing, including age, </w:t>
      </w:r>
      <w:proofErr w:type="spellStart"/>
      <w:r w:rsidR="000C6F91">
        <w:t>disease_stage</w:t>
      </w:r>
      <w:proofErr w:type="spellEnd"/>
      <w:r w:rsidR="000C6F91">
        <w:t xml:space="preserve">, sex, race, Type (type of the immunoglobulin involved in myeloma), 1st FISH results (cytogenetic results from </w:t>
      </w:r>
      <w:proofErr w:type="spellStart"/>
      <w:r w:rsidR="000C6F91">
        <w:t>iFISH</w:t>
      </w:r>
      <w:proofErr w:type="spellEnd"/>
      <w:r w:rsidR="000C6F91">
        <w:t xml:space="preserve"> at </w:t>
      </w:r>
      <w:proofErr w:type="spellStart"/>
      <w:r w:rsidR="000C6F91">
        <w:t>timepoint</w:t>
      </w:r>
      <w:proofErr w:type="spellEnd"/>
      <w:r w:rsidR="000C6F91">
        <w:t xml:space="preserve"> 1), 2nd FISH results (cytogenetic results from </w:t>
      </w:r>
      <w:proofErr w:type="spellStart"/>
      <w:r w:rsidR="000C6F91">
        <w:t>iFISH</w:t>
      </w:r>
      <w:proofErr w:type="spellEnd"/>
      <w:r w:rsidR="000C6F91">
        <w:t xml:space="preserve"> at </w:t>
      </w:r>
      <w:proofErr w:type="spellStart"/>
      <w:r w:rsidR="000C6F91">
        <w:t>timepoint</w:t>
      </w:r>
      <w:proofErr w:type="spellEnd"/>
      <w:r w:rsidR="000C6F91">
        <w:t xml:space="preserve"> 2), time from dx to 1st FISH results (time of 1st </w:t>
      </w:r>
      <w:proofErr w:type="spellStart"/>
      <w:r w:rsidR="000C6F91">
        <w:t>iFISH</w:t>
      </w:r>
      <w:proofErr w:type="spellEnd"/>
      <w:r w:rsidR="000C6F91">
        <w:t xml:space="preserve"> assay, in days from diagnosis), time from dx to 2nd FISH results (time of 2nd </w:t>
      </w:r>
      <w:proofErr w:type="spellStart"/>
      <w:r w:rsidR="000C6F91">
        <w:t>iFISH</w:t>
      </w:r>
      <w:proofErr w:type="spellEnd"/>
      <w:r w:rsidR="000C6F91">
        <w:t xml:space="preserve"> assay, in days from diagnosis), M Protein when sample was taken (g/</w:t>
      </w:r>
      <w:proofErr w:type="spellStart"/>
      <w:r w:rsidR="000C6F91">
        <w:t>dL</w:t>
      </w:r>
      <w:proofErr w:type="spellEnd"/>
      <w:r w:rsidR="000C6F91">
        <w:t xml:space="preserve">), BMPC % (% plasma cells in bone marrow biopsy), serum free light chain ratio (involved/uninvolved), 20/2/20 risk for SMM patients2 , </w:t>
      </w:r>
      <w:proofErr w:type="spellStart"/>
      <w:r w:rsidR="000C6F91">
        <w:t>progression_to_mm</w:t>
      </w:r>
      <w:proofErr w:type="spellEnd"/>
      <w:r w:rsidR="000C6F91">
        <w:t xml:space="preserve"> (1=Has progressed to MM, 2=Has not progressed to MM, 3=MM was the original diagnosis), days till mm diagnosis (from the time of initial diagnosis), treated during MGUS/SMM (0=no, 1=yes), and follow up time per patient (days).</w:t>
      </w:r>
    </w:p>
    <w:p w14:paraId="5EB2335E" w14:textId="1E118221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673C1C2" w14:textId="21BF4E9A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3</w:t>
      </w:r>
    </w:p>
    <w:p w14:paraId="71DCEB6B" w14:textId="257C8A4A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Description</w:t>
      </w:r>
      <w:r w:rsidR="00C705C3">
        <w:rPr>
          <w:color w:val="000000"/>
          <w:sz w:val="24"/>
          <w:szCs w:val="24"/>
        </w:rPr>
        <w:t>:</w:t>
      </w:r>
      <w:r w:rsidR="000C6F91" w:rsidRPr="000C6F91">
        <w:t xml:space="preserve"> </w:t>
      </w:r>
      <w:r w:rsidR="000C6F91">
        <w:t xml:space="preserve">Sample information. Quality metrics for </w:t>
      </w:r>
      <w:proofErr w:type="spellStart"/>
      <w:r w:rsidR="000C6F91">
        <w:t>scRNAseq</w:t>
      </w:r>
      <w:proofErr w:type="spellEnd"/>
      <w:r w:rsidR="000C6F91">
        <w:t xml:space="preserve"> samples, including whether the sample was fresh or frozen, batch ID, n cells retained after removing low quality cells and non-CD138+ cells (QC), and median UMI post-QC.</w:t>
      </w:r>
    </w:p>
    <w:p w14:paraId="20B9E430" w14:textId="43404DB3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49A9127" w14:textId="69B79F1E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4</w:t>
      </w:r>
    </w:p>
    <w:p w14:paraId="08BF3E7E" w14:textId="4F0D3963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0C6F91">
        <w:t>Sample of origin, Leiden clustering assignment, normal/abnormal label, n genes detected, fraction mitochondrial reads, and n UMI detected per cell, for cells retained post-QC.</w:t>
      </w:r>
    </w:p>
    <w:p w14:paraId="14F1A02D" w14:textId="2BCD1987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369AEA3" w14:textId="410F5E6A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5</w:t>
      </w:r>
    </w:p>
    <w:p w14:paraId="185D8F57" w14:textId="62CBA0B4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0C6F91">
        <w:t xml:space="preserve">DEGs between CD20+ and CD20- </w:t>
      </w:r>
      <w:proofErr w:type="spellStart"/>
      <w:r w:rsidR="000C6F91">
        <w:t>subclones</w:t>
      </w:r>
      <w:proofErr w:type="spellEnd"/>
      <w:r w:rsidR="000C6F91">
        <w:t xml:space="preserve"> in SMM-12. List of differential expression testing results for cells in SMM-12’s CD20+ vs. CD20- </w:t>
      </w:r>
      <w:proofErr w:type="spellStart"/>
      <w:r w:rsidR="000C6F91">
        <w:t>subclones</w:t>
      </w:r>
      <w:proofErr w:type="spellEnd"/>
      <w:r w:rsidR="000C6F91">
        <w:t xml:space="preserve">. A two-sided Wilcoxon rank sum test with </w:t>
      </w:r>
      <w:proofErr w:type="spellStart"/>
      <w:r w:rsidR="000C6F91">
        <w:t>Benjamini</w:t>
      </w:r>
      <w:proofErr w:type="spellEnd"/>
      <w:r w:rsidR="000C6F91">
        <w:t>-Hochberg correction was used, and fold changes were calculated as described in Methods (“Within-patient differential expression testing”).</w:t>
      </w:r>
    </w:p>
    <w:p w14:paraId="76591AE5" w14:textId="5850B433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8FA0E59" w14:textId="7E859A65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6</w:t>
      </w:r>
    </w:p>
    <w:p w14:paraId="6C054F29" w14:textId="68165B4A" w:rsidR="00824422" w:rsidRDefault="000C6F91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>
        <w:rPr>
          <w:rFonts w:ascii="Arial" w:eastAsia="Arial" w:hAnsi="Arial"/>
          <w:color w:val="000000"/>
          <w:lang w:val="en-US"/>
        </w:rPr>
        <w:t xml:space="preserve">List of 764 differentially expressed genes (|log(fold change)| </w:t>
      </w:r>
      <w:r>
        <w:rPr>
          <w:rFonts w:ascii="Arial" w:eastAsia="Arial" w:hAnsi="Arial"/>
          <w:i/>
          <w:color w:val="000000"/>
          <w:sz w:val="23"/>
          <w:lang w:val="en-US"/>
        </w:rPr>
        <w:t xml:space="preserve">&gt; </w:t>
      </w:r>
      <w:r>
        <w:rPr>
          <w:rFonts w:ascii="Arial" w:eastAsia="Arial" w:hAnsi="Arial"/>
          <w:color w:val="000000"/>
          <w:lang w:val="en-US"/>
        </w:rPr>
        <w:t>log(1</w:t>
      </w:r>
      <w:r>
        <w:rPr>
          <w:rFonts w:ascii="Arial" w:eastAsia="Arial" w:hAnsi="Arial"/>
          <w:i/>
          <w:color w:val="000000"/>
          <w:sz w:val="23"/>
          <w:lang w:val="en-US"/>
        </w:rPr>
        <w:t>.</w:t>
      </w:r>
      <w:r>
        <w:rPr>
          <w:rFonts w:ascii="Arial" w:eastAsia="Arial" w:hAnsi="Arial"/>
          <w:color w:val="000000"/>
          <w:lang w:val="en-US"/>
        </w:rPr>
        <w:t>5); q&lt;0.1) discovered for abnormal vs. NBM samples using limma-voom</w:t>
      </w:r>
      <w:hyperlink r:id="rId4">
        <w:r>
          <w:rPr>
            <w:rFonts w:ascii="Arial" w:eastAsia="Arial" w:hAnsi="Arial"/>
            <w:color w:val="0000FF"/>
            <w:u w:val="single"/>
            <w:vertAlign w:val="superscript"/>
            <w:lang w:val="en-US"/>
          </w:rPr>
          <w:t>3,4</w:t>
        </w:r>
      </w:hyperlink>
      <w:r>
        <w:rPr>
          <w:rFonts w:ascii="Arial" w:eastAsia="Arial" w:hAnsi="Arial"/>
          <w:color w:val="000000"/>
          <w:lang w:val="en-US"/>
        </w:rPr>
        <w:t xml:space="preserve">. For each gene, we report the </w:t>
      </w:r>
      <w:proofErr w:type="spellStart"/>
      <w:r>
        <w:rPr>
          <w:rFonts w:ascii="Arial" w:eastAsia="Arial" w:hAnsi="Arial"/>
          <w:color w:val="000000"/>
          <w:lang w:val="en-US"/>
        </w:rPr>
        <w:t>logFC</w:t>
      </w:r>
      <w:proofErr w:type="spellEnd"/>
      <w:r>
        <w:rPr>
          <w:rFonts w:ascii="Arial" w:eastAsia="Arial" w:hAnsi="Arial"/>
          <w:color w:val="000000"/>
          <w:lang w:val="en-US"/>
        </w:rPr>
        <w:t xml:space="preserve"> (log</w:t>
      </w:r>
      <w:r>
        <w:rPr>
          <w:rFonts w:ascii="Arial" w:eastAsia="Arial" w:hAnsi="Arial"/>
          <w:color w:val="000000"/>
          <w:sz w:val="13"/>
          <w:lang w:val="en-US"/>
        </w:rPr>
        <w:t xml:space="preserve">2 </w:t>
      </w:r>
      <w:r>
        <w:rPr>
          <w:rFonts w:ascii="Arial" w:eastAsia="Arial" w:hAnsi="Arial"/>
          <w:color w:val="000000"/>
          <w:lang w:val="en-US"/>
        </w:rPr>
        <w:t xml:space="preserve">fold change of abnormal/NBM), </w:t>
      </w:r>
      <w:proofErr w:type="spellStart"/>
      <w:r>
        <w:rPr>
          <w:rFonts w:ascii="Arial" w:eastAsia="Arial" w:hAnsi="Arial"/>
          <w:color w:val="000000"/>
          <w:lang w:val="en-US"/>
        </w:rPr>
        <w:t>AveExpr</w:t>
      </w:r>
      <w:proofErr w:type="spellEnd"/>
      <w:r>
        <w:rPr>
          <w:rFonts w:ascii="Arial" w:eastAsia="Arial" w:hAnsi="Arial"/>
          <w:color w:val="000000"/>
          <w:lang w:val="en-US"/>
        </w:rPr>
        <w:t xml:space="preserve"> (average expression across all samples, in log</w:t>
      </w:r>
      <w:r>
        <w:rPr>
          <w:rFonts w:ascii="Arial" w:eastAsia="Arial" w:hAnsi="Arial"/>
          <w:color w:val="000000"/>
          <w:sz w:val="13"/>
          <w:lang w:val="en-US"/>
        </w:rPr>
        <w:t xml:space="preserve">2 </w:t>
      </w:r>
      <w:r>
        <w:rPr>
          <w:rFonts w:ascii="Arial" w:eastAsia="Arial" w:hAnsi="Arial"/>
          <w:color w:val="000000"/>
          <w:lang w:val="en-US"/>
        </w:rPr>
        <w:t>CPM), t (</w:t>
      </w:r>
      <w:proofErr w:type="spellStart"/>
      <w:r>
        <w:rPr>
          <w:rFonts w:ascii="Arial" w:eastAsia="Arial" w:hAnsi="Arial"/>
          <w:color w:val="000000"/>
          <w:lang w:val="en-US"/>
        </w:rPr>
        <w:t>logFC</w:t>
      </w:r>
      <w:proofErr w:type="spellEnd"/>
      <w:r>
        <w:rPr>
          <w:rFonts w:ascii="Arial" w:eastAsia="Arial" w:hAnsi="Arial"/>
          <w:color w:val="000000"/>
          <w:lang w:val="en-US"/>
        </w:rPr>
        <w:t xml:space="preserve"> divided by its standard error), </w:t>
      </w:r>
      <w:proofErr w:type="spellStart"/>
      <w:proofErr w:type="gramStart"/>
      <w:r>
        <w:rPr>
          <w:rFonts w:ascii="Arial" w:eastAsia="Arial" w:hAnsi="Arial"/>
          <w:color w:val="000000"/>
          <w:lang w:val="en-US"/>
        </w:rPr>
        <w:t>P.Value</w:t>
      </w:r>
      <w:proofErr w:type="spellEnd"/>
      <w:proofErr w:type="gramEnd"/>
      <w:r>
        <w:rPr>
          <w:rFonts w:ascii="Arial" w:eastAsia="Arial" w:hAnsi="Arial"/>
          <w:color w:val="000000"/>
          <w:lang w:val="en-US"/>
        </w:rPr>
        <w:t xml:space="preserve"> (Raw p-value (based on t) that </w:t>
      </w:r>
      <w:proofErr w:type="spellStart"/>
      <w:r>
        <w:rPr>
          <w:rFonts w:ascii="Arial" w:eastAsia="Arial" w:hAnsi="Arial"/>
          <w:color w:val="000000"/>
          <w:lang w:val="en-US"/>
        </w:rPr>
        <w:t>logFC</w:t>
      </w:r>
      <w:proofErr w:type="spellEnd"/>
      <w:r>
        <w:rPr>
          <w:rFonts w:ascii="Arial" w:eastAsia="Arial" w:hAnsi="Arial"/>
          <w:color w:val="000000"/>
          <w:lang w:val="en-US"/>
        </w:rPr>
        <w:t xml:space="preserve"> differs from 0), and </w:t>
      </w:r>
      <w:proofErr w:type="spellStart"/>
      <w:r>
        <w:rPr>
          <w:rFonts w:ascii="Arial" w:eastAsia="Arial" w:hAnsi="Arial"/>
          <w:color w:val="000000"/>
          <w:lang w:val="en-US"/>
        </w:rPr>
        <w:t>adj.P.Val</w:t>
      </w:r>
      <w:proofErr w:type="spellEnd"/>
      <w:r>
        <w:rPr>
          <w:rFonts w:ascii="Arial" w:eastAsia="Arial" w:hAnsi="Arial"/>
          <w:color w:val="000000"/>
          <w:lang w:val="en-US"/>
        </w:rPr>
        <w:t xml:space="preserve"> (</w:t>
      </w:r>
      <w:proofErr w:type="spellStart"/>
      <w:r>
        <w:rPr>
          <w:rFonts w:ascii="Arial" w:eastAsia="Arial" w:hAnsi="Arial"/>
          <w:color w:val="000000"/>
          <w:lang w:val="en-US"/>
        </w:rPr>
        <w:t>Benjamini</w:t>
      </w:r>
      <w:proofErr w:type="spellEnd"/>
      <w:r>
        <w:rPr>
          <w:rFonts w:ascii="Arial" w:eastAsia="Arial" w:hAnsi="Arial"/>
          <w:color w:val="000000"/>
          <w:lang w:val="en-US"/>
        </w:rPr>
        <w:t>-Hochberg false discovery rate adjusted p-value)</w:t>
      </w:r>
      <w:r>
        <w:rPr>
          <w:color w:val="000000"/>
          <w:sz w:val="27"/>
          <w:lang w:val="en-US"/>
        </w:rPr>
        <w:t>.</w:t>
      </w:r>
    </w:p>
    <w:p w14:paraId="2B1E0030" w14:textId="66811A36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30323A7" w14:textId="0C538587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7</w:t>
      </w:r>
    </w:p>
    <w:p w14:paraId="6A7B9E40" w14:textId="4C44B48B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Description: </w:t>
      </w:r>
      <w:r w:rsidR="000C6F91">
        <w:rPr>
          <w:rFonts w:ascii="Arial" w:eastAsia="Arial" w:hAnsi="Arial"/>
          <w:color w:val="000000"/>
          <w:spacing w:val="-1"/>
          <w:lang w:val="en-US"/>
        </w:rPr>
        <w:t xml:space="preserve">List of differentially expressed genes (two-sided Wilcoxon rank sum test with </w:t>
      </w:r>
      <w:proofErr w:type="spellStart"/>
      <w:r w:rsidR="000C6F91">
        <w:rPr>
          <w:rFonts w:ascii="Arial" w:eastAsia="Arial" w:hAnsi="Arial"/>
          <w:color w:val="000000"/>
          <w:spacing w:val="-1"/>
          <w:lang w:val="en-US"/>
        </w:rPr>
        <w:t>Bejamini</w:t>
      </w:r>
      <w:proofErr w:type="spellEnd"/>
      <w:r w:rsidR="000C6F91">
        <w:rPr>
          <w:rFonts w:ascii="Arial" w:eastAsia="Arial" w:hAnsi="Arial"/>
          <w:color w:val="000000"/>
          <w:spacing w:val="-1"/>
          <w:lang w:val="en-US"/>
        </w:rPr>
        <w:t>-Hochberg correction, |</w:t>
      </w:r>
      <w:proofErr w:type="gramStart"/>
      <w:r w:rsidR="000C6F91">
        <w:rPr>
          <w:rFonts w:ascii="Arial" w:eastAsia="Arial" w:hAnsi="Arial"/>
          <w:color w:val="000000"/>
          <w:spacing w:val="-1"/>
          <w:lang w:val="en-US"/>
        </w:rPr>
        <w:t>log(</w:t>
      </w:r>
      <w:proofErr w:type="gramEnd"/>
      <w:r w:rsidR="000C6F91">
        <w:rPr>
          <w:rFonts w:ascii="Arial" w:eastAsia="Arial" w:hAnsi="Arial"/>
          <w:color w:val="000000"/>
          <w:spacing w:val="-1"/>
          <w:lang w:val="en-US"/>
        </w:rPr>
        <w:t xml:space="preserve">fold change)| </w:t>
      </w:r>
      <w:r w:rsidR="000C6F91">
        <w:rPr>
          <w:rFonts w:ascii="Arial" w:eastAsia="Arial" w:hAnsi="Arial"/>
          <w:i/>
          <w:color w:val="000000"/>
          <w:spacing w:val="-1"/>
          <w:sz w:val="23"/>
          <w:lang w:val="en-US"/>
        </w:rPr>
        <w:t xml:space="preserve">&gt; </w:t>
      </w:r>
      <w:r w:rsidR="000C6F91">
        <w:rPr>
          <w:rFonts w:ascii="Arial" w:eastAsia="Arial" w:hAnsi="Arial"/>
          <w:color w:val="000000"/>
          <w:spacing w:val="-1"/>
          <w:lang w:val="en-US"/>
        </w:rPr>
        <w:t>log(1</w:t>
      </w:r>
      <w:r w:rsidR="000C6F91">
        <w:rPr>
          <w:rFonts w:ascii="Arial" w:eastAsia="Arial" w:hAnsi="Arial"/>
          <w:i/>
          <w:color w:val="000000"/>
          <w:spacing w:val="-1"/>
          <w:sz w:val="23"/>
          <w:lang w:val="en-US"/>
        </w:rPr>
        <w:t>.</w:t>
      </w:r>
      <w:r w:rsidR="000C6F91">
        <w:rPr>
          <w:rFonts w:ascii="Arial" w:eastAsia="Arial" w:hAnsi="Arial"/>
          <w:color w:val="000000"/>
          <w:spacing w:val="-1"/>
          <w:lang w:val="en-US"/>
        </w:rPr>
        <w:t>5); q&lt;0.1) discovered per-sample using our within-patient differential expression analysis, along with their fold changes and significance levels. Genes will appear more than once if they were significant in multiple samples.</w:t>
      </w:r>
    </w:p>
    <w:p w14:paraId="01D77DD6" w14:textId="2372F344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85FEFD2" w14:textId="6E52C173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 8</w:t>
      </w:r>
    </w:p>
    <w:p w14:paraId="73803349" w14:textId="5B66FF23" w:rsidR="00824422" w:rsidRDefault="00824422" w:rsidP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Description: </w:t>
      </w:r>
    </w:p>
    <w:p w14:paraId="4A85645D" w14:textId="77777777" w:rsidR="000C6F91" w:rsidRDefault="000C6F91" w:rsidP="000C6F91">
      <w:pPr>
        <w:spacing w:line="382" w:lineRule="exact"/>
        <w:ind w:right="72"/>
        <w:jc w:val="both"/>
        <w:textAlignment w:val="baseline"/>
        <w:rPr>
          <w:rFonts w:ascii="Arial" w:eastAsia="Arial" w:hAnsi="Arial"/>
          <w:b/>
          <w:color w:val="000000"/>
        </w:rPr>
      </w:pPr>
      <w:r w:rsidRPr="000C6F91">
        <w:rPr>
          <w:rFonts w:ascii="Arial" w:eastAsia="Arial" w:hAnsi="Arial"/>
          <w:color w:val="000000"/>
          <w:lang w:val="en-US"/>
        </w:rPr>
        <w:t>Full list of NMF signatures.</w:t>
      </w:r>
      <w:r>
        <w:rPr>
          <w:rFonts w:ascii="Arial" w:eastAsia="Arial" w:hAnsi="Arial"/>
          <w:b/>
          <w:color w:val="000000"/>
          <w:lang w:val="en-US"/>
        </w:rPr>
        <w:t xml:space="preserve"> </w:t>
      </w:r>
      <w:r>
        <w:rPr>
          <w:rFonts w:ascii="Arial" w:eastAsia="Arial" w:hAnsi="Arial"/>
          <w:color w:val="000000"/>
          <w:lang w:val="en-US"/>
        </w:rPr>
        <w:t>List of top genes and descriptions for all 28 signatures discovered using Bayesian NMF.</w:t>
      </w:r>
      <w:bookmarkStart w:id="0" w:name="_GoBack"/>
      <w:bookmarkEnd w:id="0"/>
    </w:p>
    <w:p w14:paraId="0BEB2E67" w14:textId="183C7C38" w:rsidR="00824422" w:rsidRDefault="00824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sectPr w:rsidR="00824422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D4"/>
    <w:rsid w:val="000C6F91"/>
    <w:rsid w:val="0040204E"/>
    <w:rsid w:val="006B6BE4"/>
    <w:rsid w:val="00824422"/>
    <w:rsid w:val="008258D4"/>
    <w:rsid w:val="009B551E"/>
    <w:rsid w:val="00A55F81"/>
    <w:rsid w:val="00B41867"/>
    <w:rsid w:val="00C705C3"/>
    <w:rsid w:val="00CC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B2C1F"/>
  <w15:docId w15:val="{B9FE7618-141C-4EEF-9C5F-E22C021B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perpile.com/c/TwppJv/Cs9h+sBB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Davies</dc:creator>
  <cp:lastModifiedBy>Alex Davies</cp:lastModifiedBy>
  <cp:revision>6</cp:revision>
  <dcterms:created xsi:type="dcterms:W3CDTF">2022-09-14T14:58:00Z</dcterms:created>
  <dcterms:modified xsi:type="dcterms:W3CDTF">2022-10-09T11:51:00Z</dcterms:modified>
</cp:coreProperties>
</file>