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46FD" w14:textId="77777777" w:rsidR="00564738" w:rsidRPr="00563B5B" w:rsidRDefault="00564738" w:rsidP="00175F85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Supplement to </w:t>
      </w:r>
      <w:r w:rsidRPr="00563B5B">
        <w:rPr>
          <w:b/>
          <w:bCs/>
          <w:color w:val="000000" w:themeColor="text1"/>
        </w:rPr>
        <w:t>Intermediate water circulation drives distribution of Pliocene Oxygen Minimum Zones</w:t>
      </w:r>
    </w:p>
    <w:p w14:paraId="121C55B8" w14:textId="77777777" w:rsidR="00564738" w:rsidRDefault="00564738" w:rsidP="00895E8E">
      <w:pPr>
        <w:jc w:val="center"/>
        <w:rPr>
          <w:b/>
          <w:bCs/>
          <w:color w:val="000000" w:themeColor="text1"/>
        </w:rPr>
      </w:pPr>
    </w:p>
    <w:p w14:paraId="468EBF0C" w14:textId="77777777" w:rsidR="000B31F0" w:rsidRDefault="000B31F0" w:rsidP="000B31F0">
      <w:pPr>
        <w:jc w:val="center"/>
        <w:rPr>
          <w:bCs/>
          <w:color w:val="000000"/>
          <w:vertAlign w:val="superscript"/>
        </w:rPr>
      </w:pPr>
      <w:r w:rsidRPr="00472B91">
        <w:rPr>
          <w:bCs/>
          <w:color w:val="000000"/>
        </w:rPr>
        <w:t>Catherine V. Davis</w:t>
      </w:r>
      <w:proofErr w:type="gramStart"/>
      <w:r>
        <w:rPr>
          <w:bCs/>
          <w:color w:val="000000"/>
          <w:vertAlign w:val="superscript"/>
        </w:rPr>
        <w:t>1,*</w:t>
      </w:r>
      <w:proofErr w:type="gramEnd"/>
      <w:r w:rsidRPr="00472B91">
        <w:rPr>
          <w:bCs/>
          <w:color w:val="000000"/>
        </w:rPr>
        <w:t>, Elizabeth C. Sibert</w:t>
      </w:r>
      <w:r>
        <w:rPr>
          <w:bCs/>
          <w:color w:val="000000"/>
          <w:vertAlign w:val="superscript"/>
        </w:rPr>
        <w:t>2,3</w:t>
      </w:r>
      <w:r w:rsidRPr="00472B91">
        <w:rPr>
          <w:bCs/>
          <w:color w:val="000000"/>
        </w:rPr>
        <w:t xml:space="preserve">, </w:t>
      </w:r>
      <w:r>
        <w:rPr>
          <w:bCs/>
          <w:color w:val="000000"/>
        </w:rPr>
        <w:t>Peter H. Jacobs</w:t>
      </w:r>
      <w:r>
        <w:rPr>
          <w:bCs/>
          <w:color w:val="000000"/>
          <w:vertAlign w:val="superscript"/>
        </w:rPr>
        <w:t>4,5</w:t>
      </w:r>
      <w:r>
        <w:rPr>
          <w:bCs/>
          <w:color w:val="000000"/>
        </w:rPr>
        <w:t xml:space="preserve">, </w:t>
      </w:r>
      <w:r w:rsidRPr="00472B91">
        <w:rPr>
          <w:bCs/>
          <w:color w:val="000000"/>
        </w:rPr>
        <w:t>Natalie Burls</w:t>
      </w:r>
      <w:r>
        <w:rPr>
          <w:bCs/>
          <w:color w:val="000000"/>
          <w:vertAlign w:val="superscript"/>
        </w:rPr>
        <w:t>6</w:t>
      </w:r>
      <w:r>
        <w:rPr>
          <w:bCs/>
          <w:color w:val="000000"/>
        </w:rPr>
        <w:t>,</w:t>
      </w:r>
      <w:r w:rsidRPr="00472B91">
        <w:rPr>
          <w:bCs/>
          <w:color w:val="000000"/>
        </w:rPr>
        <w:t xml:space="preserve"> </w:t>
      </w:r>
      <w:proofErr w:type="spellStart"/>
      <w:r w:rsidRPr="00472B91">
        <w:rPr>
          <w:bCs/>
          <w:color w:val="000000"/>
        </w:rPr>
        <w:t>Pincelli</w:t>
      </w:r>
      <w:proofErr w:type="spellEnd"/>
      <w:r w:rsidRPr="00472B91">
        <w:rPr>
          <w:bCs/>
          <w:color w:val="000000"/>
        </w:rPr>
        <w:t xml:space="preserve"> M. Hull</w:t>
      </w:r>
      <w:r>
        <w:rPr>
          <w:bCs/>
          <w:color w:val="000000"/>
          <w:vertAlign w:val="superscript"/>
        </w:rPr>
        <w:t>2,7</w:t>
      </w:r>
    </w:p>
    <w:p w14:paraId="6D440EBE" w14:textId="77777777" w:rsidR="000B31F0" w:rsidRDefault="000B31F0" w:rsidP="000B31F0">
      <w:pPr>
        <w:jc w:val="center"/>
        <w:rPr>
          <w:bCs/>
          <w:color w:val="000000"/>
          <w:vertAlign w:val="superscript"/>
        </w:rPr>
      </w:pPr>
    </w:p>
    <w:p w14:paraId="66F671A1" w14:textId="77777777" w:rsidR="000B31F0" w:rsidRPr="00B85D41" w:rsidRDefault="000B31F0" w:rsidP="000B31F0">
      <w:pPr>
        <w:jc w:val="center"/>
        <w:rPr>
          <w:bCs/>
          <w:color w:val="000000"/>
          <w:vertAlign w:val="superscript"/>
        </w:rPr>
      </w:pPr>
    </w:p>
    <w:p w14:paraId="177208D4" w14:textId="77777777" w:rsidR="000B31F0" w:rsidRDefault="000B31F0" w:rsidP="000B31F0">
      <w:pPr>
        <w:pStyle w:val="AuthorAffiliation"/>
        <w:spacing w:line="480" w:lineRule="auto"/>
        <w:jc w:val="both"/>
        <w:rPr>
          <w:i w:val="0"/>
          <w:iCs/>
        </w:rPr>
      </w:pPr>
      <w:r>
        <w:rPr>
          <w:i w:val="0"/>
          <w:iCs/>
          <w:vertAlign w:val="superscript"/>
        </w:rPr>
        <w:t>1</w:t>
      </w:r>
      <w:r w:rsidRPr="00963F0E">
        <w:rPr>
          <w:i w:val="0"/>
          <w:iCs/>
        </w:rPr>
        <w:t>Department of Marine, Earth, and Atmospheric Sciences, North Carolina State University, Raleigh, NC</w:t>
      </w:r>
      <w:r>
        <w:rPr>
          <w:i w:val="0"/>
          <w:iCs/>
        </w:rPr>
        <w:t>, USA</w:t>
      </w:r>
      <w:r w:rsidRPr="00963F0E">
        <w:rPr>
          <w:i w:val="0"/>
          <w:iCs/>
        </w:rPr>
        <w:t xml:space="preserve"> </w:t>
      </w:r>
    </w:p>
    <w:p w14:paraId="0CC9709B" w14:textId="77777777" w:rsidR="000B31F0" w:rsidRDefault="000B31F0" w:rsidP="000B31F0">
      <w:pPr>
        <w:pStyle w:val="AuthorAffiliation"/>
        <w:spacing w:line="480" w:lineRule="auto"/>
        <w:jc w:val="both"/>
        <w:rPr>
          <w:i w:val="0"/>
          <w:iCs/>
        </w:rPr>
      </w:pPr>
      <w:r>
        <w:rPr>
          <w:i w:val="0"/>
          <w:iCs/>
          <w:vertAlign w:val="superscript"/>
        </w:rPr>
        <w:t xml:space="preserve">2 </w:t>
      </w:r>
      <w:r>
        <w:rPr>
          <w:i w:val="0"/>
          <w:iCs/>
        </w:rPr>
        <w:t>Department of Earth and Planetary Sciences, Yale University, New Haven, CT, USA</w:t>
      </w:r>
    </w:p>
    <w:p w14:paraId="26F197A4" w14:textId="77777777" w:rsidR="000B31F0" w:rsidRPr="00393C09" w:rsidRDefault="000B31F0" w:rsidP="000B31F0">
      <w:pPr>
        <w:pStyle w:val="AuthorAffiliation"/>
        <w:spacing w:line="480" w:lineRule="auto"/>
        <w:jc w:val="both"/>
        <w:rPr>
          <w:i w:val="0"/>
          <w:iCs/>
        </w:rPr>
      </w:pPr>
      <w:r w:rsidRPr="00393C09">
        <w:rPr>
          <w:i w:val="0"/>
          <w:iCs/>
          <w:color w:val="222222"/>
          <w:shd w:val="clear" w:color="auto" w:fill="FFFFFF"/>
          <w:vertAlign w:val="superscript"/>
        </w:rPr>
        <w:t>3</w:t>
      </w:r>
      <w:r w:rsidRPr="00393C09">
        <w:rPr>
          <w:i w:val="0"/>
          <w:iCs/>
          <w:color w:val="222222"/>
          <w:shd w:val="clear" w:color="auto" w:fill="FFFFFF"/>
        </w:rPr>
        <w:t xml:space="preserve"> Yale Institute for </w:t>
      </w:r>
      <w:proofErr w:type="spellStart"/>
      <w:r w:rsidRPr="00393C09">
        <w:rPr>
          <w:i w:val="0"/>
          <w:iCs/>
          <w:color w:val="222222"/>
          <w:shd w:val="clear" w:color="auto" w:fill="FFFFFF"/>
        </w:rPr>
        <w:t>Biospheric</w:t>
      </w:r>
      <w:proofErr w:type="spellEnd"/>
      <w:r w:rsidRPr="00393C09">
        <w:rPr>
          <w:i w:val="0"/>
          <w:iCs/>
          <w:color w:val="222222"/>
          <w:shd w:val="clear" w:color="auto" w:fill="FFFFFF"/>
        </w:rPr>
        <w:t xml:space="preserve"> Studies, Yale University, New Haven, CT USA</w:t>
      </w:r>
    </w:p>
    <w:p w14:paraId="1D53444C" w14:textId="77777777" w:rsidR="000B31F0" w:rsidRPr="00A607EE" w:rsidRDefault="000B31F0" w:rsidP="000B31F0">
      <w:pPr>
        <w:pStyle w:val="AuthorAffiliation"/>
        <w:spacing w:line="480" w:lineRule="auto"/>
        <w:jc w:val="both"/>
        <w:rPr>
          <w:i w:val="0"/>
          <w:iCs/>
        </w:rPr>
      </w:pPr>
      <w:r w:rsidRPr="00A607EE">
        <w:rPr>
          <w:i w:val="0"/>
          <w:iCs/>
          <w:vertAlign w:val="superscript"/>
        </w:rPr>
        <w:t xml:space="preserve">4 </w:t>
      </w:r>
      <w:r w:rsidRPr="00A607EE">
        <w:rPr>
          <w:rFonts w:ascii="Palatino" w:hAnsi="Palatino" w:cs="Arial"/>
          <w:i w:val="0"/>
          <w:iCs/>
          <w:color w:val="222222"/>
          <w:sz w:val="22"/>
          <w:szCs w:val="22"/>
        </w:rPr>
        <w:t>Department of Environmental Science and Policy</w:t>
      </w:r>
      <w:r w:rsidRPr="00A607EE">
        <w:rPr>
          <w:i w:val="0"/>
          <w:iCs/>
        </w:rPr>
        <w:t>, George Mason University, Fairfax, VA, USA</w:t>
      </w:r>
    </w:p>
    <w:p w14:paraId="1E6FE9A9" w14:textId="77777777" w:rsidR="000B31F0" w:rsidRDefault="000B31F0" w:rsidP="000B31F0">
      <w:pPr>
        <w:pStyle w:val="AuthorAffiliation"/>
        <w:spacing w:line="480" w:lineRule="auto"/>
        <w:jc w:val="both"/>
        <w:rPr>
          <w:i w:val="0"/>
          <w:iCs/>
        </w:rPr>
      </w:pPr>
      <w:r>
        <w:rPr>
          <w:i w:val="0"/>
          <w:iCs/>
          <w:vertAlign w:val="superscript"/>
        </w:rPr>
        <w:t xml:space="preserve">5 </w:t>
      </w:r>
      <w:r w:rsidRPr="00F84749">
        <w:rPr>
          <w:i w:val="0"/>
          <w:iCs/>
        </w:rPr>
        <w:t xml:space="preserve">Currently: </w:t>
      </w:r>
      <w:r>
        <w:rPr>
          <w:i w:val="0"/>
          <w:iCs/>
        </w:rPr>
        <w:t xml:space="preserve">Earth Science Division, </w:t>
      </w:r>
      <w:r w:rsidRPr="00701BE8">
        <w:rPr>
          <w:i w:val="0"/>
          <w:iCs/>
        </w:rPr>
        <w:t>NASA</w:t>
      </w:r>
      <w:r>
        <w:rPr>
          <w:i w:val="0"/>
          <w:iCs/>
        </w:rPr>
        <w:t xml:space="preserve"> Goddard Space Flight Center, Greenbelt, MD, USA</w:t>
      </w:r>
    </w:p>
    <w:p w14:paraId="4663A7E6" w14:textId="77777777" w:rsidR="000B31F0" w:rsidRPr="00701BE8" w:rsidRDefault="000B31F0" w:rsidP="000B31F0">
      <w:pPr>
        <w:pStyle w:val="AuthorAffiliation"/>
        <w:spacing w:line="480" w:lineRule="auto"/>
        <w:jc w:val="both"/>
        <w:rPr>
          <w:i w:val="0"/>
          <w:iCs/>
        </w:rPr>
      </w:pPr>
      <w:r>
        <w:rPr>
          <w:i w:val="0"/>
          <w:iCs/>
          <w:vertAlign w:val="superscript"/>
        </w:rPr>
        <w:t xml:space="preserve">6 </w:t>
      </w:r>
      <w:r>
        <w:rPr>
          <w:i w:val="0"/>
          <w:iCs/>
        </w:rPr>
        <w:t>Department of A</w:t>
      </w:r>
      <w:r w:rsidRPr="00701BE8">
        <w:rPr>
          <w:i w:val="0"/>
          <w:iCs/>
        </w:rPr>
        <w:t xml:space="preserve">tmospheric, </w:t>
      </w:r>
      <w:r>
        <w:rPr>
          <w:i w:val="0"/>
          <w:iCs/>
        </w:rPr>
        <w:t>Ocean &amp; Earth Sciences, George Mason University, Fairfax, VA, USA</w:t>
      </w:r>
    </w:p>
    <w:p w14:paraId="782D0289" w14:textId="77777777" w:rsidR="000B31F0" w:rsidRDefault="000B31F0" w:rsidP="000B31F0">
      <w:pPr>
        <w:pStyle w:val="AuthorAffiliation"/>
        <w:spacing w:line="480" w:lineRule="auto"/>
        <w:jc w:val="both"/>
        <w:rPr>
          <w:i w:val="0"/>
          <w:iCs/>
        </w:rPr>
      </w:pPr>
      <w:r>
        <w:rPr>
          <w:i w:val="0"/>
          <w:iCs/>
          <w:vertAlign w:val="superscript"/>
        </w:rPr>
        <w:t xml:space="preserve">7 </w:t>
      </w:r>
      <w:r>
        <w:rPr>
          <w:i w:val="0"/>
          <w:iCs/>
        </w:rPr>
        <w:t>Yale Peabody Museum of Natural History, Yale University, New Haven, CT, USA</w:t>
      </w:r>
    </w:p>
    <w:p w14:paraId="71C735C1" w14:textId="77777777" w:rsidR="000B31F0" w:rsidRPr="00B85D41" w:rsidRDefault="000B31F0" w:rsidP="000B31F0">
      <w:pPr>
        <w:pStyle w:val="AuthorAffiliation"/>
        <w:spacing w:line="480" w:lineRule="auto"/>
        <w:jc w:val="both"/>
        <w:rPr>
          <w:i w:val="0"/>
          <w:iCs/>
        </w:rPr>
      </w:pPr>
    </w:p>
    <w:p w14:paraId="02663437" w14:textId="77777777" w:rsidR="000B31F0" w:rsidRDefault="000B31F0" w:rsidP="000B31F0">
      <w:pPr>
        <w:pStyle w:val="AuthorAffiliation"/>
        <w:spacing w:line="480" w:lineRule="auto"/>
        <w:jc w:val="both"/>
        <w:rPr>
          <w:i w:val="0"/>
          <w:iCs/>
        </w:rPr>
      </w:pPr>
      <w:r>
        <w:rPr>
          <w:vertAlign w:val="superscript"/>
        </w:rPr>
        <w:t>*</w:t>
      </w:r>
      <w:r w:rsidRPr="00963F0E">
        <w:rPr>
          <w:i w:val="0"/>
          <w:iCs/>
        </w:rPr>
        <w:t xml:space="preserve"> catherinedavis@ncsu.edu</w:t>
      </w:r>
    </w:p>
    <w:p w14:paraId="40AD9EB2" w14:textId="77777777" w:rsidR="00564738" w:rsidRDefault="00564738" w:rsidP="00895E8E">
      <w:pPr>
        <w:spacing w:line="480" w:lineRule="auto"/>
      </w:pPr>
    </w:p>
    <w:p w14:paraId="5FADED07" w14:textId="77777777" w:rsidR="00564738" w:rsidRDefault="00564738" w:rsidP="00895E8E">
      <w:pPr>
        <w:spacing w:line="480" w:lineRule="auto"/>
      </w:pPr>
    </w:p>
    <w:p w14:paraId="2E6B01A2" w14:textId="77777777" w:rsidR="00564738" w:rsidRDefault="00564738" w:rsidP="00895E8E">
      <w:pPr>
        <w:spacing w:line="480" w:lineRule="auto"/>
      </w:pPr>
    </w:p>
    <w:p w14:paraId="5A2A6064" w14:textId="77777777" w:rsidR="00564738" w:rsidRDefault="00564738" w:rsidP="00895E8E">
      <w:pPr>
        <w:spacing w:line="480" w:lineRule="auto"/>
      </w:pPr>
    </w:p>
    <w:tbl>
      <w:tblPr>
        <w:tblpPr w:leftFromText="180" w:rightFromText="180" w:vertAnchor="text" w:horzAnchor="page" w:tblpX="838" w:tblpY="-232"/>
        <w:tblW w:w="10533" w:type="dxa"/>
        <w:tblLook w:val="04A0" w:firstRow="1" w:lastRow="0" w:firstColumn="1" w:lastColumn="0" w:noHBand="0" w:noVBand="1"/>
      </w:tblPr>
      <w:tblGrid>
        <w:gridCol w:w="1536"/>
        <w:gridCol w:w="1789"/>
        <w:gridCol w:w="1815"/>
        <w:gridCol w:w="5393"/>
      </w:tblGrid>
      <w:tr w:rsidR="00564738" w:rsidRPr="00E4435D" w14:paraId="561E1D73" w14:textId="77777777" w:rsidTr="00594A65">
        <w:trPr>
          <w:trHeight w:val="241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D38A" w14:textId="77777777" w:rsidR="00564738" w:rsidRPr="00E4435D" w:rsidRDefault="00564738" w:rsidP="00B07C2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4435D">
              <w:rPr>
                <w:rFonts w:ascii="Arial" w:hAnsi="Arial" w:cs="Arial"/>
                <w:b/>
                <w:bCs/>
                <w:color w:val="000000"/>
              </w:rPr>
              <w:lastRenderedPageBreak/>
              <w:t>Information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2E99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E4435D">
              <w:rPr>
                <w:rFonts w:ascii="Arial" w:hAnsi="Arial" w:cs="Arial"/>
                <w:b/>
                <w:bCs/>
                <w:color w:val="000000"/>
              </w:rPr>
              <w:t>Oxygen Only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78C7" w14:textId="77777777" w:rsidR="00564738" w:rsidRPr="00E4435D" w:rsidRDefault="00564738" w:rsidP="00B07C2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4435D">
              <w:rPr>
                <w:rFonts w:ascii="Arial" w:hAnsi="Arial" w:cs="Arial"/>
                <w:b/>
                <w:bCs/>
                <w:color w:val="000000"/>
              </w:rPr>
              <w:t>Multi-variate</w:t>
            </w:r>
          </w:p>
        </w:tc>
        <w:tc>
          <w:tcPr>
            <w:tcW w:w="5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31EC" w14:textId="77777777" w:rsidR="00564738" w:rsidRPr="00E4435D" w:rsidRDefault="00564738" w:rsidP="00B07C2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4435D">
              <w:rPr>
                <w:rFonts w:ascii="Arial" w:hAnsi="Arial" w:cs="Arial"/>
                <w:b/>
                <w:bCs/>
                <w:color w:val="000000"/>
              </w:rPr>
              <w:t>Description(s)</w:t>
            </w:r>
          </w:p>
        </w:tc>
      </w:tr>
      <w:tr w:rsidR="00564738" w:rsidRPr="00E4435D" w14:paraId="760AEA08" w14:textId="77777777" w:rsidTr="00594A65">
        <w:trPr>
          <w:trHeight w:val="271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A223" w14:textId="77777777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Variables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FEFD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O</w:t>
            </w:r>
            <w:r w:rsidRPr="00E4435D">
              <w:rPr>
                <w:rFonts w:ascii="Arial" w:hAnsi="Arial" w:cs="Arial"/>
                <w:color w:val="000000"/>
                <w:vertAlign w:val="subscript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2DCA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O</w:t>
            </w:r>
            <w:r w:rsidRPr="00E4435D">
              <w:rPr>
                <w:rFonts w:ascii="Arial" w:hAnsi="Arial" w:cs="Arial"/>
                <w:color w:val="000000"/>
                <w:vertAlign w:val="subscript"/>
              </w:rPr>
              <w:t>2</w:t>
            </w:r>
            <w:r w:rsidRPr="00E4435D">
              <w:rPr>
                <w:rFonts w:ascii="Arial" w:hAnsi="Arial" w:cs="Arial"/>
                <w:color w:val="000000"/>
              </w:rPr>
              <w:t>, SiO</w:t>
            </w:r>
            <w:r w:rsidRPr="00E4435D">
              <w:rPr>
                <w:rFonts w:ascii="Arial" w:hAnsi="Arial" w:cs="Arial"/>
                <w:color w:val="000000"/>
                <w:vertAlign w:val="subscript"/>
              </w:rPr>
              <w:t>3</w:t>
            </w:r>
            <w:r w:rsidRPr="00E4435D">
              <w:rPr>
                <w:rFonts w:ascii="Arial" w:hAnsi="Arial" w:cs="Arial"/>
                <w:color w:val="000000"/>
              </w:rPr>
              <w:t>, PO</w:t>
            </w:r>
            <w:r w:rsidRPr="00E4435D">
              <w:rPr>
                <w:rFonts w:ascii="Arial" w:hAnsi="Arial" w:cs="Arial"/>
                <w:color w:val="000000"/>
                <w:vertAlign w:val="subscript"/>
              </w:rPr>
              <w:t>4</w:t>
            </w:r>
            <w:r w:rsidRPr="00E4435D">
              <w:rPr>
                <w:rFonts w:ascii="Arial" w:hAnsi="Arial" w:cs="Arial"/>
                <w:color w:val="000000"/>
              </w:rPr>
              <w:t>, T, S, NO</w:t>
            </w:r>
            <w:r w:rsidRPr="00E4435D">
              <w:rPr>
                <w:rFonts w:ascii="Arial" w:hAnsi="Arial" w:cs="Arial"/>
                <w:color w:val="000000"/>
                <w:vertAlign w:val="subscript"/>
              </w:rPr>
              <w:t>3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7E37" w14:textId="09E8CB7D" w:rsidR="00564738" w:rsidRPr="00E4435D" w:rsidRDefault="00594A65" w:rsidP="00B07C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</w:t>
            </w:r>
            <w:r w:rsidR="00564738" w:rsidRPr="00E4435D">
              <w:rPr>
                <w:rFonts w:ascii="Arial" w:hAnsi="Arial" w:cs="Arial"/>
                <w:color w:val="000000"/>
              </w:rPr>
              <w:t>nvironmental covariates used in model</w:t>
            </w:r>
          </w:p>
        </w:tc>
      </w:tr>
      <w:tr w:rsidR="00564738" w:rsidRPr="00E4435D" w14:paraId="7BD76C98" w14:textId="77777777" w:rsidTr="00594A65">
        <w:trPr>
          <w:trHeight w:val="241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824E" w14:textId="77777777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Depth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8B02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 xml:space="preserve">400 to 800m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86B2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 xml:space="preserve">400 to 800m 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49A1" w14:textId="5CC27D1B" w:rsidR="00564738" w:rsidRPr="00E4435D" w:rsidRDefault="00594A65" w:rsidP="00B07C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="00564738" w:rsidRPr="00E4435D">
              <w:rPr>
                <w:rFonts w:ascii="Arial" w:hAnsi="Arial" w:cs="Arial"/>
                <w:color w:val="000000"/>
              </w:rPr>
              <w:t>epth of environmental covariate(s)</w:t>
            </w:r>
          </w:p>
        </w:tc>
      </w:tr>
      <w:tr w:rsidR="00564738" w:rsidRPr="00E4435D" w14:paraId="70992F28" w14:textId="77777777" w:rsidTr="00594A65">
        <w:trPr>
          <w:trHeight w:val="241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EB86" w14:textId="77777777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Seed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212A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5000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058D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5000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BC06" w14:textId="236603E6" w:rsidR="00564738" w:rsidRPr="00E4435D" w:rsidRDefault="00594A65" w:rsidP="00B07C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</w:t>
            </w:r>
            <w:r w:rsidR="00564738" w:rsidRPr="00E4435D">
              <w:rPr>
                <w:rFonts w:ascii="Arial" w:hAnsi="Arial" w:cs="Arial"/>
                <w:color w:val="000000"/>
              </w:rPr>
              <w:t>andom seed</w:t>
            </w:r>
          </w:p>
        </w:tc>
      </w:tr>
      <w:tr w:rsidR="00564738" w:rsidRPr="00E4435D" w14:paraId="16EAA4F6" w14:textId="77777777" w:rsidTr="00594A65">
        <w:trPr>
          <w:trHeight w:val="241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10D6" w14:textId="77777777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AUC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399AC98" w14:textId="77777777" w:rsidR="00564738" w:rsidRPr="00E4435D" w:rsidRDefault="00564738" w:rsidP="00B07C24">
            <w:pPr>
              <w:jc w:val="right"/>
              <w:rPr>
                <w:rFonts w:ascii="Roboto" w:hAnsi="Roboto" w:cs="Calibri"/>
                <w:color w:val="000000"/>
              </w:rPr>
            </w:pPr>
            <w:r w:rsidRPr="00E4435D">
              <w:rPr>
                <w:rFonts w:ascii="Roboto" w:hAnsi="Roboto" w:cs="Calibri"/>
                <w:color w:val="000000"/>
              </w:rPr>
              <w:t>0.87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2EAA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0.92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1BBB" w14:textId="02C5FF52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 xml:space="preserve">True </w:t>
            </w:r>
            <w:r w:rsidR="00594A65">
              <w:rPr>
                <w:rFonts w:ascii="Arial" w:hAnsi="Arial" w:cs="Arial"/>
                <w:color w:val="000000"/>
              </w:rPr>
              <w:t>P</w:t>
            </w:r>
            <w:r w:rsidRPr="00E4435D">
              <w:rPr>
                <w:rFonts w:ascii="Arial" w:hAnsi="Arial" w:cs="Arial"/>
                <w:color w:val="000000"/>
              </w:rPr>
              <w:t xml:space="preserve">ositive </w:t>
            </w:r>
            <w:r w:rsidR="00594A65">
              <w:rPr>
                <w:rFonts w:ascii="Arial" w:hAnsi="Arial" w:cs="Arial"/>
                <w:color w:val="000000"/>
              </w:rPr>
              <w:t xml:space="preserve">(TP) </w:t>
            </w:r>
            <w:r w:rsidRPr="00E4435D">
              <w:rPr>
                <w:rFonts w:ascii="Arial" w:hAnsi="Arial" w:cs="Arial"/>
                <w:color w:val="000000"/>
              </w:rPr>
              <w:t xml:space="preserve">rate vs. </w:t>
            </w:r>
            <w:r w:rsidR="00594A65">
              <w:rPr>
                <w:rFonts w:ascii="Arial" w:hAnsi="Arial" w:cs="Arial"/>
                <w:color w:val="000000"/>
              </w:rPr>
              <w:t>F</w:t>
            </w:r>
            <w:r w:rsidRPr="00E4435D">
              <w:rPr>
                <w:rFonts w:ascii="Arial" w:hAnsi="Arial" w:cs="Arial"/>
                <w:color w:val="000000"/>
              </w:rPr>
              <w:t xml:space="preserve">alse </w:t>
            </w:r>
            <w:r w:rsidR="00594A65">
              <w:rPr>
                <w:rFonts w:ascii="Arial" w:hAnsi="Arial" w:cs="Arial"/>
                <w:color w:val="000000"/>
              </w:rPr>
              <w:t>P</w:t>
            </w:r>
            <w:r w:rsidRPr="00E4435D">
              <w:rPr>
                <w:rFonts w:ascii="Arial" w:hAnsi="Arial" w:cs="Arial"/>
                <w:color w:val="000000"/>
              </w:rPr>
              <w:t xml:space="preserve">ositive </w:t>
            </w:r>
            <w:r w:rsidR="00594A65">
              <w:rPr>
                <w:rFonts w:ascii="Arial" w:hAnsi="Arial" w:cs="Arial"/>
                <w:color w:val="000000"/>
              </w:rPr>
              <w:t xml:space="preserve">(FP) </w:t>
            </w:r>
            <w:r w:rsidRPr="00E4435D">
              <w:rPr>
                <w:rFonts w:ascii="Arial" w:hAnsi="Arial" w:cs="Arial"/>
                <w:color w:val="000000"/>
              </w:rPr>
              <w:t>rate (Sensitivity vs. 1 - Specificity)</w:t>
            </w:r>
          </w:p>
        </w:tc>
      </w:tr>
      <w:tr w:rsidR="00564738" w:rsidRPr="00E4435D" w14:paraId="713BCD6F" w14:textId="77777777" w:rsidTr="00594A65">
        <w:trPr>
          <w:trHeight w:val="241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248B" w14:textId="77777777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Kappa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CD1C4A8" w14:textId="77777777" w:rsidR="00564738" w:rsidRPr="00E4435D" w:rsidRDefault="00564738" w:rsidP="00B07C24">
            <w:pPr>
              <w:jc w:val="right"/>
              <w:rPr>
                <w:rFonts w:ascii="Roboto" w:hAnsi="Roboto" w:cs="Calibri"/>
                <w:color w:val="000000"/>
              </w:rPr>
            </w:pPr>
            <w:r w:rsidRPr="00E4435D">
              <w:rPr>
                <w:rFonts w:ascii="Roboto" w:hAnsi="Roboto" w:cs="Calibri"/>
                <w:color w:val="000000"/>
              </w:rPr>
              <w:t>0.56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4AE8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0.68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7316" w14:textId="77777777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Observed accuracy vs. expected accuracy due to chance</w:t>
            </w:r>
          </w:p>
        </w:tc>
      </w:tr>
      <w:tr w:rsidR="00564738" w:rsidRPr="00E4435D" w14:paraId="4575709A" w14:textId="77777777" w:rsidTr="00594A65">
        <w:trPr>
          <w:trHeight w:val="241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0F3E" w14:textId="77777777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Omissions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70FF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0.42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DEAC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0.34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45E0" w14:textId="2808535A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Percent incorrect absence predicted (</w:t>
            </w:r>
            <w:r w:rsidR="00594A65">
              <w:rPr>
                <w:rFonts w:ascii="Arial" w:hAnsi="Arial" w:cs="Arial"/>
                <w:color w:val="000000"/>
              </w:rPr>
              <w:t>False Negative (</w:t>
            </w:r>
            <w:r w:rsidRPr="00E4435D">
              <w:rPr>
                <w:rFonts w:ascii="Arial" w:hAnsi="Arial" w:cs="Arial"/>
                <w:color w:val="000000"/>
              </w:rPr>
              <w:t>FN</w:t>
            </w:r>
            <w:r w:rsidR="00594A65">
              <w:rPr>
                <w:rFonts w:ascii="Arial" w:hAnsi="Arial" w:cs="Arial"/>
                <w:color w:val="000000"/>
              </w:rPr>
              <w:t>)</w:t>
            </w:r>
            <w:r w:rsidRPr="00E4435D">
              <w:rPr>
                <w:rFonts w:ascii="Arial" w:hAnsi="Arial" w:cs="Arial"/>
                <w:color w:val="000000"/>
              </w:rPr>
              <w:t xml:space="preserve"> / (FN + </w:t>
            </w:r>
            <w:r w:rsidR="00594A65">
              <w:rPr>
                <w:rFonts w:ascii="Arial" w:hAnsi="Arial" w:cs="Arial"/>
                <w:color w:val="000000"/>
              </w:rPr>
              <w:t>True Negative (</w:t>
            </w:r>
            <w:r w:rsidRPr="00E4435D">
              <w:rPr>
                <w:rFonts w:ascii="Arial" w:hAnsi="Arial" w:cs="Arial"/>
                <w:color w:val="000000"/>
              </w:rPr>
              <w:t>TN</w:t>
            </w:r>
            <w:r w:rsidR="00594A65">
              <w:rPr>
                <w:rFonts w:ascii="Arial" w:hAnsi="Arial" w:cs="Arial"/>
                <w:color w:val="000000"/>
              </w:rPr>
              <w:t>)</w:t>
            </w:r>
            <w:r w:rsidRPr="00E4435D">
              <w:rPr>
                <w:rFonts w:ascii="Arial" w:hAnsi="Arial" w:cs="Arial"/>
                <w:color w:val="000000"/>
              </w:rPr>
              <w:t>))</w:t>
            </w:r>
          </w:p>
        </w:tc>
      </w:tr>
      <w:tr w:rsidR="00564738" w:rsidRPr="00E4435D" w14:paraId="00CFD56E" w14:textId="77777777" w:rsidTr="00594A65">
        <w:trPr>
          <w:trHeight w:val="241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8FB3" w14:textId="77777777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Sensitivity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9202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0.58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113E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0.66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7267" w14:textId="77777777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Percent correct presence predicted (TP / (TP + FN))</w:t>
            </w:r>
          </w:p>
        </w:tc>
      </w:tr>
      <w:tr w:rsidR="00564738" w:rsidRPr="00E4435D" w14:paraId="1C61D7B8" w14:textId="77777777" w:rsidTr="00594A65">
        <w:trPr>
          <w:trHeight w:val="241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81AD" w14:textId="77777777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Specificity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A3D6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0.94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33D0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0.97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A20E" w14:textId="77777777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Percent correct absence predicted (TN / (TN + FP))</w:t>
            </w:r>
          </w:p>
        </w:tc>
      </w:tr>
      <w:tr w:rsidR="00564738" w:rsidRPr="00E4435D" w14:paraId="1446C4D6" w14:textId="77777777" w:rsidTr="00594A65">
        <w:trPr>
          <w:trHeight w:val="241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5F25" w14:textId="77777777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Percent Correct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FC36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0.84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8181" w14:textId="77777777" w:rsidR="00564738" w:rsidRPr="00E4435D" w:rsidRDefault="00564738" w:rsidP="00B07C24">
            <w:pPr>
              <w:jc w:val="right"/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0.88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FC32" w14:textId="77777777" w:rsidR="00564738" w:rsidRPr="00E4435D" w:rsidRDefault="00564738" w:rsidP="00B07C24">
            <w:pPr>
              <w:rPr>
                <w:rFonts w:ascii="Arial" w:hAnsi="Arial" w:cs="Arial"/>
                <w:color w:val="000000"/>
              </w:rPr>
            </w:pPr>
            <w:r w:rsidRPr="00E4435D">
              <w:rPr>
                <w:rFonts w:ascii="Arial" w:hAnsi="Arial" w:cs="Arial"/>
                <w:color w:val="000000"/>
              </w:rPr>
              <w:t>Correct predictions vs. total samples</w:t>
            </w:r>
          </w:p>
        </w:tc>
      </w:tr>
    </w:tbl>
    <w:p w14:paraId="79FA01D5" w14:textId="77777777" w:rsidR="00564738" w:rsidRPr="00594A65" w:rsidRDefault="00564738" w:rsidP="00594A65">
      <w:pPr>
        <w:spacing w:line="480" w:lineRule="auto"/>
      </w:pPr>
    </w:p>
    <w:p w14:paraId="2A098857" w14:textId="32CE57E3" w:rsidR="00594A65" w:rsidRPr="00594A65" w:rsidRDefault="00564738" w:rsidP="00594A65">
      <w:pPr>
        <w:spacing w:line="480" w:lineRule="auto"/>
      </w:pPr>
      <w:r w:rsidRPr="00594A65">
        <w:rPr>
          <w:b/>
        </w:rPr>
        <w:t>Supplement</w:t>
      </w:r>
      <w:r w:rsidR="00F26EFA">
        <w:rPr>
          <w:b/>
        </w:rPr>
        <w:t>ary</w:t>
      </w:r>
      <w:r w:rsidRPr="00594A65">
        <w:rPr>
          <w:b/>
        </w:rPr>
        <w:t xml:space="preserve"> Table 1. </w:t>
      </w:r>
      <w:r w:rsidR="00594A65" w:rsidRPr="00594A65">
        <w:rPr>
          <w:color w:val="222222"/>
          <w:shd w:val="clear" w:color="auto" w:fill="FFFFFF"/>
        </w:rPr>
        <w:t xml:space="preserve">Selected </w:t>
      </w:r>
      <w:proofErr w:type="spellStart"/>
      <w:r w:rsidR="00594A65" w:rsidRPr="00594A65">
        <w:rPr>
          <w:color w:val="222222"/>
          <w:shd w:val="clear" w:color="auto" w:fill="FFFFFF"/>
        </w:rPr>
        <w:t>MaxNet</w:t>
      </w:r>
      <w:proofErr w:type="spellEnd"/>
      <w:r w:rsidR="00594A65" w:rsidRPr="00594A65">
        <w:rPr>
          <w:color w:val="222222"/>
          <w:shd w:val="clear" w:color="auto" w:fill="FFFFFF"/>
        </w:rPr>
        <w:t xml:space="preserve"> models are shown</w:t>
      </w:r>
      <w:r w:rsidR="000C5531">
        <w:rPr>
          <w:color w:val="222222"/>
          <w:shd w:val="clear" w:color="auto" w:fill="FFFFFF"/>
        </w:rPr>
        <w:t>.</w:t>
      </w:r>
      <w:r w:rsidR="00594A65" w:rsidRPr="00594A65">
        <w:rPr>
          <w:color w:val="222222"/>
          <w:shd w:val="clear" w:color="auto" w:fill="FFFFFF"/>
        </w:rPr>
        <w:t xml:space="preserve"> </w:t>
      </w:r>
      <w:r w:rsidR="006F316F">
        <w:rPr>
          <w:color w:val="222222"/>
          <w:shd w:val="clear" w:color="auto" w:fill="FFFFFF"/>
        </w:rPr>
        <w:t xml:space="preserve">The </w:t>
      </w:r>
      <w:r w:rsidR="00594A65" w:rsidRPr="00594A65">
        <w:rPr>
          <w:color w:val="222222"/>
          <w:shd w:val="clear" w:color="auto" w:fill="FFFFFF"/>
        </w:rPr>
        <w:t xml:space="preserve">dissolved oxygen only </w:t>
      </w:r>
      <w:r w:rsidR="006F316F">
        <w:rPr>
          <w:color w:val="222222"/>
          <w:shd w:val="clear" w:color="auto" w:fill="FFFFFF"/>
        </w:rPr>
        <w:t xml:space="preserve">model </w:t>
      </w:r>
      <w:r w:rsidR="000C5531">
        <w:rPr>
          <w:color w:val="222222"/>
          <w:shd w:val="clear" w:color="auto" w:fill="FFFFFF"/>
        </w:rPr>
        <w:t xml:space="preserve">is </w:t>
      </w:r>
      <w:r w:rsidR="00594A65" w:rsidRPr="00594A65">
        <w:rPr>
          <w:color w:val="222222"/>
          <w:shd w:val="clear" w:color="auto" w:fill="FFFFFF"/>
        </w:rPr>
        <w:t xml:space="preserve">compared to a model fit using a full range of World Ocean Atlas variables </w:t>
      </w:r>
      <w:r w:rsidR="006F316F">
        <w:rPr>
          <w:color w:val="222222"/>
          <w:shd w:val="clear" w:color="auto" w:fill="FFFFFF"/>
        </w:rPr>
        <w:t xml:space="preserve">with </w:t>
      </w:r>
      <w:r w:rsidR="00594A65" w:rsidRPr="00594A65">
        <w:rPr>
          <w:color w:val="222222"/>
          <w:shd w:val="clear" w:color="auto" w:fill="FFFFFF"/>
        </w:rPr>
        <w:t>performance statistics and their descriptions. Including more variables generally increases model performance statistics at the risk of overfitting. Here the oxygen-only model performs comparably to the full-variable model (</w:t>
      </w:r>
      <w:proofErr w:type="gramStart"/>
      <w:r w:rsidR="00594A65" w:rsidRPr="00594A65">
        <w:rPr>
          <w:color w:val="222222"/>
          <w:shd w:val="clear" w:color="auto" w:fill="FFFFFF"/>
        </w:rPr>
        <w:t>e.g.</w:t>
      </w:r>
      <w:proofErr w:type="gramEnd"/>
      <w:r w:rsidR="00594A65" w:rsidRPr="00594A65">
        <w:rPr>
          <w:color w:val="222222"/>
          <w:shd w:val="clear" w:color="auto" w:fill="FFFFFF"/>
        </w:rPr>
        <w:t xml:space="preserve"> 0.87 vs. 0.92 AUC). SDMs were run using a variety of </w:t>
      </w:r>
      <w:r w:rsidR="006F316F" w:rsidRPr="00594A65">
        <w:rPr>
          <w:color w:val="222222"/>
          <w:shd w:val="clear" w:color="auto" w:fill="FFFFFF"/>
        </w:rPr>
        <w:t>common</w:t>
      </w:r>
      <w:r w:rsidR="00594A65" w:rsidRPr="00594A65">
        <w:rPr>
          <w:color w:val="222222"/>
          <w:shd w:val="clear" w:color="auto" w:fill="FFFFFF"/>
        </w:rPr>
        <w:t xml:space="preserve"> statistical and machine learning algorithms, including Logistic Regression, Gradient Boosting, </w:t>
      </w:r>
      <w:proofErr w:type="spellStart"/>
      <w:r w:rsidR="00594A65" w:rsidRPr="00594A65">
        <w:rPr>
          <w:color w:val="222222"/>
          <w:shd w:val="clear" w:color="auto" w:fill="FFFFFF"/>
        </w:rPr>
        <w:t>MaxEnt</w:t>
      </w:r>
      <w:proofErr w:type="spellEnd"/>
      <w:r w:rsidR="00594A65" w:rsidRPr="00594A65">
        <w:rPr>
          <w:color w:val="222222"/>
          <w:shd w:val="clear" w:color="auto" w:fill="FFFFFF"/>
        </w:rPr>
        <w:t xml:space="preserve">, </w:t>
      </w:r>
      <w:proofErr w:type="spellStart"/>
      <w:r w:rsidR="00594A65" w:rsidRPr="00594A65">
        <w:rPr>
          <w:color w:val="222222"/>
          <w:shd w:val="clear" w:color="auto" w:fill="FFFFFF"/>
        </w:rPr>
        <w:t>MaxNet</w:t>
      </w:r>
      <w:proofErr w:type="spellEnd"/>
      <w:r w:rsidR="00594A65" w:rsidRPr="00594A65">
        <w:rPr>
          <w:color w:val="222222"/>
          <w:shd w:val="clear" w:color="auto" w:fill="FFFFFF"/>
        </w:rPr>
        <w:t xml:space="preserve"> (an open-source reimplementation of </w:t>
      </w:r>
      <w:proofErr w:type="spellStart"/>
      <w:r w:rsidR="00594A65" w:rsidRPr="00594A65">
        <w:rPr>
          <w:color w:val="222222"/>
          <w:shd w:val="clear" w:color="auto" w:fill="FFFFFF"/>
        </w:rPr>
        <w:t>MaxEnt</w:t>
      </w:r>
      <w:proofErr w:type="spellEnd"/>
      <w:r w:rsidR="00594A65" w:rsidRPr="00594A65">
        <w:rPr>
          <w:color w:val="222222"/>
          <w:shd w:val="clear" w:color="auto" w:fill="FFFFFF"/>
        </w:rPr>
        <w:t xml:space="preserve">), and Random Forests. Each model was rerun multiple times using randomly withheld data for cross-validation (k = 5). While Random Forest models slightly outperformed the </w:t>
      </w:r>
      <w:proofErr w:type="spellStart"/>
      <w:r w:rsidR="00594A65" w:rsidRPr="00594A65">
        <w:rPr>
          <w:color w:val="222222"/>
          <w:shd w:val="clear" w:color="auto" w:fill="FFFFFF"/>
        </w:rPr>
        <w:t>MaxNet</w:t>
      </w:r>
      <w:proofErr w:type="spellEnd"/>
      <w:r w:rsidR="00594A65" w:rsidRPr="00594A65">
        <w:rPr>
          <w:color w:val="222222"/>
          <w:shd w:val="clear" w:color="auto" w:fill="FFFFFF"/>
        </w:rPr>
        <w:t xml:space="preserve"> models, this came at the expense of overfitting as evident in unrealistically discrete spatial patterns.</w:t>
      </w:r>
    </w:p>
    <w:p w14:paraId="3A812358" w14:textId="4AC03531" w:rsidR="00564738" w:rsidRDefault="00564738" w:rsidP="00062AB7">
      <w:pPr>
        <w:spacing w:line="480" w:lineRule="auto"/>
      </w:pPr>
    </w:p>
    <w:p w14:paraId="0735C0E3" w14:textId="77777777" w:rsidR="00564738" w:rsidRPr="00472B91" w:rsidRDefault="00564738" w:rsidP="00062AB7">
      <w:pPr>
        <w:spacing w:line="480" w:lineRule="auto"/>
      </w:pPr>
    </w:p>
    <w:p w14:paraId="343576BE" w14:textId="77777777" w:rsidR="00564738" w:rsidRDefault="00564738" w:rsidP="00144985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32AB0F97" wp14:editId="6781DE42">
            <wp:extent cx="5906278" cy="2934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0247" cy="293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92C4C" w14:textId="385BF725" w:rsidR="00564738" w:rsidRDefault="00F26EFA" w:rsidP="00144985">
      <w:pPr>
        <w:spacing w:line="480" w:lineRule="auto"/>
      </w:pPr>
      <w:r w:rsidRPr="00594A65">
        <w:rPr>
          <w:b/>
        </w:rPr>
        <w:t>Supplement</w:t>
      </w:r>
      <w:r>
        <w:rPr>
          <w:b/>
        </w:rPr>
        <w:t>ary</w:t>
      </w:r>
      <w:r w:rsidRPr="00594A65">
        <w:rPr>
          <w:b/>
        </w:rPr>
        <w:t xml:space="preserve"> </w:t>
      </w:r>
      <w:r w:rsidR="00564738">
        <w:rPr>
          <w:b/>
          <w:bCs/>
        </w:rPr>
        <w:t xml:space="preserve">Figure 1. </w:t>
      </w:r>
      <w:r w:rsidR="00564738">
        <w:t>Modern oxygen minimum distributions based on aggregated WOA18 oxygen data collected in years 1955-2010</w:t>
      </w:r>
      <w:r w:rsidR="00564738" w:rsidRPr="007D4729">
        <w:rPr>
          <w:noProof/>
          <w:vertAlign w:val="superscript"/>
        </w:rPr>
        <w:t>1</w:t>
      </w:r>
      <w:r w:rsidR="00564738">
        <w:t>, with lower</w:t>
      </w:r>
      <w:r w:rsidR="00564738" w:rsidRPr="00472B91">
        <w:t xml:space="preserve"> O</w:t>
      </w:r>
      <w:r w:rsidR="00564738" w:rsidRPr="00472B91">
        <w:rPr>
          <w:vertAlign w:val="subscript"/>
        </w:rPr>
        <w:t>2</w:t>
      </w:r>
      <w:r w:rsidR="00564738" w:rsidRPr="00472B91">
        <w:rPr>
          <w:b/>
        </w:rPr>
        <w:t xml:space="preserve"> </w:t>
      </w:r>
      <w:r w:rsidR="00564738" w:rsidRPr="00472B91">
        <w:t>concentrations shown in</w:t>
      </w:r>
      <w:r w:rsidR="00564738">
        <w:t xml:space="preserve"> darker</w:t>
      </w:r>
      <w:r w:rsidR="00564738" w:rsidRPr="00472B91">
        <w:t xml:space="preserve"> </w:t>
      </w:r>
      <w:r w:rsidR="00564738">
        <w:t>red</w:t>
      </w:r>
      <w:r w:rsidR="00564738" w:rsidRPr="00472B91">
        <w:t>.</w:t>
      </w:r>
      <w:r w:rsidR="00564738">
        <w:t xml:space="preserve"> Abundances of </w:t>
      </w:r>
      <w:r w:rsidR="00564738">
        <w:rPr>
          <w:i/>
          <w:iCs/>
        </w:rPr>
        <w:t>G. hexagonus</w:t>
      </w:r>
      <w:r w:rsidR="00564738">
        <w:t xml:space="preserve"> &gt; 0.3% of the assemblage are shown in purple, and &gt; 1% in pink. Absences are shown as open grey circles. Shapes indicate different sources: </w:t>
      </w:r>
      <w:proofErr w:type="spellStart"/>
      <w:r w:rsidR="00564738">
        <w:t>ForC</w:t>
      </w:r>
      <w:r w:rsidR="00341BEF">
        <w:t>enS</w:t>
      </w:r>
      <w:proofErr w:type="spellEnd"/>
      <w:r w:rsidR="00564738">
        <w:t xml:space="preserve"> (triangles)</w:t>
      </w:r>
      <w:r w:rsidR="00564738" w:rsidRPr="007D4729">
        <w:rPr>
          <w:noProof/>
          <w:vertAlign w:val="superscript"/>
        </w:rPr>
        <w:t>2</w:t>
      </w:r>
      <w:r w:rsidR="00564738">
        <w:t>, the Brown Foraminiferal Database (Atlantic Basin only; circles) and sediment trap and plankton tow data (squares)</w:t>
      </w:r>
      <w:r w:rsidR="00564738" w:rsidRPr="007D4729">
        <w:rPr>
          <w:noProof/>
          <w:vertAlign w:val="superscript"/>
        </w:rPr>
        <w:t>3-11</w:t>
      </w:r>
      <w:r w:rsidR="00564738">
        <w:t xml:space="preserve">. </w:t>
      </w:r>
      <w:r w:rsidR="000C5531">
        <w:t>Figure is</w:t>
      </w:r>
      <w:r w:rsidR="006F316F">
        <w:t xml:space="preserve"> meant to be</w:t>
      </w:r>
      <w:r w:rsidR="000C5531">
        <w:t xml:space="preserve"> illustrative of the potential to use a threshold such as &gt;1% (or at least 3 individuals) to avoid ‘false </w:t>
      </w:r>
      <w:proofErr w:type="gramStart"/>
      <w:r w:rsidR="000C5531">
        <w:t>positives’</w:t>
      </w:r>
      <w:proofErr w:type="gramEnd"/>
      <w:r w:rsidR="006F316F">
        <w:t xml:space="preserve">. However, </w:t>
      </w:r>
      <w:r w:rsidR="000C5531">
        <w:t xml:space="preserve">small differences in relative abundance are not likely representative of differing environments. </w:t>
      </w:r>
    </w:p>
    <w:p w14:paraId="1AC507D9" w14:textId="77777777" w:rsidR="00564738" w:rsidRDefault="00564738" w:rsidP="00895E8E">
      <w:pPr>
        <w:spacing w:line="480" w:lineRule="auto"/>
      </w:pPr>
    </w:p>
    <w:p w14:paraId="13CAD811" w14:textId="77777777" w:rsidR="00564738" w:rsidRDefault="00564738" w:rsidP="00895E8E">
      <w:pPr>
        <w:spacing w:line="480" w:lineRule="auto"/>
      </w:pPr>
    </w:p>
    <w:p w14:paraId="67CFD28C" w14:textId="77777777" w:rsidR="00564738" w:rsidRDefault="00564738" w:rsidP="00895E8E">
      <w:pPr>
        <w:spacing w:line="480" w:lineRule="auto"/>
      </w:pPr>
    </w:p>
    <w:p w14:paraId="2ACD44EA" w14:textId="77777777" w:rsidR="00564738" w:rsidRDefault="00564738" w:rsidP="00895E8E">
      <w:pPr>
        <w:spacing w:line="480" w:lineRule="auto"/>
      </w:pPr>
    </w:p>
    <w:p w14:paraId="1FD988BF" w14:textId="77777777" w:rsidR="00564738" w:rsidRDefault="00564738" w:rsidP="00895E8E">
      <w:pPr>
        <w:spacing w:line="480" w:lineRule="auto"/>
      </w:pPr>
    </w:p>
    <w:p w14:paraId="775FC2A7" w14:textId="77777777" w:rsidR="00564738" w:rsidRDefault="00564738" w:rsidP="00895E8E">
      <w:pPr>
        <w:spacing w:line="480" w:lineRule="auto"/>
      </w:pPr>
    </w:p>
    <w:p w14:paraId="2FBB7482" w14:textId="77777777" w:rsidR="00564738" w:rsidRDefault="00564738" w:rsidP="00895E8E">
      <w:pPr>
        <w:spacing w:line="480" w:lineRule="auto"/>
      </w:pPr>
    </w:p>
    <w:p w14:paraId="4571722C" w14:textId="77777777" w:rsidR="00564738" w:rsidRDefault="00564738" w:rsidP="00A73786">
      <w:pPr>
        <w:spacing w:line="48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E4BB665" wp14:editId="19A13C67">
            <wp:extent cx="5943600" cy="47536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5DEBF" w14:textId="07F88B26" w:rsidR="00564738" w:rsidRDefault="00F26EFA" w:rsidP="00A73786">
      <w:pPr>
        <w:spacing w:line="480" w:lineRule="auto"/>
        <w:rPr>
          <w:bCs/>
        </w:rPr>
      </w:pPr>
      <w:r w:rsidRPr="00594A65">
        <w:rPr>
          <w:b/>
        </w:rPr>
        <w:t>Supplement</w:t>
      </w:r>
      <w:r>
        <w:rPr>
          <w:b/>
        </w:rPr>
        <w:t>ary</w:t>
      </w:r>
      <w:r w:rsidRPr="00594A65">
        <w:rPr>
          <w:b/>
        </w:rPr>
        <w:t xml:space="preserve"> </w:t>
      </w:r>
      <w:r w:rsidR="00564738">
        <w:rPr>
          <w:b/>
        </w:rPr>
        <w:t>Figure 2</w:t>
      </w:r>
      <w:r w:rsidR="00564738" w:rsidRPr="00472B91">
        <w:rPr>
          <w:b/>
        </w:rPr>
        <w:t>.</w:t>
      </w:r>
      <w:r w:rsidR="00564738">
        <w:rPr>
          <w:b/>
        </w:rPr>
        <w:t xml:space="preserve"> </w:t>
      </w:r>
      <w:r w:rsidR="00564738" w:rsidRPr="00AF2151">
        <w:rPr>
          <w:bCs/>
        </w:rPr>
        <w:t>Oxygen at</w:t>
      </w:r>
      <w:r w:rsidR="00564738" w:rsidRPr="00AF2151">
        <w:rPr>
          <w:bCs/>
          <w:vertAlign w:val="subscript"/>
        </w:rPr>
        <w:t xml:space="preserve"> </w:t>
      </w:r>
      <w:r w:rsidR="00564738" w:rsidRPr="00AF2151">
        <w:rPr>
          <w:bCs/>
        </w:rPr>
        <w:t xml:space="preserve">depth from WOA18. </w:t>
      </w:r>
      <w:r w:rsidR="00564738">
        <w:rPr>
          <w:bCs/>
        </w:rPr>
        <w:t xml:space="preserve">Each panel integrates over ~25-50 m with the midpoint labeled above the panel. </w:t>
      </w:r>
    </w:p>
    <w:p w14:paraId="29AF1A48" w14:textId="77777777" w:rsidR="00564738" w:rsidRDefault="00564738" w:rsidP="00895E8E">
      <w:pPr>
        <w:spacing w:line="480" w:lineRule="auto"/>
      </w:pPr>
    </w:p>
    <w:p w14:paraId="3D900E47" w14:textId="77777777" w:rsidR="00564738" w:rsidRPr="00C666B4" w:rsidRDefault="00564738" w:rsidP="00A73786">
      <w:pPr>
        <w:spacing w:line="480" w:lineRule="auto"/>
        <w:rPr>
          <w:bCs/>
        </w:rPr>
      </w:pPr>
      <w:r>
        <w:rPr>
          <w:bCs/>
          <w:noProof/>
        </w:rPr>
        <w:lastRenderedPageBreak/>
        <w:drawing>
          <wp:inline distT="0" distB="0" distL="0" distR="0" wp14:anchorId="5996EA9F" wp14:editId="0DB3C03D">
            <wp:extent cx="3633318" cy="5980922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267" cy="599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E4C1B" w14:textId="66200519" w:rsidR="008B66EB" w:rsidRPr="008B66EB" w:rsidRDefault="00F26EFA" w:rsidP="008B66EB">
      <w:pPr>
        <w:spacing w:line="480" w:lineRule="auto"/>
      </w:pPr>
      <w:r w:rsidRPr="008B66EB">
        <w:t xml:space="preserve">Supplementary </w:t>
      </w:r>
      <w:r w:rsidR="00564738" w:rsidRPr="008B66EB">
        <w:t xml:space="preserve">Figure 3. Modern </w:t>
      </w:r>
      <w:r w:rsidR="00564738" w:rsidRPr="006F316F">
        <w:rPr>
          <w:i/>
          <w:iCs/>
        </w:rPr>
        <w:t>G. hexagonus</w:t>
      </w:r>
      <w:r w:rsidR="00564738" w:rsidRPr="008B66EB">
        <w:t xml:space="preserve"> </w:t>
      </w:r>
      <w:r w:rsidR="006F316F">
        <w:t>distribution</w:t>
      </w:r>
      <w:r w:rsidR="00564738" w:rsidRPr="008B66EB">
        <w:t xml:space="preserve"> by </w:t>
      </w:r>
      <w:r w:rsidR="006F316F">
        <w:t xml:space="preserve">data </w:t>
      </w:r>
      <w:r w:rsidR="00564738" w:rsidRPr="008B66EB">
        <w:t xml:space="preserve">source. The presence (solid blue circles) and absence (open gray circles) of </w:t>
      </w:r>
      <w:r w:rsidR="00564738" w:rsidRPr="006F316F">
        <w:rPr>
          <w:i/>
          <w:iCs/>
        </w:rPr>
        <w:t>G. hexagonus</w:t>
      </w:r>
      <w:r w:rsidR="00564738" w:rsidRPr="008B66EB">
        <w:t xml:space="preserve"> from </w:t>
      </w:r>
      <w:proofErr w:type="spellStart"/>
      <w:r w:rsidR="00564738" w:rsidRPr="008B66EB">
        <w:t>ForCENs</w:t>
      </w:r>
      <w:proofErr w:type="spellEnd"/>
      <w:r w:rsidR="00564738" w:rsidRPr="008B66EB">
        <w:t xml:space="preserve"> (top), the Brown Foraminiferal Database (Atlantic Basin only; middle) and published sediment trap and plankton tow data (bottom). </w:t>
      </w:r>
      <w:r w:rsidR="00DE27D9">
        <w:t>Base map m</w:t>
      </w:r>
      <w:r w:rsidR="008B66EB" w:rsidRPr="008B66EB">
        <w:t>ade with Natural Earth</w:t>
      </w:r>
      <w:r w:rsidR="008B66EB">
        <w:t xml:space="preserve"> (http://www.</w:t>
      </w:r>
      <w:r w:rsidR="008B66EB" w:rsidRPr="008B66EB">
        <w:t>naturalearthdata.com</w:t>
      </w:r>
      <w:r w:rsidR="008B66EB">
        <w:t>)</w:t>
      </w:r>
      <w:r w:rsidR="008B66EB" w:rsidRPr="008B66EB">
        <w:t>.</w:t>
      </w:r>
    </w:p>
    <w:p w14:paraId="73FA9EB8" w14:textId="77777777" w:rsidR="008B66EB" w:rsidRPr="008B66EB" w:rsidRDefault="008B66EB" w:rsidP="008B66EB">
      <w:pPr>
        <w:spacing w:line="480" w:lineRule="auto"/>
      </w:pPr>
    </w:p>
    <w:p w14:paraId="5A8096A1" w14:textId="70A7DCCC" w:rsidR="00564738" w:rsidRDefault="00564738" w:rsidP="00A73786">
      <w:pPr>
        <w:spacing w:line="480" w:lineRule="auto"/>
      </w:pPr>
    </w:p>
    <w:p w14:paraId="121F7A5A" w14:textId="77777777" w:rsidR="00564738" w:rsidRDefault="00564738" w:rsidP="002C459B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43E29BE8" wp14:editId="6783F283">
            <wp:extent cx="4879910" cy="584526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545" cy="585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59CB2" w14:textId="4C3E5898" w:rsidR="00564738" w:rsidRDefault="00F26EFA" w:rsidP="002C459B">
      <w:pPr>
        <w:spacing w:line="480" w:lineRule="auto"/>
      </w:pPr>
      <w:r w:rsidRPr="00594A65">
        <w:rPr>
          <w:b/>
        </w:rPr>
        <w:t>Supplement</w:t>
      </w:r>
      <w:r>
        <w:rPr>
          <w:b/>
        </w:rPr>
        <w:t>ary</w:t>
      </w:r>
      <w:r w:rsidRPr="00594A65">
        <w:rPr>
          <w:b/>
        </w:rPr>
        <w:t xml:space="preserve"> </w:t>
      </w:r>
      <w:r w:rsidR="00564738">
        <w:rPr>
          <w:b/>
          <w:bCs/>
        </w:rPr>
        <w:t xml:space="preserve">Figure 4. </w:t>
      </w:r>
      <w:r w:rsidR="00564738" w:rsidRPr="00AF2151">
        <w:t>Comparison of oxygen at ~600 m</w:t>
      </w:r>
      <w:r w:rsidR="00564738">
        <w:t xml:space="preserve"> between </w:t>
      </w:r>
      <w:r w:rsidR="00564738" w:rsidRPr="00290AE4">
        <w:t>(A)</w:t>
      </w:r>
      <w:r w:rsidR="00564738">
        <w:rPr>
          <w:b/>
          <w:bCs/>
        </w:rPr>
        <w:t xml:space="preserve"> </w:t>
      </w:r>
      <w:r w:rsidR="00564738">
        <w:t xml:space="preserve">modern aggregated WOA18 data (1950-2018) </w:t>
      </w:r>
      <w:r w:rsidR="00564738" w:rsidRPr="007D4729">
        <w:rPr>
          <w:noProof/>
          <w:vertAlign w:val="superscript"/>
        </w:rPr>
        <w:t>1</w:t>
      </w:r>
      <w:r w:rsidR="00564738">
        <w:t xml:space="preserve"> and (B) dissolved oxygen output from the Pre-Industrial CESM simulation. Lower</w:t>
      </w:r>
      <w:r w:rsidR="00564738" w:rsidRPr="00472B91">
        <w:t xml:space="preserve"> O</w:t>
      </w:r>
      <w:r w:rsidR="00564738" w:rsidRPr="00472B91">
        <w:rPr>
          <w:vertAlign w:val="subscript"/>
        </w:rPr>
        <w:t>2</w:t>
      </w:r>
      <w:r w:rsidR="00564738" w:rsidRPr="00472B91">
        <w:rPr>
          <w:b/>
        </w:rPr>
        <w:t xml:space="preserve"> </w:t>
      </w:r>
      <w:r w:rsidR="00564738" w:rsidRPr="00472B91">
        <w:t xml:space="preserve">concentrations </w:t>
      </w:r>
      <w:r w:rsidR="00564738">
        <w:t xml:space="preserve">are </w:t>
      </w:r>
      <w:r w:rsidR="00564738" w:rsidRPr="00472B91">
        <w:t xml:space="preserve">shown in </w:t>
      </w:r>
      <w:r w:rsidR="00564738">
        <w:t>darker red</w:t>
      </w:r>
    </w:p>
    <w:p w14:paraId="587935E0" w14:textId="77777777" w:rsidR="00564738" w:rsidRDefault="00564738" w:rsidP="00A73786">
      <w:pPr>
        <w:spacing w:line="480" w:lineRule="auto"/>
      </w:pPr>
    </w:p>
    <w:p w14:paraId="3D14AAB7" w14:textId="77777777" w:rsidR="00564738" w:rsidRPr="00E4435D" w:rsidRDefault="00564738" w:rsidP="00895E8E">
      <w:pPr>
        <w:spacing w:line="480" w:lineRule="auto"/>
      </w:pPr>
    </w:p>
    <w:p w14:paraId="5CE60E3D" w14:textId="77777777" w:rsidR="00564738" w:rsidRDefault="00564738" w:rsidP="00895E8E">
      <w:pPr>
        <w:spacing w:line="480" w:lineRule="auto"/>
      </w:pPr>
      <w:r w:rsidRPr="007C5BC3">
        <w:rPr>
          <w:noProof/>
        </w:rPr>
        <w:lastRenderedPageBreak/>
        <w:drawing>
          <wp:inline distT="0" distB="0" distL="0" distR="0" wp14:anchorId="4BFB869F" wp14:editId="0B686558">
            <wp:extent cx="5495925" cy="4391025"/>
            <wp:effectExtent l="0" t="0" r="0" b="0"/>
            <wp:docPr id="4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D1940" w14:textId="3BCE5CF0" w:rsidR="00564738" w:rsidRDefault="00F26EFA" w:rsidP="00895E8E">
      <w:pPr>
        <w:spacing w:line="480" w:lineRule="auto"/>
      </w:pPr>
      <w:r w:rsidRPr="00594A65">
        <w:rPr>
          <w:b/>
        </w:rPr>
        <w:t>Supplement</w:t>
      </w:r>
      <w:r>
        <w:rPr>
          <w:b/>
        </w:rPr>
        <w:t>ary</w:t>
      </w:r>
      <w:r w:rsidRPr="00594A65">
        <w:rPr>
          <w:b/>
        </w:rPr>
        <w:t xml:space="preserve"> </w:t>
      </w:r>
      <w:r w:rsidR="00564738">
        <w:rPr>
          <w:b/>
        </w:rPr>
        <w:t>Figure 5</w:t>
      </w:r>
      <w:r w:rsidR="00564738" w:rsidRPr="00472B91">
        <w:rPr>
          <w:b/>
        </w:rPr>
        <w:t>.</w:t>
      </w:r>
      <w:r w:rsidR="00564738">
        <w:rPr>
          <w:b/>
        </w:rPr>
        <w:t xml:space="preserve"> </w:t>
      </w:r>
      <w:r w:rsidR="00564738" w:rsidRPr="00AF2151">
        <w:rPr>
          <w:bCs/>
        </w:rPr>
        <w:t>Oxygen at</w:t>
      </w:r>
      <w:r w:rsidR="00564738" w:rsidRPr="00AF2151">
        <w:rPr>
          <w:bCs/>
          <w:vertAlign w:val="subscript"/>
        </w:rPr>
        <w:t xml:space="preserve"> </w:t>
      </w:r>
      <w:r w:rsidR="00564738" w:rsidRPr="00AF2151">
        <w:rPr>
          <w:bCs/>
        </w:rPr>
        <w:t xml:space="preserve">depth through </w:t>
      </w:r>
      <w:r w:rsidR="006F316F">
        <w:rPr>
          <w:bCs/>
        </w:rPr>
        <w:t xml:space="preserve">the </w:t>
      </w:r>
      <w:r w:rsidR="00564738" w:rsidRPr="00AF2151">
        <w:rPr>
          <w:bCs/>
        </w:rPr>
        <w:t xml:space="preserve">Pliocene-like simulation. </w:t>
      </w:r>
      <w:r w:rsidR="00564738">
        <w:rPr>
          <w:bCs/>
        </w:rPr>
        <w:t>Slices are chosen to best compare to Supplemental Figure 2 and the layer nearest to each slice is shown</w:t>
      </w:r>
      <w:r w:rsidR="00564738">
        <w:t xml:space="preserve">. </w:t>
      </w:r>
    </w:p>
    <w:p w14:paraId="717E4C9E" w14:textId="77777777" w:rsidR="00564738" w:rsidRDefault="00564738" w:rsidP="00895E8E">
      <w:pPr>
        <w:spacing w:line="480" w:lineRule="auto"/>
      </w:pPr>
    </w:p>
    <w:p w14:paraId="154E3539" w14:textId="77777777" w:rsidR="00564738" w:rsidRDefault="00564738" w:rsidP="00895E8E">
      <w:pPr>
        <w:spacing w:line="480" w:lineRule="auto"/>
      </w:pPr>
    </w:p>
    <w:p w14:paraId="745C9968" w14:textId="77777777" w:rsidR="00564738" w:rsidRDefault="00564738" w:rsidP="00895E8E">
      <w:pPr>
        <w:spacing w:line="480" w:lineRule="auto"/>
      </w:pPr>
    </w:p>
    <w:p w14:paraId="1F76127C" w14:textId="77777777" w:rsidR="00564738" w:rsidRDefault="00564738" w:rsidP="00895E8E">
      <w:pPr>
        <w:spacing w:line="480" w:lineRule="auto"/>
      </w:pPr>
    </w:p>
    <w:p w14:paraId="0FAFE183" w14:textId="77777777" w:rsidR="00564738" w:rsidRPr="00714FDA" w:rsidRDefault="00564738" w:rsidP="00895E8E">
      <w:pPr>
        <w:spacing w:line="480" w:lineRule="auto"/>
      </w:pPr>
    </w:p>
    <w:p w14:paraId="696B167C" w14:textId="77777777" w:rsidR="00564738" w:rsidRDefault="00564738" w:rsidP="00895E8E">
      <w:pPr>
        <w:spacing w:line="480" w:lineRule="auto"/>
      </w:pPr>
    </w:p>
    <w:p w14:paraId="4C4A8038" w14:textId="77777777" w:rsidR="00564738" w:rsidRDefault="00564738" w:rsidP="00895E8E">
      <w:pPr>
        <w:spacing w:line="480" w:lineRule="auto"/>
      </w:pPr>
    </w:p>
    <w:p w14:paraId="6125B0C5" w14:textId="77777777" w:rsidR="00564738" w:rsidRDefault="00564738" w:rsidP="00895E8E">
      <w:pPr>
        <w:spacing w:line="480" w:lineRule="auto"/>
      </w:pPr>
    </w:p>
    <w:p w14:paraId="7DFB59E4" w14:textId="77777777" w:rsidR="00564738" w:rsidRDefault="00564738" w:rsidP="00895E8E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3F04A3CE" wp14:editId="300CF093">
            <wp:extent cx="5486400" cy="372853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48859" w14:textId="797D492B" w:rsidR="00564738" w:rsidRPr="00472B91" w:rsidRDefault="00F26EFA" w:rsidP="00895E8E">
      <w:pPr>
        <w:spacing w:line="480" w:lineRule="auto"/>
      </w:pPr>
      <w:r w:rsidRPr="00594A65">
        <w:rPr>
          <w:b/>
        </w:rPr>
        <w:t>Supplement</w:t>
      </w:r>
      <w:r>
        <w:rPr>
          <w:b/>
        </w:rPr>
        <w:t>ary</w:t>
      </w:r>
      <w:r w:rsidRPr="00594A65">
        <w:rPr>
          <w:b/>
        </w:rPr>
        <w:t xml:space="preserve"> </w:t>
      </w:r>
      <w:r w:rsidR="00564738" w:rsidRPr="00472B91">
        <w:rPr>
          <w:b/>
        </w:rPr>
        <w:t xml:space="preserve">Figure </w:t>
      </w:r>
      <w:r w:rsidR="00564738">
        <w:rPr>
          <w:b/>
        </w:rPr>
        <w:t>6</w:t>
      </w:r>
      <w:r w:rsidR="00564738" w:rsidRPr="00472B91">
        <w:rPr>
          <w:b/>
        </w:rPr>
        <w:t>.</w:t>
      </w:r>
      <w:r w:rsidR="00564738">
        <w:rPr>
          <w:b/>
        </w:rPr>
        <w:t xml:space="preserve"> </w:t>
      </w:r>
      <w:r w:rsidR="00564738">
        <w:rPr>
          <w:bCs/>
        </w:rPr>
        <w:t xml:space="preserve">Transects </w:t>
      </w:r>
      <w:r w:rsidR="00564738">
        <w:t>through the East Pacific (130</w:t>
      </w:r>
      <w:r w:rsidR="00564738">
        <w:rPr>
          <w:rFonts w:ascii="Symbol" w:eastAsia="Symbol" w:hAnsi="Symbol" w:cs="Symbol"/>
        </w:rPr>
        <w:t>°</w:t>
      </w:r>
      <w:r w:rsidR="00564738">
        <w:t>W) (A, C) and Central Atlantic (30</w:t>
      </w:r>
      <w:r w:rsidR="00564738">
        <w:rPr>
          <w:rFonts w:ascii="Symbol" w:eastAsia="Symbol" w:hAnsi="Symbol" w:cs="Symbol"/>
        </w:rPr>
        <w:t>°</w:t>
      </w:r>
      <w:r w:rsidR="00564738">
        <w:t>W) (B, D) show modern WOA18 data (1955-2010)</w:t>
      </w:r>
      <w:r w:rsidR="00564738" w:rsidRPr="007D4729">
        <w:rPr>
          <w:noProof/>
          <w:vertAlign w:val="superscript"/>
        </w:rPr>
        <w:t>1</w:t>
      </w:r>
      <w:r w:rsidR="00564738">
        <w:t xml:space="preserve"> and (A, B), outputs from the Pliocene simulation (C, D).</w:t>
      </w:r>
    </w:p>
    <w:p w14:paraId="5EDF965F" w14:textId="77777777" w:rsidR="00564738" w:rsidRDefault="00564738"/>
    <w:p w14:paraId="4298A4C3" w14:textId="77777777" w:rsidR="00564738" w:rsidRDefault="00564738"/>
    <w:p w14:paraId="74F5960B" w14:textId="77777777" w:rsidR="00564738" w:rsidRDefault="00564738"/>
    <w:p w14:paraId="0C8A0F99" w14:textId="77777777" w:rsidR="00564738" w:rsidRDefault="00564738" w:rsidP="00C666B4">
      <w:pPr>
        <w:spacing w:line="480" w:lineRule="auto"/>
        <w:rPr>
          <w:b/>
        </w:rPr>
      </w:pPr>
    </w:p>
    <w:p w14:paraId="27850DC4" w14:textId="77777777" w:rsidR="00564738" w:rsidRDefault="00564738" w:rsidP="00C666B4">
      <w:pPr>
        <w:spacing w:line="480" w:lineRule="auto"/>
        <w:rPr>
          <w:bCs/>
        </w:rPr>
      </w:pPr>
    </w:p>
    <w:p w14:paraId="366DDFFC" w14:textId="77777777" w:rsidR="00564738" w:rsidRDefault="00564738" w:rsidP="00C600A4">
      <w:pPr>
        <w:spacing w:line="480" w:lineRule="auto"/>
      </w:pPr>
    </w:p>
    <w:p w14:paraId="3036A0D6" w14:textId="77777777" w:rsidR="00564738" w:rsidRDefault="00564738" w:rsidP="00C600A4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7B760FF7" wp14:editId="7B4F6B64">
            <wp:extent cx="5943600" cy="27724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506DD" w14:textId="77777777" w:rsidR="00564738" w:rsidRDefault="00564738" w:rsidP="00C666B4">
      <w:pPr>
        <w:spacing w:line="480" w:lineRule="auto"/>
        <w:rPr>
          <w:bCs/>
        </w:rPr>
      </w:pPr>
    </w:p>
    <w:p w14:paraId="33A50CF3" w14:textId="29AB17FD" w:rsidR="00564738" w:rsidRPr="00A63947" w:rsidRDefault="00F26EFA" w:rsidP="008374D7">
      <w:pPr>
        <w:spacing w:line="480" w:lineRule="auto"/>
        <w:textAlignment w:val="baseline"/>
        <w:rPr>
          <w:bCs/>
          <w:color w:val="000000"/>
        </w:rPr>
      </w:pPr>
      <w:r w:rsidRPr="00594A65">
        <w:rPr>
          <w:b/>
        </w:rPr>
        <w:t>Supplement</w:t>
      </w:r>
      <w:r>
        <w:rPr>
          <w:b/>
        </w:rPr>
        <w:t>ary</w:t>
      </w:r>
      <w:r w:rsidRPr="00594A65">
        <w:rPr>
          <w:b/>
        </w:rPr>
        <w:t xml:space="preserve"> </w:t>
      </w:r>
      <w:r w:rsidR="00564738">
        <w:rPr>
          <w:b/>
          <w:bCs/>
        </w:rPr>
        <w:t>Figure 7</w:t>
      </w:r>
      <w:r w:rsidR="00564738" w:rsidRPr="00472B91">
        <w:rPr>
          <w:b/>
        </w:rPr>
        <w:t xml:space="preserve">. </w:t>
      </w:r>
      <w:r w:rsidR="00564738">
        <w:rPr>
          <w:bCs/>
        </w:rPr>
        <w:t xml:space="preserve">Minimum </w:t>
      </w:r>
      <w:r w:rsidR="00564738" w:rsidRPr="00472B91">
        <w:t>O</w:t>
      </w:r>
      <w:r w:rsidR="00564738" w:rsidRPr="00472B91">
        <w:rPr>
          <w:vertAlign w:val="subscript"/>
        </w:rPr>
        <w:t>2</w:t>
      </w:r>
      <w:r w:rsidR="00564738" w:rsidRPr="00472B91">
        <w:rPr>
          <w:b/>
        </w:rPr>
        <w:t xml:space="preserve"> </w:t>
      </w:r>
      <w:r w:rsidR="00564738">
        <w:rPr>
          <w:bCs/>
        </w:rPr>
        <w:t>within the upper 1000 m from</w:t>
      </w:r>
      <w:r w:rsidR="00564738">
        <w:t xml:space="preserve"> the Pliocene-like CESM simulation is shown with lower</w:t>
      </w:r>
      <w:r w:rsidR="00564738" w:rsidRPr="00472B91">
        <w:t xml:space="preserve"> O</w:t>
      </w:r>
      <w:r w:rsidR="00564738" w:rsidRPr="00472B91">
        <w:rPr>
          <w:vertAlign w:val="subscript"/>
        </w:rPr>
        <w:t>2</w:t>
      </w:r>
      <w:r w:rsidR="00564738" w:rsidRPr="00472B91">
        <w:rPr>
          <w:b/>
        </w:rPr>
        <w:t xml:space="preserve"> </w:t>
      </w:r>
      <w:r w:rsidR="00564738" w:rsidRPr="00472B91">
        <w:t xml:space="preserve">concentrations are shown in </w:t>
      </w:r>
      <w:r w:rsidR="00564738">
        <w:t xml:space="preserve">darker red. Regions where oxygen concentrations do not fall below 172 </w:t>
      </w:r>
      <w:r w:rsidR="00564738">
        <w:sym w:font="Symbol" w:char="F06D"/>
      </w:r>
      <w:r w:rsidR="00564738">
        <w:t>mol m</w:t>
      </w:r>
      <w:r w:rsidR="00564738">
        <w:rPr>
          <w:vertAlign w:val="superscript"/>
        </w:rPr>
        <w:t>-3</w:t>
      </w:r>
      <w:r w:rsidR="00564738">
        <w:t xml:space="preserve"> are white. </w:t>
      </w:r>
    </w:p>
    <w:p w14:paraId="5DEE96C0" w14:textId="77777777" w:rsidR="00564738" w:rsidRDefault="00564738" w:rsidP="00C666B4">
      <w:pPr>
        <w:spacing w:line="480" w:lineRule="auto"/>
      </w:pPr>
    </w:p>
    <w:p w14:paraId="251A20BD" w14:textId="360D78D2" w:rsidR="00564738" w:rsidRPr="00564738" w:rsidRDefault="006200F1">
      <w:pPr>
        <w:rPr>
          <w:b/>
          <w:bCs/>
        </w:rPr>
      </w:pPr>
      <w:r w:rsidRPr="00594A65">
        <w:rPr>
          <w:b/>
        </w:rPr>
        <w:t>Supplement</w:t>
      </w:r>
      <w:r>
        <w:rPr>
          <w:b/>
        </w:rPr>
        <w:t>ary</w:t>
      </w:r>
      <w:r w:rsidRPr="00594A65">
        <w:rPr>
          <w:b/>
        </w:rPr>
        <w:t xml:space="preserve"> </w:t>
      </w:r>
      <w:r w:rsidR="00564738">
        <w:rPr>
          <w:b/>
          <w:bCs/>
        </w:rPr>
        <w:t>References</w:t>
      </w:r>
    </w:p>
    <w:p w14:paraId="7666B618" w14:textId="77777777" w:rsidR="00564738" w:rsidRDefault="00564738"/>
    <w:p w14:paraId="5D64A2D7" w14:textId="77777777" w:rsidR="00564738" w:rsidRPr="007D4729" w:rsidRDefault="00564738" w:rsidP="007D4729">
      <w:pPr>
        <w:pStyle w:val="EndNoteBibliography"/>
        <w:ind w:left="720" w:hanging="720"/>
        <w:rPr>
          <w:noProof/>
        </w:rPr>
      </w:pPr>
      <w:r w:rsidRPr="007D4729">
        <w:rPr>
          <w:noProof/>
        </w:rPr>
        <w:t>1</w:t>
      </w:r>
      <w:r w:rsidRPr="007D4729">
        <w:rPr>
          <w:noProof/>
        </w:rPr>
        <w:tab/>
        <w:t>Garcia, H.</w:t>
      </w:r>
      <w:r w:rsidRPr="007D4729">
        <w:rPr>
          <w:i/>
          <w:noProof/>
        </w:rPr>
        <w:t xml:space="preserve"> et al.</w:t>
      </w:r>
      <w:r w:rsidRPr="007D4729">
        <w:rPr>
          <w:noProof/>
        </w:rPr>
        <w:t xml:space="preserve"> World Ocean Atlas 2018, Volume 3: Dissolved Oxygen, Apparent Oxygen Utilization, and Dissolved Oxygen Saturation (2019).</w:t>
      </w:r>
    </w:p>
    <w:p w14:paraId="78C7F023" w14:textId="77777777" w:rsidR="00564738" w:rsidRPr="007D4729" w:rsidRDefault="00564738" w:rsidP="007D4729">
      <w:pPr>
        <w:pStyle w:val="EndNoteBibliography"/>
        <w:ind w:left="720" w:hanging="720"/>
        <w:rPr>
          <w:noProof/>
        </w:rPr>
      </w:pPr>
      <w:r w:rsidRPr="007D4729">
        <w:rPr>
          <w:noProof/>
        </w:rPr>
        <w:t>2</w:t>
      </w:r>
      <w:r w:rsidRPr="007D4729">
        <w:rPr>
          <w:noProof/>
        </w:rPr>
        <w:tab/>
        <w:t xml:space="preserve">Siccha, M. &amp; Kucera, M. ForCenS, a curated database of planktonic foraminifera census counts in marine surface sediment samples. </w:t>
      </w:r>
      <w:r w:rsidRPr="007D4729">
        <w:rPr>
          <w:i/>
          <w:noProof/>
        </w:rPr>
        <w:t>Scientific Data</w:t>
      </w:r>
      <w:r w:rsidRPr="007D4729">
        <w:rPr>
          <w:noProof/>
        </w:rPr>
        <w:t xml:space="preserve"> </w:t>
      </w:r>
      <w:r w:rsidRPr="007D4729">
        <w:rPr>
          <w:b/>
          <w:noProof/>
        </w:rPr>
        <w:t>4</w:t>
      </w:r>
      <w:r w:rsidRPr="007D4729">
        <w:rPr>
          <w:noProof/>
        </w:rPr>
        <w:t>, 170109, doi:10.1038/sdata.2017.109 (2017).</w:t>
      </w:r>
    </w:p>
    <w:p w14:paraId="29546D58" w14:textId="77777777" w:rsidR="00564738" w:rsidRPr="007D4729" w:rsidRDefault="00564738" w:rsidP="007D4729">
      <w:pPr>
        <w:pStyle w:val="EndNoteBibliography"/>
        <w:ind w:left="720" w:hanging="720"/>
        <w:rPr>
          <w:noProof/>
        </w:rPr>
      </w:pPr>
      <w:r w:rsidRPr="007D4729">
        <w:rPr>
          <w:noProof/>
        </w:rPr>
        <w:t>3</w:t>
      </w:r>
      <w:r w:rsidRPr="007D4729">
        <w:rPr>
          <w:noProof/>
        </w:rPr>
        <w:tab/>
        <w:t xml:space="preserve">Birch, H., Coxall, H. K., Pearson, P. N., Kroon, D. &amp; O'Regan, M. Planktonic foraminifera stable isotopes and water column structure: Disentangling ecological signals. </w:t>
      </w:r>
      <w:r w:rsidRPr="007D4729">
        <w:rPr>
          <w:i/>
          <w:noProof/>
        </w:rPr>
        <w:t>Marine Micropaleontology</w:t>
      </w:r>
      <w:r w:rsidRPr="007D4729">
        <w:rPr>
          <w:noProof/>
        </w:rPr>
        <w:t xml:space="preserve"> </w:t>
      </w:r>
      <w:r w:rsidRPr="007D4729">
        <w:rPr>
          <w:b/>
          <w:noProof/>
        </w:rPr>
        <w:t>101</w:t>
      </w:r>
      <w:r w:rsidRPr="007D4729">
        <w:rPr>
          <w:noProof/>
        </w:rPr>
        <w:t>, 127-145 (2013).</w:t>
      </w:r>
    </w:p>
    <w:p w14:paraId="26F3A1E9" w14:textId="77777777" w:rsidR="00564738" w:rsidRPr="007D4729" w:rsidRDefault="00564738" w:rsidP="007D4729">
      <w:pPr>
        <w:pStyle w:val="EndNoteBibliography"/>
        <w:ind w:left="720" w:hanging="720"/>
        <w:rPr>
          <w:noProof/>
        </w:rPr>
      </w:pPr>
      <w:r w:rsidRPr="007D4729">
        <w:rPr>
          <w:noProof/>
        </w:rPr>
        <w:t>4</w:t>
      </w:r>
      <w:r w:rsidRPr="007D4729">
        <w:rPr>
          <w:noProof/>
        </w:rPr>
        <w:tab/>
        <w:t xml:space="preserve">Davis, C. V., Hill, T. M., Russell, A. D., Gaylord, B. &amp; Jahncke, J. Seasonality in planktic foraminifera of the central California coastal upwelling region. </w:t>
      </w:r>
      <w:r w:rsidRPr="007D4729">
        <w:rPr>
          <w:i/>
          <w:noProof/>
        </w:rPr>
        <w:t>Biogeosciences</w:t>
      </w:r>
      <w:r w:rsidRPr="007D4729">
        <w:rPr>
          <w:noProof/>
        </w:rPr>
        <w:t xml:space="preserve"> </w:t>
      </w:r>
      <w:r w:rsidRPr="007D4729">
        <w:rPr>
          <w:b/>
          <w:noProof/>
        </w:rPr>
        <w:t>13</w:t>
      </w:r>
      <w:r w:rsidRPr="007D4729">
        <w:rPr>
          <w:noProof/>
        </w:rPr>
        <w:t>, 5139 (2016).</w:t>
      </w:r>
    </w:p>
    <w:p w14:paraId="6B97326C" w14:textId="77777777" w:rsidR="00564738" w:rsidRPr="007D4729" w:rsidRDefault="00564738" w:rsidP="007D4729">
      <w:pPr>
        <w:pStyle w:val="EndNoteBibliography"/>
        <w:ind w:left="720" w:hanging="720"/>
        <w:rPr>
          <w:noProof/>
        </w:rPr>
      </w:pPr>
      <w:r w:rsidRPr="007D4729">
        <w:rPr>
          <w:noProof/>
        </w:rPr>
        <w:t>5</w:t>
      </w:r>
      <w:r w:rsidRPr="007D4729">
        <w:rPr>
          <w:noProof/>
        </w:rPr>
        <w:tab/>
        <w:t xml:space="preserve">Davis, C. V., Wishner, K., Renema, W. &amp; Hull, P. M. Vertical distribution of planktic foraminifera through an oxygen minimum zone: how assemblages and test morphology reflect oxygen concentrations. </w:t>
      </w:r>
      <w:r w:rsidRPr="007D4729">
        <w:rPr>
          <w:i/>
          <w:noProof/>
        </w:rPr>
        <w:t>Biogeosciences</w:t>
      </w:r>
      <w:r w:rsidRPr="007D4729">
        <w:rPr>
          <w:noProof/>
        </w:rPr>
        <w:t xml:space="preserve"> </w:t>
      </w:r>
      <w:r w:rsidRPr="007D4729">
        <w:rPr>
          <w:b/>
          <w:noProof/>
        </w:rPr>
        <w:t>18</w:t>
      </w:r>
      <w:r w:rsidRPr="007D4729">
        <w:rPr>
          <w:noProof/>
        </w:rPr>
        <w:t>, 977-992 (2021).</w:t>
      </w:r>
    </w:p>
    <w:p w14:paraId="22763DB7" w14:textId="77777777" w:rsidR="00564738" w:rsidRPr="007D4729" w:rsidRDefault="00564738" w:rsidP="007D4729">
      <w:pPr>
        <w:pStyle w:val="EndNoteBibliography"/>
        <w:ind w:left="720" w:hanging="720"/>
        <w:rPr>
          <w:noProof/>
        </w:rPr>
      </w:pPr>
      <w:r w:rsidRPr="007D4729">
        <w:rPr>
          <w:noProof/>
        </w:rPr>
        <w:t>6</w:t>
      </w:r>
      <w:r w:rsidRPr="007D4729">
        <w:rPr>
          <w:noProof/>
        </w:rPr>
        <w:tab/>
        <w:t xml:space="preserve">Fairbanks, R. G., Sverdlove, M., Free, R., Wiebe, P. H. &amp; Bé, A. W. Vertical distribution and isotopic fractionation of living planktonic foraminifera from the Panama Basin. </w:t>
      </w:r>
      <w:r w:rsidRPr="007D4729">
        <w:rPr>
          <w:i/>
          <w:noProof/>
        </w:rPr>
        <w:t>Nature</w:t>
      </w:r>
      <w:r w:rsidRPr="007D4729">
        <w:rPr>
          <w:noProof/>
        </w:rPr>
        <w:t xml:space="preserve"> </w:t>
      </w:r>
      <w:r w:rsidRPr="007D4729">
        <w:rPr>
          <w:b/>
          <w:noProof/>
        </w:rPr>
        <w:t>298</w:t>
      </w:r>
      <w:r w:rsidRPr="007D4729">
        <w:rPr>
          <w:noProof/>
        </w:rPr>
        <w:t>, 841-844 (1982).</w:t>
      </w:r>
    </w:p>
    <w:p w14:paraId="2D2A5F49" w14:textId="77777777" w:rsidR="00564738" w:rsidRPr="007D4729" w:rsidRDefault="00564738" w:rsidP="007D4729">
      <w:pPr>
        <w:pStyle w:val="EndNoteBibliography"/>
        <w:ind w:left="720" w:hanging="720"/>
        <w:rPr>
          <w:noProof/>
        </w:rPr>
      </w:pPr>
      <w:r w:rsidRPr="007D4729">
        <w:rPr>
          <w:noProof/>
        </w:rPr>
        <w:lastRenderedPageBreak/>
        <w:t>7</w:t>
      </w:r>
      <w:r w:rsidRPr="007D4729">
        <w:rPr>
          <w:noProof/>
        </w:rPr>
        <w:tab/>
        <w:t xml:space="preserve">Marchant, M., Hebbeln, D. &amp; Wefer, G. Seasonal flux patterns of planktic foraminifera in the Peru–Chile current. </w:t>
      </w:r>
      <w:r w:rsidRPr="007D4729">
        <w:rPr>
          <w:i/>
          <w:noProof/>
        </w:rPr>
        <w:t>Deep Sea Research Part I: Oceanographic Research Papers</w:t>
      </w:r>
      <w:r w:rsidRPr="007D4729">
        <w:rPr>
          <w:noProof/>
        </w:rPr>
        <w:t xml:space="preserve"> </w:t>
      </w:r>
      <w:r w:rsidRPr="007D4729">
        <w:rPr>
          <w:b/>
          <w:noProof/>
        </w:rPr>
        <w:t>45</w:t>
      </w:r>
      <w:r w:rsidRPr="007D4729">
        <w:rPr>
          <w:noProof/>
        </w:rPr>
        <w:t>, 1161-1185, d</w:t>
      </w:r>
      <w:r w:rsidRPr="00A63C57">
        <w:rPr>
          <w:noProof/>
          <w:color w:val="000000" w:themeColor="text1"/>
        </w:rPr>
        <w:t>oi:</w:t>
      </w:r>
      <w:r w:rsidRPr="00564738">
        <w:rPr>
          <w:noProof/>
          <w:color w:val="000000" w:themeColor="text1"/>
        </w:rPr>
        <w:t>10.1016/S0967-0637(98)00009-0</w:t>
      </w:r>
      <w:r w:rsidRPr="00A63C57">
        <w:rPr>
          <w:noProof/>
          <w:color w:val="000000" w:themeColor="text1"/>
        </w:rPr>
        <w:t xml:space="preserve"> </w:t>
      </w:r>
      <w:r w:rsidRPr="007D4729">
        <w:rPr>
          <w:noProof/>
        </w:rPr>
        <w:t>(1998).</w:t>
      </w:r>
    </w:p>
    <w:p w14:paraId="4D964A23" w14:textId="77777777" w:rsidR="00564738" w:rsidRPr="007D4729" w:rsidRDefault="00564738" w:rsidP="007D4729">
      <w:pPr>
        <w:pStyle w:val="EndNoteBibliography"/>
        <w:ind w:left="720" w:hanging="720"/>
        <w:rPr>
          <w:noProof/>
        </w:rPr>
      </w:pPr>
      <w:r w:rsidRPr="007D4729">
        <w:rPr>
          <w:noProof/>
        </w:rPr>
        <w:t>8</w:t>
      </w:r>
      <w:r w:rsidRPr="007D4729">
        <w:rPr>
          <w:noProof/>
        </w:rPr>
        <w:tab/>
        <w:t xml:space="preserve">Ortiz, J. D., Mix, A., Rugh, W., Watkins, J. &amp; Collier, R. Deep-dwelling planktonic foraminifera of the northeastern Pacific Ocean reveal environmental control of oxygen and carbon isotopic disequilibria. </w:t>
      </w:r>
      <w:r w:rsidRPr="007D4729">
        <w:rPr>
          <w:i/>
          <w:noProof/>
        </w:rPr>
        <w:t>Geochimica et Cosmochimica Acta</w:t>
      </w:r>
      <w:r w:rsidRPr="007D4729">
        <w:rPr>
          <w:noProof/>
        </w:rPr>
        <w:t xml:space="preserve"> </w:t>
      </w:r>
      <w:r w:rsidRPr="007D4729">
        <w:rPr>
          <w:b/>
          <w:noProof/>
        </w:rPr>
        <w:t>60</w:t>
      </w:r>
      <w:r w:rsidRPr="007D4729">
        <w:rPr>
          <w:noProof/>
        </w:rPr>
        <w:t>, 4509-4523 (1996).</w:t>
      </w:r>
    </w:p>
    <w:p w14:paraId="19A6F9A8" w14:textId="77777777" w:rsidR="00564738" w:rsidRPr="007D4729" w:rsidRDefault="00564738" w:rsidP="007D4729">
      <w:pPr>
        <w:pStyle w:val="EndNoteBibliography"/>
        <w:ind w:left="720" w:hanging="720"/>
        <w:rPr>
          <w:noProof/>
        </w:rPr>
      </w:pPr>
      <w:r w:rsidRPr="007D4729">
        <w:rPr>
          <w:noProof/>
        </w:rPr>
        <w:t>9</w:t>
      </w:r>
      <w:r w:rsidRPr="007D4729">
        <w:rPr>
          <w:noProof/>
        </w:rPr>
        <w:tab/>
        <w:t>Rao, K. K., Jayalakshmy, K., Kumaran, S., Balasubramanian, T. &amp; Kutty, M. K. Planktonic foraminifera in waters off the Coromandel coast, Bay of Bengal.  (1989).</w:t>
      </w:r>
    </w:p>
    <w:p w14:paraId="35C46CD0" w14:textId="77777777" w:rsidR="00564738" w:rsidRPr="007D4729" w:rsidRDefault="00564738" w:rsidP="007D4729">
      <w:pPr>
        <w:pStyle w:val="EndNoteBibliography"/>
        <w:ind w:left="720" w:hanging="720"/>
        <w:rPr>
          <w:noProof/>
        </w:rPr>
      </w:pPr>
      <w:r w:rsidRPr="007D4729">
        <w:rPr>
          <w:noProof/>
        </w:rPr>
        <w:t>10</w:t>
      </w:r>
      <w:r w:rsidRPr="007D4729">
        <w:rPr>
          <w:noProof/>
        </w:rPr>
        <w:tab/>
        <w:t>Rippert, N.</w:t>
      </w:r>
      <w:r w:rsidRPr="007D4729">
        <w:rPr>
          <w:i/>
          <w:noProof/>
        </w:rPr>
        <w:t xml:space="preserve"> et al.</w:t>
      </w:r>
      <w:r w:rsidRPr="007D4729">
        <w:rPr>
          <w:noProof/>
        </w:rPr>
        <w:t xml:space="preserve"> Constraining foraminiferal calcification depths in the western Pacific warm pool. </w:t>
      </w:r>
      <w:r w:rsidRPr="007D4729">
        <w:rPr>
          <w:i/>
          <w:noProof/>
        </w:rPr>
        <w:t>Marine Micropaleontology</w:t>
      </w:r>
      <w:r w:rsidRPr="007D4729">
        <w:rPr>
          <w:noProof/>
        </w:rPr>
        <w:t xml:space="preserve"> </w:t>
      </w:r>
      <w:r w:rsidRPr="007D4729">
        <w:rPr>
          <w:b/>
          <w:noProof/>
        </w:rPr>
        <w:t>128</w:t>
      </w:r>
      <w:r w:rsidRPr="007D4729">
        <w:rPr>
          <w:noProof/>
        </w:rPr>
        <w:t>, 14-27 (2016).</w:t>
      </w:r>
    </w:p>
    <w:p w14:paraId="4B8F25AD" w14:textId="77777777" w:rsidR="00564738" w:rsidRPr="007D4729" w:rsidRDefault="00564738" w:rsidP="007D4729">
      <w:pPr>
        <w:pStyle w:val="EndNoteBibliography"/>
        <w:ind w:left="720" w:hanging="720"/>
        <w:rPr>
          <w:noProof/>
        </w:rPr>
      </w:pPr>
      <w:r w:rsidRPr="007D4729">
        <w:rPr>
          <w:noProof/>
        </w:rPr>
        <w:t>11</w:t>
      </w:r>
      <w:r w:rsidRPr="007D4729">
        <w:rPr>
          <w:noProof/>
        </w:rPr>
        <w:tab/>
        <w:t>Smart, S. M.</w:t>
      </w:r>
      <w:r w:rsidRPr="007D4729">
        <w:rPr>
          <w:i/>
          <w:noProof/>
        </w:rPr>
        <w:t xml:space="preserve"> et al.</w:t>
      </w:r>
      <w:r w:rsidRPr="007D4729">
        <w:rPr>
          <w:noProof/>
        </w:rPr>
        <w:t xml:space="preserve"> Ground-truthing the planktic foraminifer-bound nitrogen isotope paleo-proxy in the Sargasso Sea. </w:t>
      </w:r>
      <w:r w:rsidRPr="007D4729">
        <w:rPr>
          <w:i/>
          <w:noProof/>
        </w:rPr>
        <w:t>Geochimica et Cosmochimica Acta</w:t>
      </w:r>
      <w:r w:rsidRPr="007D4729">
        <w:rPr>
          <w:noProof/>
        </w:rPr>
        <w:t xml:space="preserve"> </w:t>
      </w:r>
      <w:r w:rsidRPr="007D4729">
        <w:rPr>
          <w:b/>
          <w:noProof/>
        </w:rPr>
        <w:t>235</w:t>
      </w:r>
      <w:r w:rsidRPr="007D4729">
        <w:rPr>
          <w:noProof/>
        </w:rPr>
        <w:t>, 463-482 (2018).</w:t>
      </w:r>
    </w:p>
    <w:p w14:paraId="4DA54DF1" w14:textId="77777777" w:rsidR="00564738" w:rsidRDefault="00564738"/>
    <w:p w14:paraId="59ABE633" w14:textId="77777777" w:rsidR="005043C0" w:rsidRDefault="005043C0"/>
    <w:sectPr w:rsidR="005043C0" w:rsidSect="00360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64738"/>
    <w:rsid w:val="000541D9"/>
    <w:rsid w:val="00064F09"/>
    <w:rsid w:val="000664C2"/>
    <w:rsid w:val="00080527"/>
    <w:rsid w:val="000B31F0"/>
    <w:rsid w:val="000C5449"/>
    <w:rsid w:val="000C5531"/>
    <w:rsid w:val="00103407"/>
    <w:rsid w:val="00121E46"/>
    <w:rsid w:val="00163950"/>
    <w:rsid w:val="001D7CCA"/>
    <w:rsid w:val="00226296"/>
    <w:rsid w:val="00292028"/>
    <w:rsid w:val="0029430A"/>
    <w:rsid w:val="00324A30"/>
    <w:rsid w:val="00341BEF"/>
    <w:rsid w:val="003603E3"/>
    <w:rsid w:val="00384979"/>
    <w:rsid w:val="00393DFD"/>
    <w:rsid w:val="00397C10"/>
    <w:rsid w:val="003A7D49"/>
    <w:rsid w:val="003C2EAF"/>
    <w:rsid w:val="003C704D"/>
    <w:rsid w:val="0042010C"/>
    <w:rsid w:val="004312C0"/>
    <w:rsid w:val="004525B4"/>
    <w:rsid w:val="00470B9D"/>
    <w:rsid w:val="004C429E"/>
    <w:rsid w:val="004E6484"/>
    <w:rsid w:val="005043C0"/>
    <w:rsid w:val="005106DA"/>
    <w:rsid w:val="00510ADF"/>
    <w:rsid w:val="00533A12"/>
    <w:rsid w:val="00564738"/>
    <w:rsid w:val="00594A65"/>
    <w:rsid w:val="005A48EA"/>
    <w:rsid w:val="005B1880"/>
    <w:rsid w:val="005C0E72"/>
    <w:rsid w:val="005E7BCE"/>
    <w:rsid w:val="005E7C62"/>
    <w:rsid w:val="005F38D1"/>
    <w:rsid w:val="006200F1"/>
    <w:rsid w:val="00627656"/>
    <w:rsid w:val="006A12F3"/>
    <w:rsid w:val="006F316F"/>
    <w:rsid w:val="00725CE7"/>
    <w:rsid w:val="007502BF"/>
    <w:rsid w:val="00771D01"/>
    <w:rsid w:val="007E5934"/>
    <w:rsid w:val="00802384"/>
    <w:rsid w:val="00806AF7"/>
    <w:rsid w:val="00857CB6"/>
    <w:rsid w:val="0086306E"/>
    <w:rsid w:val="008925E5"/>
    <w:rsid w:val="008B66EB"/>
    <w:rsid w:val="008D5C91"/>
    <w:rsid w:val="008E7AC9"/>
    <w:rsid w:val="008F62EA"/>
    <w:rsid w:val="00922121"/>
    <w:rsid w:val="009279BB"/>
    <w:rsid w:val="0093206D"/>
    <w:rsid w:val="00957071"/>
    <w:rsid w:val="00957A7C"/>
    <w:rsid w:val="009C6E27"/>
    <w:rsid w:val="00A90F05"/>
    <w:rsid w:val="00A922F8"/>
    <w:rsid w:val="00AA74C5"/>
    <w:rsid w:val="00AD3989"/>
    <w:rsid w:val="00B00075"/>
    <w:rsid w:val="00B20B50"/>
    <w:rsid w:val="00B6492B"/>
    <w:rsid w:val="00BA2B46"/>
    <w:rsid w:val="00BA3E3A"/>
    <w:rsid w:val="00BE4F16"/>
    <w:rsid w:val="00BF157A"/>
    <w:rsid w:val="00C14054"/>
    <w:rsid w:val="00C41B4B"/>
    <w:rsid w:val="00C45F12"/>
    <w:rsid w:val="00C83B82"/>
    <w:rsid w:val="00CB0B63"/>
    <w:rsid w:val="00CC6FF9"/>
    <w:rsid w:val="00CE52DA"/>
    <w:rsid w:val="00CF4CAC"/>
    <w:rsid w:val="00D104C5"/>
    <w:rsid w:val="00D22155"/>
    <w:rsid w:val="00D23AEB"/>
    <w:rsid w:val="00D466C3"/>
    <w:rsid w:val="00D63C87"/>
    <w:rsid w:val="00DE27D9"/>
    <w:rsid w:val="00E0540F"/>
    <w:rsid w:val="00E16DC3"/>
    <w:rsid w:val="00E30383"/>
    <w:rsid w:val="00E35734"/>
    <w:rsid w:val="00E44488"/>
    <w:rsid w:val="00EA7058"/>
    <w:rsid w:val="00EC3D75"/>
    <w:rsid w:val="00EC748A"/>
    <w:rsid w:val="00EE27FE"/>
    <w:rsid w:val="00EE62F4"/>
    <w:rsid w:val="00EF4811"/>
    <w:rsid w:val="00F26EFA"/>
    <w:rsid w:val="00FC529E"/>
    <w:rsid w:val="00FD2AA7"/>
    <w:rsid w:val="00FD7143"/>
    <w:rsid w:val="00FE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3FBC15"/>
  <w15:chartTrackingRefBased/>
  <w15:docId w15:val="{56AF77AD-BEB7-1449-8532-BA014E7B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73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56473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64738"/>
  </w:style>
  <w:style w:type="character" w:customStyle="1" w:styleId="CommentTextChar">
    <w:name w:val="Comment Text Char"/>
    <w:basedOn w:val="DefaultParagraphFont"/>
    <w:link w:val="CommentText"/>
    <w:uiPriority w:val="99"/>
    <w:rsid w:val="00564738"/>
    <w:rPr>
      <w:rFonts w:ascii="Times New Roman" w:eastAsia="Times New Roman" w:hAnsi="Times New Roman" w:cs="Times New Roman"/>
    </w:rPr>
  </w:style>
  <w:style w:type="paragraph" w:customStyle="1" w:styleId="AuthorAffiliation">
    <w:name w:val="Author Affiliation"/>
    <w:basedOn w:val="Normal"/>
    <w:rsid w:val="00564738"/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73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73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564738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564738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564738"/>
  </w:style>
  <w:style w:type="character" w:customStyle="1" w:styleId="EndNoteBibliographyChar">
    <w:name w:val="EndNote Bibliography Char"/>
    <w:basedOn w:val="DefaultParagraphFont"/>
    <w:link w:val="EndNoteBibliography"/>
    <w:rsid w:val="0056473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647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7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473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B66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Catherine</dc:creator>
  <cp:keywords/>
  <dc:description/>
  <cp:lastModifiedBy>Catherine Van Wie Davis</cp:lastModifiedBy>
  <cp:revision>3</cp:revision>
  <cp:lastPrinted>2022-10-26T15:04:00Z</cp:lastPrinted>
  <dcterms:created xsi:type="dcterms:W3CDTF">2022-11-10T19:56:00Z</dcterms:created>
  <dcterms:modified xsi:type="dcterms:W3CDTF">2022-11-12T17:15:00Z</dcterms:modified>
</cp:coreProperties>
</file>