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4D81" w:rsidRDefault="00184D81" w:rsidP="00184D81">
      <w:pPr>
        <w:spacing w:line="360" w:lineRule="auto"/>
        <w:jc w:val="left"/>
        <w:rPr>
          <w:rFonts w:ascii="Arial" w:hAnsi="Arial" w:cs="Arial"/>
          <w:b/>
          <w:sz w:val="30"/>
          <w:szCs w:val="30"/>
        </w:rPr>
      </w:pPr>
      <w:r>
        <w:rPr>
          <w:rFonts w:ascii="Arial" w:hAnsi="Arial" w:cs="Arial" w:hint="eastAsia"/>
          <w:b/>
          <w:sz w:val="30"/>
          <w:szCs w:val="30"/>
        </w:rPr>
        <w:t>D</w:t>
      </w:r>
      <w:r>
        <w:rPr>
          <w:rFonts w:ascii="Arial" w:hAnsi="Arial" w:cs="Arial"/>
          <w:b/>
          <w:sz w:val="30"/>
          <w:szCs w:val="30"/>
        </w:rPr>
        <w:t xml:space="preserve">escription of Supplementary Data and </w:t>
      </w:r>
      <w:r w:rsidR="00FD68BB">
        <w:rPr>
          <w:rFonts w:ascii="Arial" w:hAnsi="Arial" w:cs="Arial" w:hint="eastAsia"/>
          <w:b/>
          <w:sz w:val="30"/>
          <w:szCs w:val="30"/>
        </w:rPr>
        <w:t>Movi</w:t>
      </w:r>
      <w:r w:rsidR="00FD68BB">
        <w:rPr>
          <w:rFonts w:ascii="Arial" w:hAnsi="Arial" w:cs="Arial"/>
          <w:b/>
          <w:sz w:val="30"/>
          <w:szCs w:val="30"/>
        </w:rPr>
        <w:t>es</w:t>
      </w:r>
      <w:r>
        <w:rPr>
          <w:rFonts w:ascii="Arial" w:hAnsi="Arial" w:cs="Arial"/>
          <w:b/>
          <w:sz w:val="30"/>
          <w:szCs w:val="30"/>
        </w:rPr>
        <w:t xml:space="preserve"> </w:t>
      </w:r>
    </w:p>
    <w:p w:rsidR="00070226" w:rsidRPr="00184D81" w:rsidRDefault="00070226"/>
    <w:p w:rsidR="007E6E8D" w:rsidRDefault="007E6E8D"/>
    <w:p w:rsidR="00184D81" w:rsidRPr="00DA1A5D" w:rsidRDefault="00184D81" w:rsidP="00184D81">
      <w:pPr>
        <w:spacing w:line="360" w:lineRule="auto"/>
        <w:jc w:val="left"/>
        <w:rPr>
          <w:rFonts w:ascii="Arial" w:hAnsi="Arial" w:cs="Arial"/>
          <w:sz w:val="24"/>
          <w:szCs w:val="24"/>
        </w:rPr>
      </w:pPr>
      <w:r w:rsidRPr="00DA1A5D">
        <w:rPr>
          <w:rFonts w:ascii="Arial" w:hAnsi="Arial" w:cs="Arial"/>
          <w:b/>
          <w:sz w:val="24"/>
          <w:szCs w:val="24"/>
        </w:rPr>
        <w:t xml:space="preserve">Supplementary </w:t>
      </w:r>
      <w:r w:rsidR="007831E8">
        <w:rPr>
          <w:rFonts w:ascii="Arial" w:hAnsi="Arial" w:cs="Arial"/>
          <w:b/>
          <w:sz w:val="24"/>
          <w:szCs w:val="24"/>
        </w:rPr>
        <w:t>Movie</w:t>
      </w:r>
      <w:r w:rsidRPr="00DA1A5D">
        <w:rPr>
          <w:rFonts w:ascii="Arial" w:hAnsi="Arial" w:cs="Arial"/>
          <w:b/>
          <w:sz w:val="24"/>
          <w:szCs w:val="24"/>
        </w:rPr>
        <w:t xml:space="preserve"> 1</w:t>
      </w:r>
      <w:r w:rsidRPr="00DA1A5D">
        <w:rPr>
          <w:rFonts w:ascii="Arial" w:hAnsi="Arial" w:cs="Arial"/>
          <w:sz w:val="24"/>
          <w:szCs w:val="24"/>
        </w:rPr>
        <w:t xml:space="preserve">. Tomography of the </w:t>
      </w:r>
      <w:r w:rsidRPr="00DA1A5D">
        <w:rPr>
          <w:rFonts w:ascii="Arial" w:hAnsi="Arial" w:cs="Arial"/>
          <w:i/>
          <w:sz w:val="24"/>
          <w:szCs w:val="24"/>
        </w:rPr>
        <w:t>Toxoplasma</w:t>
      </w:r>
      <w:r w:rsidRPr="00DA1A5D">
        <w:rPr>
          <w:rFonts w:ascii="Arial" w:hAnsi="Arial" w:cs="Arial"/>
          <w:sz w:val="24"/>
          <w:szCs w:val="24"/>
        </w:rPr>
        <w:t xml:space="preserve"> micropore that is </w:t>
      </w:r>
      <w:bookmarkStart w:id="0" w:name="_GoBack"/>
      <w:bookmarkEnd w:id="0"/>
      <w:r w:rsidRPr="00DA1A5D">
        <w:rPr>
          <w:rFonts w:ascii="Arial" w:hAnsi="Arial" w:cs="Arial"/>
          <w:sz w:val="24"/>
          <w:szCs w:val="24"/>
        </w:rPr>
        <w:t>budding an endocytic vesicle at its base</w:t>
      </w:r>
      <w:r w:rsidRPr="00DA1A5D">
        <w:rPr>
          <w:rFonts w:ascii="Arial" w:hAnsi="Arial" w:cs="Arial"/>
          <w:i/>
          <w:sz w:val="24"/>
          <w:szCs w:val="24"/>
        </w:rPr>
        <w:t xml:space="preserve">. </w:t>
      </w:r>
      <w:r w:rsidRPr="00DA1A5D">
        <w:rPr>
          <w:rFonts w:ascii="Arial" w:hAnsi="Arial" w:cs="Arial"/>
          <w:sz w:val="24"/>
          <w:szCs w:val="24"/>
        </w:rPr>
        <w:t>The tomography is reconstructed from a 260 nm thick section</w:t>
      </w:r>
      <w:r>
        <w:rPr>
          <w:rFonts w:ascii="Arial" w:hAnsi="Arial" w:cs="Arial"/>
          <w:sz w:val="24"/>
          <w:szCs w:val="24"/>
        </w:rPr>
        <w:t xml:space="preserve">, from which </w:t>
      </w:r>
      <w:r w:rsidRPr="00DA1A5D">
        <w:rPr>
          <w:rFonts w:ascii="Arial" w:hAnsi="Arial" w:cs="Arial"/>
          <w:sz w:val="24"/>
          <w:szCs w:val="24"/>
        </w:rPr>
        <w:t>the micropore section</w:t>
      </w:r>
      <w:r>
        <w:rPr>
          <w:rFonts w:ascii="Arial" w:hAnsi="Arial" w:cs="Arial"/>
          <w:sz w:val="24"/>
          <w:szCs w:val="24"/>
        </w:rPr>
        <w:t xml:space="preserve"> consists of</w:t>
      </w:r>
      <w:r w:rsidRPr="00DA1A5D">
        <w:rPr>
          <w:rFonts w:ascii="Arial" w:hAnsi="Arial" w:cs="Arial"/>
          <w:sz w:val="24"/>
          <w:szCs w:val="24"/>
        </w:rPr>
        <w:t xml:space="preserve"> 166 individual images</w:t>
      </w:r>
      <w:r>
        <w:rPr>
          <w:rFonts w:ascii="Arial" w:hAnsi="Arial" w:cs="Arial"/>
          <w:sz w:val="24"/>
          <w:szCs w:val="24"/>
        </w:rPr>
        <w:t xml:space="preserve"> in the movie</w:t>
      </w:r>
      <w:r w:rsidRPr="00DA1A5D">
        <w:rPr>
          <w:rFonts w:ascii="Arial" w:hAnsi="Arial" w:cs="Arial"/>
          <w:sz w:val="24"/>
          <w:szCs w:val="24"/>
        </w:rPr>
        <w:t xml:space="preserve">. The 3D structure was modeled with colors on the components. Deep green indicates the parasite plasma membrane, deep red denotes the IMC, and yellow shows the proteins coated on the plasma membrane of the micropore. </w:t>
      </w:r>
    </w:p>
    <w:p w:rsidR="00184D81" w:rsidRDefault="00184D81" w:rsidP="00184D81">
      <w:pPr>
        <w:spacing w:line="360" w:lineRule="auto"/>
        <w:jc w:val="left"/>
        <w:rPr>
          <w:rFonts w:ascii="Arial" w:hAnsi="Arial" w:cs="Arial"/>
          <w:sz w:val="24"/>
          <w:szCs w:val="24"/>
        </w:rPr>
      </w:pPr>
      <w:r w:rsidRPr="00DA1A5D">
        <w:rPr>
          <w:rFonts w:ascii="Arial" w:hAnsi="Arial" w:cs="Arial"/>
          <w:b/>
          <w:sz w:val="24"/>
          <w:szCs w:val="24"/>
        </w:rPr>
        <w:t xml:space="preserve">Supplementary </w:t>
      </w:r>
      <w:r w:rsidR="007831E8">
        <w:rPr>
          <w:rFonts w:ascii="Arial" w:hAnsi="Arial" w:cs="Arial"/>
          <w:b/>
          <w:sz w:val="24"/>
          <w:szCs w:val="24"/>
        </w:rPr>
        <w:t>Movie</w:t>
      </w:r>
      <w:r w:rsidRPr="00DA1A5D">
        <w:rPr>
          <w:rFonts w:ascii="Arial" w:hAnsi="Arial" w:cs="Arial"/>
          <w:b/>
          <w:sz w:val="24"/>
          <w:szCs w:val="24"/>
        </w:rPr>
        <w:t xml:space="preserve"> 2</w:t>
      </w:r>
      <w:r w:rsidRPr="00DA1A5D">
        <w:rPr>
          <w:rFonts w:ascii="Arial" w:hAnsi="Arial" w:cs="Arial"/>
          <w:sz w:val="24"/>
          <w:szCs w:val="24"/>
        </w:rPr>
        <w:t xml:space="preserve">. Filtered protein interactome generated by SFINX using TurboID mass spectrometry datasets. </w:t>
      </w:r>
      <w:r>
        <w:rPr>
          <w:rFonts w:ascii="Arial" w:hAnsi="Arial" w:cs="Arial"/>
          <w:sz w:val="24"/>
          <w:szCs w:val="24"/>
        </w:rPr>
        <w:t xml:space="preserve">The datasets were statistically analyzed by hypergeometric test. </w:t>
      </w:r>
      <w:r w:rsidRPr="00DA1A5D">
        <w:rPr>
          <w:rFonts w:ascii="Arial" w:hAnsi="Arial" w:cs="Arial"/>
          <w:sz w:val="24"/>
          <w:szCs w:val="24"/>
        </w:rPr>
        <w:t>The strictness was set at 4. Baits (TurboID fusion lines), deep blue nodes; Prey</w:t>
      </w:r>
      <w:r>
        <w:rPr>
          <w:rFonts w:ascii="Arial" w:hAnsi="Arial" w:cs="Arial"/>
          <w:sz w:val="24"/>
          <w:szCs w:val="24"/>
        </w:rPr>
        <w:t>s</w:t>
      </w:r>
      <w:r w:rsidRPr="00DA1A5D">
        <w:rPr>
          <w:rFonts w:ascii="Arial" w:hAnsi="Arial" w:cs="Arial"/>
          <w:sz w:val="24"/>
          <w:szCs w:val="24"/>
        </w:rPr>
        <w:t xml:space="preserve"> (interactors identified), light blue nodes. </w:t>
      </w:r>
    </w:p>
    <w:p w:rsidR="00184D81" w:rsidRPr="00184D81" w:rsidRDefault="00184D81"/>
    <w:p w:rsidR="00184D81" w:rsidRDefault="00184D81"/>
    <w:p w:rsidR="007E6E8D" w:rsidRDefault="007E6E8D" w:rsidP="007E6E8D">
      <w:pPr>
        <w:spacing w:line="360" w:lineRule="auto"/>
        <w:rPr>
          <w:rFonts w:ascii="Arial" w:hAnsi="Arial" w:cs="Arial"/>
          <w:color w:val="000000" w:themeColor="text1"/>
          <w:sz w:val="24"/>
          <w:szCs w:val="24"/>
        </w:rPr>
      </w:pPr>
      <w:r w:rsidRPr="00A51A85">
        <w:rPr>
          <w:rFonts w:ascii="Arial" w:hAnsi="Arial" w:cs="Arial"/>
          <w:b/>
          <w:color w:val="000000" w:themeColor="text1"/>
          <w:sz w:val="24"/>
          <w:szCs w:val="24"/>
        </w:rPr>
        <w:t xml:space="preserve">Supplementary </w:t>
      </w:r>
      <w:r>
        <w:rPr>
          <w:rFonts w:ascii="Arial" w:hAnsi="Arial" w:cs="Arial"/>
          <w:b/>
          <w:color w:val="000000" w:themeColor="text1"/>
          <w:sz w:val="24"/>
          <w:szCs w:val="24"/>
        </w:rPr>
        <w:t>Data</w:t>
      </w:r>
      <w:r w:rsidRPr="00A51A85">
        <w:rPr>
          <w:rFonts w:ascii="Arial" w:hAnsi="Arial" w:cs="Arial"/>
          <w:b/>
          <w:color w:val="000000" w:themeColor="text1"/>
          <w:sz w:val="24"/>
          <w:szCs w:val="24"/>
        </w:rPr>
        <w:t xml:space="preserve"> 1</w:t>
      </w:r>
      <w:r w:rsidRPr="006A2D67">
        <w:rPr>
          <w:rFonts w:ascii="Arial" w:hAnsi="Arial" w:cs="Arial"/>
          <w:color w:val="000000" w:themeColor="text1"/>
          <w:sz w:val="24"/>
          <w:szCs w:val="24"/>
        </w:rPr>
        <w:t>. Lines used in this study.</w:t>
      </w:r>
    </w:p>
    <w:p w:rsidR="007E6E8D" w:rsidRPr="006A2D67" w:rsidRDefault="007E6E8D" w:rsidP="007E6E8D">
      <w:pPr>
        <w:spacing w:line="360" w:lineRule="auto"/>
        <w:rPr>
          <w:rFonts w:ascii="Arial" w:hAnsi="Arial" w:cs="Arial"/>
          <w:color w:val="000000" w:themeColor="text1"/>
          <w:sz w:val="24"/>
          <w:szCs w:val="24"/>
        </w:rPr>
      </w:pPr>
      <w:r w:rsidRPr="00A51A85">
        <w:rPr>
          <w:rFonts w:ascii="Arial" w:hAnsi="Arial" w:cs="Arial"/>
          <w:b/>
          <w:color w:val="000000" w:themeColor="text1"/>
          <w:sz w:val="24"/>
          <w:szCs w:val="24"/>
        </w:rPr>
        <w:t xml:space="preserve">Supplementary </w:t>
      </w:r>
      <w:r>
        <w:rPr>
          <w:rFonts w:ascii="Arial" w:hAnsi="Arial" w:cs="Arial"/>
          <w:b/>
          <w:color w:val="000000" w:themeColor="text1"/>
          <w:sz w:val="24"/>
          <w:szCs w:val="24"/>
        </w:rPr>
        <w:t>Data</w:t>
      </w:r>
      <w:r w:rsidRPr="00A51A85">
        <w:rPr>
          <w:rFonts w:ascii="Arial" w:hAnsi="Arial" w:cs="Arial"/>
          <w:b/>
          <w:color w:val="000000" w:themeColor="text1"/>
          <w:sz w:val="24"/>
          <w:szCs w:val="24"/>
        </w:rPr>
        <w:t xml:space="preserve"> </w:t>
      </w:r>
      <w:r>
        <w:rPr>
          <w:rFonts w:ascii="Arial" w:hAnsi="Arial" w:cs="Arial"/>
          <w:b/>
          <w:color w:val="000000" w:themeColor="text1"/>
          <w:sz w:val="24"/>
          <w:szCs w:val="24"/>
        </w:rPr>
        <w:t>2</w:t>
      </w:r>
      <w:r w:rsidRPr="006A2D67">
        <w:rPr>
          <w:rFonts w:ascii="Arial" w:hAnsi="Arial" w:cs="Arial"/>
          <w:color w:val="000000" w:themeColor="text1"/>
          <w:sz w:val="24"/>
          <w:szCs w:val="24"/>
        </w:rPr>
        <w:t>. Plasmids used in this study.</w:t>
      </w:r>
    </w:p>
    <w:p w:rsidR="007E6E8D" w:rsidRDefault="007E6E8D" w:rsidP="007E6E8D">
      <w:pPr>
        <w:spacing w:line="360" w:lineRule="auto"/>
        <w:rPr>
          <w:rFonts w:ascii="Arial" w:hAnsi="Arial" w:cs="Arial"/>
          <w:color w:val="000000" w:themeColor="text1"/>
          <w:sz w:val="24"/>
          <w:szCs w:val="24"/>
        </w:rPr>
      </w:pPr>
      <w:r w:rsidRPr="00A51A85">
        <w:rPr>
          <w:rFonts w:ascii="Arial" w:hAnsi="Arial" w:cs="Arial"/>
          <w:b/>
          <w:color w:val="000000" w:themeColor="text1"/>
          <w:sz w:val="24"/>
          <w:szCs w:val="24"/>
        </w:rPr>
        <w:t xml:space="preserve">Supplementary </w:t>
      </w:r>
      <w:r>
        <w:rPr>
          <w:rFonts w:ascii="Arial" w:hAnsi="Arial" w:cs="Arial"/>
          <w:b/>
          <w:color w:val="000000" w:themeColor="text1"/>
          <w:sz w:val="24"/>
          <w:szCs w:val="24"/>
        </w:rPr>
        <w:t>Data</w:t>
      </w:r>
      <w:r w:rsidRPr="00A51A85">
        <w:rPr>
          <w:rFonts w:ascii="Arial" w:hAnsi="Arial" w:cs="Arial"/>
          <w:b/>
          <w:color w:val="000000" w:themeColor="text1"/>
          <w:sz w:val="24"/>
          <w:szCs w:val="24"/>
        </w:rPr>
        <w:t xml:space="preserve"> 3</w:t>
      </w:r>
      <w:r w:rsidRPr="006A2D67">
        <w:rPr>
          <w:rFonts w:ascii="Arial" w:hAnsi="Arial" w:cs="Arial"/>
          <w:color w:val="000000" w:themeColor="text1"/>
          <w:sz w:val="24"/>
          <w:szCs w:val="24"/>
        </w:rPr>
        <w:t>. Primers used in this study.</w:t>
      </w:r>
    </w:p>
    <w:p w:rsidR="0095718B" w:rsidRDefault="0095718B" w:rsidP="0095718B">
      <w:pPr>
        <w:spacing w:line="360" w:lineRule="auto"/>
        <w:jc w:val="left"/>
        <w:rPr>
          <w:rFonts w:ascii="Arial" w:hAnsi="Arial" w:cs="Arial"/>
          <w:sz w:val="24"/>
          <w:szCs w:val="24"/>
        </w:rPr>
      </w:pPr>
      <w:r w:rsidRPr="00C249AA">
        <w:rPr>
          <w:rFonts w:ascii="Arial" w:hAnsi="Arial" w:cs="Arial"/>
          <w:b/>
          <w:sz w:val="24"/>
          <w:szCs w:val="24"/>
        </w:rPr>
        <w:t xml:space="preserve">Supplementary Data </w:t>
      </w:r>
      <w:r>
        <w:rPr>
          <w:rFonts w:ascii="Arial" w:hAnsi="Arial" w:cs="Arial"/>
          <w:b/>
          <w:sz w:val="24"/>
          <w:szCs w:val="24"/>
        </w:rPr>
        <w:t>4</w:t>
      </w:r>
      <w:r>
        <w:rPr>
          <w:rFonts w:ascii="Arial" w:hAnsi="Arial" w:cs="Arial"/>
          <w:sz w:val="24"/>
          <w:szCs w:val="24"/>
        </w:rPr>
        <w:t>. Mass-spectrometry datasets of EPS15-TurboID and the parental line.</w:t>
      </w:r>
    </w:p>
    <w:p w:rsidR="007E6E8D" w:rsidRDefault="007E6E8D" w:rsidP="007E6E8D">
      <w:pPr>
        <w:spacing w:line="360" w:lineRule="auto"/>
        <w:jc w:val="left"/>
        <w:rPr>
          <w:rFonts w:ascii="Arial" w:hAnsi="Arial" w:cs="Arial"/>
          <w:sz w:val="24"/>
          <w:szCs w:val="24"/>
        </w:rPr>
      </w:pPr>
      <w:r>
        <w:rPr>
          <w:rFonts w:ascii="Arial" w:hAnsi="Arial" w:cs="Arial"/>
          <w:b/>
          <w:sz w:val="24"/>
          <w:szCs w:val="24"/>
        </w:rPr>
        <w:t>Supplementary Data</w:t>
      </w:r>
      <w:r w:rsidRPr="00DA1A5D">
        <w:rPr>
          <w:rFonts w:ascii="Arial" w:hAnsi="Arial" w:cs="Arial"/>
          <w:b/>
          <w:sz w:val="24"/>
          <w:szCs w:val="24"/>
        </w:rPr>
        <w:t xml:space="preserve"> </w:t>
      </w:r>
      <w:r w:rsidR="0095718B">
        <w:rPr>
          <w:rFonts w:ascii="Arial" w:hAnsi="Arial" w:cs="Arial"/>
          <w:b/>
          <w:sz w:val="24"/>
          <w:szCs w:val="24"/>
        </w:rPr>
        <w:t>5</w:t>
      </w:r>
      <w:r w:rsidRPr="00DA1A5D">
        <w:rPr>
          <w:rFonts w:ascii="Arial" w:hAnsi="Arial" w:cs="Arial"/>
          <w:b/>
          <w:sz w:val="24"/>
          <w:szCs w:val="24"/>
        </w:rPr>
        <w:t xml:space="preserve">. </w:t>
      </w:r>
      <w:r w:rsidRPr="00DA1A5D">
        <w:rPr>
          <w:rFonts w:ascii="Arial" w:hAnsi="Arial" w:cs="Arial"/>
          <w:sz w:val="24"/>
          <w:szCs w:val="24"/>
        </w:rPr>
        <w:t>Analysis of hits on the mass-spectrometry results with EPS15-TurboID and the parental line.</w:t>
      </w:r>
      <w:r>
        <w:rPr>
          <w:rFonts w:ascii="Arial" w:hAnsi="Arial" w:cs="Arial"/>
          <w:sz w:val="24"/>
          <w:szCs w:val="24"/>
        </w:rPr>
        <w:t xml:space="preserve"> Two-sided student t test was performed for the datasets. </w:t>
      </w:r>
    </w:p>
    <w:p w:rsidR="005E1AF3" w:rsidRDefault="005E1AF3" w:rsidP="005E1AF3">
      <w:pPr>
        <w:spacing w:line="360" w:lineRule="auto"/>
        <w:jc w:val="left"/>
        <w:rPr>
          <w:rFonts w:ascii="Arial" w:hAnsi="Arial" w:cs="Arial"/>
          <w:sz w:val="24"/>
          <w:szCs w:val="24"/>
        </w:rPr>
      </w:pPr>
      <w:r w:rsidRPr="00DA1A5D">
        <w:rPr>
          <w:rFonts w:ascii="Arial" w:hAnsi="Arial" w:cs="Arial"/>
          <w:b/>
          <w:sz w:val="24"/>
          <w:szCs w:val="24"/>
        </w:rPr>
        <w:t xml:space="preserve">Supplementary </w:t>
      </w:r>
      <w:r w:rsidR="00FE2105">
        <w:rPr>
          <w:rFonts w:ascii="Arial" w:hAnsi="Arial" w:cs="Arial"/>
          <w:b/>
          <w:sz w:val="24"/>
          <w:szCs w:val="24"/>
        </w:rPr>
        <w:t>Data</w:t>
      </w:r>
      <w:r w:rsidRPr="00DA1A5D">
        <w:rPr>
          <w:rFonts w:ascii="Arial" w:hAnsi="Arial" w:cs="Arial"/>
          <w:b/>
          <w:sz w:val="24"/>
          <w:szCs w:val="24"/>
        </w:rPr>
        <w:t xml:space="preserve"> 6</w:t>
      </w:r>
      <w:r w:rsidRPr="00DA1A5D">
        <w:rPr>
          <w:rFonts w:ascii="Arial" w:hAnsi="Arial" w:cs="Arial"/>
          <w:sz w:val="24"/>
          <w:szCs w:val="24"/>
        </w:rPr>
        <w:t xml:space="preserve">. Conservation of micropore proteins across the Apicomplexa. </w:t>
      </w:r>
    </w:p>
    <w:p w:rsidR="005E1AF3" w:rsidRDefault="005E1AF3" w:rsidP="005E1AF3">
      <w:pPr>
        <w:spacing w:line="360" w:lineRule="auto"/>
        <w:jc w:val="left"/>
        <w:rPr>
          <w:rFonts w:ascii="Arial" w:hAnsi="Arial" w:cs="Arial"/>
          <w:sz w:val="24"/>
          <w:szCs w:val="24"/>
        </w:rPr>
      </w:pPr>
      <w:r w:rsidRPr="00DA1A5D">
        <w:rPr>
          <w:rFonts w:ascii="Arial" w:hAnsi="Arial" w:cs="Arial"/>
          <w:b/>
          <w:sz w:val="24"/>
          <w:szCs w:val="24"/>
        </w:rPr>
        <w:t xml:space="preserve">Supplementary </w:t>
      </w:r>
      <w:r w:rsidR="00FE2105">
        <w:rPr>
          <w:rFonts w:ascii="Arial" w:hAnsi="Arial" w:cs="Arial"/>
          <w:b/>
          <w:sz w:val="24"/>
          <w:szCs w:val="24"/>
        </w:rPr>
        <w:t>Data</w:t>
      </w:r>
      <w:r w:rsidRPr="00DA1A5D">
        <w:rPr>
          <w:rFonts w:ascii="Arial" w:hAnsi="Arial" w:cs="Arial"/>
          <w:b/>
          <w:sz w:val="24"/>
          <w:szCs w:val="24"/>
        </w:rPr>
        <w:t xml:space="preserve"> 7</w:t>
      </w:r>
      <w:r w:rsidRPr="00DA1A5D">
        <w:rPr>
          <w:rFonts w:ascii="Arial" w:hAnsi="Arial" w:cs="Arial"/>
          <w:sz w:val="24"/>
          <w:szCs w:val="24"/>
        </w:rPr>
        <w:t xml:space="preserve">. Peptides related to the IMC and microtubules on the MS datasets of all TurboID fusions.  </w:t>
      </w:r>
    </w:p>
    <w:p w:rsidR="00FE2105" w:rsidRDefault="00FE2105" w:rsidP="00FE2105">
      <w:pPr>
        <w:spacing w:line="360" w:lineRule="auto"/>
        <w:rPr>
          <w:rFonts w:ascii="Arial" w:hAnsi="Arial" w:cs="Arial"/>
          <w:sz w:val="24"/>
          <w:szCs w:val="24"/>
        </w:rPr>
      </w:pPr>
      <w:r w:rsidRPr="00C249AA">
        <w:rPr>
          <w:rFonts w:ascii="Arial" w:hAnsi="Arial" w:cs="Arial"/>
          <w:b/>
          <w:sz w:val="24"/>
          <w:szCs w:val="24"/>
        </w:rPr>
        <w:t xml:space="preserve">Supplementary Data </w:t>
      </w:r>
      <w:r>
        <w:rPr>
          <w:rFonts w:ascii="Arial" w:hAnsi="Arial" w:cs="Arial"/>
          <w:b/>
          <w:sz w:val="24"/>
          <w:szCs w:val="24"/>
        </w:rPr>
        <w:t>8</w:t>
      </w:r>
      <w:r>
        <w:rPr>
          <w:rFonts w:ascii="Arial" w:hAnsi="Arial" w:cs="Arial"/>
          <w:sz w:val="24"/>
          <w:szCs w:val="24"/>
        </w:rPr>
        <w:t xml:space="preserve">. Basic data for the SFINX protein interaction analysis. </w:t>
      </w:r>
    </w:p>
    <w:p w:rsidR="00FE2105" w:rsidRDefault="00FE2105" w:rsidP="00FE2105">
      <w:pPr>
        <w:spacing w:line="360" w:lineRule="auto"/>
        <w:jc w:val="left"/>
        <w:rPr>
          <w:rFonts w:ascii="Arial" w:hAnsi="Arial" w:cs="Arial"/>
          <w:sz w:val="24"/>
          <w:szCs w:val="24"/>
        </w:rPr>
      </w:pPr>
      <w:r>
        <w:rPr>
          <w:rFonts w:ascii="Arial" w:hAnsi="Arial" w:cs="Arial"/>
          <w:b/>
          <w:sz w:val="24"/>
          <w:szCs w:val="24"/>
        </w:rPr>
        <w:t>Supplementary Data</w:t>
      </w:r>
      <w:r w:rsidRPr="00DA1A5D">
        <w:rPr>
          <w:rFonts w:ascii="Arial" w:hAnsi="Arial" w:cs="Arial"/>
          <w:b/>
          <w:sz w:val="24"/>
          <w:szCs w:val="24"/>
        </w:rPr>
        <w:t xml:space="preserve"> </w:t>
      </w:r>
      <w:r>
        <w:rPr>
          <w:rFonts w:ascii="Arial" w:hAnsi="Arial" w:cs="Arial"/>
          <w:b/>
          <w:sz w:val="24"/>
          <w:szCs w:val="24"/>
        </w:rPr>
        <w:t>9</w:t>
      </w:r>
      <w:r w:rsidRPr="00DA1A5D">
        <w:rPr>
          <w:rFonts w:ascii="Arial" w:hAnsi="Arial" w:cs="Arial"/>
          <w:sz w:val="24"/>
          <w:szCs w:val="24"/>
        </w:rPr>
        <w:t xml:space="preserve">. Summary of SFINX output with scores and </w:t>
      </w:r>
      <w:r w:rsidRPr="00DA1A5D">
        <w:rPr>
          <w:rFonts w:ascii="Arial" w:hAnsi="Arial" w:cs="Arial"/>
          <w:i/>
          <w:sz w:val="24"/>
          <w:szCs w:val="24"/>
        </w:rPr>
        <w:t>p</w:t>
      </w:r>
      <w:r w:rsidRPr="00DA1A5D">
        <w:rPr>
          <w:rFonts w:ascii="Arial" w:hAnsi="Arial" w:cs="Arial"/>
          <w:sz w:val="24"/>
          <w:szCs w:val="24"/>
        </w:rPr>
        <w:t xml:space="preserve"> values. The core </w:t>
      </w:r>
      <w:r>
        <w:rPr>
          <w:rFonts w:ascii="Arial" w:hAnsi="Arial" w:cs="Arial"/>
          <w:sz w:val="24"/>
          <w:szCs w:val="24"/>
        </w:rPr>
        <w:t xml:space="preserve">interactome was mediated by </w:t>
      </w:r>
      <w:r w:rsidRPr="00DA1A5D">
        <w:rPr>
          <w:rFonts w:ascii="Arial" w:hAnsi="Arial" w:cs="Arial"/>
          <w:sz w:val="24"/>
          <w:szCs w:val="24"/>
        </w:rPr>
        <w:t xml:space="preserve">Kelch13, EPS15 and PPG1. </w:t>
      </w:r>
      <w:r>
        <w:rPr>
          <w:rFonts w:ascii="Arial" w:hAnsi="Arial" w:cs="Arial"/>
          <w:sz w:val="24"/>
          <w:szCs w:val="24"/>
        </w:rPr>
        <w:t xml:space="preserve">The </w:t>
      </w:r>
      <w:r>
        <w:rPr>
          <w:rFonts w:ascii="Arial" w:hAnsi="Arial" w:cs="Arial"/>
          <w:sz w:val="24"/>
          <w:szCs w:val="24"/>
        </w:rPr>
        <w:lastRenderedPageBreak/>
        <w:t>datasets were statistically analyzed by hypergeometric test.</w:t>
      </w:r>
    </w:p>
    <w:p w:rsidR="004725BE" w:rsidRDefault="004725BE" w:rsidP="004725BE">
      <w:pPr>
        <w:spacing w:line="360" w:lineRule="auto"/>
        <w:rPr>
          <w:rFonts w:ascii="Arial" w:hAnsi="Arial" w:cs="Arial"/>
          <w:sz w:val="24"/>
          <w:szCs w:val="24"/>
        </w:rPr>
      </w:pPr>
      <w:r>
        <w:rPr>
          <w:rFonts w:ascii="Arial" w:hAnsi="Arial" w:cs="Arial"/>
          <w:b/>
          <w:sz w:val="24"/>
          <w:szCs w:val="24"/>
        </w:rPr>
        <w:t>Supplementary Data 10</w:t>
      </w:r>
      <w:r>
        <w:rPr>
          <w:rFonts w:ascii="Arial" w:hAnsi="Arial" w:cs="Arial"/>
          <w:sz w:val="24"/>
          <w:szCs w:val="24"/>
        </w:rPr>
        <w:t>. Full transcriptomic datasets for the TIR1, AID-K13 and tKD lines induced by auxin.</w:t>
      </w:r>
    </w:p>
    <w:p w:rsidR="006A0E73" w:rsidRDefault="006A0E73" w:rsidP="006A0E73">
      <w:pPr>
        <w:spacing w:line="360" w:lineRule="auto"/>
        <w:jc w:val="left"/>
        <w:rPr>
          <w:rFonts w:ascii="Arial" w:hAnsi="Arial" w:cs="Arial"/>
          <w:sz w:val="24"/>
          <w:szCs w:val="24"/>
        </w:rPr>
      </w:pPr>
      <w:r w:rsidRPr="00C249AA">
        <w:rPr>
          <w:rFonts w:ascii="Arial" w:hAnsi="Arial" w:cs="Arial"/>
          <w:b/>
          <w:sz w:val="24"/>
          <w:szCs w:val="24"/>
        </w:rPr>
        <w:t>Supplementary Data</w:t>
      </w:r>
      <w:r>
        <w:rPr>
          <w:rFonts w:ascii="Arial" w:hAnsi="Arial" w:cs="Arial"/>
          <w:b/>
          <w:sz w:val="24"/>
          <w:szCs w:val="24"/>
        </w:rPr>
        <w:t xml:space="preserve"> 11</w:t>
      </w:r>
      <w:r>
        <w:rPr>
          <w:rFonts w:ascii="Arial" w:hAnsi="Arial" w:cs="Arial"/>
          <w:sz w:val="24"/>
          <w:szCs w:val="24"/>
        </w:rPr>
        <w:t>. The transcriptomic datasets of differential transcripts for the TIR1, AID-K13 and tKD lines induced by auxin.</w:t>
      </w:r>
    </w:p>
    <w:p w:rsidR="006A0E73" w:rsidRPr="00DA1A5D" w:rsidRDefault="006A0E73" w:rsidP="006A0E73">
      <w:pPr>
        <w:spacing w:line="360" w:lineRule="auto"/>
        <w:jc w:val="left"/>
        <w:rPr>
          <w:rFonts w:ascii="Arial" w:hAnsi="Arial" w:cs="Arial"/>
          <w:sz w:val="24"/>
          <w:szCs w:val="24"/>
        </w:rPr>
      </w:pPr>
      <w:r>
        <w:rPr>
          <w:rFonts w:ascii="Arial" w:hAnsi="Arial" w:cs="Arial"/>
          <w:b/>
          <w:sz w:val="24"/>
          <w:szCs w:val="24"/>
        </w:rPr>
        <w:t>Supplementary Data 12</w:t>
      </w:r>
      <w:r w:rsidRPr="00DA1A5D">
        <w:rPr>
          <w:rFonts w:ascii="Arial" w:hAnsi="Arial" w:cs="Arial"/>
          <w:sz w:val="24"/>
          <w:szCs w:val="24"/>
        </w:rPr>
        <w:t xml:space="preserve">. KEGG enrichment for characteristic modules of the WGCNA co-expression networks analysis on the full transcriptomic datasets </w:t>
      </w:r>
      <w:r>
        <w:rPr>
          <w:rFonts w:ascii="Arial" w:hAnsi="Arial" w:cs="Arial"/>
          <w:sz w:val="24"/>
          <w:szCs w:val="24"/>
        </w:rPr>
        <w:t>using</w:t>
      </w:r>
      <w:r w:rsidRPr="00DA1A5D">
        <w:rPr>
          <w:rFonts w:ascii="Arial" w:hAnsi="Arial" w:cs="Arial"/>
          <w:sz w:val="24"/>
          <w:szCs w:val="24"/>
        </w:rPr>
        <w:t xml:space="preserve"> the AID and parental lines grown in auxin.</w:t>
      </w:r>
      <w:r>
        <w:rPr>
          <w:rFonts w:ascii="Arial" w:hAnsi="Arial" w:cs="Arial"/>
          <w:sz w:val="24"/>
          <w:szCs w:val="24"/>
        </w:rPr>
        <w:t xml:space="preserve"> </w:t>
      </w:r>
      <w:r w:rsidRPr="00A30310">
        <w:rPr>
          <w:rFonts w:ascii="Arial" w:hAnsi="Arial" w:cs="Arial"/>
          <w:sz w:val="24"/>
          <w:szCs w:val="24"/>
        </w:rPr>
        <w:t>Statistical analysis was performed based on hypergeometric t</w:t>
      </w:r>
      <w:r>
        <w:rPr>
          <w:rFonts w:ascii="Arial" w:hAnsi="Arial" w:cs="Arial"/>
          <w:sz w:val="24"/>
          <w:szCs w:val="24"/>
        </w:rPr>
        <w:t xml:space="preserve">est. </w:t>
      </w:r>
    </w:p>
    <w:p w:rsidR="006A0E73" w:rsidRPr="00DA1A5D" w:rsidRDefault="006A0E73" w:rsidP="006A0E73">
      <w:pPr>
        <w:spacing w:line="360" w:lineRule="auto"/>
        <w:jc w:val="left"/>
        <w:rPr>
          <w:rFonts w:ascii="Arial" w:hAnsi="Arial" w:cs="Arial"/>
          <w:sz w:val="24"/>
          <w:szCs w:val="24"/>
        </w:rPr>
      </w:pPr>
      <w:r>
        <w:rPr>
          <w:rFonts w:ascii="Arial" w:hAnsi="Arial" w:cs="Arial"/>
          <w:b/>
          <w:sz w:val="24"/>
          <w:szCs w:val="24"/>
        </w:rPr>
        <w:t>Supplementary Data 13</w:t>
      </w:r>
      <w:r w:rsidRPr="00DA1A5D">
        <w:rPr>
          <w:rFonts w:ascii="Arial" w:hAnsi="Arial" w:cs="Arial"/>
          <w:sz w:val="24"/>
          <w:szCs w:val="24"/>
        </w:rPr>
        <w:t>. KEGG enrichment for characteristic clusters of the Trend analysis on differential transcripts using the</w:t>
      </w:r>
      <w:r>
        <w:rPr>
          <w:rFonts w:ascii="Arial" w:hAnsi="Arial" w:cs="Arial"/>
          <w:sz w:val="24"/>
          <w:szCs w:val="24"/>
        </w:rPr>
        <w:t xml:space="preserve"> AID and parental</w:t>
      </w:r>
      <w:r w:rsidRPr="00DA1A5D">
        <w:rPr>
          <w:rFonts w:ascii="Arial" w:hAnsi="Arial" w:cs="Arial"/>
          <w:sz w:val="24"/>
          <w:szCs w:val="24"/>
        </w:rPr>
        <w:t xml:space="preserve"> lines grown in auxin. </w:t>
      </w:r>
      <w:r w:rsidRPr="00A30310">
        <w:rPr>
          <w:rFonts w:ascii="Arial" w:hAnsi="Arial" w:cs="Arial"/>
          <w:sz w:val="24"/>
          <w:szCs w:val="24"/>
        </w:rPr>
        <w:t>Statistical analysis was performed based on hypergeometric t</w:t>
      </w:r>
      <w:r>
        <w:rPr>
          <w:rFonts w:ascii="Arial" w:hAnsi="Arial" w:cs="Arial"/>
          <w:sz w:val="24"/>
          <w:szCs w:val="24"/>
        </w:rPr>
        <w:t xml:space="preserve">est. </w:t>
      </w:r>
    </w:p>
    <w:p w:rsidR="006A0E73" w:rsidRDefault="006A0E73" w:rsidP="006A0E73">
      <w:pPr>
        <w:spacing w:line="360" w:lineRule="auto"/>
        <w:jc w:val="left"/>
        <w:rPr>
          <w:rFonts w:ascii="Arial" w:hAnsi="Arial" w:cs="Arial"/>
          <w:sz w:val="24"/>
          <w:szCs w:val="24"/>
        </w:rPr>
      </w:pPr>
      <w:r>
        <w:rPr>
          <w:rFonts w:ascii="Arial" w:hAnsi="Arial" w:cs="Arial"/>
          <w:b/>
          <w:sz w:val="24"/>
          <w:szCs w:val="24"/>
        </w:rPr>
        <w:t>Supplementary Data 14</w:t>
      </w:r>
      <w:r w:rsidRPr="00DA1A5D">
        <w:rPr>
          <w:rFonts w:ascii="Arial" w:hAnsi="Arial" w:cs="Arial"/>
          <w:b/>
          <w:sz w:val="24"/>
          <w:szCs w:val="24"/>
        </w:rPr>
        <w:t>.</w:t>
      </w:r>
      <w:r w:rsidRPr="00DA1A5D">
        <w:rPr>
          <w:rFonts w:ascii="Arial" w:hAnsi="Arial" w:cs="Arial"/>
          <w:sz w:val="24"/>
          <w:szCs w:val="24"/>
        </w:rPr>
        <w:t xml:space="preserve"> GO enrichment for characteristic clusters of the Trend analys</w:t>
      </w:r>
      <w:r>
        <w:rPr>
          <w:rFonts w:ascii="Arial" w:hAnsi="Arial" w:cs="Arial"/>
          <w:sz w:val="24"/>
          <w:szCs w:val="24"/>
        </w:rPr>
        <w:t>is on differential transcripts using</w:t>
      </w:r>
      <w:r w:rsidRPr="00DA1A5D">
        <w:rPr>
          <w:rFonts w:ascii="Arial" w:hAnsi="Arial" w:cs="Arial"/>
          <w:sz w:val="24"/>
          <w:szCs w:val="24"/>
        </w:rPr>
        <w:t xml:space="preserve"> the</w:t>
      </w:r>
      <w:r>
        <w:rPr>
          <w:rFonts w:ascii="Arial" w:hAnsi="Arial" w:cs="Arial"/>
          <w:sz w:val="24"/>
          <w:szCs w:val="24"/>
        </w:rPr>
        <w:t xml:space="preserve"> AID and parental</w:t>
      </w:r>
      <w:r w:rsidRPr="00DA1A5D">
        <w:rPr>
          <w:rFonts w:ascii="Arial" w:hAnsi="Arial" w:cs="Arial"/>
          <w:sz w:val="24"/>
          <w:szCs w:val="24"/>
        </w:rPr>
        <w:t xml:space="preserve"> lines grown in auxin.</w:t>
      </w:r>
      <w:r>
        <w:rPr>
          <w:rFonts w:ascii="Arial" w:hAnsi="Arial" w:cs="Arial"/>
          <w:sz w:val="24"/>
          <w:szCs w:val="24"/>
        </w:rPr>
        <w:t xml:space="preserve"> </w:t>
      </w:r>
      <w:r w:rsidRPr="00A30310">
        <w:rPr>
          <w:rFonts w:ascii="Arial" w:hAnsi="Arial" w:cs="Arial"/>
          <w:sz w:val="24"/>
          <w:szCs w:val="24"/>
        </w:rPr>
        <w:t>Statistical analysis was performed based on hypergeometric t</w:t>
      </w:r>
      <w:r>
        <w:rPr>
          <w:rFonts w:ascii="Arial" w:hAnsi="Arial" w:cs="Arial"/>
          <w:sz w:val="24"/>
          <w:szCs w:val="24"/>
        </w:rPr>
        <w:t xml:space="preserve">est. </w:t>
      </w:r>
    </w:p>
    <w:p w:rsidR="004332CF" w:rsidRDefault="004332CF" w:rsidP="004332CF">
      <w:pPr>
        <w:spacing w:line="360" w:lineRule="auto"/>
        <w:jc w:val="left"/>
        <w:rPr>
          <w:rFonts w:ascii="Arial" w:hAnsi="Arial" w:cs="Arial"/>
          <w:sz w:val="24"/>
          <w:szCs w:val="24"/>
        </w:rPr>
      </w:pPr>
      <w:r w:rsidRPr="00C249AA">
        <w:rPr>
          <w:rFonts w:ascii="Arial" w:hAnsi="Arial" w:cs="Arial"/>
          <w:b/>
          <w:sz w:val="24"/>
          <w:szCs w:val="24"/>
        </w:rPr>
        <w:t xml:space="preserve">Supplementary Data </w:t>
      </w:r>
      <w:r>
        <w:rPr>
          <w:rFonts w:ascii="Arial" w:hAnsi="Arial" w:cs="Arial"/>
          <w:b/>
          <w:sz w:val="24"/>
          <w:szCs w:val="24"/>
        </w:rPr>
        <w:t>1</w:t>
      </w:r>
      <w:r w:rsidRPr="00C249AA">
        <w:rPr>
          <w:rFonts w:ascii="Arial" w:hAnsi="Arial" w:cs="Arial"/>
          <w:b/>
          <w:sz w:val="24"/>
          <w:szCs w:val="24"/>
        </w:rPr>
        <w:t>5</w:t>
      </w:r>
      <w:r>
        <w:rPr>
          <w:rFonts w:ascii="Arial" w:hAnsi="Arial" w:cs="Arial"/>
          <w:sz w:val="24"/>
          <w:szCs w:val="24"/>
        </w:rPr>
        <w:t>. Raw datasets of untargeted metabolomics in experiment 1.</w:t>
      </w:r>
    </w:p>
    <w:p w:rsidR="004332CF" w:rsidRDefault="004332CF" w:rsidP="004332CF">
      <w:pPr>
        <w:spacing w:line="360" w:lineRule="auto"/>
        <w:jc w:val="left"/>
        <w:rPr>
          <w:rFonts w:ascii="Arial" w:hAnsi="Arial" w:cs="Arial"/>
          <w:sz w:val="24"/>
          <w:szCs w:val="24"/>
        </w:rPr>
      </w:pPr>
      <w:r w:rsidRPr="00C249AA">
        <w:rPr>
          <w:rFonts w:ascii="Arial" w:hAnsi="Arial" w:cs="Arial"/>
          <w:b/>
          <w:sz w:val="24"/>
          <w:szCs w:val="24"/>
        </w:rPr>
        <w:t xml:space="preserve">Supplementary Data </w:t>
      </w:r>
      <w:r>
        <w:rPr>
          <w:rFonts w:ascii="Arial" w:hAnsi="Arial" w:cs="Arial"/>
          <w:b/>
          <w:sz w:val="24"/>
          <w:szCs w:val="24"/>
        </w:rPr>
        <w:t>1</w:t>
      </w:r>
      <w:r w:rsidRPr="00C249AA">
        <w:rPr>
          <w:rFonts w:ascii="Arial" w:hAnsi="Arial" w:cs="Arial"/>
          <w:b/>
          <w:sz w:val="24"/>
          <w:szCs w:val="24"/>
        </w:rPr>
        <w:t>6</w:t>
      </w:r>
      <w:r>
        <w:rPr>
          <w:rFonts w:ascii="Arial" w:hAnsi="Arial" w:cs="Arial"/>
          <w:sz w:val="24"/>
          <w:szCs w:val="24"/>
        </w:rPr>
        <w:t>. Raw datasets of untargeted metabolomics in experiment 2.</w:t>
      </w:r>
    </w:p>
    <w:p w:rsidR="004332CF" w:rsidRPr="00A30310" w:rsidRDefault="004332CF" w:rsidP="004332CF">
      <w:pPr>
        <w:spacing w:line="360" w:lineRule="auto"/>
        <w:jc w:val="left"/>
        <w:rPr>
          <w:rFonts w:ascii="Arial" w:hAnsi="Arial" w:cs="Arial"/>
          <w:sz w:val="24"/>
          <w:szCs w:val="24"/>
        </w:rPr>
      </w:pPr>
      <w:r w:rsidRPr="00DA1A5D">
        <w:rPr>
          <w:rFonts w:ascii="Arial" w:hAnsi="Arial" w:cs="Arial"/>
          <w:b/>
          <w:sz w:val="24"/>
          <w:szCs w:val="24"/>
        </w:rPr>
        <w:t xml:space="preserve">Supplementary </w:t>
      </w:r>
      <w:r>
        <w:rPr>
          <w:rFonts w:ascii="Arial" w:hAnsi="Arial" w:cs="Arial"/>
          <w:b/>
          <w:sz w:val="24"/>
          <w:szCs w:val="24"/>
        </w:rPr>
        <w:t>Data 17</w:t>
      </w:r>
      <w:r w:rsidRPr="00DA1A5D">
        <w:rPr>
          <w:rFonts w:ascii="Arial" w:hAnsi="Arial" w:cs="Arial"/>
          <w:sz w:val="24"/>
          <w:szCs w:val="24"/>
        </w:rPr>
        <w:t>. Analysis of the differential metabolites in experiment 1 (n=5).</w:t>
      </w:r>
      <w:r>
        <w:rPr>
          <w:rFonts w:ascii="Arial" w:hAnsi="Arial" w:cs="Arial"/>
          <w:sz w:val="24"/>
          <w:szCs w:val="24"/>
        </w:rPr>
        <w:t xml:space="preserve"> The datasets</w:t>
      </w:r>
      <w:r w:rsidRPr="00DA1A5D">
        <w:rPr>
          <w:rFonts w:ascii="Arial" w:hAnsi="Arial" w:cs="Arial"/>
          <w:sz w:val="24"/>
          <w:szCs w:val="24"/>
        </w:rPr>
        <w:t xml:space="preserve"> in experiment 1 were analyzed with One</w:t>
      </w:r>
      <w:r>
        <w:rPr>
          <w:rFonts w:ascii="Arial" w:hAnsi="Arial" w:cs="Arial"/>
          <w:sz w:val="24"/>
          <w:szCs w:val="24"/>
        </w:rPr>
        <w:t>-</w:t>
      </w:r>
      <w:r w:rsidRPr="00DA1A5D">
        <w:rPr>
          <w:rFonts w:ascii="Arial" w:hAnsi="Arial" w:cs="Arial"/>
          <w:sz w:val="24"/>
          <w:szCs w:val="24"/>
        </w:rPr>
        <w:t>way ANOVA with Dunnett's multiple comparison test.</w:t>
      </w:r>
      <w:r>
        <w:rPr>
          <w:rFonts w:ascii="Arial" w:hAnsi="Arial" w:cs="Arial"/>
          <w:sz w:val="24"/>
          <w:szCs w:val="24"/>
        </w:rPr>
        <w:t xml:space="preserve"> </w:t>
      </w:r>
    </w:p>
    <w:p w:rsidR="004332CF" w:rsidRDefault="004332CF" w:rsidP="006A0E73">
      <w:pPr>
        <w:spacing w:line="360" w:lineRule="auto"/>
        <w:jc w:val="left"/>
        <w:rPr>
          <w:rFonts w:ascii="Arial" w:hAnsi="Arial" w:cs="Arial"/>
          <w:sz w:val="24"/>
          <w:szCs w:val="24"/>
        </w:rPr>
      </w:pPr>
      <w:r w:rsidRPr="00DA1A5D">
        <w:rPr>
          <w:rFonts w:ascii="Arial" w:hAnsi="Arial" w:cs="Arial"/>
          <w:b/>
          <w:sz w:val="24"/>
          <w:szCs w:val="24"/>
        </w:rPr>
        <w:t xml:space="preserve">Supplementary </w:t>
      </w:r>
      <w:r>
        <w:rPr>
          <w:rFonts w:ascii="Arial" w:hAnsi="Arial" w:cs="Arial"/>
          <w:b/>
          <w:sz w:val="24"/>
          <w:szCs w:val="24"/>
        </w:rPr>
        <w:t>Data 18</w:t>
      </w:r>
      <w:r w:rsidRPr="00DA1A5D">
        <w:rPr>
          <w:rFonts w:ascii="Arial" w:hAnsi="Arial" w:cs="Arial"/>
          <w:sz w:val="24"/>
          <w:szCs w:val="24"/>
        </w:rPr>
        <w:t xml:space="preserve">. Analysis of the differential metabolites in </w:t>
      </w:r>
      <w:r>
        <w:rPr>
          <w:rFonts w:ascii="Arial" w:hAnsi="Arial" w:cs="Arial"/>
          <w:sz w:val="24"/>
          <w:szCs w:val="24"/>
        </w:rPr>
        <w:t xml:space="preserve">experiment 2 (n=3). The datasets in experiment </w:t>
      </w:r>
      <w:r w:rsidRPr="00DA1A5D">
        <w:rPr>
          <w:rFonts w:ascii="Arial" w:hAnsi="Arial" w:cs="Arial"/>
          <w:sz w:val="24"/>
          <w:szCs w:val="24"/>
        </w:rPr>
        <w:t>2 were analyzed with One</w:t>
      </w:r>
      <w:r>
        <w:rPr>
          <w:rFonts w:ascii="Arial" w:hAnsi="Arial" w:cs="Arial"/>
          <w:sz w:val="24"/>
          <w:szCs w:val="24"/>
        </w:rPr>
        <w:t>-</w:t>
      </w:r>
      <w:r w:rsidRPr="00DA1A5D">
        <w:rPr>
          <w:rFonts w:ascii="Arial" w:hAnsi="Arial" w:cs="Arial"/>
          <w:sz w:val="24"/>
          <w:szCs w:val="24"/>
        </w:rPr>
        <w:t>way ANOVA with Dunnett's multiple comparison test.</w:t>
      </w:r>
      <w:r>
        <w:rPr>
          <w:rFonts w:ascii="Arial" w:hAnsi="Arial" w:cs="Arial"/>
          <w:sz w:val="24"/>
          <w:szCs w:val="24"/>
        </w:rPr>
        <w:t xml:space="preserve"> </w:t>
      </w:r>
    </w:p>
    <w:p w:rsidR="00A8216C" w:rsidRDefault="00A8216C" w:rsidP="00A8216C">
      <w:pPr>
        <w:spacing w:line="360" w:lineRule="auto"/>
        <w:jc w:val="left"/>
        <w:rPr>
          <w:rFonts w:ascii="Arial" w:hAnsi="Arial" w:cs="Arial"/>
          <w:sz w:val="24"/>
          <w:szCs w:val="24"/>
        </w:rPr>
      </w:pPr>
      <w:r w:rsidRPr="00DA1A5D">
        <w:rPr>
          <w:rFonts w:ascii="Arial" w:hAnsi="Arial" w:cs="Arial"/>
          <w:b/>
          <w:sz w:val="24"/>
          <w:szCs w:val="24"/>
        </w:rPr>
        <w:t xml:space="preserve">Supplementary </w:t>
      </w:r>
      <w:r>
        <w:rPr>
          <w:rFonts w:ascii="Arial" w:hAnsi="Arial" w:cs="Arial"/>
          <w:b/>
          <w:sz w:val="24"/>
          <w:szCs w:val="24"/>
        </w:rPr>
        <w:t>Data 19</w:t>
      </w:r>
      <w:r w:rsidRPr="00DA1A5D">
        <w:rPr>
          <w:rFonts w:ascii="Arial" w:hAnsi="Arial" w:cs="Arial"/>
          <w:sz w:val="24"/>
          <w:szCs w:val="24"/>
        </w:rPr>
        <w:t xml:space="preserve">. MetaboAnalyst pathway analysis of the differential metabolites from untargeted metabolomics with the TIR1 and AID lines grown in auxin. </w:t>
      </w:r>
      <w:r>
        <w:rPr>
          <w:rFonts w:ascii="Arial" w:hAnsi="Arial" w:cs="Arial"/>
          <w:sz w:val="24"/>
          <w:szCs w:val="24"/>
        </w:rPr>
        <w:t>Enriched</w:t>
      </w:r>
      <w:r w:rsidRPr="00DA1A5D">
        <w:rPr>
          <w:rFonts w:ascii="Arial" w:hAnsi="Arial" w:cs="Arial"/>
          <w:sz w:val="24"/>
          <w:szCs w:val="24"/>
        </w:rPr>
        <w:t xml:space="preserve"> pathways are listed for Experiment 1 and Experiment 2. </w:t>
      </w:r>
      <w:r w:rsidRPr="00A30310">
        <w:rPr>
          <w:rFonts w:ascii="Arial" w:hAnsi="Arial" w:cs="Arial"/>
          <w:sz w:val="24"/>
          <w:szCs w:val="24"/>
        </w:rPr>
        <w:lastRenderedPageBreak/>
        <w:t>Statistical analysis was performed based on hypergeometric t</w:t>
      </w:r>
      <w:r>
        <w:rPr>
          <w:rFonts w:ascii="Arial" w:hAnsi="Arial" w:cs="Arial"/>
          <w:sz w:val="24"/>
          <w:szCs w:val="24"/>
        </w:rPr>
        <w:t xml:space="preserve">est. </w:t>
      </w:r>
    </w:p>
    <w:p w:rsidR="00A65AED" w:rsidRDefault="00A65AED" w:rsidP="00A65AED">
      <w:pPr>
        <w:spacing w:line="360" w:lineRule="auto"/>
        <w:jc w:val="left"/>
      </w:pPr>
      <w:r w:rsidRPr="00C249AA">
        <w:rPr>
          <w:rFonts w:ascii="Arial" w:hAnsi="Arial" w:cs="Arial"/>
          <w:b/>
          <w:sz w:val="24"/>
          <w:szCs w:val="24"/>
        </w:rPr>
        <w:t xml:space="preserve">Supplementary Data </w:t>
      </w:r>
      <w:r>
        <w:rPr>
          <w:rFonts w:ascii="Arial" w:hAnsi="Arial" w:cs="Arial"/>
          <w:b/>
          <w:sz w:val="24"/>
          <w:szCs w:val="24"/>
        </w:rPr>
        <w:t>20</w:t>
      </w:r>
      <w:r>
        <w:rPr>
          <w:rFonts w:ascii="Arial" w:hAnsi="Arial" w:cs="Arial"/>
          <w:sz w:val="24"/>
          <w:szCs w:val="24"/>
        </w:rPr>
        <w:t>. The datasets of biotinylated proteins by TurboID fusions with the micropore proteins. The original mass-spectrometry datasets were exported using the following settings: 0 peptides in the parental line, and ≥2 peptides in either of the TurboID fusions and peptide threshold = 95%.</w:t>
      </w:r>
    </w:p>
    <w:p w:rsidR="00A65AED" w:rsidRPr="00DA1A5D" w:rsidRDefault="00A65AED" w:rsidP="00A65AED">
      <w:pPr>
        <w:spacing w:line="360" w:lineRule="auto"/>
        <w:jc w:val="left"/>
        <w:rPr>
          <w:rFonts w:ascii="Arial" w:hAnsi="Arial" w:cs="Arial"/>
          <w:sz w:val="24"/>
          <w:szCs w:val="24"/>
        </w:rPr>
      </w:pPr>
      <w:r w:rsidRPr="00DA1A5D">
        <w:rPr>
          <w:rFonts w:ascii="Arial" w:hAnsi="Arial" w:cs="Arial"/>
          <w:b/>
          <w:sz w:val="24"/>
          <w:szCs w:val="24"/>
        </w:rPr>
        <w:t xml:space="preserve">Supplementary </w:t>
      </w:r>
      <w:r>
        <w:rPr>
          <w:rFonts w:ascii="Arial" w:hAnsi="Arial" w:cs="Arial"/>
          <w:b/>
          <w:sz w:val="24"/>
          <w:szCs w:val="24"/>
        </w:rPr>
        <w:t>Data 21</w:t>
      </w:r>
      <w:r w:rsidRPr="00DA1A5D">
        <w:rPr>
          <w:rFonts w:ascii="Arial" w:hAnsi="Arial" w:cs="Arial"/>
          <w:b/>
          <w:sz w:val="24"/>
          <w:szCs w:val="24"/>
        </w:rPr>
        <w:t>.</w:t>
      </w:r>
      <w:r w:rsidRPr="00DA1A5D">
        <w:rPr>
          <w:rFonts w:ascii="Arial" w:hAnsi="Arial" w:cs="Arial"/>
          <w:sz w:val="24"/>
          <w:szCs w:val="24"/>
        </w:rPr>
        <w:t xml:space="preserve"> Mass-spectrometry datasets of the proximity labeling analysis and the KEGG enrichment analysis. The datasets were </w:t>
      </w:r>
      <w:r>
        <w:rPr>
          <w:rFonts w:ascii="Arial" w:hAnsi="Arial" w:cs="Arial"/>
          <w:sz w:val="24"/>
          <w:szCs w:val="24"/>
        </w:rPr>
        <w:t>exported with the following settings:</w:t>
      </w:r>
      <w:r w:rsidRPr="00DA1A5D">
        <w:rPr>
          <w:rFonts w:ascii="Arial" w:hAnsi="Arial" w:cs="Arial"/>
          <w:sz w:val="24"/>
          <w:szCs w:val="24"/>
        </w:rPr>
        <w:t xml:space="preserve"> 0 peptides from the parental line, and </w:t>
      </w:r>
      <w:r w:rsidRPr="00DA1A5D">
        <w:rPr>
          <w:rFonts w:ascii="Arial" w:eastAsia="等线" w:hAnsi="Arial" w:cs="Arial"/>
          <w:sz w:val="24"/>
          <w:szCs w:val="24"/>
        </w:rPr>
        <w:t>≥</w:t>
      </w:r>
      <w:r w:rsidRPr="00DA1A5D">
        <w:rPr>
          <w:rFonts w:ascii="Arial" w:hAnsi="Arial" w:cs="Arial"/>
          <w:sz w:val="24"/>
          <w:szCs w:val="24"/>
        </w:rPr>
        <w:t>2 peptides from either of the TurboID fusions (n=2 for each) and peptide thresh</w:t>
      </w:r>
      <w:r>
        <w:rPr>
          <w:rFonts w:ascii="Arial" w:hAnsi="Arial" w:cs="Arial"/>
          <w:sz w:val="24"/>
          <w:szCs w:val="24"/>
        </w:rPr>
        <w:t>old=95%. The datasets were used for an enrichment analysis using</w:t>
      </w:r>
      <w:r w:rsidRPr="00DA1A5D">
        <w:rPr>
          <w:rFonts w:ascii="Arial" w:hAnsi="Arial" w:cs="Arial"/>
          <w:sz w:val="24"/>
          <w:szCs w:val="24"/>
        </w:rPr>
        <w:t xml:space="preserve"> ClusterProfiler in R with KEGG of </w:t>
      </w:r>
      <w:r w:rsidRPr="00DA1A5D">
        <w:rPr>
          <w:rFonts w:ascii="Arial" w:hAnsi="Arial" w:cs="Arial"/>
          <w:i/>
          <w:sz w:val="24"/>
          <w:szCs w:val="24"/>
        </w:rPr>
        <w:t>T. gondii</w:t>
      </w:r>
      <w:r w:rsidRPr="00DA1A5D">
        <w:rPr>
          <w:rFonts w:ascii="Arial" w:hAnsi="Arial" w:cs="Arial"/>
          <w:sz w:val="24"/>
          <w:szCs w:val="24"/>
        </w:rPr>
        <w:t>.</w:t>
      </w:r>
      <w:r>
        <w:rPr>
          <w:rFonts w:ascii="Arial" w:hAnsi="Arial" w:cs="Arial"/>
          <w:sz w:val="24"/>
          <w:szCs w:val="24"/>
        </w:rPr>
        <w:t xml:space="preserve"> </w:t>
      </w:r>
      <w:r w:rsidRPr="00A30310">
        <w:rPr>
          <w:rFonts w:ascii="Arial" w:hAnsi="Arial" w:cs="Arial"/>
          <w:sz w:val="24"/>
          <w:szCs w:val="24"/>
        </w:rPr>
        <w:t>Statistical analysis was performed based on hypergeometric t</w:t>
      </w:r>
      <w:r>
        <w:rPr>
          <w:rFonts w:ascii="Arial" w:hAnsi="Arial" w:cs="Arial"/>
          <w:sz w:val="24"/>
          <w:szCs w:val="24"/>
        </w:rPr>
        <w:t xml:space="preserve">est. </w:t>
      </w:r>
    </w:p>
    <w:p w:rsidR="00A65AED" w:rsidRPr="00A65AED" w:rsidRDefault="00A65AED" w:rsidP="00A8216C">
      <w:pPr>
        <w:spacing w:line="360" w:lineRule="auto"/>
        <w:jc w:val="left"/>
        <w:rPr>
          <w:rFonts w:ascii="Arial" w:hAnsi="Arial" w:cs="Arial"/>
          <w:sz w:val="24"/>
          <w:szCs w:val="24"/>
        </w:rPr>
      </w:pPr>
    </w:p>
    <w:p w:rsidR="00A8216C" w:rsidRPr="00A8216C" w:rsidRDefault="00A8216C" w:rsidP="006A0E73">
      <w:pPr>
        <w:spacing w:line="360" w:lineRule="auto"/>
        <w:jc w:val="left"/>
        <w:rPr>
          <w:rFonts w:ascii="Arial" w:hAnsi="Arial" w:cs="Arial"/>
          <w:sz w:val="24"/>
          <w:szCs w:val="24"/>
        </w:rPr>
      </w:pPr>
    </w:p>
    <w:p w:rsidR="006A0E73" w:rsidRDefault="006A0E73" w:rsidP="006A0E73">
      <w:pPr>
        <w:spacing w:line="360" w:lineRule="auto"/>
        <w:jc w:val="left"/>
        <w:rPr>
          <w:rFonts w:ascii="Arial" w:hAnsi="Arial" w:cs="Arial"/>
          <w:sz w:val="24"/>
          <w:szCs w:val="24"/>
        </w:rPr>
      </w:pPr>
    </w:p>
    <w:p w:rsidR="006A0E73" w:rsidRPr="006A0E73" w:rsidRDefault="006A0E73" w:rsidP="004725BE">
      <w:pPr>
        <w:spacing w:line="360" w:lineRule="auto"/>
        <w:rPr>
          <w:rFonts w:ascii="Arial" w:hAnsi="Arial" w:cs="Arial"/>
          <w:sz w:val="24"/>
          <w:szCs w:val="24"/>
        </w:rPr>
      </w:pPr>
    </w:p>
    <w:p w:rsidR="004725BE" w:rsidRPr="004725BE" w:rsidRDefault="004725BE" w:rsidP="00FE2105">
      <w:pPr>
        <w:spacing w:line="360" w:lineRule="auto"/>
        <w:jc w:val="left"/>
        <w:rPr>
          <w:rFonts w:ascii="Arial" w:hAnsi="Arial" w:cs="Arial"/>
          <w:sz w:val="24"/>
          <w:szCs w:val="24"/>
        </w:rPr>
      </w:pPr>
    </w:p>
    <w:p w:rsidR="00FE2105" w:rsidRPr="00FE2105" w:rsidRDefault="00FE2105" w:rsidP="005E1AF3">
      <w:pPr>
        <w:spacing w:line="360" w:lineRule="auto"/>
        <w:jc w:val="left"/>
        <w:rPr>
          <w:rFonts w:ascii="Arial" w:hAnsi="Arial" w:cs="Arial"/>
          <w:sz w:val="24"/>
          <w:szCs w:val="24"/>
        </w:rPr>
      </w:pPr>
    </w:p>
    <w:p w:rsidR="005E1AF3" w:rsidRPr="005E1AF3" w:rsidRDefault="005E1AF3" w:rsidP="005E1AF3">
      <w:pPr>
        <w:spacing w:line="360" w:lineRule="auto"/>
        <w:jc w:val="left"/>
        <w:rPr>
          <w:rFonts w:ascii="Arial" w:hAnsi="Arial" w:cs="Arial"/>
          <w:sz w:val="24"/>
          <w:szCs w:val="24"/>
        </w:rPr>
      </w:pPr>
    </w:p>
    <w:p w:rsidR="005E1AF3" w:rsidRPr="005E1AF3" w:rsidRDefault="005E1AF3" w:rsidP="007E6E8D">
      <w:pPr>
        <w:spacing w:line="360" w:lineRule="auto"/>
        <w:jc w:val="left"/>
        <w:rPr>
          <w:rFonts w:ascii="Arial" w:hAnsi="Arial" w:cs="Arial"/>
          <w:sz w:val="24"/>
          <w:szCs w:val="24"/>
        </w:rPr>
      </w:pPr>
    </w:p>
    <w:p w:rsidR="005E1AF3" w:rsidRPr="00DA1A5D" w:rsidRDefault="005E1AF3" w:rsidP="007E6E8D">
      <w:pPr>
        <w:spacing w:line="360" w:lineRule="auto"/>
        <w:jc w:val="left"/>
        <w:rPr>
          <w:rFonts w:ascii="Arial" w:hAnsi="Arial" w:cs="Arial"/>
          <w:b/>
          <w:sz w:val="24"/>
          <w:szCs w:val="24"/>
        </w:rPr>
      </w:pPr>
    </w:p>
    <w:p w:rsidR="007E6E8D" w:rsidRPr="007E6E8D" w:rsidRDefault="007E6E8D" w:rsidP="007E6E8D">
      <w:pPr>
        <w:spacing w:line="360" w:lineRule="auto"/>
        <w:rPr>
          <w:rFonts w:ascii="Arial" w:hAnsi="Arial" w:cs="Arial"/>
          <w:color w:val="000000" w:themeColor="text1"/>
          <w:sz w:val="24"/>
          <w:szCs w:val="24"/>
        </w:rPr>
      </w:pPr>
    </w:p>
    <w:p w:rsidR="007E6E8D" w:rsidRPr="006A2D67" w:rsidRDefault="007E6E8D" w:rsidP="007E6E8D">
      <w:pPr>
        <w:spacing w:line="360" w:lineRule="auto"/>
        <w:rPr>
          <w:rFonts w:ascii="Arial" w:hAnsi="Arial" w:cs="Arial"/>
          <w:color w:val="000000" w:themeColor="text1"/>
          <w:sz w:val="24"/>
          <w:szCs w:val="24"/>
        </w:rPr>
      </w:pPr>
    </w:p>
    <w:p w:rsidR="007E6E8D" w:rsidRPr="007E6E8D" w:rsidRDefault="007E6E8D"/>
    <w:sectPr w:rsidR="007E6E8D" w:rsidRPr="007E6E8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63D3" w:rsidRDefault="002163D3" w:rsidP="00374EEC">
      <w:r>
        <w:separator/>
      </w:r>
    </w:p>
  </w:endnote>
  <w:endnote w:type="continuationSeparator" w:id="0">
    <w:p w:rsidR="002163D3" w:rsidRDefault="002163D3" w:rsidP="00374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63D3" w:rsidRDefault="002163D3" w:rsidP="00374EEC">
      <w:r>
        <w:separator/>
      </w:r>
    </w:p>
  </w:footnote>
  <w:footnote w:type="continuationSeparator" w:id="0">
    <w:p w:rsidR="002163D3" w:rsidRDefault="002163D3" w:rsidP="00374E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E8D"/>
    <w:rsid w:val="00041713"/>
    <w:rsid w:val="00070226"/>
    <w:rsid w:val="00184D81"/>
    <w:rsid w:val="002163D3"/>
    <w:rsid w:val="00374EEC"/>
    <w:rsid w:val="004332CF"/>
    <w:rsid w:val="004725BE"/>
    <w:rsid w:val="005E1AF3"/>
    <w:rsid w:val="006A0E73"/>
    <w:rsid w:val="00700BE8"/>
    <w:rsid w:val="00745CCD"/>
    <w:rsid w:val="007831E8"/>
    <w:rsid w:val="007D7362"/>
    <w:rsid w:val="007E6E8D"/>
    <w:rsid w:val="00811785"/>
    <w:rsid w:val="008E4EB7"/>
    <w:rsid w:val="008F7112"/>
    <w:rsid w:val="0095718B"/>
    <w:rsid w:val="009F4359"/>
    <w:rsid w:val="00A65AED"/>
    <w:rsid w:val="00A8216C"/>
    <w:rsid w:val="00A87881"/>
    <w:rsid w:val="00FD68BB"/>
    <w:rsid w:val="00FE21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4C9C9E"/>
  <w15:chartTrackingRefBased/>
  <w15:docId w15:val="{08E95D4C-6499-4094-83C2-A0F51C88D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Arial"/>
        <w:kern w:val="2"/>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6E8D"/>
    <w:pPr>
      <w:widowControl w:val="0"/>
      <w:jc w:val="both"/>
    </w:pPr>
    <w:rPr>
      <w:rFonts w:asciiTheme="minorHAnsi" w:hAnsiTheme="minorHAnsi" w:cstheme="minorBidi"/>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4EE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74EEC"/>
    <w:rPr>
      <w:rFonts w:asciiTheme="minorHAnsi" w:hAnsiTheme="minorHAnsi" w:cstheme="minorBidi"/>
      <w:sz w:val="18"/>
      <w:szCs w:val="18"/>
    </w:rPr>
  </w:style>
  <w:style w:type="paragraph" w:styleId="a5">
    <w:name w:val="footer"/>
    <w:basedOn w:val="a"/>
    <w:link w:val="a6"/>
    <w:uiPriority w:val="99"/>
    <w:unhideWhenUsed/>
    <w:rsid w:val="00374EEC"/>
    <w:pPr>
      <w:tabs>
        <w:tab w:val="center" w:pos="4153"/>
        <w:tab w:val="right" w:pos="8306"/>
      </w:tabs>
      <w:snapToGrid w:val="0"/>
      <w:jc w:val="left"/>
    </w:pPr>
    <w:rPr>
      <w:sz w:val="18"/>
      <w:szCs w:val="18"/>
    </w:rPr>
  </w:style>
  <w:style w:type="character" w:customStyle="1" w:styleId="a6">
    <w:name w:val="页脚 字符"/>
    <w:basedOn w:val="a0"/>
    <w:link w:val="a5"/>
    <w:uiPriority w:val="99"/>
    <w:rsid w:val="00374EEC"/>
    <w:rPr>
      <w:rFonts w:asciiTheme="minorHAnsi" w:hAnsiTheme="minorHAnsi" w:cstheme="min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639</Words>
  <Characters>3647</Characters>
  <Application>Microsoft Office Word</Application>
  <DocSecurity>0</DocSecurity>
  <Lines>30</Lines>
  <Paragraphs>8</Paragraphs>
  <ScaleCrop>false</ScaleCrop>
  <Company>HP Inc.</Company>
  <LinksUpToDate>false</LinksUpToDate>
  <CharactersWithSpaces>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dc:creator>
  <cp:keywords/>
  <dc:description/>
  <cp:lastModifiedBy>SL</cp:lastModifiedBy>
  <cp:revision>30</cp:revision>
  <dcterms:created xsi:type="dcterms:W3CDTF">2023-02-02T12:41:00Z</dcterms:created>
  <dcterms:modified xsi:type="dcterms:W3CDTF">2023-02-03T07:59:00Z</dcterms:modified>
</cp:coreProperties>
</file>