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5C4AECD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2572D43A" w14:textId="77777777" w:rsidR="003011D7" w:rsidRDefault="003011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ED27599" w14:textId="57BD8403" w:rsidR="008523AF" w:rsidRDefault="008523AF" w:rsidP="008523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Supplementary </w:t>
      </w:r>
      <w:r w:rsidR="00BE3BD7">
        <w:t>Data</w:t>
      </w:r>
      <w:r w:rsidR="00EA1B87">
        <w:t xml:space="preserve"> 1</w:t>
      </w:r>
    </w:p>
    <w:p w14:paraId="6BB0C3B7" w14:textId="7B9E8880" w:rsidR="00294BB5" w:rsidRPr="0046042F" w:rsidRDefault="008523AF" w:rsidP="0046042F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Single-cell RNA sequencing metrics of patient AML samples</w:t>
      </w:r>
    </w:p>
    <w:p w14:paraId="5ECF306C" w14:textId="4ED615FC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 xml:space="preserve">Supplementary Data 2 </w:t>
      </w:r>
    </w:p>
    <w:p w14:paraId="4D8198FF" w14:textId="58F90CA1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Marker genes for clusters identified in single-cell RNA sequencing of patient AML samples</w:t>
      </w:r>
    </w:p>
    <w:p w14:paraId="4B5DD1F1" w14:textId="44ECD76C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Supplementary Data 3</w:t>
      </w:r>
    </w:p>
    <w:p w14:paraId="694BF95E" w14:textId="4BC1B8B8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Differentially expressed genes in bulk RNA sequencing across comparisons of sorted GFP populations from treated or control patient derived xenografts</w:t>
      </w:r>
    </w:p>
    <w:p w14:paraId="22AA7DCA" w14:textId="4D11298B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Supplementary Data 4</w:t>
      </w:r>
    </w:p>
    <w:p w14:paraId="01A884C7" w14:textId="42F8D61C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Single-cell RNA sequencing metrics of patient derived xenograft samples</w:t>
      </w:r>
    </w:p>
    <w:p w14:paraId="38FA8A54" w14:textId="26739523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Supplementary Data 5</w:t>
      </w:r>
    </w:p>
    <w:p w14:paraId="7E998FA8" w14:textId="3EDBA243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Marker genes for clusters identified in single-cell RNA sequencing of patient derived xenograft samples</w:t>
      </w:r>
    </w:p>
    <w:p w14:paraId="64290ED9" w14:textId="3B2D18D0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Supplementary Data 6</w:t>
      </w:r>
    </w:p>
    <w:p w14:paraId="162B8D8D" w14:textId="16B54883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Survival analysis input gene lists and model coefficients for large publicly available AML cohorts</w:t>
      </w:r>
    </w:p>
    <w:p w14:paraId="1FE21139" w14:textId="4C1DA6C6" w:rsidR="00BE3BD7" w:rsidRDefault="00BE3BD7" w:rsidP="00BE3B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Supplementary Data 7</w:t>
      </w:r>
    </w:p>
    <w:p w14:paraId="3EBB779F" w14:textId="438D2D7A" w:rsidR="00BE3BD7" w:rsidRPr="0046042F" w:rsidRDefault="00BE3BD7" w:rsidP="00BE3BD7">
      <w:pPr>
        <w:jc w:val="both"/>
        <w:rPr>
          <w:color w:val="000000" w:themeColor="text1"/>
          <w:lang w:val="en-US"/>
        </w:rPr>
      </w:pPr>
      <w:r>
        <w:t xml:space="preserve">Description: </w:t>
      </w:r>
      <w:r w:rsidR="00A94C5A" w:rsidRPr="00A94C5A">
        <w:t>Table of reagents used for flow cytometry experiments</w:t>
      </w:r>
    </w:p>
    <w:p w14:paraId="05267FB8" w14:textId="61BFE401" w:rsidR="00AA11BD" w:rsidRPr="00EE2292" w:rsidRDefault="00AA11BD" w:rsidP="00AA11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sectPr w:rsidR="00AA11BD" w:rsidRPr="00EE2292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94BB5"/>
    <w:rsid w:val="003011D7"/>
    <w:rsid w:val="003C78A9"/>
    <w:rsid w:val="0040204E"/>
    <w:rsid w:val="0046042F"/>
    <w:rsid w:val="004E71E6"/>
    <w:rsid w:val="00680EB8"/>
    <w:rsid w:val="007D0ECA"/>
    <w:rsid w:val="007E7FB3"/>
    <w:rsid w:val="008258D4"/>
    <w:rsid w:val="00846138"/>
    <w:rsid w:val="008523AF"/>
    <w:rsid w:val="00A94C5A"/>
    <w:rsid w:val="00AA11BD"/>
    <w:rsid w:val="00BE3BD7"/>
    <w:rsid w:val="00D66C38"/>
    <w:rsid w:val="00EA1B87"/>
    <w:rsid w:val="00EE2292"/>
    <w:rsid w:val="00E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F6B1D3"/>
  <w15:docId w15:val="{D16E95BF-3D42-4D8B-8A55-118F479AE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>Springer-SBM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Davies</dc:creator>
  <cp:lastModifiedBy>NALDINI MATTEO MARIA</cp:lastModifiedBy>
  <cp:revision>3</cp:revision>
  <dcterms:created xsi:type="dcterms:W3CDTF">2023-02-10T15:41:00Z</dcterms:created>
  <dcterms:modified xsi:type="dcterms:W3CDTF">2023-02-10T16:17:00Z</dcterms:modified>
</cp:coreProperties>
</file>