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5C4AECD" w:rsidR="008258D4" w:rsidRDefault="0040204E">
      <w:pPr>
        <w:pBdr>
          <w:top w:val="nil"/>
          <w:left w:val="nil"/>
          <w:bottom w:val="nil"/>
          <w:right w:val="nil"/>
          <w:between w:val="nil"/>
        </w:pBdr>
        <w:spacing w:after="0" w:line="240" w:lineRule="auto"/>
        <w:rPr>
          <w:b/>
          <w:color w:val="000000"/>
          <w:sz w:val="24"/>
          <w:szCs w:val="24"/>
        </w:rPr>
      </w:pPr>
      <w:r>
        <w:rPr>
          <w:b/>
          <w:color w:val="000000"/>
          <w:sz w:val="24"/>
          <w:szCs w:val="24"/>
        </w:rPr>
        <w:t>Description of Additional Supplementary Files</w:t>
      </w:r>
    </w:p>
    <w:p w14:paraId="2572D43A" w14:textId="77777777" w:rsidR="003011D7" w:rsidRDefault="003011D7">
      <w:pPr>
        <w:pBdr>
          <w:top w:val="nil"/>
          <w:left w:val="nil"/>
          <w:bottom w:val="nil"/>
          <w:right w:val="nil"/>
          <w:between w:val="nil"/>
        </w:pBdr>
        <w:spacing w:after="0" w:line="240" w:lineRule="auto"/>
        <w:rPr>
          <w:b/>
          <w:color w:val="000000"/>
          <w:sz w:val="24"/>
          <w:szCs w:val="24"/>
        </w:rPr>
      </w:pPr>
    </w:p>
    <w:p w14:paraId="1ED27599" w14:textId="61078A9F" w:rsidR="008523AF" w:rsidRDefault="008523AF" w:rsidP="008523AF">
      <w:pPr>
        <w:pBdr>
          <w:top w:val="nil"/>
          <w:left w:val="nil"/>
          <w:bottom w:val="nil"/>
          <w:right w:val="nil"/>
          <w:between w:val="nil"/>
        </w:pBdr>
        <w:spacing w:after="0" w:line="240" w:lineRule="auto"/>
      </w:pPr>
      <w:r>
        <w:t xml:space="preserve">Supplementary </w:t>
      </w:r>
      <w:r w:rsidR="003B1D12">
        <w:t>Data</w:t>
      </w:r>
      <w:r w:rsidR="00832336">
        <w:t xml:space="preserve"> 1</w:t>
      </w:r>
    </w:p>
    <w:p w14:paraId="4C1F651A" w14:textId="26EC8702" w:rsidR="00FE7F85" w:rsidRDefault="008523AF" w:rsidP="00FE7F85">
      <w:pPr>
        <w:jc w:val="both"/>
      </w:pPr>
      <w:r>
        <w:t xml:space="preserve">Description: </w:t>
      </w:r>
      <w:r w:rsidR="00FE7F85">
        <w:t xml:space="preserve">Count data of </w:t>
      </w:r>
      <w:r w:rsidR="00FE7F85" w:rsidRPr="00FE7F85">
        <w:rPr>
          <w:i/>
          <w:iCs/>
        </w:rPr>
        <w:t xml:space="preserve">D. </w:t>
      </w:r>
      <w:proofErr w:type="spellStart"/>
      <w:r w:rsidR="00FE7F85" w:rsidRPr="00FE7F85">
        <w:rPr>
          <w:i/>
          <w:iCs/>
        </w:rPr>
        <w:t>biauraria</w:t>
      </w:r>
      <w:proofErr w:type="spellEnd"/>
      <w:r w:rsidR="00FE7F85">
        <w:t>.</w:t>
      </w:r>
      <w:r w:rsidR="00FE7F85">
        <w:rPr>
          <w:rFonts w:hint="eastAsia"/>
          <w:lang w:eastAsia="ja-JP"/>
        </w:rPr>
        <w:t xml:space="preserve"> </w:t>
      </w:r>
      <w:r w:rsidR="00FE7F85">
        <w:t>The "hatch rate" sheet shows the data of egg hatch rates used in Fig. 1A and Supplementary Fig. 1. The "sexing" sheet shows the number of males and females used in Fig. 1B.</w:t>
      </w:r>
    </w:p>
    <w:p w14:paraId="30204328" w14:textId="2812C247" w:rsidR="00832336" w:rsidRDefault="00832336" w:rsidP="00832336">
      <w:pPr>
        <w:pBdr>
          <w:top w:val="nil"/>
          <w:left w:val="nil"/>
          <w:bottom w:val="nil"/>
          <w:right w:val="nil"/>
          <w:between w:val="nil"/>
        </w:pBdr>
        <w:spacing w:after="0" w:line="240" w:lineRule="auto"/>
      </w:pPr>
      <w:r>
        <w:t xml:space="preserve">Supplementary </w:t>
      </w:r>
      <w:r w:rsidR="003B1D12">
        <w:t>Data</w:t>
      </w:r>
      <w:r>
        <w:t xml:space="preserve"> 2</w:t>
      </w:r>
    </w:p>
    <w:p w14:paraId="60BD16DE" w14:textId="497B6528" w:rsidR="00832336" w:rsidRDefault="00832336" w:rsidP="00832336">
      <w:pPr>
        <w:jc w:val="both"/>
      </w:pPr>
      <w:r>
        <w:t>Description</w:t>
      </w:r>
      <w:r w:rsidR="003B1D12">
        <w:t>:</w:t>
      </w:r>
      <w:r w:rsidR="00FE7F85">
        <w:t xml:space="preserve"> </w:t>
      </w:r>
      <w:r w:rsidR="00FE7F85">
        <w:t xml:space="preserve">Amino acid sequences of </w:t>
      </w:r>
      <w:proofErr w:type="spellStart"/>
      <w:r w:rsidR="00FE7F85">
        <w:t>RdRp</w:t>
      </w:r>
      <w:proofErr w:type="spellEnd"/>
      <w:r w:rsidR="00FE7F85">
        <w:t xml:space="preserve"> and host information of the viruses used for phylogenetic analysis.</w:t>
      </w:r>
      <w:r w:rsidR="00FE7F85">
        <w:rPr>
          <w:rFonts w:hint="eastAsia"/>
          <w:lang w:eastAsia="ja-JP"/>
        </w:rPr>
        <w:t xml:space="preserve"> </w:t>
      </w:r>
      <w:r w:rsidR="00FE7F85">
        <w:t>The "107OTU" sheet shows the 107 amino acid sequences used for phylogenetic tree reconstruction in Fig. 2C. The "41OTU" sheet shows the 41 amino acid sequences used for phylogenetic tree reconstruction in Supplementary Fig. 5.</w:t>
      </w:r>
    </w:p>
    <w:p w14:paraId="51232B79" w14:textId="70992D95" w:rsidR="00832336" w:rsidRDefault="00832336" w:rsidP="00832336">
      <w:pPr>
        <w:pBdr>
          <w:top w:val="nil"/>
          <w:left w:val="nil"/>
          <w:bottom w:val="nil"/>
          <w:right w:val="nil"/>
          <w:between w:val="nil"/>
        </w:pBdr>
        <w:spacing w:after="0" w:line="240" w:lineRule="auto"/>
      </w:pPr>
      <w:r>
        <w:t xml:space="preserve">Supplementary </w:t>
      </w:r>
      <w:r w:rsidR="003B1D12">
        <w:t>Data</w:t>
      </w:r>
      <w:r>
        <w:t xml:space="preserve"> 3</w:t>
      </w:r>
    </w:p>
    <w:p w14:paraId="65B2D972" w14:textId="4EFC52F9" w:rsidR="00FE7F85" w:rsidRDefault="00832336" w:rsidP="00FE7F85">
      <w:pPr>
        <w:jc w:val="both"/>
      </w:pPr>
      <w:r>
        <w:t xml:space="preserve">Description: </w:t>
      </w:r>
      <w:r w:rsidR="00FE7F85">
        <w:t xml:space="preserve">Titres of dsRNA1-dsRNA4 in adult </w:t>
      </w:r>
      <w:r w:rsidR="00FE7F85" w:rsidRPr="00FE7F85">
        <w:rPr>
          <w:i/>
          <w:iCs/>
        </w:rPr>
        <w:t xml:space="preserve">D. </w:t>
      </w:r>
      <w:proofErr w:type="spellStart"/>
      <w:r w:rsidR="00FE7F85" w:rsidRPr="00FE7F85">
        <w:rPr>
          <w:i/>
          <w:iCs/>
        </w:rPr>
        <w:t>biauraria</w:t>
      </w:r>
      <w:proofErr w:type="spellEnd"/>
      <w:r w:rsidR="00FE7F85">
        <w:t>.</w:t>
      </w:r>
      <w:r w:rsidR="00FE7F85">
        <w:t xml:space="preserve"> </w:t>
      </w:r>
      <w:r w:rsidR="00FE7F85">
        <w:t xml:space="preserve">The "sheet 1" shows the qPCR data on dsRNA1-dsRNA4 in adults of SP12F and </w:t>
      </w:r>
      <w:proofErr w:type="gramStart"/>
      <w:r w:rsidR="00FE7F85">
        <w:t>tr.SP</w:t>
      </w:r>
      <w:proofErr w:type="gramEnd"/>
      <w:r w:rsidR="00FE7F85">
        <w:t>11-20 (Supplementary Fig. 7).</w:t>
      </w:r>
    </w:p>
    <w:p w14:paraId="4FB3EE26" w14:textId="7843EC44" w:rsidR="00832336" w:rsidRDefault="00832336" w:rsidP="00832336">
      <w:pPr>
        <w:pBdr>
          <w:top w:val="nil"/>
          <w:left w:val="nil"/>
          <w:bottom w:val="nil"/>
          <w:right w:val="nil"/>
          <w:between w:val="nil"/>
        </w:pBdr>
        <w:spacing w:after="0" w:line="240" w:lineRule="auto"/>
      </w:pPr>
      <w:r>
        <w:t xml:space="preserve">Supplementary </w:t>
      </w:r>
      <w:r w:rsidR="003B1D12">
        <w:t>Data</w:t>
      </w:r>
      <w:r>
        <w:t xml:space="preserve"> 4 </w:t>
      </w:r>
    </w:p>
    <w:p w14:paraId="6B7E3EE5" w14:textId="61998F4B" w:rsidR="00FE7F85" w:rsidRDefault="00832336" w:rsidP="00FE7F85">
      <w:pPr>
        <w:jc w:val="both"/>
      </w:pPr>
      <w:r>
        <w:t xml:space="preserve">Description: </w:t>
      </w:r>
      <w:r w:rsidR="00FE7F85">
        <w:t xml:space="preserve">Count data of </w:t>
      </w:r>
      <w:r w:rsidR="00FE7F85" w:rsidRPr="00FE7F85">
        <w:rPr>
          <w:i/>
          <w:iCs/>
        </w:rPr>
        <w:t>D. melanogaster</w:t>
      </w:r>
      <w:r w:rsidR="00FE7F85">
        <w:t xml:space="preserve"> adults.</w:t>
      </w:r>
      <w:r w:rsidR="00FE7F85">
        <w:t xml:space="preserve"> </w:t>
      </w:r>
      <w:r w:rsidR="00FE7F85">
        <w:t>The "</w:t>
      </w:r>
      <w:proofErr w:type="gramStart"/>
      <w:r w:rsidR="00FE7F85">
        <w:t>act.Gal</w:t>
      </w:r>
      <w:proofErr w:type="gramEnd"/>
      <w:r w:rsidR="00FE7F85">
        <w:t>4" sheet shows the effect on sex ratio of overexpression using actin driver (Fig. 3B; Supplementary Fig. 11). The "</w:t>
      </w:r>
      <w:proofErr w:type="gramStart"/>
      <w:r w:rsidR="00FE7F85">
        <w:t>nos.Gal</w:t>
      </w:r>
      <w:proofErr w:type="gramEnd"/>
      <w:r w:rsidR="00FE7F85">
        <w:t>4" sheet shows the effect on sex ratio of overexpression using nanos driver (Fig. 3C).</w:t>
      </w:r>
    </w:p>
    <w:p w14:paraId="323D1D8D" w14:textId="63E6BDB6" w:rsidR="00832336" w:rsidRDefault="00832336" w:rsidP="00832336">
      <w:pPr>
        <w:pBdr>
          <w:top w:val="nil"/>
          <w:left w:val="nil"/>
          <w:bottom w:val="nil"/>
          <w:right w:val="nil"/>
          <w:between w:val="nil"/>
        </w:pBdr>
        <w:spacing w:after="0" w:line="240" w:lineRule="auto"/>
      </w:pPr>
      <w:r>
        <w:t xml:space="preserve">Supplementary </w:t>
      </w:r>
      <w:r w:rsidR="003B1D12">
        <w:t>Data</w:t>
      </w:r>
      <w:r>
        <w:t xml:space="preserve"> 5</w:t>
      </w:r>
    </w:p>
    <w:p w14:paraId="39C3041E" w14:textId="55312D43" w:rsidR="00FE7F85" w:rsidRDefault="00832336" w:rsidP="00FE7F85">
      <w:pPr>
        <w:jc w:val="both"/>
      </w:pPr>
      <w:r>
        <w:t xml:space="preserve">Description: </w:t>
      </w:r>
      <w:r w:rsidR="00FE7F85">
        <w:t xml:space="preserve">qPCR data on overexpressed </w:t>
      </w:r>
      <w:r w:rsidR="00FE7F85" w:rsidRPr="00FE7F85">
        <w:rPr>
          <w:i/>
          <w:iCs/>
        </w:rPr>
        <w:t>D. melanogaster</w:t>
      </w:r>
      <w:r w:rsidR="00FE7F85">
        <w:t>.</w:t>
      </w:r>
      <w:r w:rsidR="00FE7F85">
        <w:t xml:space="preserve"> </w:t>
      </w:r>
      <w:r w:rsidR="00FE7F85">
        <w:t xml:space="preserve">The "qPCR" sheet shows the qPCR data on overexpressed </w:t>
      </w:r>
      <w:r w:rsidR="00FE7F85" w:rsidRPr="00FE7F85">
        <w:rPr>
          <w:i/>
          <w:iCs/>
        </w:rPr>
        <w:t>D. melanogaster</w:t>
      </w:r>
      <w:r w:rsidR="00FE7F85">
        <w:t xml:space="preserve"> (Supplementary Fig. 12).</w:t>
      </w:r>
    </w:p>
    <w:p w14:paraId="308D7F58" w14:textId="51385A6D" w:rsidR="00832336" w:rsidRDefault="00832336" w:rsidP="00832336">
      <w:pPr>
        <w:pBdr>
          <w:top w:val="nil"/>
          <w:left w:val="nil"/>
          <w:bottom w:val="nil"/>
          <w:right w:val="nil"/>
          <w:between w:val="nil"/>
        </w:pBdr>
        <w:spacing w:after="0" w:line="240" w:lineRule="auto"/>
      </w:pPr>
      <w:r>
        <w:t xml:space="preserve">Supplementary </w:t>
      </w:r>
      <w:r w:rsidR="003B1D12">
        <w:t>Data</w:t>
      </w:r>
      <w:r>
        <w:t xml:space="preserve"> 6</w:t>
      </w:r>
    </w:p>
    <w:p w14:paraId="1C120AE5" w14:textId="475743D5" w:rsidR="00FE7F85" w:rsidRDefault="00832336" w:rsidP="00FE7F85">
      <w:pPr>
        <w:jc w:val="both"/>
      </w:pPr>
      <w:r>
        <w:t xml:space="preserve">Description: </w:t>
      </w:r>
      <w:r w:rsidR="00FE7F85">
        <w:t xml:space="preserve">Virus titres in male and female embryos of </w:t>
      </w:r>
      <w:r w:rsidR="00FE7F85" w:rsidRPr="00FE7F85">
        <w:rPr>
          <w:i/>
          <w:iCs/>
        </w:rPr>
        <w:t xml:space="preserve">D. </w:t>
      </w:r>
      <w:proofErr w:type="spellStart"/>
      <w:r w:rsidR="00FE7F85" w:rsidRPr="00FE7F85">
        <w:rPr>
          <w:i/>
          <w:iCs/>
        </w:rPr>
        <w:t>biauraria</w:t>
      </w:r>
      <w:proofErr w:type="spellEnd"/>
      <w:r w:rsidR="00FE7F85">
        <w:t>.</w:t>
      </w:r>
      <w:r w:rsidR="00FE7F85">
        <w:t xml:space="preserve"> </w:t>
      </w:r>
      <w:r w:rsidR="00FE7F85">
        <w:t>The "sheet 1" shows the qPCR data on dsRNA1 in male and female embryos of SP12F (Supplementary Fig. 9).</w:t>
      </w:r>
    </w:p>
    <w:p w14:paraId="665BE6CF" w14:textId="41E31781" w:rsidR="0093339E" w:rsidRDefault="0093339E" w:rsidP="0093339E">
      <w:pPr>
        <w:pBdr>
          <w:top w:val="nil"/>
          <w:left w:val="nil"/>
          <w:bottom w:val="nil"/>
          <w:right w:val="nil"/>
          <w:between w:val="nil"/>
        </w:pBdr>
        <w:spacing w:after="0" w:line="240" w:lineRule="auto"/>
      </w:pPr>
      <w:r>
        <w:t>Supplementary Data 7</w:t>
      </w:r>
    </w:p>
    <w:p w14:paraId="1B19A84E" w14:textId="76597ECF" w:rsidR="00FE7F85" w:rsidRPr="0046042F" w:rsidRDefault="0093339E" w:rsidP="00FE7F85">
      <w:pPr>
        <w:jc w:val="both"/>
        <w:rPr>
          <w:color w:val="000000" w:themeColor="text1"/>
          <w:lang w:val="en-US"/>
        </w:rPr>
      </w:pPr>
      <w:r>
        <w:t xml:space="preserve">Description: </w:t>
      </w:r>
      <w:r w:rsidR="00FE7F85" w:rsidRPr="00FE7F85">
        <w:rPr>
          <w:color w:val="000000" w:themeColor="text1"/>
          <w:lang w:val="en-US"/>
        </w:rPr>
        <w:t xml:space="preserve">Survivorship of overexpressed </w:t>
      </w:r>
      <w:r w:rsidR="00FE7F85" w:rsidRPr="00FE7F85">
        <w:rPr>
          <w:i/>
          <w:iCs/>
          <w:color w:val="000000" w:themeColor="text1"/>
          <w:lang w:val="en-US"/>
        </w:rPr>
        <w:t>D. melanogaster</w:t>
      </w:r>
      <w:r w:rsidR="00FE7F85" w:rsidRPr="00FE7F85">
        <w:rPr>
          <w:color w:val="000000" w:themeColor="text1"/>
          <w:lang w:val="en-US"/>
        </w:rPr>
        <w:t>.</w:t>
      </w:r>
      <w:r w:rsidR="00FE7F85">
        <w:rPr>
          <w:color w:val="000000" w:themeColor="text1"/>
          <w:lang w:val="en-US"/>
        </w:rPr>
        <w:t xml:space="preserve"> </w:t>
      </w:r>
      <w:r w:rsidR="00FE7F85" w:rsidRPr="00FE7F85">
        <w:rPr>
          <w:color w:val="000000" w:themeColor="text1"/>
          <w:lang w:val="en-US"/>
        </w:rPr>
        <w:t>The "embryonic" sheet shows the hatching rates of eggs overexpressed by the actin driver (Supplementary Fig. 13). The "postembryonic" sheet shows the sex ratio of third-instar larvae and adults overexpressed by the actin driver (Supplementary Fig. 14).</w:t>
      </w:r>
    </w:p>
    <w:p w14:paraId="05267FB8" w14:textId="1F8E8734" w:rsidR="00AA11BD" w:rsidRPr="0093339E" w:rsidRDefault="00AA11BD" w:rsidP="0093339E">
      <w:pPr>
        <w:pBdr>
          <w:top w:val="nil"/>
          <w:left w:val="nil"/>
          <w:bottom w:val="nil"/>
          <w:right w:val="nil"/>
          <w:between w:val="nil"/>
        </w:pBdr>
        <w:spacing w:after="0" w:line="240" w:lineRule="auto"/>
        <w:rPr>
          <w:b/>
          <w:bCs/>
        </w:rPr>
      </w:pPr>
    </w:p>
    <w:sectPr w:rsidR="00AA11BD" w:rsidRPr="0093339E">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D4"/>
    <w:rsid w:val="00294BB5"/>
    <w:rsid w:val="003011D7"/>
    <w:rsid w:val="003B1D12"/>
    <w:rsid w:val="003C78A9"/>
    <w:rsid w:val="003E564B"/>
    <w:rsid w:val="0040204E"/>
    <w:rsid w:val="0046042F"/>
    <w:rsid w:val="004E71E6"/>
    <w:rsid w:val="00680EB8"/>
    <w:rsid w:val="007E7FB3"/>
    <w:rsid w:val="008258D4"/>
    <w:rsid w:val="00832336"/>
    <w:rsid w:val="00846138"/>
    <w:rsid w:val="008523AF"/>
    <w:rsid w:val="0093339E"/>
    <w:rsid w:val="00A70D48"/>
    <w:rsid w:val="00AA11BD"/>
    <w:rsid w:val="00BE3BD7"/>
    <w:rsid w:val="00C827BB"/>
    <w:rsid w:val="00CB7EC1"/>
    <w:rsid w:val="00D66C38"/>
    <w:rsid w:val="00DB3AAC"/>
    <w:rsid w:val="00EA1B87"/>
    <w:rsid w:val="00EE2292"/>
    <w:rsid w:val="00EF6344"/>
    <w:rsid w:val="00FE7F8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F6B1D3"/>
  <w15:docId w15:val="{D16E95BF-3D42-4D8B-8A55-118F479A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1555</Characters>
  <Application>Microsoft Office Word</Application>
  <DocSecurity>0</DocSecurity>
  <Lines>12</Lines>
  <Paragraphs>3</Paragraphs>
  <ScaleCrop>false</ScaleCrop>
  <Company>Springer-SBM</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Davies</dc:creator>
  <cp:lastModifiedBy>Kageyama Daisuke</cp:lastModifiedBy>
  <cp:revision>2</cp:revision>
  <dcterms:created xsi:type="dcterms:W3CDTF">2023-02-26T13:11:00Z</dcterms:created>
  <dcterms:modified xsi:type="dcterms:W3CDTF">2023-02-26T13:11:00Z</dcterms:modified>
</cp:coreProperties>
</file>