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04E2D" w14:textId="608FFA68" w:rsidR="0095188D" w:rsidRDefault="00421B26">
      <w:pPr>
        <w:rPr>
          <w:rFonts w:ascii="Arial" w:hAnsi="Arial" w:cs="Arial"/>
          <w:b/>
          <w:bCs/>
          <w:sz w:val="24"/>
          <w:szCs w:val="24"/>
        </w:rPr>
      </w:pPr>
      <w:r w:rsidRPr="00421B26">
        <w:rPr>
          <w:rFonts w:ascii="Arial" w:hAnsi="Arial" w:cs="Arial"/>
          <w:b/>
          <w:bCs/>
          <w:sz w:val="24"/>
          <w:szCs w:val="24"/>
        </w:rPr>
        <w:t>Supplementary Information</w:t>
      </w:r>
    </w:p>
    <w:p w14:paraId="22ED0151" w14:textId="77777777" w:rsidR="0047385A" w:rsidRPr="0047385A" w:rsidRDefault="0047385A" w:rsidP="0047385A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47385A">
        <w:rPr>
          <w:rFonts w:ascii="Arial" w:eastAsia="Arial" w:hAnsi="Arial" w:cs="Arial"/>
          <w:b/>
          <w:sz w:val="24"/>
          <w:szCs w:val="24"/>
        </w:rPr>
        <w:t xml:space="preserve">Direct RNA sequencing coupled with adaptive sampling enriches RNAs of interest in the </w:t>
      </w:r>
      <w:proofErr w:type="gramStart"/>
      <w:r w:rsidRPr="0047385A">
        <w:rPr>
          <w:rFonts w:ascii="Arial" w:eastAsia="Arial" w:hAnsi="Arial" w:cs="Arial"/>
          <w:b/>
          <w:sz w:val="24"/>
          <w:szCs w:val="24"/>
        </w:rPr>
        <w:t>transcriptome</w:t>
      </w:r>
      <w:proofErr w:type="gramEnd"/>
    </w:p>
    <w:p w14:paraId="01F07456" w14:textId="058AC50D" w:rsidR="00421B26" w:rsidRDefault="002B6CCB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5A6D569" wp14:editId="090CFC2C">
            <wp:extent cx="5731464" cy="5697366"/>
            <wp:effectExtent l="0" t="0" r="3175" b="0"/>
            <wp:docPr id="1850237616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237616" name="Picture 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5" b="17104"/>
                    <a:stretch/>
                  </pic:blipFill>
                  <pic:spPr bwMode="auto">
                    <a:xfrm>
                      <a:off x="0" y="0"/>
                      <a:ext cx="5731510" cy="569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36910" w14:textId="4A305147" w:rsidR="00421B26" w:rsidRDefault="00421B26" w:rsidP="00421B26">
      <w:pPr>
        <w:jc w:val="both"/>
        <w:rPr>
          <w:rFonts w:ascii="Arial" w:eastAsia="Arial" w:hAnsi="Arial" w:cs="Arial"/>
        </w:rPr>
      </w:pPr>
      <w:r w:rsidRPr="005D5155">
        <w:rPr>
          <w:rFonts w:ascii="Arial" w:eastAsia="Arial" w:hAnsi="Arial" w:cs="Arial"/>
          <w:b/>
        </w:rPr>
        <w:t xml:space="preserve">Supplementary Figure 1. Direct RNA sequencing of the IVT pool. </w:t>
      </w:r>
      <w:proofErr w:type="gramStart"/>
      <w:r w:rsidRPr="005D5155">
        <w:rPr>
          <w:rFonts w:ascii="Arial" w:eastAsia="Arial" w:hAnsi="Arial" w:cs="Arial"/>
          <w:b/>
        </w:rPr>
        <w:t>a</w:t>
      </w:r>
      <w:r w:rsidRPr="005D5155">
        <w:rPr>
          <w:rFonts w:ascii="Arial" w:eastAsia="Arial" w:hAnsi="Arial" w:cs="Arial"/>
        </w:rPr>
        <w:t>,</w:t>
      </w:r>
      <w:proofErr w:type="gramEnd"/>
      <w:r w:rsidRPr="005D5155">
        <w:rPr>
          <w:rFonts w:ascii="Arial" w:eastAsia="Arial" w:hAnsi="Arial" w:cs="Arial"/>
        </w:rPr>
        <w:t xml:space="preserve"> Bar plots showing the number of reads of GAPDH, ENO2, 18S rRNA, and ACTB present in bulk sequencing.</w:t>
      </w:r>
      <w:r>
        <w:rPr>
          <w:rFonts w:ascii="Arial" w:eastAsia="Arial" w:hAnsi="Arial" w:cs="Arial"/>
        </w:rPr>
        <w:t xml:space="preserve"> </w:t>
      </w:r>
      <w:r w:rsidRPr="003E6CB9">
        <w:rPr>
          <w:rFonts w:ascii="Arial" w:eastAsia="Arial" w:hAnsi="Arial" w:cs="Arial"/>
          <w:b/>
          <w:bCs/>
        </w:rPr>
        <w:t>b</w:t>
      </w:r>
      <w:r>
        <w:rPr>
          <w:rFonts w:ascii="Arial" w:eastAsia="Arial" w:hAnsi="Arial" w:cs="Arial"/>
        </w:rPr>
        <w:t xml:space="preserve">, Bar plots showing the reads count from bulk and 1sec, 3.5sec and 6.5sec adaptive sequencing. </w:t>
      </w:r>
      <w:r>
        <w:rPr>
          <w:rFonts w:ascii="Arial" w:eastAsia="Arial" w:hAnsi="Arial" w:cs="Arial"/>
          <w:b/>
        </w:rPr>
        <w:t>c</w:t>
      </w:r>
      <w:r w:rsidRPr="005D5155"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</w:rPr>
        <w:t>f</w:t>
      </w:r>
      <w:r w:rsidRPr="005D5155">
        <w:rPr>
          <w:rFonts w:ascii="Arial" w:eastAsia="Arial" w:hAnsi="Arial" w:cs="Arial"/>
        </w:rPr>
        <w:t>, Density plots showing the length of mapped reads of</w:t>
      </w:r>
      <w:r>
        <w:rPr>
          <w:rFonts w:ascii="Arial" w:eastAsia="Arial" w:hAnsi="Arial" w:cs="Arial"/>
        </w:rPr>
        <w:t xml:space="preserve"> ENO2</w:t>
      </w:r>
      <w:r w:rsidRPr="005D5155"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b/>
        </w:rPr>
        <w:t>c</w:t>
      </w:r>
      <w:r w:rsidRPr="005D5155">
        <w:rPr>
          <w:rFonts w:ascii="Arial" w:eastAsia="Arial" w:hAnsi="Arial" w:cs="Arial"/>
        </w:rPr>
        <w:t xml:space="preserve">), </w:t>
      </w:r>
      <w:r>
        <w:rPr>
          <w:rFonts w:ascii="Arial" w:eastAsia="Arial" w:hAnsi="Arial" w:cs="Arial"/>
        </w:rPr>
        <w:t>18S rRNA</w:t>
      </w:r>
      <w:r w:rsidRPr="005D5155"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b/>
        </w:rPr>
        <w:t>d</w:t>
      </w:r>
      <w:r w:rsidRPr="005D5155">
        <w:rPr>
          <w:rFonts w:ascii="Arial" w:eastAsia="Arial" w:hAnsi="Arial" w:cs="Arial"/>
        </w:rPr>
        <w:t xml:space="preserve">), </w:t>
      </w:r>
      <w:r>
        <w:rPr>
          <w:rFonts w:ascii="Arial" w:eastAsia="Arial" w:hAnsi="Arial" w:cs="Arial"/>
        </w:rPr>
        <w:t>ACTB</w:t>
      </w:r>
      <w:r w:rsidRPr="005D5155"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b/>
        </w:rPr>
        <w:t>e</w:t>
      </w:r>
      <w:r w:rsidRPr="005D5155">
        <w:rPr>
          <w:rFonts w:ascii="Arial" w:eastAsia="Arial" w:hAnsi="Arial" w:cs="Arial"/>
        </w:rPr>
        <w:t xml:space="preserve">), and </w:t>
      </w:r>
      <w:r>
        <w:rPr>
          <w:rFonts w:ascii="Arial" w:eastAsia="Arial" w:hAnsi="Arial" w:cs="Arial"/>
        </w:rPr>
        <w:t>GAPDH (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</w:rPr>
        <w:t>)</w:t>
      </w:r>
      <w:r w:rsidRPr="005D5155">
        <w:rPr>
          <w:rFonts w:ascii="Arial" w:eastAsia="Arial" w:hAnsi="Arial" w:cs="Arial"/>
        </w:rPr>
        <w:t xml:space="preserve"> in bulk sequencing</w:t>
      </w:r>
      <w:r>
        <w:rPr>
          <w:rFonts w:ascii="Arial" w:eastAsia="Arial" w:hAnsi="Arial" w:cs="Arial"/>
        </w:rPr>
        <w:t xml:space="preserve"> and during adaptive sequencing</w:t>
      </w:r>
      <w:r w:rsidRPr="005D5155"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</w:rPr>
        <w:t xml:space="preserve">, </w:t>
      </w:r>
      <w:r w:rsidRPr="005D5155">
        <w:rPr>
          <w:rFonts w:ascii="Arial" w:eastAsia="Arial" w:hAnsi="Arial" w:cs="Arial"/>
        </w:rPr>
        <w:t>Density plots showing the distribution of read lengths in the rejected read pool when 1 or 3.5 sec decision time is used in adaptive sampling.</w:t>
      </w:r>
      <w:r>
        <w:rPr>
          <w:rFonts w:ascii="Arial" w:eastAsia="Arial" w:hAnsi="Arial" w:cs="Arial"/>
        </w:rPr>
        <w:t xml:space="preserve"> </w:t>
      </w:r>
      <w:r w:rsidRPr="005F11FA">
        <w:rPr>
          <w:rFonts w:ascii="Arial" w:eastAsia="Arial" w:hAnsi="Arial" w:cs="Arial"/>
        </w:rPr>
        <w:t xml:space="preserve">The </w:t>
      </w:r>
      <w:proofErr w:type="spellStart"/>
      <w:r w:rsidRPr="005F11FA">
        <w:rPr>
          <w:rFonts w:ascii="Arial" w:eastAsia="Arial" w:hAnsi="Arial" w:cs="Arial"/>
        </w:rPr>
        <w:t>color</w:t>
      </w:r>
      <w:proofErr w:type="spellEnd"/>
      <w:r w:rsidRPr="005F11FA">
        <w:rPr>
          <w:rFonts w:ascii="Arial" w:eastAsia="Arial" w:hAnsi="Arial" w:cs="Arial"/>
        </w:rPr>
        <w:t xml:space="preserve"> labels are as shown.</w:t>
      </w:r>
    </w:p>
    <w:p w14:paraId="6A622417" w14:textId="20E6E341" w:rsidR="0047385A" w:rsidRPr="005D5155" w:rsidRDefault="0047385A" w:rsidP="00421B26">
      <w:pPr>
        <w:jc w:val="both"/>
        <w:rPr>
          <w:rFonts w:ascii="Arial" w:eastAsia="Arial" w:hAnsi="Arial" w:cs="Arial"/>
        </w:rPr>
      </w:pPr>
    </w:p>
    <w:p w14:paraId="44FF2963" w14:textId="77777777" w:rsidR="0047385A" w:rsidRDefault="0047385A" w:rsidP="00421B26">
      <w:pPr>
        <w:jc w:val="both"/>
        <w:rPr>
          <w:rFonts w:ascii="Arial" w:eastAsia="Arial" w:hAnsi="Arial" w:cs="Arial"/>
          <w:b/>
        </w:rPr>
      </w:pPr>
    </w:p>
    <w:p w14:paraId="14E8DC5F" w14:textId="77777777" w:rsidR="0052678C" w:rsidRDefault="0052678C" w:rsidP="00421B26">
      <w:pPr>
        <w:jc w:val="both"/>
        <w:rPr>
          <w:rFonts w:ascii="Arial" w:eastAsia="Arial" w:hAnsi="Arial" w:cs="Arial"/>
          <w:b/>
        </w:rPr>
      </w:pPr>
    </w:p>
    <w:p w14:paraId="5CF9C373" w14:textId="0A8E0AE7" w:rsidR="0052678C" w:rsidRDefault="0052678C" w:rsidP="00421B26">
      <w:pPr>
        <w:jc w:val="both"/>
        <w:rPr>
          <w:rFonts w:ascii="Arial" w:eastAsia="Arial" w:hAnsi="Arial" w:cs="Arial"/>
          <w:b/>
        </w:rPr>
      </w:pPr>
    </w:p>
    <w:p w14:paraId="23580E71" w14:textId="4D839A27" w:rsidR="00873EF0" w:rsidRDefault="002B6CCB" w:rsidP="00421B26">
      <w:pPr>
        <w:jc w:val="both"/>
        <w:rPr>
          <w:rFonts w:ascii="Arial" w:eastAsia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01BF192E" wp14:editId="4209E473">
            <wp:extent cx="5730875" cy="3755809"/>
            <wp:effectExtent l="0" t="0" r="3175" b="0"/>
            <wp:docPr id="16415801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5801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3" b="43377"/>
                    <a:stretch/>
                  </pic:blipFill>
                  <pic:spPr bwMode="auto">
                    <a:xfrm>
                      <a:off x="0" y="0"/>
                      <a:ext cx="5731510" cy="375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7234FF" w14:textId="5BE2B574" w:rsidR="00421B26" w:rsidRPr="005D5155" w:rsidRDefault="00421B26" w:rsidP="00421B26">
      <w:pPr>
        <w:jc w:val="both"/>
        <w:rPr>
          <w:rFonts w:ascii="Arial" w:eastAsia="Arial" w:hAnsi="Arial" w:cs="Arial"/>
        </w:rPr>
      </w:pPr>
      <w:r w:rsidRPr="005D5155">
        <w:rPr>
          <w:rFonts w:ascii="Arial" w:eastAsia="Arial" w:hAnsi="Arial" w:cs="Arial"/>
          <w:b/>
        </w:rPr>
        <w:t xml:space="preserve">Supplementary Figure 2. Using adaptive sampling to deplete transcripts </w:t>
      </w:r>
      <w:r>
        <w:rPr>
          <w:rFonts w:ascii="Arial" w:eastAsia="Arial" w:hAnsi="Arial" w:cs="Arial"/>
          <w:b/>
        </w:rPr>
        <w:t>o</w:t>
      </w:r>
      <w:r w:rsidRPr="005D5155">
        <w:rPr>
          <w:rFonts w:ascii="Arial" w:eastAsia="Arial" w:hAnsi="Arial" w:cs="Arial"/>
          <w:b/>
        </w:rPr>
        <w:t xml:space="preserve">f interest. </w:t>
      </w:r>
      <w:proofErr w:type="gramStart"/>
      <w:r w:rsidRPr="005D5155">
        <w:rPr>
          <w:rFonts w:ascii="Arial" w:eastAsia="Arial" w:hAnsi="Arial" w:cs="Arial"/>
          <w:b/>
        </w:rPr>
        <w:t>a</w:t>
      </w:r>
      <w:r w:rsidRPr="005D5155">
        <w:rPr>
          <w:rFonts w:ascii="Arial" w:eastAsia="Arial" w:hAnsi="Arial" w:cs="Arial"/>
        </w:rPr>
        <w:t>,</w:t>
      </w:r>
      <w:proofErr w:type="gramEnd"/>
      <w:r w:rsidRPr="005D5155">
        <w:rPr>
          <w:rFonts w:ascii="Arial" w:eastAsia="Arial" w:hAnsi="Arial" w:cs="Arial"/>
        </w:rPr>
        <w:t xml:space="preserve"> Table showing the parameters for break times (decision times) tested in the depletion mode of adaptive sampling. </w:t>
      </w:r>
      <w:r w:rsidRPr="00F3400B">
        <w:rPr>
          <w:rFonts w:ascii="Arial" w:eastAsia="Arial" w:hAnsi="Arial" w:cs="Arial"/>
          <w:b/>
          <w:bCs/>
        </w:rPr>
        <w:t>b</w:t>
      </w:r>
      <w:r>
        <w:rPr>
          <w:rFonts w:ascii="Arial" w:eastAsia="Arial" w:hAnsi="Arial" w:cs="Arial"/>
        </w:rPr>
        <w:t xml:space="preserve">, </w:t>
      </w:r>
      <w:r w:rsidRPr="005D5155">
        <w:rPr>
          <w:rFonts w:ascii="Arial" w:eastAsia="Arial" w:hAnsi="Arial" w:cs="Arial"/>
        </w:rPr>
        <w:t>Density plots showing the distribution of read lengths of rejected reads under different decision times of adaptive sampling.</w:t>
      </w:r>
      <w:r>
        <w:rPr>
          <w:rFonts w:ascii="Arial" w:eastAsia="Arial" w:hAnsi="Arial" w:cs="Arial"/>
        </w:rPr>
        <w:t xml:space="preserve"> </w:t>
      </w:r>
      <w:r w:rsidRPr="005F11FA">
        <w:rPr>
          <w:rFonts w:ascii="Arial" w:eastAsia="Arial" w:hAnsi="Arial" w:cs="Arial"/>
        </w:rPr>
        <w:t xml:space="preserve">The </w:t>
      </w:r>
      <w:proofErr w:type="spellStart"/>
      <w:r w:rsidRPr="005F11FA">
        <w:rPr>
          <w:rFonts w:ascii="Arial" w:eastAsia="Arial" w:hAnsi="Arial" w:cs="Arial"/>
        </w:rPr>
        <w:t>color</w:t>
      </w:r>
      <w:proofErr w:type="spellEnd"/>
      <w:r w:rsidRPr="005F11FA">
        <w:rPr>
          <w:rFonts w:ascii="Arial" w:eastAsia="Arial" w:hAnsi="Arial" w:cs="Arial"/>
        </w:rPr>
        <w:t xml:space="preserve"> labels are as shown.</w:t>
      </w:r>
      <w:r w:rsidRPr="005D515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c</w:t>
      </w:r>
      <w:r w:rsidRPr="005D5155">
        <w:rPr>
          <w:rFonts w:ascii="Arial" w:eastAsia="Arial" w:hAnsi="Arial" w:cs="Arial"/>
        </w:rPr>
        <w:t xml:space="preserve">, IGV plots showing the distribution of read coverage along the length of GAPDH, ACTB, 18S rRNA, and ENO2 after GAPDH and ENO2 depletion by adaptive sampling. </w:t>
      </w:r>
    </w:p>
    <w:p w14:paraId="19307920" w14:textId="77777777" w:rsidR="0047385A" w:rsidRDefault="0047385A" w:rsidP="00421B26">
      <w:pPr>
        <w:jc w:val="both"/>
        <w:rPr>
          <w:rFonts w:ascii="Arial" w:eastAsia="Arial" w:hAnsi="Arial" w:cs="Arial"/>
          <w:b/>
        </w:rPr>
      </w:pPr>
    </w:p>
    <w:p w14:paraId="64D72B02" w14:textId="77777777" w:rsidR="0047385A" w:rsidRDefault="0047385A" w:rsidP="00421B26">
      <w:pPr>
        <w:jc w:val="both"/>
        <w:rPr>
          <w:rFonts w:ascii="Arial" w:eastAsia="Arial" w:hAnsi="Arial" w:cs="Arial"/>
          <w:b/>
        </w:rPr>
      </w:pPr>
    </w:p>
    <w:p w14:paraId="7F6B1B46" w14:textId="77777777" w:rsidR="0047385A" w:rsidRDefault="0047385A" w:rsidP="00421B26">
      <w:pPr>
        <w:jc w:val="both"/>
        <w:rPr>
          <w:rFonts w:ascii="Arial" w:eastAsia="Arial" w:hAnsi="Arial" w:cs="Arial"/>
          <w:b/>
        </w:rPr>
      </w:pPr>
    </w:p>
    <w:p w14:paraId="33CF62C1" w14:textId="77777777" w:rsidR="0047385A" w:rsidRDefault="0047385A" w:rsidP="00421B26">
      <w:pPr>
        <w:jc w:val="both"/>
        <w:rPr>
          <w:rFonts w:ascii="Arial" w:eastAsia="Arial" w:hAnsi="Arial" w:cs="Arial"/>
          <w:b/>
        </w:rPr>
      </w:pPr>
    </w:p>
    <w:p w14:paraId="1006F0A4" w14:textId="77777777" w:rsidR="0047385A" w:rsidRDefault="0047385A" w:rsidP="00421B26">
      <w:pPr>
        <w:jc w:val="both"/>
        <w:rPr>
          <w:rFonts w:ascii="Arial" w:eastAsia="Arial" w:hAnsi="Arial" w:cs="Arial"/>
          <w:b/>
        </w:rPr>
      </w:pPr>
    </w:p>
    <w:p w14:paraId="44A0C770" w14:textId="77777777" w:rsidR="0047385A" w:rsidRDefault="0047385A" w:rsidP="00421B26">
      <w:pPr>
        <w:jc w:val="both"/>
        <w:rPr>
          <w:rFonts w:ascii="Arial" w:eastAsia="Arial" w:hAnsi="Arial" w:cs="Arial"/>
          <w:b/>
        </w:rPr>
      </w:pPr>
    </w:p>
    <w:p w14:paraId="6B514C1B" w14:textId="77777777" w:rsidR="0047385A" w:rsidRDefault="0047385A" w:rsidP="00421B26">
      <w:pPr>
        <w:jc w:val="both"/>
        <w:rPr>
          <w:rFonts w:ascii="Arial" w:eastAsia="Arial" w:hAnsi="Arial" w:cs="Arial"/>
          <w:b/>
        </w:rPr>
      </w:pPr>
    </w:p>
    <w:p w14:paraId="72595F75" w14:textId="77777777" w:rsidR="0047385A" w:rsidRDefault="0047385A" w:rsidP="00421B26">
      <w:pPr>
        <w:jc w:val="both"/>
        <w:rPr>
          <w:rFonts w:ascii="Arial" w:eastAsia="Arial" w:hAnsi="Arial" w:cs="Arial"/>
          <w:b/>
        </w:rPr>
      </w:pPr>
    </w:p>
    <w:p w14:paraId="53FF2570" w14:textId="77777777" w:rsidR="0052678C" w:rsidRDefault="0052678C" w:rsidP="00421B26">
      <w:pPr>
        <w:jc w:val="both"/>
        <w:rPr>
          <w:rFonts w:ascii="Arial" w:eastAsia="Arial" w:hAnsi="Arial" w:cs="Arial"/>
          <w:b/>
        </w:rPr>
      </w:pPr>
    </w:p>
    <w:p w14:paraId="4B086C03" w14:textId="77777777" w:rsidR="0052678C" w:rsidRDefault="0052678C" w:rsidP="00421B26">
      <w:pPr>
        <w:jc w:val="both"/>
        <w:rPr>
          <w:rFonts w:ascii="Arial" w:eastAsia="Arial" w:hAnsi="Arial" w:cs="Arial"/>
          <w:b/>
        </w:rPr>
      </w:pPr>
    </w:p>
    <w:p w14:paraId="1DB7235C" w14:textId="77777777" w:rsidR="0052678C" w:rsidRDefault="0052678C" w:rsidP="00421B26">
      <w:pPr>
        <w:jc w:val="both"/>
        <w:rPr>
          <w:rFonts w:ascii="Arial" w:eastAsia="Arial" w:hAnsi="Arial" w:cs="Arial"/>
          <w:b/>
        </w:rPr>
      </w:pPr>
    </w:p>
    <w:p w14:paraId="0AD1B978" w14:textId="77777777" w:rsidR="0052678C" w:rsidRDefault="0052678C" w:rsidP="00421B26">
      <w:pPr>
        <w:jc w:val="both"/>
        <w:rPr>
          <w:rFonts w:ascii="Arial" w:eastAsia="Arial" w:hAnsi="Arial" w:cs="Arial"/>
          <w:b/>
        </w:rPr>
      </w:pPr>
    </w:p>
    <w:p w14:paraId="5EE712C7" w14:textId="25013283" w:rsidR="0052678C" w:rsidRDefault="0052678C" w:rsidP="00421B26">
      <w:pPr>
        <w:jc w:val="both"/>
        <w:rPr>
          <w:rFonts w:ascii="Arial" w:eastAsia="Arial" w:hAnsi="Arial" w:cs="Arial"/>
          <w:b/>
        </w:rPr>
      </w:pPr>
    </w:p>
    <w:p w14:paraId="6A21F87E" w14:textId="01C8CF54" w:rsidR="0052678C" w:rsidRDefault="0052678C" w:rsidP="00421B26">
      <w:pPr>
        <w:jc w:val="both"/>
        <w:rPr>
          <w:rFonts w:ascii="Arial" w:eastAsia="Arial" w:hAnsi="Arial" w:cs="Arial"/>
          <w:b/>
        </w:rPr>
      </w:pPr>
    </w:p>
    <w:p w14:paraId="2C376761" w14:textId="1624A6AE" w:rsidR="002B6CCB" w:rsidRDefault="002B6CCB" w:rsidP="00421B26">
      <w:pPr>
        <w:jc w:val="both"/>
        <w:rPr>
          <w:rFonts w:ascii="Arial" w:eastAsia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1AA3EAF9" wp14:editId="0A695DE7">
            <wp:extent cx="5730875" cy="2181963"/>
            <wp:effectExtent l="0" t="0" r="3175" b="8890"/>
            <wp:docPr id="1782788722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88722" name="Picture 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6" b="66284"/>
                    <a:stretch/>
                  </pic:blipFill>
                  <pic:spPr bwMode="auto">
                    <a:xfrm>
                      <a:off x="0" y="0"/>
                      <a:ext cx="5731510" cy="218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7FE97" w14:textId="108DD52A" w:rsidR="00421B26" w:rsidRDefault="00421B26" w:rsidP="00421B26">
      <w:pPr>
        <w:jc w:val="both"/>
        <w:rPr>
          <w:rFonts w:ascii="Arial" w:eastAsia="Arial" w:hAnsi="Arial" w:cs="Arial"/>
          <w:bCs/>
        </w:rPr>
      </w:pPr>
      <w:r w:rsidRPr="005D5155">
        <w:rPr>
          <w:rFonts w:ascii="Arial" w:eastAsia="Arial" w:hAnsi="Arial" w:cs="Arial"/>
          <w:b/>
        </w:rPr>
        <w:t xml:space="preserve">Supplementary Figure 3. </w:t>
      </w:r>
      <w:r>
        <w:rPr>
          <w:rFonts w:ascii="Arial" w:eastAsia="Arial" w:hAnsi="Arial" w:cs="Arial"/>
          <w:b/>
        </w:rPr>
        <w:t xml:space="preserve">Applying adaptive sampling to enrich transcripts in the </w:t>
      </w:r>
      <w:r>
        <w:rPr>
          <w:rFonts w:ascii="Arial" w:eastAsia="Arial" w:hAnsi="Arial" w:cs="Arial"/>
          <w:b/>
          <w:i/>
          <w:iCs/>
        </w:rPr>
        <w:t>C</w:t>
      </w:r>
      <w:r w:rsidRPr="00F3400B">
        <w:rPr>
          <w:rFonts w:ascii="Arial" w:eastAsia="Arial" w:hAnsi="Arial" w:cs="Arial"/>
          <w:b/>
          <w:i/>
          <w:iCs/>
        </w:rPr>
        <w:t>andida albicans</w:t>
      </w:r>
      <w:r>
        <w:rPr>
          <w:rFonts w:ascii="Arial" w:eastAsia="Arial" w:hAnsi="Arial" w:cs="Arial"/>
          <w:b/>
        </w:rPr>
        <w:t xml:space="preserve"> transcriptome. </w:t>
      </w:r>
      <w:proofErr w:type="gramStart"/>
      <w:r>
        <w:rPr>
          <w:rFonts w:ascii="Arial" w:eastAsia="Arial" w:hAnsi="Arial" w:cs="Arial"/>
          <w:b/>
        </w:rPr>
        <w:t>a,</w:t>
      </w:r>
      <w:proofErr w:type="gramEnd"/>
      <w:r>
        <w:rPr>
          <w:rFonts w:ascii="Arial" w:eastAsia="Arial" w:hAnsi="Arial" w:cs="Arial"/>
          <w:b/>
        </w:rPr>
        <w:t xml:space="preserve"> </w:t>
      </w:r>
      <w:r w:rsidRPr="00C20834">
        <w:rPr>
          <w:rFonts w:ascii="Arial" w:eastAsia="Arial" w:hAnsi="Arial" w:cs="Arial"/>
          <w:bCs/>
        </w:rPr>
        <w:t>Top</w:t>
      </w:r>
      <w:r>
        <w:rPr>
          <w:rFonts w:ascii="Arial" w:eastAsia="Arial" w:hAnsi="Arial" w:cs="Arial"/>
          <w:bCs/>
        </w:rPr>
        <w:t>:</w:t>
      </w:r>
      <w:r w:rsidRPr="00AD0A2E">
        <w:rPr>
          <w:rFonts w:ascii="Arial" w:eastAsia="Arial" w:hAnsi="Arial" w:cs="Arial"/>
          <w:bCs/>
        </w:rPr>
        <w:t xml:space="preserve"> schematic showing that 50% of the pores of a flow cell are</w:t>
      </w:r>
      <w:r>
        <w:rPr>
          <w:rFonts w:ascii="Arial" w:eastAsia="Arial" w:hAnsi="Arial" w:cs="Arial"/>
          <w:bCs/>
        </w:rPr>
        <w:t xml:space="preserve"> used for bulk sequencing and 50% of the pores are used for adaptive sampling.  </w:t>
      </w:r>
      <w:r w:rsidRPr="00C20834">
        <w:rPr>
          <w:rFonts w:ascii="Arial" w:eastAsia="Arial" w:hAnsi="Arial" w:cs="Arial"/>
          <w:bCs/>
        </w:rPr>
        <w:t>Bottom</w:t>
      </w:r>
      <w:r>
        <w:rPr>
          <w:rFonts w:ascii="Arial" w:eastAsia="Arial" w:hAnsi="Arial" w:cs="Arial"/>
          <w:bCs/>
        </w:rPr>
        <w:t xml:space="preserve">: Boxplot showing the number of reads that mapped to each of the 319 transcripts in bulk sequencing versus in the enrichment mode of adaptive sampling.  </w:t>
      </w:r>
      <w:r w:rsidRPr="00A52AF8">
        <w:rPr>
          <w:rFonts w:ascii="Arial" w:eastAsia="Arial" w:hAnsi="Arial" w:cs="Arial"/>
          <w:bCs/>
          <w:i/>
          <w:iCs/>
        </w:rPr>
        <w:t>P</w:t>
      </w:r>
      <w:r>
        <w:rPr>
          <w:rFonts w:ascii="Arial" w:eastAsia="Arial" w:hAnsi="Arial" w:cs="Arial"/>
          <w:bCs/>
        </w:rPr>
        <w:t xml:space="preserve">-value is calculated using </w:t>
      </w:r>
      <w:r w:rsidRPr="006A6366">
        <w:rPr>
          <w:rFonts w:ascii="Arial" w:eastAsia="Arial" w:hAnsi="Arial" w:cs="Arial"/>
          <w:bCs/>
        </w:rPr>
        <w:t>Wilcoxon Rank Sum Test</w:t>
      </w:r>
      <w:r>
        <w:rPr>
          <w:rFonts w:ascii="Arial" w:eastAsia="Arial" w:hAnsi="Arial" w:cs="Arial"/>
          <w:bCs/>
        </w:rPr>
        <w:t xml:space="preserve">.  </w:t>
      </w:r>
      <w:r w:rsidRPr="00C24895"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  <w:bCs/>
        </w:rPr>
        <w:t xml:space="preserve">, </w:t>
      </w:r>
      <w:r w:rsidRPr="00C20834">
        <w:rPr>
          <w:rFonts w:ascii="Arial" w:eastAsia="Arial" w:hAnsi="Arial" w:cs="Arial"/>
          <w:bCs/>
        </w:rPr>
        <w:t>Top</w:t>
      </w:r>
      <w:r>
        <w:rPr>
          <w:rFonts w:ascii="Arial" w:eastAsia="Arial" w:hAnsi="Arial" w:cs="Arial"/>
          <w:bCs/>
        </w:rPr>
        <w:t xml:space="preserve">: schematic showing that 50% of the pores of a flow cell are used for bulk sequencing and 50% of the pores are used for adaptive sampling to deplete 95% of the transcripts. </w:t>
      </w:r>
      <w:r w:rsidRPr="00C20834">
        <w:rPr>
          <w:rFonts w:ascii="Arial" w:eastAsia="Arial" w:hAnsi="Arial" w:cs="Arial"/>
          <w:bCs/>
        </w:rPr>
        <w:t>Bottom</w:t>
      </w:r>
      <w:r>
        <w:rPr>
          <w:rFonts w:ascii="Arial" w:eastAsia="Arial" w:hAnsi="Arial" w:cs="Arial"/>
          <w:bCs/>
        </w:rPr>
        <w:t xml:space="preserve">: Boxplot showing the number of reads that mapped to the 319 transcripts in bulk sequencing versus in the depletion mode of adaptive sampling. </w:t>
      </w:r>
      <w:r w:rsidRPr="005A03C1"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  <w:bCs/>
        </w:rPr>
        <w:t>,</w:t>
      </w:r>
      <w:r w:rsidRPr="005A03C1">
        <w:rPr>
          <w:rFonts w:ascii="Arial" w:eastAsia="Arial" w:hAnsi="Arial" w:cs="Arial"/>
          <w:bCs/>
        </w:rPr>
        <w:t xml:space="preserve"> </w:t>
      </w:r>
      <w:r w:rsidRPr="00C20834">
        <w:rPr>
          <w:rFonts w:ascii="Arial" w:eastAsia="Arial" w:hAnsi="Arial" w:cs="Arial"/>
          <w:bCs/>
        </w:rPr>
        <w:t>Top</w:t>
      </w:r>
      <w:r>
        <w:rPr>
          <w:rFonts w:ascii="Arial" w:eastAsia="Arial" w:hAnsi="Arial" w:cs="Arial"/>
          <w:bCs/>
        </w:rPr>
        <w:t xml:space="preserve">: schematic showing that 50% of the pores of a flow cell are used for bulk sequencing and 50% of the pores are used for adaptive sampling to deplete the top 150 transcripts.  Bottom: Boxplot showing the number of reads that mapped to other transcripts in bulk sequencing versus in the depletion mode of adaptive sampling after depleting the top 150 transcripts.  </w:t>
      </w:r>
      <w:r w:rsidRPr="00A52AF8">
        <w:rPr>
          <w:rFonts w:ascii="Arial" w:eastAsia="Arial" w:hAnsi="Arial" w:cs="Arial"/>
          <w:bCs/>
          <w:i/>
          <w:iCs/>
        </w:rPr>
        <w:t>P</w:t>
      </w:r>
      <w:r>
        <w:rPr>
          <w:rFonts w:ascii="Arial" w:eastAsia="Arial" w:hAnsi="Arial" w:cs="Arial"/>
          <w:bCs/>
        </w:rPr>
        <w:t>-</w:t>
      </w:r>
      <w:r w:rsidRPr="004A0E3A">
        <w:rPr>
          <w:rFonts w:ascii="Arial" w:eastAsia="Arial" w:hAnsi="Arial" w:cs="Arial"/>
          <w:bCs/>
        </w:rPr>
        <w:t xml:space="preserve">value is calculated using </w:t>
      </w:r>
      <w:r w:rsidRPr="006A6366">
        <w:rPr>
          <w:rFonts w:ascii="Arial" w:eastAsia="Arial" w:hAnsi="Arial" w:cs="Arial"/>
          <w:bCs/>
        </w:rPr>
        <w:t>Wilcoxon Rank Sum Test</w:t>
      </w:r>
      <w:r w:rsidRPr="004A0E3A">
        <w:rPr>
          <w:rFonts w:ascii="Arial" w:eastAsia="Arial" w:hAnsi="Arial" w:cs="Arial"/>
          <w:bCs/>
        </w:rPr>
        <w:t xml:space="preserve">.  </w:t>
      </w:r>
    </w:p>
    <w:p w14:paraId="716EBC58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6A15C582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1C8A399D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58582E85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20D7286D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3D2EDA29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0A4D64A9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73EF9DDE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6A41F463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04F05579" w14:textId="77777777" w:rsidR="00873EF0" w:rsidRDefault="00873EF0" w:rsidP="00421B26">
      <w:pPr>
        <w:jc w:val="both"/>
        <w:rPr>
          <w:rFonts w:ascii="Arial" w:eastAsia="Arial" w:hAnsi="Arial" w:cs="Arial"/>
          <w:bCs/>
        </w:rPr>
      </w:pPr>
    </w:p>
    <w:p w14:paraId="40313D2F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2652F9F2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614201B9" w14:textId="77777777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55D48688" w14:textId="39FB855C" w:rsidR="0052678C" w:rsidRDefault="0052678C" w:rsidP="00421B26">
      <w:pPr>
        <w:jc w:val="both"/>
        <w:rPr>
          <w:rFonts w:ascii="Arial" w:eastAsia="Arial" w:hAnsi="Arial" w:cs="Arial"/>
          <w:bCs/>
        </w:rPr>
      </w:pPr>
    </w:p>
    <w:p w14:paraId="28810DD1" w14:textId="0FC68D41" w:rsidR="00BB62CD" w:rsidRDefault="00BB62CD" w:rsidP="00421B26">
      <w:pPr>
        <w:jc w:val="both"/>
        <w:rPr>
          <w:rFonts w:ascii="Arial" w:eastAsia="Arial" w:hAnsi="Arial" w:cs="Arial"/>
          <w:b/>
          <w:bCs/>
        </w:rPr>
      </w:pPr>
    </w:p>
    <w:p w14:paraId="5D3C2943" w14:textId="0F988B56" w:rsidR="002B6CCB" w:rsidRDefault="002B6CCB" w:rsidP="00421B26">
      <w:pPr>
        <w:jc w:val="both"/>
        <w:rPr>
          <w:rFonts w:ascii="Arial" w:eastAsia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52515E75" wp14:editId="4543B496">
            <wp:extent cx="5731022" cy="5056447"/>
            <wp:effectExtent l="0" t="0" r="3175" b="0"/>
            <wp:docPr id="969232953" name="Picture 5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232953" name="Picture 5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4" b="26781"/>
                    <a:stretch/>
                  </pic:blipFill>
                  <pic:spPr bwMode="auto">
                    <a:xfrm>
                      <a:off x="0" y="0"/>
                      <a:ext cx="5731510" cy="505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ECC89" w14:textId="07442B42" w:rsidR="00421B26" w:rsidRPr="004A0E3A" w:rsidRDefault="00421B26" w:rsidP="00421B26">
      <w:pPr>
        <w:jc w:val="both"/>
        <w:rPr>
          <w:rFonts w:ascii="Arial" w:eastAsia="Arial" w:hAnsi="Arial" w:cs="Arial"/>
        </w:rPr>
      </w:pPr>
      <w:r w:rsidRPr="004A0E3A">
        <w:rPr>
          <w:rFonts w:ascii="Arial" w:eastAsia="Arial" w:hAnsi="Arial" w:cs="Arial"/>
          <w:b/>
          <w:bCs/>
        </w:rPr>
        <w:t xml:space="preserve">Supplementary Figure 4. Features of RNA that enable enrichment of RNAs in the transcriptome. </w:t>
      </w:r>
      <w:proofErr w:type="gramStart"/>
      <w:r w:rsidRPr="004A0E3A">
        <w:rPr>
          <w:rFonts w:ascii="Arial" w:eastAsia="Arial" w:hAnsi="Arial" w:cs="Arial"/>
          <w:b/>
        </w:rPr>
        <w:t>a</w:t>
      </w:r>
      <w:r w:rsidRPr="004A0E3A">
        <w:rPr>
          <w:rFonts w:ascii="Arial" w:eastAsia="Arial" w:hAnsi="Arial" w:cs="Arial"/>
        </w:rPr>
        <w:t>,</w:t>
      </w:r>
      <w:proofErr w:type="gramEnd"/>
      <w:r w:rsidRPr="004A0E3A">
        <w:rPr>
          <w:rFonts w:ascii="Arial" w:eastAsia="Arial" w:hAnsi="Arial" w:cs="Arial"/>
        </w:rPr>
        <w:t xml:space="preserve"> Bar plots showing the </w:t>
      </w:r>
      <w:r w:rsidRPr="009C3E51">
        <w:rPr>
          <w:rFonts w:ascii="Arial" w:eastAsia="Arial" w:hAnsi="Arial" w:cs="Arial"/>
        </w:rPr>
        <w:t xml:space="preserve">slope of linear regression </w:t>
      </w:r>
      <w:r>
        <w:rPr>
          <w:rFonts w:ascii="Arial" w:eastAsia="Arial" w:hAnsi="Arial" w:cs="Arial"/>
        </w:rPr>
        <w:t xml:space="preserve">of reads count </w:t>
      </w:r>
      <w:r w:rsidRPr="004A0E3A">
        <w:rPr>
          <w:rFonts w:ascii="Arial" w:eastAsia="Arial" w:hAnsi="Arial" w:cs="Arial"/>
        </w:rPr>
        <w:t>belonging to the depleted 4997 transcripts of different transcript lengths (200-400bp, 400-600bp, 600-1000bp, &gt;1000bp) in in adaptive sampling</w:t>
      </w:r>
      <w:r w:rsidRPr="008832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and </w:t>
      </w:r>
      <w:r w:rsidRPr="004A0E3A">
        <w:rPr>
          <w:rFonts w:ascii="Arial" w:eastAsia="Arial" w:hAnsi="Arial" w:cs="Arial"/>
        </w:rPr>
        <w:t>bulk sequencing.</w:t>
      </w:r>
      <w:r w:rsidRPr="004A0E3A">
        <w:rPr>
          <w:rFonts w:ascii="Arial" w:eastAsia="Arial" w:hAnsi="Arial" w:cs="Arial"/>
          <w:b/>
        </w:rPr>
        <w:t xml:space="preserve"> b</w:t>
      </w:r>
      <w:r w:rsidRPr="004A0E3A">
        <w:rPr>
          <w:rFonts w:ascii="Arial" w:eastAsia="Arial" w:hAnsi="Arial" w:cs="Arial"/>
        </w:rPr>
        <w:t xml:space="preserve">, Bar plots showing the </w:t>
      </w:r>
      <w:r w:rsidRPr="009C3E51">
        <w:rPr>
          <w:rFonts w:ascii="Arial" w:eastAsia="Arial" w:hAnsi="Arial" w:cs="Arial"/>
        </w:rPr>
        <w:t xml:space="preserve">slope of linear regression </w:t>
      </w:r>
      <w:r>
        <w:rPr>
          <w:rFonts w:ascii="Arial" w:eastAsia="Arial" w:hAnsi="Arial" w:cs="Arial"/>
        </w:rPr>
        <w:t xml:space="preserve">of reads count </w:t>
      </w:r>
      <w:r w:rsidRPr="004A0E3A">
        <w:rPr>
          <w:rFonts w:ascii="Arial" w:eastAsia="Arial" w:hAnsi="Arial" w:cs="Arial"/>
        </w:rPr>
        <w:t>for the remaining transcripts after 319 transcripts are enriched</w:t>
      </w:r>
      <w:r w:rsidRPr="009C3E5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in</w:t>
      </w:r>
      <w:r w:rsidRPr="009C3E51">
        <w:rPr>
          <w:rFonts w:ascii="Arial" w:eastAsia="Arial" w:hAnsi="Arial" w:cs="Arial"/>
        </w:rPr>
        <w:t xml:space="preserve"> </w:t>
      </w:r>
      <w:r w:rsidRPr="004A0E3A">
        <w:rPr>
          <w:rFonts w:ascii="Arial" w:eastAsia="Arial" w:hAnsi="Arial" w:cs="Arial"/>
        </w:rPr>
        <w:t xml:space="preserve">adaptive sampling </w:t>
      </w:r>
      <w:r>
        <w:rPr>
          <w:rFonts w:ascii="Arial" w:eastAsia="Arial" w:hAnsi="Arial" w:cs="Arial"/>
        </w:rPr>
        <w:t>and</w:t>
      </w:r>
      <w:r w:rsidRPr="009C3E51">
        <w:rPr>
          <w:rFonts w:ascii="Arial" w:eastAsia="Arial" w:hAnsi="Arial" w:cs="Arial"/>
        </w:rPr>
        <w:t xml:space="preserve"> Bulk</w:t>
      </w:r>
      <w:r w:rsidRPr="004A0E3A">
        <w:rPr>
          <w:rFonts w:ascii="Arial" w:eastAsia="Arial" w:hAnsi="Arial" w:cs="Arial"/>
        </w:rPr>
        <w:t xml:space="preserve">. The remaining transcripts are binned according to their different transcript lengths (200-400bp, 400-600bp, 600-1000bp, &gt;1000bp) in bulk sequencing. </w:t>
      </w:r>
      <w:r w:rsidRPr="004A0E3A">
        <w:rPr>
          <w:rFonts w:ascii="Arial" w:eastAsia="Arial" w:hAnsi="Arial" w:cs="Arial"/>
          <w:b/>
          <w:bCs/>
        </w:rPr>
        <w:t>c</w:t>
      </w:r>
      <w:r w:rsidRPr="004A0E3A">
        <w:rPr>
          <w:rFonts w:ascii="Arial" w:eastAsia="Arial" w:hAnsi="Arial" w:cs="Arial"/>
        </w:rPr>
        <w:t xml:space="preserve">, </w:t>
      </w:r>
      <w:r w:rsidRPr="00A73C26">
        <w:rPr>
          <w:rFonts w:ascii="Arial" w:hAnsi="Arial" w:cs="Arial"/>
        </w:rPr>
        <w:t xml:space="preserve">Bar plots showing the slope of linear regression </w:t>
      </w:r>
      <w:r>
        <w:rPr>
          <w:rFonts w:ascii="Arial" w:hAnsi="Arial" w:cs="Arial"/>
        </w:rPr>
        <w:t xml:space="preserve">of reads count </w:t>
      </w:r>
      <w:r w:rsidRPr="00A73C26">
        <w:rPr>
          <w:rFonts w:ascii="Arial" w:hAnsi="Arial" w:cs="Arial"/>
        </w:rPr>
        <w:t>belonging to the enriched 319 transcripts in adaptive sampling versus bulk sequencing</w:t>
      </w:r>
      <w:r>
        <w:rPr>
          <w:rFonts w:ascii="Arial" w:hAnsi="Arial" w:cs="Arial"/>
        </w:rPr>
        <w:t>, the 319 genes are binned according to their transcript lengths</w:t>
      </w:r>
      <w:r w:rsidRPr="00A73C26">
        <w:rPr>
          <w:rFonts w:ascii="Arial" w:hAnsi="Arial" w:cs="Arial"/>
        </w:rPr>
        <w:t xml:space="preserve"> </w:t>
      </w:r>
      <w:r w:rsidRPr="004A0E3A">
        <w:rPr>
          <w:rFonts w:ascii="Arial" w:eastAsia="Arial" w:hAnsi="Arial" w:cs="Arial"/>
        </w:rPr>
        <w:t xml:space="preserve">(200-400bp, 400-600bp, 600-1000bp, &gt;1000bp) in bulk sequencing. </w:t>
      </w:r>
      <w:r w:rsidRPr="004A0E3A">
        <w:rPr>
          <w:rFonts w:ascii="Arial" w:eastAsia="Arial" w:hAnsi="Arial" w:cs="Arial"/>
          <w:b/>
          <w:bCs/>
        </w:rPr>
        <w:t>d</w:t>
      </w:r>
      <w:r w:rsidRPr="004A0E3A">
        <w:rPr>
          <w:rFonts w:ascii="Arial" w:eastAsia="Arial" w:hAnsi="Arial" w:cs="Arial"/>
        </w:rPr>
        <w:t xml:space="preserve">, </w:t>
      </w:r>
      <w:r w:rsidRPr="005D5155">
        <w:rPr>
          <w:rFonts w:ascii="Arial" w:eastAsia="Arial" w:hAnsi="Arial" w:cs="Arial"/>
        </w:rPr>
        <w:t xml:space="preserve">Scatterplots </w:t>
      </w:r>
      <w:r w:rsidRPr="004A0E3A">
        <w:rPr>
          <w:rFonts w:ascii="Arial" w:eastAsia="Arial" w:hAnsi="Arial" w:cs="Arial"/>
        </w:rPr>
        <w:t xml:space="preserve">showing the </w:t>
      </w:r>
      <w:r>
        <w:rPr>
          <w:rFonts w:ascii="Arial" w:eastAsia="Arial" w:hAnsi="Arial" w:cs="Arial"/>
        </w:rPr>
        <w:t>reads belonging to non-depleted genes of different abundance (&lt;10, 10-20, 20-50, 50-200, &gt;500 reads) in Adaptive sampling(</w:t>
      </w:r>
      <w:r w:rsidRPr="00D05400">
        <w:rPr>
          <w:rFonts w:ascii="Arial" w:eastAsia="Arial" w:hAnsi="Arial" w:cs="Arial"/>
          <w:i/>
          <w:iCs/>
        </w:rPr>
        <w:t>Y</w:t>
      </w:r>
      <w:r>
        <w:rPr>
          <w:rFonts w:ascii="Arial" w:eastAsia="Arial" w:hAnsi="Arial" w:cs="Arial"/>
        </w:rPr>
        <w:t>-axis) and Bulk (</w:t>
      </w:r>
      <w:r w:rsidRPr="00D05400">
        <w:rPr>
          <w:rFonts w:ascii="Arial" w:eastAsia="Arial" w:hAnsi="Arial" w:cs="Arial"/>
          <w:i/>
          <w:iCs/>
        </w:rPr>
        <w:t>X</w:t>
      </w:r>
      <w:r>
        <w:rPr>
          <w:rFonts w:ascii="Arial" w:eastAsia="Arial" w:hAnsi="Arial" w:cs="Arial"/>
        </w:rPr>
        <w:t>-axis), after depletion of top 150 abundant genes (</w:t>
      </w:r>
      <w:r w:rsidRPr="00294C26">
        <w:rPr>
          <w:rFonts w:ascii="Arial" w:eastAsia="Arial" w:hAnsi="Arial" w:cs="Arial"/>
          <w:i/>
          <w:iCs/>
        </w:rPr>
        <w:t>Left</w:t>
      </w:r>
      <w:r>
        <w:rPr>
          <w:rFonts w:ascii="Arial" w:eastAsia="Arial" w:hAnsi="Arial" w:cs="Arial"/>
        </w:rPr>
        <w:t xml:space="preserve">). </w:t>
      </w:r>
      <w:r w:rsidRPr="004A0E3A">
        <w:rPr>
          <w:rFonts w:ascii="Arial" w:eastAsia="Arial" w:hAnsi="Arial" w:cs="Arial"/>
        </w:rPr>
        <w:t xml:space="preserve">Bar plots showing the </w:t>
      </w:r>
      <w:r w:rsidRPr="009C3E51">
        <w:rPr>
          <w:rFonts w:ascii="Arial" w:eastAsia="Arial" w:hAnsi="Arial" w:cs="Arial"/>
        </w:rPr>
        <w:t xml:space="preserve">slope of linear regression </w:t>
      </w:r>
      <w:r>
        <w:rPr>
          <w:rFonts w:ascii="Arial" w:eastAsia="Arial" w:hAnsi="Arial" w:cs="Arial"/>
        </w:rPr>
        <w:t xml:space="preserve">of reads count </w:t>
      </w:r>
      <w:r w:rsidRPr="009C3E51">
        <w:rPr>
          <w:rFonts w:ascii="Arial" w:eastAsia="Arial" w:hAnsi="Arial" w:cs="Arial"/>
        </w:rPr>
        <w:t xml:space="preserve">between </w:t>
      </w:r>
      <w:r w:rsidRPr="004A0E3A">
        <w:rPr>
          <w:rFonts w:ascii="Arial" w:eastAsia="Arial" w:hAnsi="Arial" w:cs="Arial"/>
        </w:rPr>
        <w:t xml:space="preserve">adaptive sampling </w:t>
      </w:r>
      <w:r>
        <w:rPr>
          <w:rFonts w:ascii="Arial" w:eastAsia="Arial" w:hAnsi="Arial" w:cs="Arial"/>
        </w:rPr>
        <w:t>and</w:t>
      </w:r>
      <w:r w:rsidRPr="009C3E51">
        <w:rPr>
          <w:rFonts w:ascii="Arial" w:eastAsia="Arial" w:hAnsi="Arial" w:cs="Arial"/>
        </w:rPr>
        <w:t xml:space="preserve"> Bulk</w:t>
      </w:r>
      <w:r>
        <w:rPr>
          <w:rFonts w:ascii="Arial" w:eastAsia="Arial" w:hAnsi="Arial" w:cs="Arial"/>
        </w:rPr>
        <w:t xml:space="preserve"> </w:t>
      </w:r>
      <w:r w:rsidRPr="004A0E3A">
        <w:rPr>
          <w:rFonts w:ascii="Arial" w:eastAsia="Arial" w:hAnsi="Arial" w:cs="Arial"/>
        </w:rPr>
        <w:t>belonging to the rest of the transcriptome, after the top 150 transcripts are depleted, binned by transcript abundance</w:t>
      </w:r>
      <w:r>
        <w:rPr>
          <w:rFonts w:ascii="Arial" w:eastAsia="Arial" w:hAnsi="Arial" w:cs="Arial"/>
        </w:rPr>
        <w:t xml:space="preserve"> (</w:t>
      </w:r>
      <w:r w:rsidRPr="00294C26">
        <w:rPr>
          <w:rFonts w:ascii="Arial" w:eastAsia="Arial" w:hAnsi="Arial" w:cs="Arial"/>
          <w:i/>
          <w:iCs/>
        </w:rPr>
        <w:t>Right</w:t>
      </w:r>
      <w:r>
        <w:rPr>
          <w:rFonts w:ascii="Arial" w:eastAsia="Arial" w:hAnsi="Arial" w:cs="Arial"/>
        </w:rPr>
        <w:t>)</w:t>
      </w:r>
      <w:r w:rsidRPr="004A0E3A">
        <w:rPr>
          <w:rFonts w:ascii="Arial" w:eastAsia="Arial" w:hAnsi="Arial" w:cs="Arial"/>
        </w:rPr>
        <w:t xml:space="preserve">.  </w:t>
      </w:r>
      <w:r w:rsidRPr="004A0E3A">
        <w:rPr>
          <w:rFonts w:ascii="Arial" w:eastAsia="Arial" w:hAnsi="Arial" w:cs="Arial"/>
          <w:b/>
          <w:bCs/>
        </w:rPr>
        <w:t>e,</w:t>
      </w:r>
      <w:r>
        <w:rPr>
          <w:rFonts w:ascii="Arial" w:eastAsia="Arial" w:hAnsi="Arial" w:cs="Arial"/>
          <w:b/>
          <w:bCs/>
        </w:rPr>
        <w:t xml:space="preserve"> </w:t>
      </w:r>
      <w:r w:rsidRPr="004A0E3A">
        <w:rPr>
          <w:rFonts w:ascii="Arial" w:eastAsia="Arial" w:hAnsi="Arial" w:cs="Arial"/>
          <w:b/>
          <w:bCs/>
        </w:rPr>
        <w:t>f</w:t>
      </w:r>
      <w:r w:rsidRPr="004A0E3A">
        <w:rPr>
          <w:rFonts w:ascii="Arial" w:eastAsia="Arial" w:hAnsi="Arial" w:cs="Arial"/>
        </w:rPr>
        <w:t xml:space="preserve">, Scatterplots showing the correlation between the efficiency of depletion and </w:t>
      </w:r>
      <w:proofErr w:type="spellStart"/>
      <w:r w:rsidRPr="004A0E3A">
        <w:rPr>
          <w:rFonts w:ascii="Arial" w:eastAsia="Arial" w:hAnsi="Arial" w:cs="Arial"/>
        </w:rPr>
        <w:t>polyA</w:t>
      </w:r>
      <w:proofErr w:type="spellEnd"/>
      <w:r w:rsidRPr="004A0E3A">
        <w:rPr>
          <w:rFonts w:ascii="Arial" w:eastAsia="Arial" w:hAnsi="Arial" w:cs="Arial"/>
        </w:rPr>
        <w:t xml:space="preserve"> tail length, either enriching for 5% of transcripts (e) or depleting 95% of transcripts (f).  </w:t>
      </w:r>
    </w:p>
    <w:p w14:paraId="6804A5BE" w14:textId="0137F5FD" w:rsidR="0052678C" w:rsidRDefault="0052678C" w:rsidP="00421B26">
      <w:pPr>
        <w:jc w:val="both"/>
        <w:rPr>
          <w:rFonts w:ascii="Arial" w:eastAsia="Arial" w:hAnsi="Arial" w:cs="Arial"/>
          <w:b/>
        </w:rPr>
      </w:pPr>
    </w:p>
    <w:p w14:paraId="762BA2FD" w14:textId="77777777" w:rsidR="00BB62CD" w:rsidRDefault="00BB62CD" w:rsidP="00421B26">
      <w:pPr>
        <w:jc w:val="both"/>
        <w:rPr>
          <w:rFonts w:ascii="Arial" w:eastAsia="Arial" w:hAnsi="Arial" w:cs="Arial"/>
          <w:b/>
        </w:rPr>
      </w:pPr>
    </w:p>
    <w:p w14:paraId="68002017" w14:textId="4A0EB805" w:rsidR="00BB62CD" w:rsidRDefault="002B6CCB" w:rsidP="00421B26">
      <w:pPr>
        <w:jc w:val="both"/>
        <w:rPr>
          <w:rFonts w:ascii="Arial" w:eastAsia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19F95B37" wp14:editId="33EA4656">
            <wp:extent cx="5730907" cy="3428596"/>
            <wp:effectExtent l="0" t="0" r="3175" b="635"/>
            <wp:docPr id="872779807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779807" name="Picture 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0" b="48261"/>
                    <a:stretch/>
                  </pic:blipFill>
                  <pic:spPr bwMode="auto">
                    <a:xfrm>
                      <a:off x="0" y="0"/>
                      <a:ext cx="5731510" cy="342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969E7" w14:textId="0318C311" w:rsidR="00421B26" w:rsidRPr="00BE38EF" w:rsidRDefault="00421B26" w:rsidP="00421B26">
      <w:pPr>
        <w:jc w:val="both"/>
        <w:rPr>
          <w:rFonts w:ascii="Arial" w:eastAsia="Arial" w:hAnsi="Arial" w:cs="Arial"/>
        </w:rPr>
      </w:pPr>
      <w:r w:rsidRPr="00BE38EF">
        <w:rPr>
          <w:rFonts w:ascii="Arial" w:eastAsia="Arial" w:hAnsi="Arial" w:cs="Arial"/>
          <w:b/>
        </w:rPr>
        <w:t xml:space="preserve">Supplementary Figure 5. Adaptive sampling does not impact pore health. </w:t>
      </w:r>
      <w:r w:rsidRPr="00BE38EF">
        <w:rPr>
          <w:rFonts w:ascii="Arial" w:eastAsia="Arial" w:hAnsi="Arial" w:cs="Arial"/>
        </w:rPr>
        <w:t xml:space="preserve"> </w:t>
      </w:r>
      <w:proofErr w:type="gramStart"/>
      <w:r w:rsidRPr="00BE38EF">
        <w:rPr>
          <w:rFonts w:ascii="Arial" w:eastAsia="Arial" w:hAnsi="Arial" w:cs="Arial"/>
          <w:b/>
        </w:rPr>
        <w:t>a</w:t>
      </w:r>
      <w:r w:rsidRPr="00BE38EF">
        <w:rPr>
          <w:rFonts w:ascii="Arial" w:eastAsia="Arial" w:hAnsi="Arial" w:cs="Arial"/>
        </w:rPr>
        <w:t>,</w:t>
      </w:r>
      <w:proofErr w:type="gramEnd"/>
      <w:r w:rsidRPr="00BE38EF">
        <w:rPr>
          <w:rFonts w:ascii="Arial" w:eastAsia="Arial" w:hAnsi="Arial" w:cs="Arial"/>
        </w:rPr>
        <w:t xml:space="preserve"> Scatterplot showing the </w:t>
      </w:r>
      <w:r w:rsidRPr="00D05400">
        <w:rPr>
          <w:rFonts w:ascii="Times New Roman" w:eastAsia="Arial" w:hAnsi="Times New Roman" w:cs="Times New Roman"/>
        </w:rPr>
        <w:t>log</w:t>
      </w:r>
      <w:r w:rsidRPr="00BE38EF">
        <w:rPr>
          <w:rFonts w:ascii="Arial" w:eastAsia="Arial" w:hAnsi="Arial" w:cs="Arial"/>
        </w:rPr>
        <w:t xml:space="preserve">2 ratio of reads in adaptive sampling over bulk sequencing for the 26 </w:t>
      </w:r>
      <w:r>
        <w:rPr>
          <w:rFonts w:ascii="Arial" w:eastAsia="Arial" w:hAnsi="Arial" w:cs="Arial"/>
        </w:rPr>
        <w:t xml:space="preserve">newly identified </w:t>
      </w:r>
      <w:r w:rsidRPr="00BE38EF">
        <w:rPr>
          <w:rFonts w:ascii="Arial" w:eastAsia="Arial" w:hAnsi="Arial" w:cs="Arial"/>
        </w:rPr>
        <w:t xml:space="preserve">transcripts versus the length of the transcripts. </w:t>
      </w:r>
      <w:r w:rsidRPr="00BE38EF">
        <w:rPr>
          <w:rFonts w:ascii="Arial" w:eastAsia="Arial" w:hAnsi="Arial" w:cs="Arial"/>
          <w:b/>
          <w:bCs/>
        </w:rPr>
        <w:t>b</w:t>
      </w:r>
      <w:r w:rsidRPr="00BE38EF">
        <w:rPr>
          <w:rFonts w:ascii="Arial" w:eastAsia="Arial" w:hAnsi="Arial" w:cs="Arial"/>
        </w:rPr>
        <w:t>, Density plot showing the distribution of the length of the n</w:t>
      </w:r>
      <w:r>
        <w:rPr>
          <w:rFonts w:ascii="Arial" w:eastAsia="Arial" w:hAnsi="Arial" w:cs="Arial"/>
        </w:rPr>
        <w:t>ewly identified</w:t>
      </w:r>
      <w:r w:rsidRPr="00BE38EF">
        <w:rPr>
          <w:rFonts w:ascii="Arial" w:eastAsia="Arial" w:hAnsi="Arial" w:cs="Arial"/>
        </w:rPr>
        <w:t xml:space="preserve"> transcripts versus the length of other annotated transcripts in </w:t>
      </w:r>
      <w:r w:rsidRPr="00BE38EF">
        <w:rPr>
          <w:rFonts w:ascii="Arial" w:eastAsia="Arial" w:hAnsi="Arial" w:cs="Arial"/>
          <w:i/>
          <w:iCs/>
        </w:rPr>
        <w:t>Candida albicans</w:t>
      </w:r>
      <w:r w:rsidRPr="00BE38EF">
        <w:rPr>
          <w:rFonts w:ascii="Arial" w:eastAsia="Arial" w:hAnsi="Arial" w:cs="Arial"/>
        </w:rPr>
        <w:t xml:space="preserve">.  </w:t>
      </w:r>
      <w:r w:rsidRPr="00BE38EF">
        <w:rPr>
          <w:rFonts w:ascii="Arial" w:eastAsia="Arial" w:hAnsi="Arial" w:cs="Arial"/>
          <w:b/>
          <w:bCs/>
        </w:rPr>
        <w:t>c</w:t>
      </w:r>
      <w:r w:rsidRPr="00BE38EF">
        <w:rPr>
          <w:rFonts w:ascii="Arial" w:eastAsia="Arial" w:hAnsi="Arial" w:cs="Arial"/>
        </w:rPr>
        <w:t xml:space="preserve">, Density plot showing the distribution of the abundance of the novel transcripts versus the abundance of other annotated transcripts in </w:t>
      </w:r>
      <w:r w:rsidRPr="00BE38EF">
        <w:rPr>
          <w:rFonts w:ascii="Arial" w:eastAsia="Arial" w:hAnsi="Arial" w:cs="Arial"/>
          <w:i/>
          <w:iCs/>
        </w:rPr>
        <w:t>Candida albicans</w:t>
      </w:r>
      <w:r w:rsidRPr="00BE38EF">
        <w:rPr>
          <w:rFonts w:ascii="Arial" w:eastAsia="Arial" w:hAnsi="Arial" w:cs="Arial"/>
        </w:rPr>
        <w:t xml:space="preserve">. </w:t>
      </w:r>
      <w:r w:rsidRPr="005F11FA">
        <w:rPr>
          <w:rFonts w:ascii="Arial" w:eastAsia="Arial" w:hAnsi="Arial" w:cs="Arial"/>
        </w:rPr>
        <w:t>p-values were calculated by Mann-Whitney-U Test.</w:t>
      </w:r>
      <w:r>
        <w:rPr>
          <w:rFonts w:ascii="Arial" w:eastAsia="Arial" w:hAnsi="Arial" w:cs="Arial"/>
        </w:rPr>
        <w:t xml:space="preserve"> </w:t>
      </w:r>
      <w:r w:rsidRPr="00BE38EF">
        <w:rPr>
          <w:rFonts w:ascii="Arial" w:eastAsia="Arial" w:hAnsi="Arial" w:cs="Arial"/>
          <w:b/>
          <w:bCs/>
        </w:rPr>
        <w:t>d</w:t>
      </w:r>
      <w:r w:rsidRPr="00BE38EF">
        <w:rPr>
          <w:rFonts w:ascii="Arial" w:eastAsia="Arial" w:hAnsi="Arial" w:cs="Arial"/>
        </w:rPr>
        <w:t xml:space="preserve">, Bar plots showing the number of available pores over scan frequencies, single pores refer to pores that are available for sequencing. </w:t>
      </w:r>
      <w:r w:rsidRPr="00BE38EF">
        <w:rPr>
          <w:rFonts w:ascii="Arial" w:eastAsia="Arial" w:hAnsi="Arial" w:cs="Arial"/>
          <w:b/>
        </w:rPr>
        <w:t>e</w:t>
      </w:r>
      <w:r w:rsidRPr="00BE38EF">
        <w:rPr>
          <w:rFonts w:ascii="Arial" w:eastAsia="Arial" w:hAnsi="Arial" w:cs="Arial"/>
        </w:rPr>
        <w:t xml:space="preserve">, Detailed status of pores over the lifetime of the sequencing run. The </w:t>
      </w:r>
      <w:r w:rsidRPr="00D05400">
        <w:rPr>
          <w:rFonts w:ascii="Arial" w:eastAsia="Arial" w:hAnsi="Arial" w:cs="Arial"/>
          <w:i/>
          <w:iCs/>
        </w:rPr>
        <w:t>X</w:t>
      </w:r>
      <w:r w:rsidRPr="00BE38EF">
        <w:rPr>
          <w:rFonts w:ascii="Arial" w:eastAsia="Arial" w:hAnsi="Arial" w:cs="Arial"/>
        </w:rPr>
        <w:t xml:space="preserve">-axis corresponds to mux scan number (scan frequency is 1.5 hours) and the </w:t>
      </w:r>
      <w:r w:rsidRPr="00D05400">
        <w:rPr>
          <w:rFonts w:ascii="Arial" w:eastAsia="Arial" w:hAnsi="Arial" w:cs="Arial"/>
          <w:i/>
          <w:iCs/>
        </w:rPr>
        <w:t>Y</w:t>
      </w:r>
      <w:r w:rsidRPr="00BE38EF">
        <w:rPr>
          <w:rFonts w:ascii="Arial" w:eastAsia="Arial" w:hAnsi="Arial" w:cs="Arial"/>
        </w:rPr>
        <w:t xml:space="preserve">-axis indicates the number of pores. </w:t>
      </w:r>
    </w:p>
    <w:p w14:paraId="0C458789" w14:textId="77777777" w:rsidR="00421B26" w:rsidRDefault="00421B26"/>
    <w:sectPr w:rsidR="00421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26"/>
    <w:rsid w:val="00181F56"/>
    <w:rsid w:val="002B6CCB"/>
    <w:rsid w:val="003E1992"/>
    <w:rsid w:val="00421B26"/>
    <w:rsid w:val="0047385A"/>
    <w:rsid w:val="0052678C"/>
    <w:rsid w:val="005A0B79"/>
    <w:rsid w:val="006B461E"/>
    <w:rsid w:val="00873EF0"/>
    <w:rsid w:val="00920806"/>
    <w:rsid w:val="0095188D"/>
    <w:rsid w:val="00BB62CD"/>
    <w:rsid w:val="00C76AB3"/>
    <w:rsid w:val="00C9363D"/>
    <w:rsid w:val="00E772AB"/>
    <w:rsid w:val="00F0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B5BE42"/>
  <w14:defaultImageDpi w14:val="32767"/>
  <w15:chartTrackingRefBased/>
  <w15:docId w15:val="{E4BC3F82-2424-4578-A3EB-51A9BE41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BBF28-3A9B-4A59-8510-E0742BA9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Jiaxu</dc:creator>
  <cp:keywords/>
  <dc:description/>
  <cp:lastModifiedBy>WANG Jiaxu</cp:lastModifiedBy>
  <cp:revision>2</cp:revision>
  <cp:lastPrinted>2023-12-21T05:50:00Z</cp:lastPrinted>
  <dcterms:created xsi:type="dcterms:W3CDTF">2023-12-21T05:55:00Z</dcterms:created>
  <dcterms:modified xsi:type="dcterms:W3CDTF">2023-12-21T05:55:00Z</dcterms:modified>
</cp:coreProperties>
</file>