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3838" w14:textId="2B6AFC04" w:rsidR="00E82996" w:rsidRPr="00DC217E" w:rsidRDefault="004C1C26" w:rsidP="00DC217E">
      <w:pPr>
        <w:jc w:val="center"/>
        <w:rPr>
          <w:rFonts w:ascii="Palatino Linotype" w:hAnsi="Palatino Linotype"/>
          <w:b/>
          <w:bCs/>
          <w:color w:val="000000"/>
          <w:sz w:val="32"/>
          <w:szCs w:val="36"/>
        </w:rPr>
      </w:pPr>
      <w:r w:rsidRPr="00DC217E">
        <w:rPr>
          <w:rFonts w:ascii="Palatino Linotype" w:hAnsi="Palatino Linotype"/>
          <w:b/>
          <w:bCs/>
          <w:color w:val="000000"/>
          <w:sz w:val="32"/>
          <w:szCs w:val="36"/>
        </w:rPr>
        <w:t>Inventory of Supporting Information</w:t>
      </w:r>
    </w:p>
    <w:p w14:paraId="12FAF210" w14:textId="77777777" w:rsidR="00D1665C" w:rsidRPr="00D1665C" w:rsidRDefault="00D1665C" w:rsidP="00D1665C">
      <w:pPr>
        <w:pStyle w:val="ac"/>
        <w:rPr>
          <w:rFonts w:ascii="Palatino Linotype" w:hAnsi="Palatino Linotype"/>
          <w:sz w:val="24"/>
          <w:szCs w:val="24"/>
        </w:rPr>
      </w:pPr>
    </w:p>
    <w:p w14:paraId="66B142EA" w14:textId="4CCA2D89" w:rsidR="00D1665C" w:rsidRDefault="00D1665C" w:rsidP="00D1665C">
      <w:pPr>
        <w:pStyle w:val="ac"/>
        <w:jc w:val="left"/>
        <w:rPr>
          <w:rFonts w:ascii="Palatino Linotype" w:hAnsi="Palatino Linotype"/>
          <w:b/>
          <w:bCs/>
          <w:sz w:val="28"/>
          <w:szCs w:val="28"/>
        </w:rPr>
      </w:pPr>
      <w:r w:rsidRPr="00D1665C">
        <w:rPr>
          <w:rFonts w:ascii="Palatino Linotype" w:hAnsi="Palatino Linotype"/>
          <w:b/>
          <w:bCs/>
          <w:sz w:val="28"/>
          <w:szCs w:val="28"/>
        </w:rPr>
        <w:t>9 Supplementary Figures</w:t>
      </w:r>
    </w:p>
    <w:p w14:paraId="4B394332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b/>
          <w:bCs/>
          <w:sz w:val="28"/>
          <w:szCs w:val="28"/>
        </w:rPr>
      </w:pPr>
    </w:p>
    <w:p w14:paraId="53611104" w14:textId="5853C61C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  <w:r w:rsidRPr="00D1665C">
        <w:rPr>
          <w:rFonts w:ascii="Palatino Linotype" w:hAnsi="Palatino Linotype"/>
          <w:b/>
          <w:bCs/>
          <w:sz w:val="24"/>
          <w:szCs w:val="24"/>
        </w:rPr>
        <w:t>Supplementary Figure 1.</w:t>
      </w:r>
      <w:r w:rsidRPr="00D1665C">
        <w:rPr>
          <w:rFonts w:ascii="Palatino Linotype" w:hAnsi="Palatino Linotype"/>
          <w:sz w:val="24"/>
          <w:szCs w:val="24"/>
        </w:rPr>
        <w:t xml:space="preserve"> Determination of the cutoff for MAJIQ-based alternative splicing analysis, analyses of b</w:t>
      </w:r>
      <w:r w:rsidRPr="00D1665C">
        <w:rPr>
          <w:rFonts w:ascii="Palatino Linotype" w:hAnsi="Palatino Linotype" w:cs="Tahoma"/>
          <w:sz w:val="24"/>
          <w:szCs w:val="24"/>
        </w:rPr>
        <w:t xml:space="preserve">rain region-specific </w:t>
      </w:r>
      <w:r w:rsidRPr="00D1665C">
        <w:rPr>
          <w:rFonts w:ascii="Palatino Linotype" w:hAnsi="Palatino Linotype" w:cs="Tahoma"/>
          <w:i/>
          <w:sz w:val="24"/>
          <w:szCs w:val="24"/>
        </w:rPr>
        <w:t>Nrxn1</w:t>
      </w:r>
      <w:r w:rsidRPr="00D1665C">
        <w:rPr>
          <w:rFonts w:ascii="Palatino Linotype" w:hAnsi="Palatino Linotype" w:cs="Tahoma"/>
          <w:sz w:val="24"/>
          <w:szCs w:val="24"/>
        </w:rPr>
        <w:t xml:space="preserve"> splicing at SS#4, and alternative splicing landscapes of LAR-RPTP mRNAs</w:t>
      </w:r>
    </w:p>
    <w:p w14:paraId="3F401E5D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14AA505E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sz w:val="24"/>
          <w:szCs w:val="24"/>
        </w:rPr>
        <w:t>Supplementary Figure 2.</w:t>
      </w:r>
      <w:r w:rsidRPr="00D1665C">
        <w:rPr>
          <w:rFonts w:ascii="Palatino Linotype" w:hAnsi="Palatino Linotype"/>
          <w:sz w:val="24"/>
          <w:szCs w:val="24"/>
        </w:rPr>
        <w:t xml:space="preserve"> 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Isoform abundance of LAR-RPTP mRNAs, as assessed using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kallisto</w:t>
      </w:r>
      <w:proofErr w:type="spellEnd"/>
    </w:p>
    <w:p w14:paraId="50920F05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0775CD68" w14:textId="77777777" w:rsidR="00D1665C" w:rsidRPr="00D1665C" w:rsidRDefault="00D1665C" w:rsidP="00D1665C">
      <w:pPr>
        <w:pStyle w:val="ac"/>
        <w:jc w:val="left"/>
        <w:rPr>
          <w:rFonts w:ascii="Palatino Linotype" w:eastAsia="바탕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3.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Expression profiles of m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  <w:shd w:val="clear" w:color="auto" w:fill="FFFFFF"/>
        </w:rPr>
        <w:t xml:space="preserve">ouse LAR-RPTP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  <w:shd w:val="clear" w:color="auto" w:fill="FFFFFF"/>
        </w:rPr>
        <w:t>microexons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  <w:shd w:val="clear" w:color="auto" w:fill="FFFFFF"/>
        </w:rPr>
        <w:t xml:space="preserve"> in male and female brains</w:t>
      </w:r>
    </w:p>
    <w:p w14:paraId="6A4DA37C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b/>
          <w:bCs/>
          <w:sz w:val="24"/>
          <w:szCs w:val="24"/>
        </w:rPr>
      </w:pPr>
    </w:p>
    <w:p w14:paraId="6C8A91A4" w14:textId="77777777" w:rsidR="00D1665C" w:rsidRPr="00D1665C" w:rsidRDefault="00D1665C" w:rsidP="00D1665C">
      <w:pPr>
        <w:pStyle w:val="ac"/>
        <w:jc w:val="left"/>
        <w:rPr>
          <w:rFonts w:ascii="Palatino Linotype" w:eastAsia="바탕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4.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Authenticity testing of anti-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PTPσ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and anti-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antibodies, LC-MS/MS spectra of various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-derived peptides expressed in the cortex of adult mice by Shotgun mass spectrometry analysis, and spectra of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meA1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  <w:vertAlign w:val="superscript"/>
        </w:rPr>
        <w:t>+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meA2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  <w:vertAlign w:val="superscript"/>
        </w:rPr>
        <w:t>+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peptides expressed in the cortex, hippocampus and striatum of adult mice by PRM analysis</w:t>
      </w:r>
    </w:p>
    <w:p w14:paraId="505415A8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b/>
          <w:bCs/>
          <w:sz w:val="24"/>
          <w:szCs w:val="24"/>
        </w:rPr>
      </w:pPr>
    </w:p>
    <w:p w14:paraId="125A7E40" w14:textId="77777777" w:rsidR="00D1665C" w:rsidRPr="00D1665C" w:rsidRDefault="00D1665C" w:rsidP="00D1665C">
      <w:pPr>
        <w:pStyle w:val="ac"/>
        <w:jc w:val="left"/>
        <w:rPr>
          <w:rFonts w:ascii="Palatino Linotype" w:eastAsia="바탕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5.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1665C">
        <w:rPr>
          <w:rFonts w:ascii="Palatino Linotype" w:eastAsia="바탕" w:hAnsi="Palatino Linotype" w:cs="Tahoma"/>
          <w:color w:val="000000" w:themeColor="text1"/>
          <w:sz w:val="24"/>
          <w:szCs w:val="24"/>
        </w:rPr>
        <w:t xml:space="preserve">Profiling of mouse LAR-RPTP </w:t>
      </w:r>
      <w:proofErr w:type="spellStart"/>
      <w:r w:rsidRPr="00D1665C">
        <w:rPr>
          <w:rFonts w:ascii="Palatino Linotype" w:eastAsia="바탕" w:hAnsi="Palatino Linotype" w:cs="Tahoma"/>
          <w:color w:val="000000" w:themeColor="text1"/>
          <w:sz w:val="24"/>
          <w:szCs w:val="24"/>
        </w:rPr>
        <w:t>microexon</w:t>
      </w:r>
      <w:proofErr w:type="spellEnd"/>
      <w:r w:rsidRPr="00D1665C">
        <w:rPr>
          <w:rFonts w:ascii="Palatino Linotype" w:eastAsia="바탕" w:hAnsi="Palatino Linotype" w:cs="Tahoma"/>
          <w:color w:val="000000" w:themeColor="text1"/>
          <w:sz w:val="24"/>
          <w:szCs w:val="24"/>
        </w:rPr>
        <w:t xml:space="preserve"> profiles in distinct hippocampal CA1 GABAergic interneurons</w:t>
      </w:r>
    </w:p>
    <w:p w14:paraId="268FC0A0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14ECACFD" w14:textId="77777777" w:rsidR="00D1665C" w:rsidRPr="00D1665C" w:rsidRDefault="00D1665C" w:rsidP="00D1665C">
      <w:pPr>
        <w:pStyle w:val="ac"/>
        <w:jc w:val="left"/>
        <w:rPr>
          <w:rFonts w:ascii="Palatino Linotype" w:eastAsia="바탕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6.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Validation of the loss of </w:t>
      </w:r>
      <w:proofErr w:type="spellStart"/>
      <w:r w:rsidRPr="00D1665C">
        <w:rPr>
          <w:rFonts w:ascii="Palatino Linotype" w:hAnsi="Palatino Linotype"/>
          <w:i/>
          <w:iCs/>
          <w:color w:val="000000" w:themeColor="text1"/>
          <w:sz w:val="24"/>
          <w:szCs w:val="24"/>
        </w:rPr>
        <w:t>Ptprd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 variants containing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meA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in cortical cells of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meA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floxed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mice expressing Cre recombinase, </w:t>
      </w:r>
      <w:r w:rsidRPr="00D1665C">
        <w:rPr>
          <w:rFonts w:ascii="Palatino Linotype" w:hAnsi="Palatino Linotype" w:cs="Arial"/>
          <w:color w:val="000000" w:themeColor="text1"/>
          <w:kern w:val="0"/>
          <w:sz w:val="24"/>
          <w:szCs w:val="24"/>
        </w:rPr>
        <w:t xml:space="preserve">expression of </w:t>
      </w:r>
      <w:proofErr w:type="spellStart"/>
      <w:r w:rsidRPr="00D1665C">
        <w:rPr>
          <w:rFonts w:ascii="Palatino Linotype" w:hAnsi="Palatino Linotype" w:cs="Arial"/>
          <w:color w:val="000000" w:themeColor="text1"/>
          <w:kern w:val="0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 w:cs="Arial"/>
          <w:color w:val="000000" w:themeColor="text1"/>
          <w:kern w:val="0"/>
          <w:sz w:val="24"/>
          <w:szCs w:val="24"/>
        </w:rPr>
        <w:t xml:space="preserve"> protein in three brain regions that innervate hippocampal CA1 neurons</w:t>
      </w:r>
      <w:r w:rsidRPr="00D1665C">
        <w:rPr>
          <w:rFonts w:ascii="Palatino Linotype" w:hAnsi="Palatino Linotype" w:cs="Arial"/>
          <w:color w:val="000000" w:themeColor="text1"/>
          <w:sz w:val="24"/>
          <w:szCs w:val="24"/>
        </w:rPr>
        <w:t xml:space="preserve">, and 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>distribution of retrogradely labeled input neurons in the CA3, SuB or EC that project to dCA1 neurons</w:t>
      </w:r>
    </w:p>
    <w:p w14:paraId="3BE0E277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7D0F9059" w14:textId="77777777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7.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Analysis of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PTP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>δ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function in regulating specific GABAergic neural circuits in the mouse hippocampal CA1</w:t>
      </w:r>
    </w:p>
    <w:p w14:paraId="1D6E802B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2BFA6974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8.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Behavioral analyses of hippocampal circuit-specific </w:t>
      </w:r>
      <w:proofErr w:type="spellStart"/>
      <w:r w:rsidRPr="00D1665C">
        <w:rPr>
          <w:rFonts w:ascii="Palatino Linotype" w:hAnsi="Palatino Linotype"/>
          <w:i/>
          <w:iCs/>
          <w:color w:val="000000" w:themeColor="text1"/>
          <w:sz w:val="24"/>
          <w:szCs w:val="24"/>
        </w:rPr>
        <w:t>Ptprd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>-cKO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mice</w:t>
      </w:r>
    </w:p>
    <w:p w14:paraId="328DFD69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color w:val="000000" w:themeColor="text1"/>
          <w:sz w:val="24"/>
          <w:szCs w:val="24"/>
        </w:rPr>
      </w:pPr>
    </w:p>
    <w:p w14:paraId="6FFC3844" w14:textId="4C437023" w:rsidR="00D1665C" w:rsidRDefault="00D1665C" w:rsidP="00D1665C">
      <w:pPr>
        <w:pStyle w:val="ac"/>
        <w:jc w:val="left"/>
        <w:rPr>
          <w:rFonts w:ascii="Palatino Linotype" w:hAnsi="Palatino Linotype"/>
          <w:color w:val="000000" w:themeColor="text1"/>
          <w:sz w:val="24"/>
          <w:szCs w:val="24"/>
        </w:rPr>
      </w:pPr>
      <w:r w:rsidRPr="00D1665C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Supplementary Figure 9.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Viral tracing reveals that presynaptic elimination of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PTPδ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proofErr w:type="spellStart"/>
      <w:r w:rsidRPr="00D1665C">
        <w:rPr>
          <w:rFonts w:ascii="Palatino Linotype" w:hAnsi="Palatino Linotype"/>
          <w:color w:val="000000" w:themeColor="text1"/>
          <w:sz w:val="24"/>
          <w:szCs w:val="24"/>
        </w:rPr>
        <w:t>meA</w:t>
      </w:r>
      <w:proofErr w:type="spellEnd"/>
      <w:r w:rsidRPr="00D1665C">
        <w:rPr>
          <w:rFonts w:ascii="Palatino Linotype" w:hAnsi="Palatino Linotype"/>
          <w:color w:val="000000" w:themeColor="text1"/>
          <w:sz w:val="24"/>
          <w:szCs w:val="24"/>
          <w:vertAlign w:val="superscript"/>
        </w:rPr>
        <w:t>+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 xml:space="preserve"> variants in the SuB</w:t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sym w:font="Wingdings" w:char="F0E0"/>
      </w:r>
      <w:r w:rsidRPr="00D1665C">
        <w:rPr>
          <w:rFonts w:ascii="Palatino Linotype" w:hAnsi="Palatino Linotype"/>
          <w:color w:val="000000" w:themeColor="text1"/>
          <w:sz w:val="24"/>
          <w:szCs w:val="24"/>
        </w:rPr>
        <w:t>dCA1 circuit does not affect the projection of SuB neurons onto dCA1 neurons</w:t>
      </w:r>
      <w:r>
        <w:rPr>
          <w:rFonts w:ascii="Palatino Linotype" w:hAnsi="Palatino Linotype"/>
          <w:color w:val="000000" w:themeColor="text1"/>
          <w:sz w:val="24"/>
          <w:szCs w:val="24"/>
        </w:rPr>
        <w:br w:type="page"/>
      </w:r>
    </w:p>
    <w:p w14:paraId="0FDAEFD7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b/>
          <w:bCs/>
          <w:sz w:val="28"/>
          <w:szCs w:val="28"/>
        </w:rPr>
      </w:pPr>
      <w:r w:rsidRPr="00D1665C">
        <w:rPr>
          <w:rFonts w:ascii="Palatino Linotype" w:hAnsi="Palatino Linotype"/>
          <w:b/>
          <w:bCs/>
          <w:sz w:val="28"/>
          <w:szCs w:val="28"/>
        </w:rPr>
        <w:lastRenderedPageBreak/>
        <w:t>5 Supplementary Tables</w:t>
      </w:r>
    </w:p>
    <w:p w14:paraId="24027274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7A64C1D0" w14:textId="77777777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 w:cs="Tahoma"/>
          <w:b/>
          <w:bCs/>
          <w:color w:val="000000" w:themeColor="text1"/>
          <w:sz w:val="24"/>
          <w:szCs w:val="24"/>
        </w:rPr>
        <w:t>Supplementary Table 1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. Prior studies investigating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microexons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of </w:t>
      </w:r>
      <w:r w:rsidRPr="00D1665C">
        <w:rPr>
          <w:rFonts w:ascii="Palatino Linotype" w:hAnsi="Palatino Linotype" w:cs="Tahoma"/>
          <w:i/>
          <w:color w:val="000000" w:themeColor="text1"/>
          <w:sz w:val="24"/>
          <w:szCs w:val="24"/>
        </w:rPr>
        <w:t>neurexin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and LAR-RPTP mRNAs</w:t>
      </w:r>
    </w:p>
    <w:p w14:paraId="5B765E26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0855478C" w14:textId="689F7EE8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 w:cs="Tahoma"/>
          <w:b/>
          <w:bCs/>
          <w:color w:val="000000" w:themeColor="text1"/>
          <w:sz w:val="24"/>
          <w:szCs w:val="24"/>
        </w:rPr>
        <w:t>Supplementary Table 2.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Cross-correlation score (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X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  <w:vertAlign w:val="subscript"/>
        </w:rPr>
        <w:t>corr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) of chemically synthesized peptides used in this study</w:t>
      </w:r>
    </w:p>
    <w:p w14:paraId="7426EF2E" w14:textId="77777777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</w:p>
    <w:p w14:paraId="2C2D8531" w14:textId="77777777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 w:cs="Tahoma"/>
          <w:b/>
          <w:bCs/>
          <w:color w:val="000000" w:themeColor="text1"/>
          <w:sz w:val="24"/>
          <w:szCs w:val="24"/>
        </w:rPr>
        <w:t>Supplementary Table 3.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Oligonucleotide sequences for genotyping and RT-PCR experiments described in this study</w:t>
      </w:r>
    </w:p>
    <w:p w14:paraId="26E4A227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4C5780CC" w14:textId="77777777" w:rsidR="00D1665C" w:rsidRP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 w:cs="Tahoma"/>
          <w:b/>
          <w:bCs/>
          <w:color w:val="000000" w:themeColor="text1"/>
          <w:sz w:val="24"/>
          <w:szCs w:val="24"/>
        </w:rPr>
        <w:t>Supplementary Table 4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. Information on peptides used for LC-PRM analyses</w:t>
      </w:r>
    </w:p>
    <w:p w14:paraId="6D1EA973" w14:textId="77777777" w:rsidR="00D1665C" w:rsidRPr="00D1665C" w:rsidRDefault="00D1665C" w:rsidP="00D1665C">
      <w:pPr>
        <w:pStyle w:val="ac"/>
        <w:jc w:val="left"/>
        <w:rPr>
          <w:rFonts w:ascii="Palatino Linotype" w:hAnsi="Palatino Linotype"/>
          <w:sz w:val="24"/>
          <w:szCs w:val="24"/>
        </w:rPr>
      </w:pPr>
    </w:p>
    <w:p w14:paraId="3F56F4F5" w14:textId="0C5E9732" w:rsidR="00D1665C" w:rsidRDefault="00D1665C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  <w:r w:rsidRPr="00D1665C">
        <w:rPr>
          <w:rFonts w:ascii="Palatino Linotype" w:hAnsi="Palatino Linotype" w:cs="Tahoma"/>
          <w:b/>
          <w:bCs/>
          <w:color w:val="000000" w:themeColor="text1"/>
          <w:sz w:val="24"/>
          <w:szCs w:val="24"/>
        </w:rPr>
        <w:t>Supplementary Table 5.</w:t>
      </w:r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Summary of the LAR-RPTP </w:t>
      </w:r>
      <w:proofErr w:type="spellStart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>microexon</w:t>
      </w:r>
      <w:proofErr w:type="spellEnd"/>
      <w:r w:rsidRPr="00D1665C">
        <w:rPr>
          <w:rFonts w:ascii="Palatino Linotype" w:hAnsi="Palatino Linotype" w:cs="Tahoma"/>
          <w:color w:val="000000" w:themeColor="text1"/>
          <w:sz w:val="24"/>
          <w:szCs w:val="24"/>
        </w:rPr>
        <w:t xml:space="preserve"> profiles identified in the current study</w:t>
      </w:r>
    </w:p>
    <w:p w14:paraId="33A8FABF" w14:textId="77777777" w:rsidR="00DC217E" w:rsidRDefault="00DC217E" w:rsidP="00D1665C">
      <w:pPr>
        <w:pStyle w:val="ac"/>
        <w:jc w:val="left"/>
        <w:rPr>
          <w:rFonts w:ascii="Palatino Linotype" w:hAnsi="Palatino Linotype" w:cs="Tahoma"/>
          <w:color w:val="000000" w:themeColor="text1"/>
          <w:sz w:val="24"/>
          <w:szCs w:val="24"/>
        </w:rPr>
      </w:pPr>
    </w:p>
    <w:p w14:paraId="5B50701B" w14:textId="48CFE2CE" w:rsidR="00DC217E" w:rsidRDefault="00DC217E" w:rsidP="00DC217E">
      <w:pPr>
        <w:pStyle w:val="ac"/>
        <w:jc w:val="left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 w:hint="eastAsia"/>
          <w:b/>
          <w:bCs/>
          <w:sz w:val="28"/>
          <w:szCs w:val="28"/>
        </w:rPr>
        <w:t>S</w:t>
      </w:r>
      <w:r>
        <w:rPr>
          <w:rFonts w:ascii="Palatino Linotype" w:hAnsi="Palatino Linotype"/>
          <w:b/>
          <w:bCs/>
          <w:sz w:val="28"/>
          <w:szCs w:val="28"/>
        </w:rPr>
        <w:t>ource Data files</w:t>
      </w:r>
    </w:p>
    <w:p w14:paraId="3053139F" w14:textId="769C94FE" w:rsidR="00DC217E" w:rsidRPr="00DC217E" w:rsidRDefault="00DC217E" w:rsidP="00DC217E">
      <w:pPr>
        <w:pStyle w:val="ac"/>
        <w:jc w:val="left"/>
        <w:rPr>
          <w:rFonts w:ascii="Palatino Linotype" w:hAnsi="Palatino Linotype"/>
          <w:b/>
          <w:bCs/>
          <w:sz w:val="24"/>
          <w:szCs w:val="28"/>
        </w:rPr>
      </w:pPr>
      <w:r w:rsidRPr="00DC217E">
        <w:rPr>
          <w:rFonts w:ascii="Palatino Linotype" w:hAnsi="Palatino Linotype"/>
          <w:b/>
          <w:bCs/>
          <w:sz w:val="24"/>
          <w:szCs w:val="24"/>
        </w:rPr>
        <w:t>1. Uncropped</w:t>
      </w:r>
      <w:r w:rsidRPr="00DC217E">
        <w:rPr>
          <w:rFonts w:ascii="Palatino Linotype" w:hAnsi="Palatino Linotype"/>
          <w:b/>
          <w:bCs/>
          <w:sz w:val="24"/>
          <w:szCs w:val="28"/>
        </w:rPr>
        <w:t xml:space="preserve"> scans of all DNA-PAGE and immunoblot gel images</w:t>
      </w:r>
    </w:p>
    <w:p w14:paraId="65D5DDC0" w14:textId="43B077C6" w:rsidR="00DC217E" w:rsidRDefault="00DC217E" w:rsidP="00DC217E">
      <w:pPr>
        <w:pStyle w:val="ac"/>
        <w:jc w:val="lef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</w:t>
      </w:r>
      <w:r w:rsidRPr="00DC217E">
        <w:rPr>
          <w:rFonts w:ascii="Palatino Linotype" w:hAnsi="Palatino Linotype"/>
          <w:b/>
          <w:bCs/>
          <w:sz w:val="24"/>
          <w:szCs w:val="24"/>
        </w:rPr>
        <w:t xml:space="preserve">. </w:t>
      </w:r>
      <w:r>
        <w:rPr>
          <w:rFonts w:ascii="Palatino Linotype" w:hAnsi="Palatino Linotype"/>
          <w:b/>
          <w:bCs/>
          <w:sz w:val="24"/>
          <w:szCs w:val="24"/>
        </w:rPr>
        <w:t>Data values presented in quantitative presentations of all figures</w:t>
      </w:r>
    </w:p>
    <w:p w14:paraId="025B195E" w14:textId="2BD04009" w:rsidR="00DC217E" w:rsidRDefault="00DC217E" w:rsidP="00DC217E">
      <w:pPr>
        <w:pStyle w:val="ac"/>
        <w:jc w:val="lef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 w:hint="eastAsia"/>
          <w:b/>
          <w:bCs/>
          <w:sz w:val="24"/>
          <w:szCs w:val="24"/>
        </w:rPr>
        <w:t>3</w:t>
      </w:r>
      <w:r>
        <w:rPr>
          <w:rFonts w:ascii="Palatino Linotype" w:hAnsi="Palatino Linotype"/>
          <w:b/>
          <w:bCs/>
          <w:sz w:val="24"/>
          <w:szCs w:val="24"/>
        </w:rPr>
        <w:t>. Reporting Summary</w:t>
      </w:r>
    </w:p>
    <w:p w14:paraId="72E2B536" w14:textId="37664A48" w:rsidR="00DC217E" w:rsidRPr="00DC217E" w:rsidRDefault="00DC217E" w:rsidP="00D1665C">
      <w:pPr>
        <w:pStyle w:val="ac"/>
        <w:jc w:val="left"/>
        <w:rPr>
          <w:rFonts w:ascii="Palatino Linotype" w:hAnsi="Palatino Linotype" w:hint="eastAsia"/>
          <w:sz w:val="24"/>
          <w:szCs w:val="24"/>
        </w:rPr>
      </w:pPr>
      <w:r>
        <w:rPr>
          <w:rFonts w:ascii="Palatino Linotype" w:hAnsi="Palatino Linotype" w:hint="eastAsia"/>
          <w:b/>
          <w:bCs/>
          <w:sz w:val="24"/>
          <w:szCs w:val="24"/>
        </w:rPr>
        <w:t>4</w:t>
      </w:r>
      <w:r>
        <w:rPr>
          <w:rFonts w:ascii="Palatino Linotype" w:hAnsi="Palatino Linotype"/>
          <w:b/>
          <w:bCs/>
          <w:sz w:val="24"/>
          <w:szCs w:val="24"/>
        </w:rPr>
        <w:t>. Editorial Policy Checklist</w:t>
      </w:r>
    </w:p>
    <w:sectPr w:rsidR="00DC217E" w:rsidRPr="00DC21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15B6" w14:textId="77777777" w:rsidR="00D1665C" w:rsidRDefault="00D1665C" w:rsidP="00D1665C">
      <w:pPr>
        <w:spacing w:after="0" w:line="240" w:lineRule="auto"/>
      </w:pPr>
      <w:r>
        <w:separator/>
      </w:r>
    </w:p>
  </w:endnote>
  <w:endnote w:type="continuationSeparator" w:id="0">
    <w:p w14:paraId="3BA395A8" w14:textId="77777777" w:rsidR="00D1665C" w:rsidRDefault="00D1665C" w:rsidP="00D1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9BDB" w14:textId="77777777" w:rsidR="00D1665C" w:rsidRDefault="00D1665C" w:rsidP="00D1665C">
      <w:pPr>
        <w:spacing w:after="0" w:line="240" w:lineRule="auto"/>
      </w:pPr>
      <w:r>
        <w:separator/>
      </w:r>
    </w:p>
  </w:footnote>
  <w:footnote w:type="continuationSeparator" w:id="0">
    <w:p w14:paraId="74FB92C7" w14:textId="77777777" w:rsidR="00D1665C" w:rsidRDefault="00D1665C" w:rsidP="00D16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26"/>
    <w:rsid w:val="004C1C26"/>
    <w:rsid w:val="00AC5964"/>
    <w:rsid w:val="00D1665C"/>
    <w:rsid w:val="00DC217E"/>
    <w:rsid w:val="00E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83771"/>
  <w15:chartTrackingRefBased/>
  <w15:docId w15:val="{B9C3994A-98E5-402E-81F1-711D9CBF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C1C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1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1C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1C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1C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1C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1C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1C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1C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1C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1C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1C2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1C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1C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1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1C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1C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1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1C2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1C2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1C2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1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1C2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1C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166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1665C"/>
  </w:style>
  <w:style w:type="paragraph" w:styleId="ab">
    <w:name w:val="footer"/>
    <w:basedOn w:val="a"/>
    <w:link w:val="Char4"/>
    <w:uiPriority w:val="99"/>
    <w:unhideWhenUsed/>
    <w:rsid w:val="00D166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1665C"/>
  </w:style>
  <w:style w:type="paragraph" w:styleId="ac">
    <w:name w:val="No Spacing"/>
    <w:link w:val="Char5"/>
    <w:uiPriority w:val="1"/>
    <w:qFormat/>
    <w:rsid w:val="00D1665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5">
    <w:name w:val="간격 없음 Char"/>
    <w:link w:val="ac"/>
    <w:uiPriority w:val="1"/>
    <w:rsid w:val="00D1665C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재원 고</dc:creator>
  <cp:keywords/>
  <dc:description/>
  <cp:lastModifiedBy>재원 고</cp:lastModifiedBy>
  <cp:revision>2</cp:revision>
  <dcterms:created xsi:type="dcterms:W3CDTF">2024-01-09T21:53:00Z</dcterms:created>
  <dcterms:modified xsi:type="dcterms:W3CDTF">2024-01-09T22:05:00Z</dcterms:modified>
</cp:coreProperties>
</file>