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CDD273" w14:textId="5A42F023" w:rsidR="00677B47" w:rsidRPr="006478D1" w:rsidRDefault="003E6ED6" w:rsidP="00677B47">
      <w:pPr>
        <w:spacing w:line="480" w:lineRule="auto"/>
        <w:jc w:val="both"/>
        <w:rPr>
          <w:b/>
          <w:lang w:val="en-US"/>
        </w:rPr>
      </w:pPr>
      <w:r>
        <w:rPr>
          <w:b/>
          <w:bCs/>
          <w:lang w:val="en-US"/>
        </w:rPr>
        <w:t>Legends for supplementary data files</w:t>
      </w:r>
      <w:r w:rsidR="00677B47" w:rsidRPr="006478D1">
        <w:rPr>
          <w:b/>
          <w:lang w:val="en-US"/>
        </w:rPr>
        <w:t xml:space="preserve"> associated to:</w:t>
      </w:r>
    </w:p>
    <w:p w14:paraId="1A0F72F3" w14:textId="77777777" w:rsidR="00677B47" w:rsidRDefault="00677B47" w:rsidP="00677B47">
      <w:pPr>
        <w:spacing w:line="480" w:lineRule="auto"/>
        <w:jc w:val="both"/>
        <w:rPr>
          <w:b/>
        </w:rPr>
      </w:pPr>
      <w:r w:rsidRPr="006478D1">
        <w:rPr>
          <w:b/>
        </w:rPr>
        <w:t>Traumatic brain injury promotes neurogenesis at the cost of astrogliogenesis in the adult hippocampus of male mice.</w:t>
      </w:r>
    </w:p>
    <w:p w14:paraId="5DB9A0B4" w14:textId="77777777" w:rsidR="00677B47" w:rsidRPr="006478D1" w:rsidRDefault="00677B47" w:rsidP="00677B47">
      <w:pPr>
        <w:spacing w:line="480" w:lineRule="auto"/>
        <w:jc w:val="both"/>
        <w:rPr>
          <w:b/>
        </w:rPr>
      </w:pPr>
      <w:r>
        <w:rPr>
          <w:b/>
        </w:rPr>
        <w:t>Nature Communications, 2024</w:t>
      </w:r>
    </w:p>
    <w:p w14:paraId="3556FDB8" w14:textId="77777777" w:rsidR="00677B47" w:rsidRPr="006478D1" w:rsidRDefault="00677B47" w:rsidP="00677B47">
      <w:pPr>
        <w:spacing w:line="480" w:lineRule="auto"/>
        <w:jc w:val="both"/>
        <w:rPr>
          <w:b/>
        </w:rPr>
      </w:pPr>
      <w:r w:rsidRPr="006478D1">
        <w:rPr>
          <w:b/>
        </w:rPr>
        <w:t>Authors</w:t>
      </w:r>
    </w:p>
    <w:p w14:paraId="65505DFF" w14:textId="77777777" w:rsidR="00677B47" w:rsidRPr="005503C2" w:rsidRDefault="00677B47" w:rsidP="00677B47">
      <w:pPr>
        <w:spacing w:line="480" w:lineRule="auto"/>
        <w:jc w:val="both"/>
        <w:rPr>
          <w:lang w:val="en-US"/>
        </w:rPr>
      </w:pPr>
      <w:r w:rsidRPr="006478D1">
        <w:t>Bielefeld P, Martirosyan A, Martín-Suárez, S</w:t>
      </w:r>
      <w:r w:rsidRPr="006478D1">
        <w:rPr>
          <w:lang w:val="en-US"/>
        </w:rPr>
        <w:t xml:space="preserve">, </w:t>
      </w:r>
      <w:r w:rsidRPr="006478D1">
        <w:t>Apresyan A, Meerhoff GF, Pestana F, Poovathingal S, Reijner N, Koning W, Clement RA, Van de Veen I, Toledo E, Polzer O, Durá I, Hovhannisyan S, Nilges B, Bogdoll A, Kashikar N, Lucassen PJ, Belgard TG, Encinas JM, Holt MG, Fitzsimons CP</w:t>
      </w:r>
      <w:r>
        <w:t>.</w:t>
      </w:r>
    </w:p>
    <w:p w14:paraId="095B5CA4" w14:textId="5732FDE4" w:rsidR="003E6ED6" w:rsidRPr="006478D1" w:rsidRDefault="003E6ED6" w:rsidP="003E6ED6">
      <w:pPr>
        <w:spacing w:line="480" w:lineRule="auto"/>
        <w:jc w:val="both"/>
        <w:rPr>
          <w:b/>
          <w:bCs/>
          <w:lang w:val="en-US"/>
        </w:rPr>
      </w:pPr>
    </w:p>
    <w:p w14:paraId="10FDB71A" w14:textId="77777777" w:rsidR="003E6ED6" w:rsidRPr="006478D1" w:rsidRDefault="003E6ED6" w:rsidP="003E6ED6">
      <w:pPr>
        <w:spacing w:line="480" w:lineRule="auto"/>
        <w:jc w:val="both"/>
        <w:rPr>
          <w:b/>
        </w:rPr>
      </w:pPr>
      <w:r w:rsidRPr="006478D1">
        <w:rPr>
          <w:b/>
          <w:bCs/>
          <w:lang w:val="en-US"/>
        </w:rPr>
        <w:t>Supplementary data</w:t>
      </w:r>
      <w:r w:rsidRPr="006478D1">
        <w:rPr>
          <w:b/>
          <w:bCs/>
        </w:rPr>
        <w:t xml:space="preserve"> </w:t>
      </w:r>
      <w:r w:rsidRPr="006478D1">
        <w:rPr>
          <w:b/>
          <w:bCs/>
          <w:lang w:val="en-US"/>
        </w:rPr>
        <w:t>1</w:t>
      </w:r>
      <w:r w:rsidRPr="006478D1">
        <w:rPr>
          <w:b/>
        </w:rPr>
        <w:t>. Number of cells per major cell population in the dentate gyrus, based on clustering of the single cell data.</w:t>
      </w:r>
    </w:p>
    <w:p w14:paraId="70662AC6" w14:textId="77777777" w:rsidR="003E6ED6" w:rsidRPr="006478D1" w:rsidRDefault="003E6ED6" w:rsidP="003E6ED6">
      <w:pPr>
        <w:spacing w:line="480" w:lineRule="auto"/>
        <w:jc w:val="both"/>
        <w:rPr>
          <w:b/>
        </w:rPr>
      </w:pPr>
    </w:p>
    <w:p w14:paraId="1A83CEF7" w14:textId="77777777" w:rsidR="003E6ED6" w:rsidRPr="006478D1" w:rsidRDefault="003E6ED6" w:rsidP="003E6ED6">
      <w:pPr>
        <w:spacing w:line="480" w:lineRule="auto"/>
        <w:jc w:val="both"/>
        <w:rPr>
          <w:b/>
        </w:rPr>
      </w:pPr>
      <w:r w:rsidRPr="006478D1">
        <w:rPr>
          <w:b/>
          <w:bCs/>
          <w:lang w:val="en-US"/>
        </w:rPr>
        <w:t>Supplementary data</w:t>
      </w:r>
      <w:r w:rsidRPr="006478D1">
        <w:rPr>
          <w:b/>
          <w:bCs/>
        </w:rPr>
        <w:t xml:space="preserve"> </w:t>
      </w:r>
      <w:r w:rsidRPr="006478D1">
        <w:rPr>
          <w:b/>
          <w:bCs/>
          <w:lang w:val="en-US"/>
        </w:rPr>
        <w:t>2</w:t>
      </w:r>
      <w:r w:rsidRPr="006478D1">
        <w:rPr>
          <w:b/>
        </w:rPr>
        <w:t>. Number of cells per cell subpopulation in the dentate gyrus, based on clustering of the single cell data.</w:t>
      </w:r>
    </w:p>
    <w:p w14:paraId="4DA795E6" w14:textId="77777777" w:rsidR="003E6ED6" w:rsidRPr="006478D1" w:rsidRDefault="003E6ED6" w:rsidP="003E6ED6">
      <w:pPr>
        <w:spacing w:line="480" w:lineRule="auto"/>
        <w:jc w:val="both"/>
        <w:rPr>
          <w:b/>
        </w:rPr>
      </w:pPr>
    </w:p>
    <w:p w14:paraId="312E6CED" w14:textId="77777777" w:rsidR="003E6ED6" w:rsidRPr="006478D1" w:rsidRDefault="003E6ED6" w:rsidP="003E6ED6">
      <w:pPr>
        <w:spacing w:line="480" w:lineRule="auto"/>
        <w:jc w:val="both"/>
      </w:pPr>
      <w:r w:rsidRPr="006478D1">
        <w:rPr>
          <w:b/>
          <w:bCs/>
          <w:lang w:val="en-US"/>
        </w:rPr>
        <w:t>Supplementary data</w:t>
      </w:r>
      <w:r w:rsidRPr="006478D1">
        <w:rPr>
          <w:b/>
          <w:bCs/>
        </w:rPr>
        <w:t xml:space="preserve"> </w:t>
      </w:r>
      <w:r w:rsidRPr="006478D1">
        <w:rPr>
          <w:b/>
          <w:bCs/>
          <w:lang w:val="en-US"/>
        </w:rPr>
        <w:t>3</w:t>
      </w:r>
      <w:r w:rsidRPr="006478D1">
        <w:rPr>
          <w:b/>
        </w:rPr>
        <w:t xml:space="preserve">. Marker genes defining cell clusters identified in the 10X Genomics scRNA-seq dataset. </w:t>
      </w:r>
      <w:r w:rsidRPr="006478D1">
        <w:t>SCT normalized data.</w:t>
      </w:r>
    </w:p>
    <w:p w14:paraId="5D1587CD" w14:textId="77777777" w:rsidR="003E6ED6" w:rsidRPr="006478D1" w:rsidRDefault="003E6ED6" w:rsidP="003E6ED6">
      <w:pPr>
        <w:spacing w:line="480" w:lineRule="auto"/>
        <w:jc w:val="both"/>
        <w:rPr>
          <w:b/>
        </w:rPr>
      </w:pPr>
    </w:p>
    <w:p w14:paraId="1E07BD29" w14:textId="77777777" w:rsidR="003E6ED6" w:rsidRPr="006478D1" w:rsidRDefault="003E6ED6" w:rsidP="003E6ED6">
      <w:pPr>
        <w:spacing w:line="480" w:lineRule="auto"/>
        <w:jc w:val="both"/>
        <w:rPr>
          <w:b/>
        </w:rPr>
      </w:pPr>
      <w:r w:rsidRPr="006478D1">
        <w:rPr>
          <w:b/>
          <w:bCs/>
          <w:lang w:val="en-US"/>
        </w:rPr>
        <w:t>Supplementary data</w:t>
      </w:r>
      <w:r w:rsidRPr="006478D1">
        <w:rPr>
          <w:b/>
          <w:bCs/>
        </w:rPr>
        <w:t xml:space="preserve"> </w:t>
      </w:r>
      <w:r w:rsidRPr="006478D1">
        <w:rPr>
          <w:b/>
          <w:bCs/>
          <w:lang w:val="en-US"/>
        </w:rPr>
        <w:t>4</w:t>
      </w:r>
      <w:r w:rsidRPr="006478D1">
        <w:rPr>
          <w:b/>
        </w:rPr>
        <w:t>. Full set of GO and KEGG terms linked to cell subtype specific markers.</w:t>
      </w:r>
    </w:p>
    <w:p w14:paraId="29F080C6" w14:textId="77777777" w:rsidR="003E6ED6" w:rsidRPr="006478D1" w:rsidRDefault="003E6ED6" w:rsidP="003E6ED6">
      <w:pPr>
        <w:spacing w:line="480" w:lineRule="auto"/>
        <w:jc w:val="both"/>
        <w:rPr>
          <w:b/>
        </w:rPr>
      </w:pPr>
    </w:p>
    <w:p w14:paraId="0A88EC39" w14:textId="77777777" w:rsidR="003E6ED6" w:rsidRPr="006478D1" w:rsidRDefault="003E6ED6" w:rsidP="003E6ED6">
      <w:pPr>
        <w:spacing w:line="480" w:lineRule="auto"/>
        <w:jc w:val="both"/>
        <w:rPr>
          <w:b/>
        </w:rPr>
      </w:pPr>
      <w:r w:rsidRPr="006478D1">
        <w:rPr>
          <w:b/>
          <w:bCs/>
          <w:lang w:val="en-US"/>
        </w:rPr>
        <w:t>Supplementary data</w:t>
      </w:r>
      <w:r w:rsidRPr="006478D1">
        <w:rPr>
          <w:b/>
          <w:bCs/>
        </w:rPr>
        <w:t xml:space="preserve"> </w:t>
      </w:r>
      <w:r w:rsidRPr="006478D1">
        <w:rPr>
          <w:b/>
          <w:bCs/>
          <w:lang w:val="en-US"/>
        </w:rPr>
        <w:t>5</w:t>
      </w:r>
      <w:r w:rsidRPr="006478D1">
        <w:rPr>
          <w:b/>
        </w:rPr>
        <w:t>. Selected set of GO and KEGG terms linked to cell subtype specific markers.</w:t>
      </w:r>
    </w:p>
    <w:p w14:paraId="41DAF457" w14:textId="77777777" w:rsidR="003E6ED6" w:rsidRPr="006478D1" w:rsidRDefault="003E6ED6" w:rsidP="003E6ED6">
      <w:pPr>
        <w:spacing w:line="480" w:lineRule="auto"/>
        <w:jc w:val="both"/>
        <w:rPr>
          <w:b/>
          <w:highlight w:val="yellow"/>
        </w:rPr>
      </w:pPr>
    </w:p>
    <w:p w14:paraId="07DC78D6" w14:textId="77777777" w:rsidR="003E6ED6" w:rsidRPr="006478D1" w:rsidRDefault="003E6ED6" w:rsidP="003E6ED6">
      <w:pPr>
        <w:spacing w:line="480" w:lineRule="auto"/>
        <w:jc w:val="both"/>
        <w:rPr>
          <w:b/>
        </w:rPr>
      </w:pPr>
      <w:r w:rsidRPr="006478D1">
        <w:rPr>
          <w:b/>
          <w:bCs/>
          <w:lang w:val="en-US"/>
        </w:rPr>
        <w:lastRenderedPageBreak/>
        <w:t>Supplementary data</w:t>
      </w:r>
      <w:r w:rsidRPr="006478D1">
        <w:rPr>
          <w:b/>
          <w:bCs/>
        </w:rPr>
        <w:t xml:space="preserve"> </w:t>
      </w:r>
      <w:r w:rsidRPr="006478D1">
        <w:rPr>
          <w:b/>
          <w:bCs/>
          <w:lang w:val="en-US"/>
        </w:rPr>
        <w:t>6</w:t>
      </w:r>
      <w:r w:rsidRPr="006478D1">
        <w:rPr>
          <w:b/>
        </w:rPr>
        <w:t xml:space="preserve">. Average transition probabilities per cell predicted using RNA velocity analysis. </w:t>
      </w:r>
    </w:p>
    <w:p w14:paraId="30146B4E" w14:textId="77777777" w:rsidR="003E6ED6" w:rsidRPr="006478D1" w:rsidRDefault="003E6ED6" w:rsidP="003E6ED6">
      <w:pPr>
        <w:spacing w:line="480" w:lineRule="auto"/>
        <w:jc w:val="both"/>
        <w:rPr>
          <w:b/>
        </w:rPr>
      </w:pPr>
    </w:p>
    <w:p w14:paraId="1A6566B4" w14:textId="77777777" w:rsidR="003E6ED6" w:rsidRPr="006478D1" w:rsidRDefault="003E6ED6" w:rsidP="003E6ED6">
      <w:pPr>
        <w:spacing w:line="480" w:lineRule="auto"/>
        <w:jc w:val="both"/>
      </w:pPr>
      <w:r w:rsidRPr="006478D1">
        <w:rPr>
          <w:b/>
          <w:bCs/>
          <w:lang w:val="en-US"/>
        </w:rPr>
        <w:t>Supplementary data</w:t>
      </w:r>
      <w:r w:rsidRPr="006478D1">
        <w:rPr>
          <w:b/>
          <w:bCs/>
        </w:rPr>
        <w:t xml:space="preserve"> </w:t>
      </w:r>
      <w:r w:rsidRPr="006478D1">
        <w:rPr>
          <w:b/>
          <w:bCs/>
          <w:lang w:val="en-US"/>
        </w:rPr>
        <w:t>7</w:t>
      </w:r>
      <w:r w:rsidRPr="006478D1">
        <w:rPr>
          <w:b/>
        </w:rPr>
        <w:t xml:space="preserve">. Differentially expressed genes per cell population in Control vs. TBI groups. </w:t>
      </w:r>
      <w:r w:rsidRPr="006478D1">
        <w:t>Genes were identified using a MAST test on SCT normalized data.</w:t>
      </w:r>
    </w:p>
    <w:p w14:paraId="3F21D94A" w14:textId="77777777" w:rsidR="003E6ED6" w:rsidRPr="006478D1" w:rsidRDefault="003E6ED6" w:rsidP="003E6ED6">
      <w:pPr>
        <w:spacing w:line="480" w:lineRule="auto"/>
        <w:jc w:val="both"/>
        <w:rPr>
          <w:b/>
        </w:rPr>
      </w:pPr>
    </w:p>
    <w:p w14:paraId="1099B3D1" w14:textId="77777777" w:rsidR="003E6ED6" w:rsidRPr="006478D1" w:rsidRDefault="003E6ED6" w:rsidP="003E6ED6">
      <w:pPr>
        <w:spacing w:line="480" w:lineRule="auto"/>
        <w:jc w:val="both"/>
        <w:rPr>
          <w:b/>
        </w:rPr>
      </w:pPr>
      <w:r w:rsidRPr="006478D1">
        <w:rPr>
          <w:b/>
          <w:bCs/>
          <w:lang w:val="en-US"/>
        </w:rPr>
        <w:t>Supplementary data</w:t>
      </w:r>
      <w:r w:rsidRPr="006478D1">
        <w:rPr>
          <w:b/>
          <w:bCs/>
        </w:rPr>
        <w:t xml:space="preserve"> </w:t>
      </w:r>
      <w:r w:rsidRPr="006478D1">
        <w:rPr>
          <w:b/>
          <w:bCs/>
          <w:lang w:val="en-US"/>
        </w:rPr>
        <w:t>8</w:t>
      </w:r>
      <w:r w:rsidRPr="006478D1">
        <w:rPr>
          <w:b/>
        </w:rPr>
        <w:t>. Full set of GO and KEGG terms linked to up</w:t>
      </w:r>
      <w:r w:rsidRPr="006478D1">
        <w:rPr>
          <w:b/>
          <w:lang w:val="en-US"/>
        </w:rPr>
        <w:t xml:space="preserve"> or </w:t>
      </w:r>
      <w:r w:rsidRPr="006478D1">
        <w:rPr>
          <w:b/>
        </w:rPr>
        <w:t xml:space="preserve">down-regulated genes after TBI. </w:t>
      </w:r>
    </w:p>
    <w:p w14:paraId="73941AC9" w14:textId="77777777" w:rsidR="003E6ED6" w:rsidRPr="006478D1" w:rsidRDefault="003E6ED6" w:rsidP="003E6ED6">
      <w:pPr>
        <w:spacing w:line="480" w:lineRule="auto"/>
        <w:jc w:val="both"/>
      </w:pPr>
      <w:r w:rsidRPr="006478D1">
        <w:t>GO and KEGG terms included: log fold change &gt; 0.2 and adjusted</w:t>
      </w:r>
      <w:r w:rsidRPr="006478D1">
        <w:rPr>
          <w:lang w:val="en-US"/>
        </w:rPr>
        <w:t xml:space="preserve"> </w:t>
      </w:r>
      <w:r w:rsidRPr="006478D1">
        <w:rPr>
          <w:i/>
          <w:iCs/>
        </w:rPr>
        <w:t>p</w:t>
      </w:r>
      <w:r w:rsidRPr="006478D1">
        <w:rPr>
          <w:lang w:val="en-US"/>
        </w:rPr>
        <w:t xml:space="preserve"> </w:t>
      </w:r>
      <w:r w:rsidRPr="006478D1">
        <w:t>value &lt; 0.05.</w:t>
      </w:r>
    </w:p>
    <w:p w14:paraId="13D48443" w14:textId="77777777" w:rsidR="003E6ED6" w:rsidRPr="006478D1" w:rsidRDefault="003E6ED6" w:rsidP="003E6ED6">
      <w:pPr>
        <w:spacing w:line="480" w:lineRule="auto"/>
        <w:jc w:val="both"/>
      </w:pPr>
    </w:p>
    <w:p w14:paraId="5AE2BFC0" w14:textId="77777777" w:rsidR="003E6ED6" w:rsidRPr="006478D1" w:rsidRDefault="003E6ED6" w:rsidP="003E6ED6">
      <w:pPr>
        <w:spacing w:line="480" w:lineRule="auto"/>
        <w:jc w:val="both"/>
      </w:pPr>
      <w:r w:rsidRPr="006478D1">
        <w:rPr>
          <w:b/>
          <w:bCs/>
          <w:lang w:val="en-US"/>
        </w:rPr>
        <w:t>Supplementary data</w:t>
      </w:r>
      <w:r w:rsidRPr="006478D1">
        <w:rPr>
          <w:b/>
          <w:bCs/>
        </w:rPr>
        <w:t xml:space="preserve"> </w:t>
      </w:r>
      <w:r w:rsidRPr="006478D1">
        <w:rPr>
          <w:b/>
          <w:bCs/>
          <w:lang w:val="en-US"/>
        </w:rPr>
        <w:t>9</w:t>
      </w:r>
      <w:r w:rsidRPr="006478D1">
        <w:rPr>
          <w:b/>
        </w:rPr>
        <w:t xml:space="preserve">. Selected set of GO and KEGG terms linked to up/down-regulated genes after TBI. </w:t>
      </w:r>
      <w:r w:rsidRPr="006478D1">
        <w:t>GO and KEGG terms included: log fold change &gt; 0.2 and adjusted</w:t>
      </w:r>
      <w:r w:rsidRPr="006478D1">
        <w:rPr>
          <w:lang w:val="en-US"/>
        </w:rPr>
        <w:t xml:space="preserve"> </w:t>
      </w:r>
      <w:r w:rsidRPr="006478D1">
        <w:rPr>
          <w:i/>
          <w:iCs/>
        </w:rPr>
        <w:t>p</w:t>
      </w:r>
      <w:r w:rsidRPr="006478D1">
        <w:rPr>
          <w:lang w:val="en-US"/>
        </w:rPr>
        <w:t xml:space="preserve"> </w:t>
      </w:r>
      <w:r w:rsidRPr="006478D1">
        <w:t>value &lt; 0.05.</w:t>
      </w:r>
    </w:p>
    <w:p w14:paraId="47E3188B" w14:textId="77777777" w:rsidR="003E6ED6" w:rsidRPr="006478D1" w:rsidRDefault="003E6ED6" w:rsidP="003E6ED6">
      <w:pPr>
        <w:spacing w:line="480" w:lineRule="auto"/>
        <w:jc w:val="both"/>
        <w:rPr>
          <w:b/>
        </w:rPr>
      </w:pPr>
    </w:p>
    <w:p w14:paraId="6E3166A2" w14:textId="77777777" w:rsidR="003E6ED6" w:rsidRPr="006478D1" w:rsidRDefault="003E6ED6" w:rsidP="003E6ED6">
      <w:pPr>
        <w:spacing w:line="480" w:lineRule="auto"/>
        <w:jc w:val="both"/>
        <w:rPr>
          <w:b/>
        </w:rPr>
      </w:pPr>
      <w:r w:rsidRPr="006478D1">
        <w:rPr>
          <w:b/>
          <w:bCs/>
          <w:lang w:val="en-US"/>
        </w:rPr>
        <w:t>Supplementary data</w:t>
      </w:r>
      <w:r w:rsidRPr="006478D1">
        <w:rPr>
          <w:b/>
          <w:bCs/>
        </w:rPr>
        <w:t xml:space="preserve"> </w:t>
      </w:r>
      <w:r w:rsidRPr="006478D1">
        <w:rPr>
          <w:b/>
          <w:bCs/>
          <w:lang w:val="en-US"/>
        </w:rPr>
        <w:t>10</w:t>
      </w:r>
      <w:r w:rsidRPr="006478D1">
        <w:rPr>
          <w:b/>
        </w:rPr>
        <w:t xml:space="preserve">. Overview of targets in the Molecular Cartography </w:t>
      </w:r>
      <w:r w:rsidRPr="006478D1">
        <w:rPr>
          <w:b/>
          <w:lang w:val="en-US"/>
        </w:rPr>
        <w:t xml:space="preserve">spatial transcriptomics </w:t>
      </w:r>
      <w:r w:rsidRPr="006478D1">
        <w:rPr>
          <w:b/>
        </w:rPr>
        <w:t>experiments.</w:t>
      </w:r>
    </w:p>
    <w:p w14:paraId="783B4265" w14:textId="77777777" w:rsidR="003E6ED6" w:rsidRPr="006478D1" w:rsidRDefault="003E6ED6" w:rsidP="003E6ED6">
      <w:pPr>
        <w:spacing w:line="480" w:lineRule="auto"/>
        <w:jc w:val="both"/>
        <w:rPr>
          <w:b/>
        </w:rPr>
      </w:pPr>
    </w:p>
    <w:p w14:paraId="146F0BF7" w14:textId="77777777" w:rsidR="003E6ED6" w:rsidRPr="006478D1" w:rsidRDefault="003E6ED6" w:rsidP="003E6ED6">
      <w:pPr>
        <w:spacing w:line="480" w:lineRule="auto"/>
        <w:jc w:val="both"/>
        <w:rPr>
          <w:b/>
        </w:rPr>
      </w:pPr>
      <w:r w:rsidRPr="006478D1">
        <w:rPr>
          <w:b/>
          <w:bCs/>
          <w:lang w:val="en-US"/>
        </w:rPr>
        <w:t>Supplementary data</w:t>
      </w:r>
      <w:r w:rsidRPr="006478D1">
        <w:rPr>
          <w:b/>
          <w:bCs/>
        </w:rPr>
        <w:t xml:space="preserve"> </w:t>
      </w:r>
      <w:r w:rsidRPr="006478D1">
        <w:rPr>
          <w:b/>
          <w:bCs/>
          <w:lang w:val="en-US"/>
        </w:rPr>
        <w:t>11</w:t>
      </w:r>
      <w:r w:rsidRPr="006478D1">
        <w:rPr>
          <w:b/>
        </w:rPr>
        <w:t xml:space="preserve">. Cell segmentation QuPath parameters used to define cell boundaries in </w:t>
      </w:r>
      <w:r w:rsidRPr="006478D1">
        <w:rPr>
          <w:b/>
          <w:lang w:val="en-US"/>
        </w:rPr>
        <w:t xml:space="preserve">the </w:t>
      </w:r>
      <w:r w:rsidRPr="006478D1">
        <w:rPr>
          <w:b/>
        </w:rPr>
        <w:t>Molecular Cartography experiments.</w:t>
      </w:r>
    </w:p>
    <w:p w14:paraId="032AAC2B" w14:textId="77777777" w:rsidR="003E6ED6" w:rsidRPr="006478D1" w:rsidRDefault="003E6ED6" w:rsidP="003E6ED6">
      <w:pPr>
        <w:spacing w:line="480" w:lineRule="auto"/>
        <w:jc w:val="both"/>
        <w:rPr>
          <w:b/>
        </w:rPr>
      </w:pPr>
    </w:p>
    <w:p w14:paraId="171BB242" w14:textId="77777777" w:rsidR="003E6ED6" w:rsidRPr="006478D1" w:rsidRDefault="003E6ED6" w:rsidP="003E6ED6">
      <w:pPr>
        <w:spacing w:line="480" w:lineRule="auto"/>
        <w:jc w:val="both"/>
        <w:rPr>
          <w:b/>
        </w:rPr>
      </w:pPr>
      <w:r w:rsidRPr="006478D1">
        <w:rPr>
          <w:b/>
          <w:bCs/>
          <w:lang w:val="en-US"/>
        </w:rPr>
        <w:t>Supplementary data</w:t>
      </w:r>
      <w:r w:rsidRPr="006478D1">
        <w:rPr>
          <w:b/>
          <w:bCs/>
        </w:rPr>
        <w:t xml:space="preserve"> </w:t>
      </w:r>
      <w:r w:rsidRPr="006478D1">
        <w:rPr>
          <w:b/>
          <w:bCs/>
          <w:lang w:val="en-US"/>
        </w:rPr>
        <w:t>12</w:t>
      </w:r>
      <w:r w:rsidRPr="006478D1">
        <w:rPr>
          <w:b/>
        </w:rPr>
        <w:t xml:space="preserve">. Parameters used to run RNA velocity analysis per cell population. </w:t>
      </w:r>
    </w:p>
    <w:p w14:paraId="1C925025" w14:textId="77777777" w:rsidR="003E6ED6" w:rsidRPr="006478D1" w:rsidRDefault="003E6ED6" w:rsidP="003E6ED6">
      <w:pPr>
        <w:spacing w:line="480" w:lineRule="auto"/>
        <w:jc w:val="both"/>
        <w:rPr>
          <w:b/>
        </w:rPr>
      </w:pPr>
    </w:p>
    <w:p w14:paraId="34194E78" w14:textId="77777777" w:rsidR="003E6ED6" w:rsidRPr="006478D1" w:rsidRDefault="003E6ED6" w:rsidP="003E6ED6">
      <w:pPr>
        <w:spacing w:line="480" w:lineRule="auto"/>
        <w:jc w:val="both"/>
        <w:rPr>
          <w:b/>
        </w:rPr>
      </w:pPr>
      <w:r w:rsidRPr="006478D1">
        <w:rPr>
          <w:b/>
          <w:bCs/>
          <w:lang w:val="en-US"/>
        </w:rPr>
        <w:t>Supplementary data</w:t>
      </w:r>
      <w:r w:rsidRPr="006478D1">
        <w:rPr>
          <w:b/>
          <w:bCs/>
        </w:rPr>
        <w:t xml:space="preserve"> </w:t>
      </w:r>
      <w:r w:rsidRPr="006478D1">
        <w:rPr>
          <w:b/>
          <w:bCs/>
          <w:lang w:val="en-US"/>
        </w:rPr>
        <w:t>13</w:t>
      </w:r>
      <w:r w:rsidRPr="006478D1">
        <w:rPr>
          <w:b/>
        </w:rPr>
        <w:t>. Number of cells per cluster and experimental condition, binomial test results.</w:t>
      </w:r>
    </w:p>
    <w:p w14:paraId="49E41FD2" w14:textId="77777777" w:rsidR="003E6ED6" w:rsidRPr="006478D1" w:rsidRDefault="003E6ED6" w:rsidP="003E6ED6">
      <w:pPr>
        <w:spacing w:line="480" w:lineRule="auto"/>
        <w:jc w:val="both"/>
      </w:pPr>
    </w:p>
    <w:p w14:paraId="32FAE454" w14:textId="45167EC1" w:rsidR="00435D6C" w:rsidRDefault="00335E46">
      <w:pPr>
        <w:rPr>
          <w:b/>
          <w:bCs/>
        </w:rPr>
      </w:pPr>
      <w:r w:rsidRPr="00335E46">
        <w:rPr>
          <w:b/>
          <w:bCs/>
        </w:rPr>
        <w:t>Supplementary data 14. Mean transition probability across cells clusters</w:t>
      </w:r>
    </w:p>
    <w:p w14:paraId="5237BCE9" w14:textId="77777777" w:rsidR="00B2363B" w:rsidRDefault="00B2363B">
      <w:pPr>
        <w:rPr>
          <w:b/>
          <w:bCs/>
        </w:rPr>
      </w:pPr>
    </w:p>
    <w:p w14:paraId="0B81C6D1" w14:textId="2429152B" w:rsidR="00B2363B" w:rsidRPr="00335E46" w:rsidRDefault="00B2363B">
      <w:pPr>
        <w:rPr>
          <w:b/>
          <w:bCs/>
        </w:rPr>
      </w:pPr>
      <w:r>
        <w:rPr>
          <w:b/>
          <w:bCs/>
        </w:rPr>
        <w:t>Supplementary data 15. Source data for Figure 3 and Supplementary Figure 6</w:t>
      </w:r>
    </w:p>
    <w:sectPr w:rsidR="00B2363B" w:rsidRPr="00335E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6ED6"/>
    <w:rsid w:val="0002620D"/>
    <w:rsid w:val="00031B17"/>
    <w:rsid w:val="000540AC"/>
    <w:rsid w:val="00062CAE"/>
    <w:rsid w:val="0008708F"/>
    <w:rsid w:val="00146EFF"/>
    <w:rsid w:val="001D4050"/>
    <w:rsid w:val="002061DC"/>
    <w:rsid w:val="00227BB3"/>
    <w:rsid w:val="00244637"/>
    <w:rsid w:val="002608E7"/>
    <w:rsid w:val="0027447A"/>
    <w:rsid w:val="002F3627"/>
    <w:rsid w:val="003145F2"/>
    <w:rsid w:val="003266EA"/>
    <w:rsid w:val="00335E46"/>
    <w:rsid w:val="003504BF"/>
    <w:rsid w:val="00396911"/>
    <w:rsid w:val="003E6ED6"/>
    <w:rsid w:val="00435D6C"/>
    <w:rsid w:val="00435F11"/>
    <w:rsid w:val="00450BDA"/>
    <w:rsid w:val="00466F61"/>
    <w:rsid w:val="004C070B"/>
    <w:rsid w:val="004D3404"/>
    <w:rsid w:val="00557FED"/>
    <w:rsid w:val="00560D8E"/>
    <w:rsid w:val="00564C52"/>
    <w:rsid w:val="00566F11"/>
    <w:rsid w:val="005A09F4"/>
    <w:rsid w:val="005A5C92"/>
    <w:rsid w:val="005B5919"/>
    <w:rsid w:val="005C5355"/>
    <w:rsid w:val="00657441"/>
    <w:rsid w:val="00672341"/>
    <w:rsid w:val="00677B47"/>
    <w:rsid w:val="006C5365"/>
    <w:rsid w:val="007325AE"/>
    <w:rsid w:val="00781948"/>
    <w:rsid w:val="007C375F"/>
    <w:rsid w:val="007D3278"/>
    <w:rsid w:val="00833D4D"/>
    <w:rsid w:val="008360A2"/>
    <w:rsid w:val="00872040"/>
    <w:rsid w:val="00893AB1"/>
    <w:rsid w:val="008A0795"/>
    <w:rsid w:val="008B6A7B"/>
    <w:rsid w:val="009056E8"/>
    <w:rsid w:val="009E6EA1"/>
    <w:rsid w:val="00A036C4"/>
    <w:rsid w:val="00A312BF"/>
    <w:rsid w:val="00A81D58"/>
    <w:rsid w:val="00AA667D"/>
    <w:rsid w:val="00AD3F7E"/>
    <w:rsid w:val="00AF36BA"/>
    <w:rsid w:val="00B073CC"/>
    <w:rsid w:val="00B2363B"/>
    <w:rsid w:val="00B32B04"/>
    <w:rsid w:val="00B45CCF"/>
    <w:rsid w:val="00BA2897"/>
    <w:rsid w:val="00BB2CDE"/>
    <w:rsid w:val="00BE1009"/>
    <w:rsid w:val="00C20823"/>
    <w:rsid w:val="00C2406C"/>
    <w:rsid w:val="00C409DF"/>
    <w:rsid w:val="00C756BC"/>
    <w:rsid w:val="00D262C9"/>
    <w:rsid w:val="00D32508"/>
    <w:rsid w:val="00D767AA"/>
    <w:rsid w:val="00DB1B8D"/>
    <w:rsid w:val="00DC708E"/>
    <w:rsid w:val="00DF729A"/>
    <w:rsid w:val="00E30466"/>
    <w:rsid w:val="00E360D3"/>
    <w:rsid w:val="00E44FC1"/>
    <w:rsid w:val="00E4512C"/>
    <w:rsid w:val="00E514F5"/>
    <w:rsid w:val="00E66DD2"/>
    <w:rsid w:val="00E67BD9"/>
    <w:rsid w:val="00EA5681"/>
    <w:rsid w:val="00FC0635"/>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3B8BA756"/>
  <w15:chartTrackingRefBased/>
  <w15:docId w15:val="{74FA21A5-EF89-9B4C-B62C-34BD869C2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ED6"/>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E6ED6"/>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E6ED6"/>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E6ED6"/>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E6ED6"/>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3E6ED6"/>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3E6ED6"/>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3E6ED6"/>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3E6ED6"/>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3E6ED6"/>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6E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6E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6E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6E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6E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6E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6E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6E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6ED6"/>
    <w:rPr>
      <w:rFonts w:eastAsiaTheme="majorEastAsia" w:cstheme="majorBidi"/>
      <w:color w:val="272727" w:themeColor="text1" w:themeTint="D8"/>
    </w:rPr>
  </w:style>
  <w:style w:type="paragraph" w:styleId="Title">
    <w:name w:val="Title"/>
    <w:basedOn w:val="Normal"/>
    <w:next w:val="Normal"/>
    <w:link w:val="TitleChar"/>
    <w:uiPriority w:val="10"/>
    <w:qFormat/>
    <w:rsid w:val="003E6ED6"/>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E6E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6ED6"/>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E6E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6ED6"/>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3E6ED6"/>
    <w:rPr>
      <w:i/>
      <w:iCs/>
      <w:color w:val="404040" w:themeColor="text1" w:themeTint="BF"/>
    </w:rPr>
  </w:style>
  <w:style w:type="paragraph" w:styleId="ListParagraph">
    <w:name w:val="List Paragraph"/>
    <w:basedOn w:val="Normal"/>
    <w:uiPriority w:val="34"/>
    <w:qFormat/>
    <w:rsid w:val="003E6ED6"/>
    <w:pPr>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3E6ED6"/>
    <w:rPr>
      <w:i/>
      <w:iCs/>
      <w:color w:val="0F4761" w:themeColor="accent1" w:themeShade="BF"/>
    </w:rPr>
  </w:style>
  <w:style w:type="paragraph" w:styleId="IntenseQuote">
    <w:name w:val="Intense Quote"/>
    <w:basedOn w:val="Normal"/>
    <w:next w:val="Normal"/>
    <w:link w:val="IntenseQuoteChar"/>
    <w:uiPriority w:val="30"/>
    <w:qFormat/>
    <w:rsid w:val="003E6ED6"/>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3E6ED6"/>
    <w:rPr>
      <w:i/>
      <w:iCs/>
      <w:color w:val="0F4761" w:themeColor="accent1" w:themeShade="BF"/>
    </w:rPr>
  </w:style>
  <w:style w:type="character" w:styleId="IntenseReference">
    <w:name w:val="Intense Reference"/>
    <w:basedOn w:val="DefaultParagraphFont"/>
    <w:uiPriority w:val="32"/>
    <w:qFormat/>
    <w:rsid w:val="003E6E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341</Words>
  <Characters>1949</Characters>
  <Application>Microsoft Office Word</Application>
  <DocSecurity>0</DocSecurity>
  <Lines>16</Lines>
  <Paragraphs>4</Paragraphs>
  <ScaleCrop>false</ScaleCrop>
  <Company/>
  <LinksUpToDate>false</LinksUpToDate>
  <CharactersWithSpaces>2286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Fitzsimons</dc:creator>
  <cp:keywords/>
  <dc:description/>
  <cp:lastModifiedBy>Carlos Fitzsimons</cp:lastModifiedBy>
  <cp:revision>4</cp:revision>
  <dcterms:created xsi:type="dcterms:W3CDTF">2024-04-30T10:05:00Z</dcterms:created>
  <dcterms:modified xsi:type="dcterms:W3CDTF">2024-05-01T20:33:00Z</dcterms:modified>
</cp:coreProperties>
</file>