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2AB65" w14:textId="5199B132" w:rsidR="001E6FAD" w:rsidRDefault="0040642D">
      <w:pPr>
        <w:rPr>
          <w:rFonts w:ascii="Arial" w:hAnsi="Arial" w:cs="Arial"/>
          <w:sz w:val="24"/>
          <w:szCs w:val="24"/>
        </w:rPr>
      </w:pPr>
      <w:r w:rsidRPr="0040642D">
        <w:rPr>
          <w:rFonts w:ascii="Arial" w:hAnsi="Arial" w:cs="Arial"/>
          <w:b/>
          <w:bCs/>
          <w:sz w:val="24"/>
          <w:szCs w:val="24"/>
          <w:u w:val="single"/>
        </w:rPr>
        <w:t>Description of additional supplementary files</w:t>
      </w:r>
    </w:p>
    <w:p w14:paraId="194B9414" w14:textId="77777777" w:rsidR="0040642D" w:rsidRDefault="0040642D">
      <w:pPr>
        <w:rPr>
          <w:rFonts w:ascii="Arial" w:hAnsi="Arial" w:cs="Arial"/>
          <w:sz w:val="24"/>
          <w:szCs w:val="24"/>
        </w:rPr>
      </w:pPr>
    </w:p>
    <w:p w14:paraId="5876ED9C" w14:textId="58A13CF2" w:rsidR="0040642D" w:rsidRDefault="00BF7718" w:rsidP="00E31757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="00030CB6" w:rsidRPr="00030CB6">
        <w:rPr>
          <w:rFonts w:ascii="Arial" w:hAnsi="Arial" w:cs="Arial"/>
          <w:sz w:val="24"/>
          <w:szCs w:val="24"/>
        </w:rPr>
        <w:t>Supplementary Data 1</w:t>
      </w:r>
    </w:p>
    <w:p w14:paraId="3B3583D8" w14:textId="2450C3AA" w:rsidR="00030CB6" w:rsidRDefault="00030CB6" w:rsidP="00E31757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E31757" w:rsidRPr="00E31757">
        <w:rPr>
          <w:rFonts w:ascii="Arial" w:hAnsi="Arial" w:cs="Arial"/>
          <w:sz w:val="24"/>
          <w:szCs w:val="24"/>
        </w:rPr>
        <w:t xml:space="preserve">Quality control.  Tabs 1 and 2 contain the sequencing and alignment metrics of scRNA- and scATAC-seq data, respectively. Tab 3 summarizes the mapping rates of CUT&amp;RUN samples to the reference genome.  </w:t>
      </w:r>
    </w:p>
    <w:p w14:paraId="4BA8CFDF" w14:textId="77777777" w:rsidR="00E31757" w:rsidRDefault="00E31757" w:rsidP="00E31757">
      <w:pPr>
        <w:jc w:val="both"/>
        <w:rPr>
          <w:rFonts w:ascii="Arial" w:hAnsi="Arial" w:cs="Arial"/>
          <w:sz w:val="24"/>
          <w:szCs w:val="24"/>
        </w:rPr>
      </w:pPr>
    </w:p>
    <w:p w14:paraId="7D0ED135" w14:textId="77777777" w:rsidR="009D1F89" w:rsidRDefault="009D1F89" w:rsidP="00E31757">
      <w:pPr>
        <w:jc w:val="both"/>
        <w:rPr>
          <w:rFonts w:ascii="Arial" w:hAnsi="Arial" w:cs="Arial"/>
          <w:sz w:val="24"/>
          <w:szCs w:val="24"/>
        </w:rPr>
      </w:pPr>
    </w:p>
    <w:p w14:paraId="52FE9188" w14:textId="77777777" w:rsidR="00E31757" w:rsidRDefault="00E31757" w:rsidP="00E31757">
      <w:pPr>
        <w:jc w:val="both"/>
        <w:rPr>
          <w:rFonts w:ascii="Arial" w:hAnsi="Arial" w:cs="Arial"/>
          <w:sz w:val="24"/>
          <w:szCs w:val="24"/>
        </w:rPr>
      </w:pPr>
    </w:p>
    <w:p w14:paraId="612316C1" w14:textId="3CAC0208" w:rsidR="00E31757" w:rsidRDefault="00E31757" w:rsidP="00E31757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2</w:t>
      </w:r>
    </w:p>
    <w:p w14:paraId="1A2CD03E" w14:textId="0E9BF953" w:rsidR="00E31757" w:rsidRDefault="00E31757" w:rsidP="00E31757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9D1F89" w:rsidRPr="009D1F89">
        <w:rPr>
          <w:rFonts w:ascii="Arial" w:hAnsi="Arial" w:cs="Arial"/>
          <w:sz w:val="24"/>
          <w:szCs w:val="24"/>
        </w:rPr>
        <w:t>Differential expression. Tabs 1</w:t>
      </w:r>
      <w:r w:rsidR="00184D03">
        <w:rPr>
          <w:rFonts w:ascii="Arial" w:hAnsi="Arial" w:cs="Arial"/>
          <w:sz w:val="24"/>
          <w:szCs w:val="24"/>
        </w:rPr>
        <w:t xml:space="preserve"> </w:t>
      </w:r>
      <w:r w:rsidR="009D1F89" w:rsidRPr="009D1F89">
        <w:rPr>
          <w:rFonts w:ascii="Arial" w:hAnsi="Arial" w:cs="Arial"/>
          <w:sz w:val="24"/>
          <w:szCs w:val="24"/>
        </w:rPr>
        <w:t xml:space="preserve">and 2 provide lists of DEGs within each canonical cell cycle </w:t>
      </w:r>
      <w:r w:rsidR="00EB725C">
        <w:rPr>
          <w:rFonts w:ascii="Arial" w:hAnsi="Arial" w:cs="Arial"/>
          <w:sz w:val="24"/>
          <w:szCs w:val="24"/>
        </w:rPr>
        <w:t>phase</w:t>
      </w:r>
      <w:r w:rsidR="009D1F89" w:rsidRPr="009D1F89">
        <w:rPr>
          <w:rFonts w:ascii="Arial" w:hAnsi="Arial" w:cs="Arial"/>
          <w:sz w:val="24"/>
          <w:szCs w:val="24"/>
        </w:rPr>
        <w:t xml:space="preserve"> and inferred transition points. Tab 3 includes the genes that are differentially expressed upon AP2XII-8 knock-down. In this analysis, (FC &gt; 1.5 and adjusted p-value &lt; 0.05 have been used as the cutoff).</w:t>
      </w:r>
    </w:p>
    <w:p w14:paraId="3AAE1FDC" w14:textId="77777777" w:rsidR="009D1F89" w:rsidRDefault="009D1F89" w:rsidP="00E31757">
      <w:pPr>
        <w:jc w:val="both"/>
        <w:rPr>
          <w:rFonts w:ascii="Arial" w:hAnsi="Arial" w:cs="Arial"/>
          <w:sz w:val="24"/>
          <w:szCs w:val="24"/>
        </w:rPr>
      </w:pPr>
    </w:p>
    <w:p w14:paraId="050195F6" w14:textId="77777777" w:rsidR="009D1F89" w:rsidRDefault="009D1F89" w:rsidP="00E31757">
      <w:pPr>
        <w:jc w:val="both"/>
        <w:rPr>
          <w:rFonts w:ascii="Arial" w:hAnsi="Arial" w:cs="Arial"/>
          <w:sz w:val="24"/>
          <w:szCs w:val="24"/>
        </w:rPr>
      </w:pPr>
    </w:p>
    <w:p w14:paraId="5CD34F51" w14:textId="77777777" w:rsidR="009D1F89" w:rsidRDefault="009D1F89" w:rsidP="00E31757">
      <w:pPr>
        <w:jc w:val="both"/>
        <w:rPr>
          <w:rFonts w:ascii="Arial" w:hAnsi="Arial" w:cs="Arial"/>
          <w:sz w:val="24"/>
          <w:szCs w:val="24"/>
        </w:rPr>
      </w:pPr>
    </w:p>
    <w:p w14:paraId="66175EA6" w14:textId="217F96FC" w:rsidR="009D1F89" w:rsidRDefault="009D1F89" w:rsidP="009D1F89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3</w:t>
      </w:r>
    </w:p>
    <w:p w14:paraId="2996FAF8" w14:textId="27ECE1AC" w:rsidR="009D1F89" w:rsidRDefault="009D1F89" w:rsidP="009D1F89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1A05B4" w:rsidRPr="001A05B4">
        <w:rPr>
          <w:rFonts w:ascii="Arial" w:hAnsi="Arial" w:cs="Arial"/>
          <w:sz w:val="24"/>
          <w:szCs w:val="24"/>
        </w:rPr>
        <w:t>Gene clusters. Tab 1 contains list of genes in each RNA and ATAC sub clusters along with their expression and accessibility peak time. Tab 2 contains the GO terms associated with each sub-ATAC cluster, the number of genes in each sub-ATAC cluster, and the number of genes used to compute the GO terms.</w:t>
      </w:r>
    </w:p>
    <w:p w14:paraId="0CC8D129" w14:textId="77777777" w:rsidR="001A05B4" w:rsidRDefault="001A05B4" w:rsidP="009D1F89">
      <w:pPr>
        <w:jc w:val="both"/>
        <w:rPr>
          <w:rFonts w:ascii="Arial" w:hAnsi="Arial" w:cs="Arial"/>
          <w:sz w:val="24"/>
          <w:szCs w:val="24"/>
        </w:rPr>
      </w:pPr>
    </w:p>
    <w:p w14:paraId="76225485" w14:textId="77777777" w:rsidR="001A05B4" w:rsidRDefault="001A05B4" w:rsidP="009D1F89">
      <w:pPr>
        <w:jc w:val="both"/>
        <w:rPr>
          <w:rFonts w:ascii="Arial" w:hAnsi="Arial" w:cs="Arial"/>
          <w:sz w:val="24"/>
          <w:szCs w:val="24"/>
        </w:rPr>
      </w:pPr>
    </w:p>
    <w:p w14:paraId="1CBC9D00" w14:textId="77777777" w:rsidR="001A05B4" w:rsidRDefault="001A05B4" w:rsidP="009D1F89">
      <w:pPr>
        <w:jc w:val="both"/>
        <w:rPr>
          <w:rFonts w:ascii="Arial" w:hAnsi="Arial" w:cs="Arial"/>
          <w:sz w:val="24"/>
          <w:szCs w:val="24"/>
        </w:rPr>
      </w:pPr>
    </w:p>
    <w:p w14:paraId="6E6AA509" w14:textId="36D01611" w:rsidR="001A05B4" w:rsidRDefault="001A05B4" w:rsidP="001A05B4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4</w:t>
      </w:r>
    </w:p>
    <w:p w14:paraId="0C4A3AE4" w14:textId="7FCD1227" w:rsidR="001A05B4" w:rsidRDefault="001A05B4" w:rsidP="001A05B4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D81EAD" w:rsidRPr="00D81EAD">
        <w:rPr>
          <w:rFonts w:ascii="Arial" w:hAnsi="Arial" w:cs="Arial"/>
          <w:sz w:val="24"/>
          <w:szCs w:val="24"/>
        </w:rPr>
        <w:t>Motifs discovered by STREME and BAMM. Tab 1 includes the statistical significance of the motifs discovered by STREME(MEME-suite) and BAMM in each group. Tab 2 includes the consensus sequences of motifs.</w:t>
      </w:r>
    </w:p>
    <w:p w14:paraId="48C95264" w14:textId="77777777" w:rsidR="001A05B4" w:rsidRDefault="001A05B4" w:rsidP="009D1F89">
      <w:pPr>
        <w:jc w:val="both"/>
        <w:rPr>
          <w:rFonts w:ascii="Arial" w:hAnsi="Arial" w:cs="Arial"/>
          <w:sz w:val="24"/>
          <w:szCs w:val="24"/>
        </w:rPr>
      </w:pPr>
    </w:p>
    <w:p w14:paraId="09F2E75F" w14:textId="77777777" w:rsidR="00D81EAD" w:rsidRDefault="00D81EAD" w:rsidP="009D1F89">
      <w:pPr>
        <w:jc w:val="both"/>
        <w:rPr>
          <w:rFonts w:ascii="Arial" w:hAnsi="Arial" w:cs="Arial"/>
          <w:sz w:val="24"/>
          <w:szCs w:val="24"/>
        </w:rPr>
      </w:pPr>
    </w:p>
    <w:p w14:paraId="6F5EFD19" w14:textId="77777777" w:rsidR="00D81EAD" w:rsidRDefault="00D81EAD" w:rsidP="009D1F89">
      <w:pPr>
        <w:jc w:val="both"/>
        <w:rPr>
          <w:rFonts w:ascii="Arial" w:hAnsi="Arial" w:cs="Arial"/>
          <w:sz w:val="24"/>
          <w:szCs w:val="24"/>
        </w:rPr>
      </w:pPr>
    </w:p>
    <w:p w14:paraId="4C22CDD7" w14:textId="67EB5FD1" w:rsidR="00D81EAD" w:rsidRDefault="00D81EAD" w:rsidP="00D81EAD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lastRenderedPageBreak/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5</w:t>
      </w:r>
    </w:p>
    <w:p w14:paraId="6E3F8A58" w14:textId="5505F5C0" w:rsidR="00D81EAD" w:rsidRDefault="00D81EAD" w:rsidP="00D81EAD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E71D1F" w:rsidRPr="00E71D1F">
        <w:rPr>
          <w:rFonts w:ascii="Arial" w:hAnsi="Arial" w:cs="Arial"/>
          <w:sz w:val="24"/>
          <w:szCs w:val="24"/>
        </w:rPr>
        <w:t>AP2XII-8 target genes. Tab 1 contains the list of genes targeted by AP2XII-8 detected by analysis of CUT&amp;RUN data sets. This also contains the list of DEGs upon AP2XII-8 KD. Motif enriched under the CUT&amp;RUN peaks of these genes is shown. Tab 2 contains the motif information of the ribosomal protein-encoding genes that show at least one CUT&amp;RUN signal. Motif search was performed under the extended CUT&amp;RUN peaks of each RP gene.</w:t>
      </w:r>
    </w:p>
    <w:p w14:paraId="41329249" w14:textId="77777777" w:rsidR="00D81EAD" w:rsidRDefault="00D81EAD" w:rsidP="009D1F89">
      <w:pPr>
        <w:jc w:val="both"/>
        <w:rPr>
          <w:rFonts w:ascii="Arial" w:hAnsi="Arial" w:cs="Arial"/>
          <w:sz w:val="24"/>
          <w:szCs w:val="24"/>
        </w:rPr>
      </w:pPr>
    </w:p>
    <w:p w14:paraId="5619CD0A" w14:textId="77777777" w:rsidR="00712085" w:rsidRDefault="00712085" w:rsidP="009D1F89">
      <w:pPr>
        <w:jc w:val="both"/>
        <w:rPr>
          <w:rFonts w:ascii="Arial" w:hAnsi="Arial" w:cs="Arial"/>
          <w:sz w:val="24"/>
          <w:szCs w:val="24"/>
        </w:rPr>
      </w:pPr>
    </w:p>
    <w:p w14:paraId="2AB3174B" w14:textId="77777777" w:rsidR="00712085" w:rsidRDefault="00712085" w:rsidP="009D1F89">
      <w:pPr>
        <w:jc w:val="both"/>
        <w:rPr>
          <w:rFonts w:ascii="Arial" w:hAnsi="Arial" w:cs="Arial"/>
          <w:sz w:val="24"/>
          <w:szCs w:val="24"/>
        </w:rPr>
      </w:pPr>
    </w:p>
    <w:p w14:paraId="03E30B91" w14:textId="4BC7C65E" w:rsidR="00712085" w:rsidRDefault="00712085" w:rsidP="00712085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6</w:t>
      </w:r>
    </w:p>
    <w:p w14:paraId="383F7971" w14:textId="34C75BC3" w:rsidR="00712085" w:rsidRDefault="00712085" w:rsidP="00712085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595432" w:rsidRPr="00595432">
        <w:rPr>
          <w:rFonts w:ascii="Arial" w:hAnsi="Arial" w:cs="Arial"/>
          <w:sz w:val="24"/>
          <w:szCs w:val="24"/>
        </w:rPr>
        <w:t>ATAC peaks, Tab 1 contains list of peaks that were assigned to the nearest downstream gene with the distance cut-off &lt; 3,000 bp.</w:t>
      </w:r>
    </w:p>
    <w:p w14:paraId="36D49C5A" w14:textId="77777777" w:rsidR="00595432" w:rsidRDefault="00595432" w:rsidP="00712085">
      <w:pPr>
        <w:jc w:val="both"/>
        <w:rPr>
          <w:rFonts w:ascii="Arial" w:hAnsi="Arial" w:cs="Arial"/>
          <w:sz w:val="24"/>
          <w:szCs w:val="24"/>
        </w:rPr>
      </w:pPr>
    </w:p>
    <w:p w14:paraId="41DC529C" w14:textId="77777777" w:rsidR="00595432" w:rsidRDefault="00595432" w:rsidP="00712085">
      <w:pPr>
        <w:jc w:val="both"/>
        <w:rPr>
          <w:rFonts w:ascii="Arial" w:hAnsi="Arial" w:cs="Arial"/>
          <w:sz w:val="24"/>
          <w:szCs w:val="24"/>
        </w:rPr>
      </w:pPr>
    </w:p>
    <w:p w14:paraId="63B6CF68" w14:textId="77777777" w:rsidR="00595432" w:rsidRDefault="00595432" w:rsidP="00712085">
      <w:pPr>
        <w:jc w:val="both"/>
        <w:rPr>
          <w:rFonts w:ascii="Arial" w:hAnsi="Arial" w:cs="Arial"/>
          <w:sz w:val="24"/>
          <w:szCs w:val="24"/>
        </w:rPr>
      </w:pPr>
    </w:p>
    <w:p w14:paraId="15EDB27A" w14:textId="2A83C453" w:rsidR="00595432" w:rsidRDefault="00595432" w:rsidP="00595432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7</w:t>
      </w:r>
    </w:p>
    <w:p w14:paraId="5AE4BF0C" w14:textId="3746F6E0" w:rsidR="00595432" w:rsidRDefault="00595432" w:rsidP="00595432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BC7C26" w:rsidRPr="00BC7C26">
        <w:rPr>
          <w:rFonts w:ascii="Arial" w:hAnsi="Arial" w:cs="Arial"/>
          <w:sz w:val="24"/>
          <w:szCs w:val="24"/>
        </w:rPr>
        <w:t xml:space="preserve">All eukaryotic cell lines including any </w:t>
      </w:r>
      <w:r w:rsidR="00BC7C26" w:rsidRPr="00E368E4">
        <w:rPr>
          <w:rFonts w:ascii="Arial" w:hAnsi="Arial" w:cs="Arial"/>
          <w:i/>
          <w:iCs/>
          <w:sz w:val="24"/>
          <w:szCs w:val="24"/>
        </w:rPr>
        <w:t>T. gondii</w:t>
      </w:r>
      <w:r w:rsidR="00BC7C26" w:rsidRPr="00BC7C26">
        <w:rPr>
          <w:rFonts w:ascii="Arial" w:hAnsi="Arial" w:cs="Arial"/>
          <w:sz w:val="24"/>
          <w:szCs w:val="24"/>
        </w:rPr>
        <w:t xml:space="preserve"> strains used or created in this study.</w:t>
      </w:r>
    </w:p>
    <w:p w14:paraId="2D0D33FA" w14:textId="77777777" w:rsidR="006D64BC" w:rsidRDefault="006D64BC" w:rsidP="00595432">
      <w:pPr>
        <w:jc w:val="both"/>
        <w:rPr>
          <w:rFonts w:ascii="Arial" w:hAnsi="Arial" w:cs="Arial"/>
          <w:sz w:val="24"/>
          <w:szCs w:val="24"/>
        </w:rPr>
      </w:pPr>
    </w:p>
    <w:p w14:paraId="1F1D8266" w14:textId="77777777" w:rsidR="006D64BC" w:rsidRDefault="006D64BC" w:rsidP="00595432">
      <w:pPr>
        <w:jc w:val="both"/>
        <w:rPr>
          <w:rFonts w:ascii="Arial" w:hAnsi="Arial" w:cs="Arial"/>
          <w:sz w:val="24"/>
          <w:szCs w:val="24"/>
        </w:rPr>
      </w:pPr>
    </w:p>
    <w:p w14:paraId="5065D640" w14:textId="77777777" w:rsidR="006D64BC" w:rsidRDefault="006D64BC" w:rsidP="00595432">
      <w:pPr>
        <w:jc w:val="both"/>
        <w:rPr>
          <w:rFonts w:ascii="Arial" w:hAnsi="Arial" w:cs="Arial"/>
          <w:sz w:val="24"/>
          <w:szCs w:val="24"/>
        </w:rPr>
      </w:pPr>
    </w:p>
    <w:p w14:paraId="666FE4F8" w14:textId="1C0F754D" w:rsidR="006D64BC" w:rsidRDefault="006D64BC" w:rsidP="006D64BC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8</w:t>
      </w:r>
    </w:p>
    <w:p w14:paraId="6DAFDCA7" w14:textId="22EFE793" w:rsidR="006D64BC" w:rsidRDefault="006D64BC" w:rsidP="006D64BC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DB5207" w:rsidRPr="00DB5207">
        <w:rPr>
          <w:rFonts w:ascii="Arial" w:hAnsi="Arial" w:cs="Arial"/>
          <w:sz w:val="24"/>
          <w:szCs w:val="24"/>
        </w:rPr>
        <w:t>All oligonucleotides and recombinant DNA used in this study. Sequences are shown in 5’- to 3’- orientation. ‘Lab ID’ refers to primer log in the Gubbels lab.</w:t>
      </w:r>
    </w:p>
    <w:p w14:paraId="768113DA" w14:textId="77777777" w:rsidR="00703B05" w:rsidRDefault="00703B05" w:rsidP="006D64BC">
      <w:pPr>
        <w:jc w:val="both"/>
        <w:rPr>
          <w:rFonts w:ascii="Arial" w:hAnsi="Arial" w:cs="Arial"/>
          <w:sz w:val="24"/>
          <w:szCs w:val="24"/>
        </w:rPr>
      </w:pPr>
    </w:p>
    <w:p w14:paraId="42D0A31E" w14:textId="77777777" w:rsidR="00703B05" w:rsidRDefault="00703B05" w:rsidP="006D64BC">
      <w:pPr>
        <w:jc w:val="both"/>
        <w:rPr>
          <w:rFonts w:ascii="Arial" w:hAnsi="Arial" w:cs="Arial"/>
          <w:sz w:val="24"/>
          <w:szCs w:val="24"/>
        </w:rPr>
      </w:pPr>
    </w:p>
    <w:p w14:paraId="200327F2" w14:textId="77777777" w:rsidR="00703B05" w:rsidRDefault="00703B05" w:rsidP="006D64BC">
      <w:pPr>
        <w:jc w:val="both"/>
        <w:rPr>
          <w:rFonts w:ascii="Arial" w:hAnsi="Arial" w:cs="Arial"/>
          <w:sz w:val="24"/>
          <w:szCs w:val="24"/>
        </w:rPr>
      </w:pPr>
    </w:p>
    <w:p w14:paraId="53F0CFE8" w14:textId="1813D9F3" w:rsidR="00703B05" w:rsidRDefault="00703B05" w:rsidP="00703B05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9</w:t>
      </w:r>
    </w:p>
    <w:p w14:paraId="5864ECD8" w14:textId="2947B8BA" w:rsidR="00703B05" w:rsidRDefault="00703B05" w:rsidP="00703B05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E368E4" w:rsidRPr="00E368E4">
        <w:rPr>
          <w:rFonts w:ascii="Arial" w:hAnsi="Arial" w:cs="Arial"/>
          <w:sz w:val="24"/>
          <w:szCs w:val="24"/>
        </w:rPr>
        <w:t>All antibodies used in this study for the purpose of immunofluorescence assays, western blots, and CUT&amp;RUNs.</w:t>
      </w:r>
    </w:p>
    <w:p w14:paraId="5101FA6C" w14:textId="77777777" w:rsidR="00703B05" w:rsidRDefault="00703B05" w:rsidP="006D64BC">
      <w:pPr>
        <w:jc w:val="both"/>
        <w:rPr>
          <w:rFonts w:ascii="Arial" w:hAnsi="Arial" w:cs="Arial"/>
          <w:sz w:val="24"/>
          <w:szCs w:val="24"/>
        </w:rPr>
      </w:pPr>
    </w:p>
    <w:p w14:paraId="41940425" w14:textId="77777777" w:rsidR="006D64BC" w:rsidRDefault="006D64BC" w:rsidP="00595432">
      <w:pPr>
        <w:jc w:val="both"/>
        <w:rPr>
          <w:rFonts w:ascii="Arial" w:hAnsi="Arial" w:cs="Arial"/>
          <w:sz w:val="24"/>
          <w:szCs w:val="24"/>
        </w:rPr>
      </w:pPr>
    </w:p>
    <w:p w14:paraId="63A6ED62" w14:textId="77777777" w:rsidR="00595432" w:rsidRDefault="00595432" w:rsidP="00712085">
      <w:pPr>
        <w:jc w:val="both"/>
        <w:rPr>
          <w:rFonts w:ascii="Arial" w:hAnsi="Arial" w:cs="Arial"/>
          <w:sz w:val="24"/>
          <w:szCs w:val="24"/>
        </w:rPr>
      </w:pPr>
    </w:p>
    <w:p w14:paraId="0AB6EF8B" w14:textId="4C9D03FC" w:rsidR="009B364A" w:rsidRDefault="009B364A" w:rsidP="009B364A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10</w:t>
      </w:r>
    </w:p>
    <w:p w14:paraId="271057D4" w14:textId="4AB3ED8D" w:rsidR="009B364A" w:rsidRDefault="009B364A" w:rsidP="009B364A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1A72A4" w:rsidRPr="001A72A4">
        <w:rPr>
          <w:rFonts w:ascii="Arial" w:hAnsi="Arial" w:cs="Arial"/>
          <w:sz w:val="24"/>
          <w:szCs w:val="24"/>
        </w:rPr>
        <w:t>Quantification of cell cycle arrest stages upon AP2XII-8 KD.</w:t>
      </w:r>
    </w:p>
    <w:p w14:paraId="710CDAB1" w14:textId="77777777" w:rsidR="001A72A4" w:rsidRDefault="001A72A4" w:rsidP="009B364A">
      <w:pPr>
        <w:jc w:val="both"/>
        <w:rPr>
          <w:rFonts w:ascii="Arial" w:hAnsi="Arial" w:cs="Arial"/>
          <w:sz w:val="24"/>
          <w:szCs w:val="24"/>
        </w:rPr>
      </w:pPr>
    </w:p>
    <w:p w14:paraId="392D23DB" w14:textId="77777777" w:rsidR="001A72A4" w:rsidRDefault="001A72A4" w:rsidP="009B364A">
      <w:pPr>
        <w:jc w:val="both"/>
        <w:rPr>
          <w:rFonts w:ascii="Arial" w:hAnsi="Arial" w:cs="Arial"/>
          <w:sz w:val="24"/>
          <w:szCs w:val="24"/>
        </w:rPr>
      </w:pPr>
    </w:p>
    <w:p w14:paraId="16FACD9E" w14:textId="77777777" w:rsidR="001A72A4" w:rsidRDefault="001A72A4" w:rsidP="009B364A">
      <w:pPr>
        <w:jc w:val="both"/>
        <w:rPr>
          <w:rFonts w:ascii="Arial" w:hAnsi="Arial" w:cs="Arial"/>
          <w:sz w:val="24"/>
          <w:szCs w:val="24"/>
        </w:rPr>
      </w:pPr>
    </w:p>
    <w:p w14:paraId="2B5EF345" w14:textId="5289C643" w:rsidR="001A72A4" w:rsidRDefault="001A72A4" w:rsidP="001A72A4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Title</w:t>
      </w:r>
      <w:r>
        <w:rPr>
          <w:rFonts w:ascii="Arial" w:hAnsi="Arial" w:cs="Arial"/>
          <w:sz w:val="24"/>
          <w:szCs w:val="24"/>
        </w:rPr>
        <w:t xml:space="preserve">: </w:t>
      </w:r>
      <w:r w:rsidRPr="00030CB6">
        <w:rPr>
          <w:rFonts w:ascii="Arial" w:hAnsi="Arial" w:cs="Arial"/>
          <w:sz w:val="24"/>
          <w:szCs w:val="24"/>
        </w:rPr>
        <w:t xml:space="preserve">Supplementary Data </w:t>
      </w:r>
      <w:r>
        <w:rPr>
          <w:rFonts w:ascii="Arial" w:hAnsi="Arial" w:cs="Arial"/>
          <w:sz w:val="24"/>
          <w:szCs w:val="24"/>
        </w:rPr>
        <w:t>11</w:t>
      </w:r>
    </w:p>
    <w:p w14:paraId="055F12C0" w14:textId="626B75E9" w:rsidR="001A72A4" w:rsidRDefault="001A72A4" w:rsidP="001A72A4">
      <w:pPr>
        <w:jc w:val="both"/>
        <w:rPr>
          <w:rFonts w:ascii="Arial" w:hAnsi="Arial" w:cs="Arial"/>
          <w:sz w:val="24"/>
          <w:szCs w:val="24"/>
        </w:rPr>
      </w:pPr>
      <w:r w:rsidRPr="009D1F89">
        <w:rPr>
          <w:rFonts w:ascii="Arial" w:hAnsi="Arial" w:cs="Arial"/>
          <w:b/>
          <w:bCs/>
          <w:sz w:val="24"/>
          <w:szCs w:val="24"/>
        </w:rPr>
        <w:t>Description</w:t>
      </w:r>
      <w:r>
        <w:rPr>
          <w:rFonts w:ascii="Arial" w:hAnsi="Arial" w:cs="Arial"/>
          <w:sz w:val="24"/>
          <w:szCs w:val="24"/>
        </w:rPr>
        <w:t xml:space="preserve">: </w:t>
      </w:r>
      <w:r w:rsidR="00050189" w:rsidRPr="00050189">
        <w:rPr>
          <w:rFonts w:ascii="Arial" w:hAnsi="Arial" w:cs="Arial"/>
          <w:sz w:val="24"/>
          <w:szCs w:val="24"/>
        </w:rPr>
        <w:t>Key resource table</w:t>
      </w:r>
      <w:r w:rsidRPr="001A72A4">
        <w:rPr>
          <w:rFonts w:ascii="Arial" w:hAnsi="Arial" w:cs="Arial"/>
          <w:sz w:val="24"/>
          <w:szCs w:val="24"/>
        </w:rPr>
        <w:t>.</w:t>
      </w:r>
    </w:p>
    <w:p w14:paraId="6C3D39E6" w14:textId="77777777" w:rsidR="00712085" w:rsidRDefault="00712085" w:rsidP="009D1F89">
      <w:pPr>
        <w:jc w:val="both"/>
        <w:rPr>
          <w:rFonts w:ascii="Arial" w:hAnsi="Arial" w:cs="Arial"/>
          <w:sz w:val="24"/>
          <w:szCs w:val="24"/>
        </w:rPr>
      </w:pPr>
    </w:p>
    <w:p w14:paraId="2026CED1" w14:textId="77777777" w:rsidR="009D1F89" w:rsidRDefault="009D1F89" w:rsidP="009D1F89">
      <w:pPr>
        <w:jc w:val="both"/>
        <w:rPr>
          <w:rFonts w:ascii="Arial" w:hAnsi="Arial" w:cs="Arial"/>
          <w:sz w:val="24"/>
          <w:szCs w:val="24"/>
        </w:rPr>
      </w:pPr>
    </w:p>
    <w:p w14:paraId="1A606D91" w14:textId="77777777" w:rsidR="009D1F89" w:rsidRPr="0040642D" w:rsidRDefault="009D1F89" w:rsidP="00E31757">
      <w:pPr>
        <w:jc w:val="both"/>
        <w:rPr>
          <w:rFonts w:ascii="Arial" w:hAnsi="Arial" w:cs="Arial"/>
          <w:sz w:val="24"/>
          <w:szCs w:val="24"/>
        </w:rPr>
      </w:pPr>
    </w:p>
    <w:p w14:paraId="2D423CCC" w14:textId="77777777" w:rsidR="00E31757" w:rsidRPr="0040642D" w:rsidRDefault="00E31757" w:rsidP="00E31757">
      <w:pPr>
        <w:jc w:val="both"/>
        <w:rPr>
          <w:rFonts w:ascii="Arial" w:hAnsi="Arial" w:cs="Arial"/>
          <w:sz w:val="24"/>
          <w:szCs w:val="24"/>
        </w:rPr>
      </w:pPr>
    </w:p>
    <w:sectPr w:rsidR="00E31757" w:rsidRPr="00406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EA"/>
    <w:rsid w:val="00015369"/>
    <w:rsid w:val="00030CB6"/>
    <w:rsid w:val="00050189"/>
    <w:rsid w:val="001325D5"/>
    <w:rsid w:val="001469B7"/>
    <w:rsid w:val="00184D03"/>
    <w:rsid w:val="001A05B4"/>
    <w:rsid w:val="001A6164"/>
    <w:rsid w:val="001A72A4"/>
    <w:rsid w:val="001D4B20"/>
    <w:rsid w:val="001E6FAD"/>
    <w:rsid w:val="001F0BB9"/>
    <w:rsid w:val="00226566"/>
    <w:rsid w:val="00243282"/>
    <w:rsid w:val="0026023E"/>
    <w:rsid w:val="002B5FAF"/>
    <w:rsid w:val="002F4EE1"/>
    <w:rsid w:val="00324AF6"/>
    <w:rsid w:val="00386D5A"/>
    <w:rsid w:val="003D7902"/>
    <w:rsid w:val="0040642D"/>
    <w:rsid w:val="00486B6E"/>
    <w:rsid w:val="004A4044"/>
    <w:rsid w:val="004C04A2"/>
    <w:rsid w:val="004F71F9"/>
    <w:rsid w:val="00595432"/>
    <w:rsid w:val="00641238"/>
    <w:rsid w:val="00681CD7"/>
    <w:rsid w:val="006D64BC"/>
    <w:rsid w:val="00703B05"/>
    <w:rsid w:val="00712085"/>
    <w:rsid w:val="0072580A"/>
    <w:rsid w:val="0077281E"/>
    <w:rsid w:val="00775C15"/>
    <w:rsid w:val="008023AA"/>
    <w:rsid w:val="0087643F"/>
    <w:rsid w:val="008A0D4F"/>
    <w:rsid w:val="009A3A22"/>
    <w:rsid w:val="009B364A"/>
    <w:rsid w:val="009C0AD0"/>
    <w:rsid w:val="009D1F89"/>
    <w:rsid w:val="00A51EEA"/>
    <w:rsid w:val="00AC0772"/>
    <w:rsid w:val="00AC6785"/>
    <w:rsid w:val="00B12571"/>
    <w:rsid w:val="00BA6F2F"/>
    <w:rsid w:val="00BC7C26"/>
    <w:rsid w:val="00BE745F"/>
    <w:rsid w:val="00BF7718"/>
    <w:rsid w:val="00C32072"/>
    <w:rsid w:val="00C66008"/>
    <w:rsid w:val="00C76016"/>
    <w:rsid w:val="00CA30DE"/>
    <w:rsid w:val="00CE49CB"/>
    <w:rsid w:val="00D5000B"/>
    <w:rsid w:val="00D76545"/>
    <w:rsid w:val="00D81EAD"/>
    <w:rsid w:val="00DB5207"/>
    <w:rsid w:val="00E31757"/>
    <w:rsid w:val="00E368E4"/>
    <w:rsid w:val="00E71D1F"/>
    <w:rsid w:val="00EB725C"/>
    <w:rsid w:val="00F1460F"/>
    <w:rsid w:val="00F51DE4"/>
    <w:rsid w:val="00FB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02FF6"/>
  <w15:chartTrackingRefBased/>
  <w15:docId w15:val="{B4ED256C-1601-4B5E-8CE5-FA4A5B01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E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E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E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E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E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E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E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E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E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E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389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Lou</dc:creator>
  <cp:keywords/>
  <dc:description/>
  <cp:lastModifiedBy>Jingjing Lou</cp:lastModifiedBy>
  <cp:revision>23</cp:revision>
  <dcterms:created xsi:type="dcterms:W3CDTF">2024-07-09T01:38:00Z</dcterms:created>
  <dcterms:modified xsi:type="dcterms:W3CDTF">2024-07-11T20:06:00Z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d4f0a8784f0c227c6dd36cc4d7b6ba416e3f9a56395cb1b32cf278a5d724f2db</vt:lpwstr>
  </property>
</Properties>
</file>