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00000002" w14:textId="77777777" w:rsidR="008258D4" w:rsidRDefault="008258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85BD3D9" w14:textId="77777777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1</w:t>
      </w:r>
    </w:p>
    <w:p w14:paraId="65DAF3B0" w14:textId="2CFA50D6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="00111470" w:rsidRPr="00111470">
        <w:rPr>
          <w:color w:val="000000"/>
          <w:sz w:val="24"/>
          <w:szCs w:val="24"/>
        </w:rPr>
        <w:t>Patient characteristics</w:t>
      </w:r>
    </w:p>
    <w:p w14:paraId="12DE8F09" w14:textId="77777777" w:rsidR="00111470" w:rsidRDefault="00111470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B691942" w14:textId="73D5F260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2</w:t>
      </w:r>
    </w:p>
    <w:p w14:paraId="49FADBBB" w14:textId="44425C9A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111470">
        <w:rPr>
          <w:color w:val="000000"/>
          <w:sz w:val="24"/>
          <w:szCs w:val="24"/>
        </w:rPr>
        <w:t>P-values for the cell type abundance estimates shown in Fig.1D</w:t>
      </w:r>
    </w:p>
    <w:p w14:paraId="5A6DA53E" w14:textId="77777777" w:rsidR="00111470" w:rsidRDefault="00111470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382E9CF" w14:textId="78E3EF63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3</w:t>
      </w:r>
    </w:p>
    <w:p w14:paraId="60509F3C" w14:textId="73978C00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111470">
        <w:rPr>
          <w:color w:val="000000"/>
          <w:sz w:val="24"/>
          <w:szCs w:val="24"/>
        </w:rPr>
        <w:t>Fraction of T cells CD8 with fold change and p-values</w:t>
      </w:r>
    </w:p>
    <w:p w14:paraId="3B1298F6" w14:textId="77777777" w:rsidR="00111470" w:rsidRDefault="00111470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185B5967" w14:textId="17F93868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4</w:t>
      </w:r>
    </w:p>
    <w:p w14:paraId="038183E3" w14:textId="7E10E973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111470">
        <w:rPr>
          <w:color w:val="000000"/>
          <w:sz w:val="24"/>
          <w:szCs w:val="24"/>
        </w:rPr>
        <w:t>Fraction of T regs with fold change and pvalues</w:t>
      </w:r>
    </w:p>
    <w:p w14:paraId="79D5C108" w14:textId="77777777" w:rsidR="00111470" w:rsidRDefault="00111470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AD09B84" w14:textId="4309B230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5</w:t>
      </w:r>
    </w:p>
    <w:p w14:paraId="1FEAEEB2" w14:textId="4EABDD72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111470">
        <w:rPr>
          <w:color w:val="000000"/>
          <w:sz w:val="24"/>
          <w:szCs w:val="24"/>
        </w:rPr>
        <w:t>Spatial variance analysis. Significance testing was performed using a twosided Mann-Whitney U-test with Benjamini-Hochberg multiple testing correction.</w:t>
      </w:r>
    </w:p>
    <w:p w14:paraId="04DCEF2F" w14:textId="77777777" w:rsidR="00111470" w:rsidRDefault="00111470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0DAC1E4" w14:textId="042D94CA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6</w:t>
      </w:r>
    </w:p>
    <w:p w14:paraId="034D031A" w14:textId="5A81AA02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111470">
        <w:rPr>
          <w:color w:val="000000"/>
          <w:sz w:val="24"/>
          <w:szCs w:val="24"/>
        </w:rPr>
        <w:t>Differential expression analysis between LFS and sporadic medulloblastomas. Analysis was performed with DESeq2, false discovery rate was controlled using the Benjamini-Hochberg procedure with independent hypothesis weighting.</w:t>
      </w:r>
    </w:p>
    <w:p w14:paraId="67D2E652" w14:textId="77777777" w:rsidR="00111470" w:rsidRDefault="00111470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B4DC037" w14:textId="324E50A0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7</w:t>
      </w:r>
    </w:p>
    <w:p w14:paraId="60D3D20C" w14:textId="65F344E0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111470">
        <w:rPr>
          <w:color w:val="000000"/>
          <w:sz w:val="24"/>
          <w:szCs w:val="24"/>
        </w:rPr>
        <w:t>COMMOT ligand-receptor interactions</w:t>
      </w:r>
    </w:p>
    <w:p w14:paraId="149B77C0" w14:textId="77777777" w:rsidR="00111470" w:rsidRDefault="00111470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70E6316" w14:textId="6C385184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8</w:t>
      </w:r>
    </w:p>
    <w:p w14:paraId="7DFC37BA" w14:textId="2A9457E4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111470">
        <w:rPr>
          <w:color w:val="000000"/>
          <w:sz w:val="24"/>
          <w:szCs w:val="24"/>
        </w:rPr>
        <w:t>P-values for the cell type fractions shown in Fig. 4F</w:t>
      </w:r>
    </w:p>
    <w:p w14:paraId="36FF312D" w14:textId="77777777" w:rsidR="00111470" w:rsidRDefault="00111470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EC36034" w14:textId="6D271149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9</w:t>
      </w:r>
    </w:p>
    <w:p w14:paraId="32BFAFAD" w14:textId="77BC10EB" w:rsidR="00111470" w:rsidRDefault="00111470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111470">
        <w:rPr>
          <w:color w:val="000000"/>
          <w:sz w:val="24"/>
          <w:szCs w:val="24"/>
        </w:rPr>
        <w:t>Overview of patient-derived xenografts</w:t>
      </w:r>
    </w:p>
    <w:p w14:paraId="4DB4B3A0" w14:textId="77777777" w:rsidR="0040204E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03" w14:textId="2F984AB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 w:rsidR="00111470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>1</w:t>
      </w:r>
    </w:p>
    <w:p w14:paraId="00000004" w14:textId="1892E35F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="00111470" w:rsidRPr="00111470">
        <w:rPr>
          <w:color w:val="000000"/>
          <w:sz w:val="24"/>
          <w:szCs w:val="24"/>
        </w:rPr>
        <w:t>5- minute video of DAOY cells grown in 2D monolayer assay demonstrating calcium activity with the Calbryte590 calcium indicator</w:t>
      </w:r>
      <w:r w:rsidR="00111470">
        <w:rPr>
          <w:color w:val="000000"/>
          <w:sz w:val="24"/>
          <w:szCs w:val="24"/>
        </w:rPr>
        <w:t>.</w:t>
      </w:r>
    </w:p>
    <w:p w14:paraId="00000005" w14:textId="77777777" w:rsidR="008258D4" w:rsidRDefault="008258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0659B52" w14:textId="00772CE5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>
        <w:rPr>
          <w:color w:val="000000"/>
          <w:sz w:val="24"/>
          <w:szCs w:val="24"/>
        </w:rPr>
        <w:t>S2</w:t>
      </w:r>
    </w:p>
    <w:p w14:paraId="450472DA" w14:textId="58EFA44C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111470">
        <w:rPr>
          <w:color w:val="000000"/>
          <w:sz w:val="24"/>
          <w:szCs w:val="24"/>
        </w:rPr>
        <w:t>5- minute video of DAOY cells grown in 2D monolayer assay demonstrating calcium activity with the Fluo-4 calcium indicator.</w:t>
      </w:r>
    </w:p>
    <w:p w14:paraId="0000000A" w14:textId="5D6CC244" w:rsidR="008258D4" w:rsidRDefault="008258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969315B" w14:textId="7701FB92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>
        <w:rPr>
          <w:color w:val="000000"/>
          <w:sz w:val="24"/>
          <w:szCs w:val="24"/>
        </w:rPr>
        <w:t>S3</w:t>
      </w:r>
    </w:p>
    <w:p w14:paraId="13973140" w14:textId="5E6E0BE5" w:rsidR="00111470" w:rsidRDefault="00111470" w:rsidP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111470">
        <w:rPr>
          <w:color w:val="000000"/>
          <w:sz w:val="24"/>
          <w:szCs w:val="24"/>
        </w:rPr>
        <w:t>5- minute video of DAOY cells grown in 2D monolayer assay demonstrating calcium activity with the Rhod2 calcium indicator.</w:t>
      </w:r>
    </w:p>
    <w:p w14:paraId="44E5A7F5" w14:textId="77777777" w:rsidR="00111470" w:rsidRDefault="001114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sectPr w:rsidR="00111470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111470"/>
    <w:rsid w:val="002D20C1"/>
    <w:rsid w:val="0040204E"/>
    <w:rsid w:val="008258D4"/>
    <w:rsid w:val="00B0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E5180"/>
  <w15:docId w15:val="{8CDE6561-4D31-48F1-93AD-89074DF0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1427</Characters>
  <Application>Microsoft Office Word</Application>
  <DocSecurity>0</DocSecurity>
  <Lines>11</Lines>
  <Paragraphs>3</Paragraphs>
  <ScaleCrop>false</ScaleCrop>
  <Company>Springer-SBM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Connor Cudmore</dc:creator>
  <cp:lastModifiedBy>Connor Cudmore</cp:lastModifiedBy>
  <cp:revision>3</cp:revision>
  <dcterms:created xsi:type="dcterms:W3CDTF">2024-05-07T16:02:00Z</dcterms:created>
  <dcterms:modified xsi:type="dcterms:W3CDTF">2024-10-18T14:23:00Z</dcterms:modified>
</cp:coreProperties>
</file>