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0FE9A" w14:textId="04295628" w:rsidR="00044FA3" w:rsidRDefault="00A45CAC" w:rsidP="00267A19">
      <w:pPr>
        <w:jc w:val="center"/>
        <w:rPr>
          <w:rFonts w:ascii="Arial" w:hAnsi="Arial" w:cs="Arial"/>
          <w:b/>
          <w:bCs/>
          <w:sz w:val="24"/>
          <w:szCs w:val="24"/>
        </w:rPr>
      </w:pPr>
      <w:r>
        <w:rPr>
          <w:rFonts w:ascii="Arial" w:hAnsi="Arial" w:cs="Arial"/>
          <w:b/>
          <w:bCs/>
          <w:sz w:val="24"/>
          <w:szCs w:val="24"/>
        </w:rPr>
        <w:t xml:space="preserve"> </w:t>
      </w:r>
      <w:r w:rsidR="00310081" w:rsidRPr="00F56EE8">
        <w:rPr>
          <w:rFonts w:ascii="Arial" w:hAnsi="Arial" w:cs="Arial"/>
          <w:b/>
          <w:bCs/>
          <w:sz w:val="24"/>
          <w:szCs w:val="24"/>
        </w:rPr>
        <w:t>Description of Additional Supplementary Files</w:t>
      </w:r>
    </w:p>
    <w:p w14:paraId="4054DCA4" w14:textId="77777777" w:rsidR="00BA58AF" w:rsidRDefault="00BA58AF" w:rsidP="00BA58AF">
      <w:pPr>
        <w:spacing w:after="0"/>
        <w:rPr>
          <w:rFonts w:ascii="Arial" w:hAnsi="Arial" w:cs="Arial"/>
          <w:sz w:val="24"/>
          <w:szCs w:val="24"/>
        </w:rPr>
      </w:pPr>
    </w:p>
    <w:p w14:paraId="54ADBB7F" w14:textId="77777777" w:rsidR="00BA58AF" w:rsidRDefault="00BA58AF" w:rsidP="00BA58AF">
      <w:pPr>
        <w:spacing w:after="0"/>
        <w:rPr>
          <w:rFonts w:ascii="Arial" w:hAnsi="Arial" w:cs="Arial"/>
          <w:sz w:val="24"/>
          <w:szCs w:val="24"/>
        </w:rPr>
      </w:pPr>
    </w:p>
    <w:p w14:paraId="1EB58358" w14:textId="12A16509" w:rsidR="00BA58AF" w:rsidRPr="00BA58AF" w:rsidRDefault="00BA58AF" w:rsidP="00BA58AF">
      <w:pPr>
        <w:spacing w:after="0"/>
        <w:rPr>
          <w:rFonts w:ascii="Arial" w:hAnsi="Arial" w:cs="Arial"/>
          <w:sz w:val="24"/>
          <w:szCs w:val="24"/>
        </w:rPr>
      </w:pPr>
      <w:r w:rsidRPr="00BA58AF">
        <w:rPr>
          <w:rFonts w:ascii="Arial" w:hAnsi="Arial" w:cs="Arial"/>
          <w:sz w:val="24"/>
          <w:szCs w:val="24"/>
        </w:rPr>
        <w:t>File Name: Supplementary Data 1</w:t>
      </w:r>
    </w:p>
    <w:p w14:paraId="347C9412" w14:textId="63F54873" w:rsidR="00BA58AF" w:rsidRDefault="00BA58AF" w:rsidP="00BA58AF">
      <w:pPr>
        <w:spacing w:after="0"/>
        <w:rPr>
          <w:rFonts w:ascii="Arial" w:hAnsi="Arial" w:cs="Arial"/>
          <w:sz w:val="24"/>
          <w:szCs w:val="24"/>
        </w:rPr>
      </w:pPr>
      <w:r w:rsidRPr="00BA58AF">
        <w:rPr>
          <w:rFonts w:ascii="Arial" w:hAnsi="Arial" w:cs="Arial"/>
          <w:sz w:val="24"/>
          <w:szCs w:val="24"/>
        </w:rPr>
        <w:t xml:space="preserve">Description: </w:t>
      </w:r>
      <w:r w:rsidR="00EF5965" w:rsidRPr="00EF5965">
        <w:rPr>
          <w:rFonts w:ascii="Arial" w:hAnsi="Arial" w:cs="Arial"/>
          <w:sz w:val="24"/>
          <w:szCs w:val="24"/>
        </w:rPr>
        <w:t>Summary patient statistics in FH-FMI CGDB for twenty types of cancers including advanced non-small cell lung cancer (</w:t>
      </w:r>
      <w:proofErr w:type="spellStart"/>
      <w:r w:rsidR="00EF5965" w:rsidRPr="00EF5965">
        <w:rPr>
          <w:rFonts w:ascii="Arial" w:hAnsi="Arial" w:cs="Arial"/>
          <w:sz w:val="24"/>
          <w:szCs w:val="24"/>
        </w:rPr>
        <w:t>aNSCLC</w:t>
      </w:r>
      <w:proofErr w:type="spellEnd"/>
      <w:r w:rsidR="00EF5965" w:rsidRPr="00EF5965">
        <w:rPr>
          <w:rFonts w:ascii="Arial" w:hAnsi="Arial" w:cs="Arial"/>
          <w:sz w:val="24"/>
          <w:szCs w:val="24"/>
        </w:rPr>
        <w:t>), metastatic breast cancer (</w:t>
      </w:r>
      <w:proofErr w:type="spellStart"/>
      <w:r w:rsidR="00EF5965" w:rsidRPr="00EF5965">
        <w:rPr>
          <w:rFonts w:ascii="Arial" w:hAnsi="Arial" w:cs="Arial"/>
          <w:sz w:val="24"/>
          <w:szCs w:val="24"/>
        </w:rPr>
        <w:t>mBC</w:t>
      </w:r>
      <w:proofErr w:type="spellEnd"/>
      <w:r w:rsidR="00EF5965" w:rsidRPr="00EF5965">
        <w:rPr>
          <w:rFonts w:ascii="Arial" w:hAnsi="Arial" w:cs="Arial"/>
          <w:sz w:val="24"/>
          <w:szCs w:val="24"/>
        </w:rPr>
        <w:t>), metastatic colorectal cancer (mCRC), metastatic pancreatic cancer (</w:t>
      </w:r>
      <w:proofErr w:type="spellStart"/>
      <w:r w:rsidR="00EF5965" w:rsidRPr="00EF5965">
        <w:rPr>
          <w:rFonts w:ascii="Arial" w:hAnsi="Arial" w:cs="Arial"/>
          <w:sz w:val="24"/>
          <w:szCs w:val="24"/>
        </w:rPr>
        <w:t>mPCa</w:t>
      </w:r>
      <w:proofErr w:type="spellEnd"/>
      <w:r w:rsidR="00EF5965" w:rsidRPr="00EF5965">
        <w:rPr>
          <w:rFonts w:ascii="Arial" w:hAnsi="Arial" w:cs="Arial"/>
          <w:sz w:val="24"/>
          <w:szCs w:val="24"/>
        </w:rPr>
        <w:t>),  ovarian cancer (OC), metastatic prostate cancer (PC), gastric cancer (GC), advanced melanoma (</w:t>
      </w:r>
      <w:proofErr w:type="spellStart"/>
      <w:r w:rsidR="00EF5965" w:rsidRPr="00EF5965">
        <w:rPr>
          <w:rFonts w:ascii="Arial" w:hAnsi="Arial" w:cs="Arial"/>
          <w:sz w:val="24"/>
          <w:szCs w:val="24"/>
        </w:rPr>
        <w:t>aMel</w:t>
      </w:r>
      <w:proofErr w:type="spellEnd"/>
      <w:r w:rsidR="00EF5965" w:rsidRPr="00EF5965">
        <w:rPr>
          <w:rFonts w:ascii="Arial" w:hAnsi="Arial" w:cs="Arial"/>
          <w:sz w:val="24"/>
          <w:szCs w:val="24"/>
        </w:rPr>
        <w:t>), advanced bladder cancer (</w:t>
      </w:r>
      <w:proofErr w:type="spellStart"/>
      <w:r w:rsidR="00EF5965" w:rsidRPr="00EF5965">
        <w:rPr>
          <w:rFonts w:ascii="Arial" w:hAnsi="Arial" w:cs="Arial"/>
          <w:sz w:val="24"/>
          <w:szCs w:val="24"/>
        </w:rPr>
        <w:t>aBCa</w:t>
      </w:r>
      <w:proofErr w:type="spellEnd"/>
      <w:r w:rsidR="00EF5965" w:rsidRPr="00EF5965">
        <w:rPr>
          <w:rFonts w:ascii="Arial" w:hAnsi="Arial" w:cs="Arial"/>
          <w:sz w:val="24"/>
          <w:szCs w:val="24"/>
        </w:rPr>
        <w:t>), endometrial carcinoma (EC), metastatic renal cell carcinoma (</w:t>
      </w:r>
      <w:proofErr w:type="spellStart"/>
      <w:r w:rsidR="00EF5965" w:rsidRPr="00EF5965">
        <w:rPr>
          <w:rFonts w:ascii="Arial" w:hAnsi="Arial" w:cs="Arial"/>
          <w:sz w:val="24"/>
          <w:szCs w:val="24"/>
        </w:rPr>
        <w:t>mRCC</w:t>
      </w:r>
      <w:proofErr w:type="spellEnd"/>
      <w:r w:rsidR="00EF5965" w:rsidRPr="00EF5965">
        <w:rPr>
          <w:rFonts w:ascii="Arial" w:hAnsi="Arial" w:cs="Arial"/>
          <w:sz w:val="24"/>
          <w:szCs w:val="24"/>
        </w:rPr>
        <w:t>), head and neck cancer (HNC), small-cell lung cancer (SCLC), multiple myeloma (MM), acute myeloid leukemia (AML), hepatocellular carcinoma (HCC), diffuse large B cell lymphoma (DLBCL), chronic lymphocytic leukemia (CLL), follicular lymphoma (FL), and mantle cell lymphoma (MCL).  IQR: interquartile range; ECOG: Eastern Cooperative Oncology Group.</w:t>
      </w:r>
    </w:p>
    <w:p w14:paraId="26B502F1" w14:textId="77777777" w:rsidR="003E681B" w:rsidRPr="00BA58AF" w:rsidRDefault="003E681B" w:rsidP="00BA58AF">
      <w:pPr>
        <w:spacing w:after="0"/>
        <w:rPr>
          <w:rFonts w:ascii="Arial" w:hAnsi="Arial" w:cs="Arial"/>
          <w:sz w:val="24"/>
          <w:szCs w:val="24"/>
        </w:rPr>
      </w:pPr>
    </w:p>
    <w:p w14:paraId="53E94436" w14:textId="70B0EC03"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2</w:t>
      </w:r>
    </w:p>
    <w:p w14:paraId="2A494CDC" w14:textId="2163E59F" w:rsidR="00BA58AF" w:rsidRDefault="00EF5965" w:rsidP="00EF5965">
      <w:pPr>
        <w:spacing w:after="0"/>
        <w:rPr>
          <w:rFonts w:ascii="Arial" w:hAnsi="Arial" w:cs="Arial"/>
          <w:sz w:val="24"/>
          <w:szCs w:val="24"/>
        </w:rPr>
      </w:pPr>
      <w:r w:rsidRPr="00BA58AF">
        <w:rPr>
          <w:rFonts w:ascii="Arial" w:hAnsi="Arial" w:cs="Arial"/>
          <w:sz w:val="24"/>
          <w:szCs w:val="24"/>
        </w:rPr>
        <w:t>Description:</w:t>
      </w:r>
      <w:r w:rsidR="00D24E04">
        <w:rPr>
          <w:rFonts w:ascii="Arial" w:hAnsi="Arial" w:cs="Arial"/>
          <w:sz w:val="24"/>
          <w:szCs w:val="24"/>
        </w:rPr>
        <w:t xml:space="preserve"> </w:t>
      </w:r>
      <w:r w:rsidR="00D24E04" w:rsidRPr="00D24E04">
        <w:rPr>
          <w:rFonts w:ascii="Arial" w:hAnsi="Arial" w:cs="Arial"/>
          <w:sz w:val="24"/>
          <w:szCs w:val="24"/>
        </w:rPr>
        <w:t>Distribution of mutation subtypes across different cancer types for each of the 95 significant prognostic genes.</w:t>
      </w:r>
    </w:p>
    <w:p w14:paraId="6D94D2FF" w14:textId="77777777" w:rsidR="00EF5965" w:rsidRDefault="00EF5965" w:rsidP="00EF5965">
      <w:pPr>
        <w:spacing w:after="0"/>
        <w:rPr>
          <w:rFonts w:ascii="Arial" w:hAnsi="Arial" w:cs="Arial"/>
          <w:sz w:val="24"/>
          <w:szCs w:val="24"/>
        </w:rPr>
      </w:pPr>
    </w:p>
    <w:p w14:paraId="2E412355" w14:textId="77777777" w:rsidR="00EF5965" w:rsidRDefault="00EF5965" w:rsidP="00EF5965">
      <w:pPr>
        <w:spacing w:after="0"/>
        <w:rPr>
          <w:rFonts w:ascii="Arial" w:hAnsi="Arial" w:cs="Arial"/>
          <w:sz w:val="24"/>
          <w:szCs w:val="24"/>
        </w:rPr>
      </w:pPr>
    </w:p>
    <w:p w14:paraId="31EFC399" w14:textId="1AF5C4C9"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3</w:t>
      </w:r>
    </w:p>
    <w:p w14:paraId="562FA131" w14:textId="30EBD9C1" w:rsidR="00EF5965" w:rsidRPr="00BA58AF" w:rsidRDefault="00EF5965" w:rsidP="00EF5965">
      <w:pPr>
        <w:spacing w:after="0"/>
        <w:rPr>
          <w:rFonts w:ascii="Arial" w:hAnsi="Arial" w:cs="Arial"/>
          <w:sz w:val="24"/>
          <w:szCs w:val="24"/>
        </w:rPr>
      </w:pPr>
      <w:r w:rsidRPr="00BA58AF">
        <w:rPr>
          <w:rFonts w:ascii="Arial" w:hAnsi="Arial" w:cs="Arial"/>
          <w:sz w:val="24"/>
          <w:szCs w:val="24"/>
        </w:rPr>
        <w:t>Description:</w:t>
      </w:r>
      <w:r w:rsidR="00D24E04">
        <w:rPr>
          <w:rFonts w:ascii="Arial" w:hAnsi="Arial" w:cs="Arial"/>
          <w:sz w:val="24"/>
          <w:szCs w:val="24"/>
        </w:rPr>
        <w:t xml:space="preserve"> </w:t>
      </w:r>
      <w:r w:rsidR="00D24E04" w:rsidRPr="00D24E04">
        <w:rPr>
          <w:rFonts w:ascii="Arial" w:hAnsi="Arial" w:cs="Arial"/>
          <w:sz w:val="24"/>
          <w:szCs w:val="24"/>
        </w:rPr>
        <w:t xml:space="preserve">Overall survival association with predictive genes based on first-line therapies received.  The analysis is done on the selected 95 prognostic genes; results for all 541 genes are attached in Supplementary Data. </w:t>
      </w:r>
      <w:proofErr w:type="gramStart"/>
      <w:r w:rsidR="00D24E04" w:rsidRPr="00D24E04">
        <w:rPr>
          <w:rFonts w:ascii="Arial" w:hAnsi="Arial" w:cs="Arial"/>
          <w:sz w:val="24"/>
          <w:szCs w:val="24"/>
        </w:rPr>
        <w:t>All of</w:t>
      </w:r>
      <w:proofErr w:type="gramEnd"/>
      <w:r w:rsidR="00D24E04" w:rsidRPr="00D24E04">
        <w:rPr>
          <w:rFonts w:ascii="Arial" w:hAnsi="Arial" w:cs="Arial"/>
          <w:sz w:val="24"/>
          <w:szCs w:val="24"/>
        </w:rPr>
        <w:t xml:space="preserve"> the drug-gene interactions with two-sided Wald test p value &lt; 0.05 with at least 200 patients in the treatment group and at least 20 patients with the gene mutated in the treatment group are reported. Overall survival is measured from the start date of the first-line treatment to death. N - given drug: all the patients who took the treatment and have that mutation. Interaction: exp(</w:t>
      </w:r>
      <w:proofErr w:type="spellStart"/>
      <w:r w:rsidR="00D24E04" w:rsidRPr="00D24E04">
        <w:rPr>
          <w:rFonts w:ascii="Arial" w:hAnsi="Arial" w:cs="Arial"/>
          <w:sz w:val="24"/>
          <w:szCs w:val="24"/>
        </w:rPr>
        <w:t>coef</w:t>
      </w:r>
      <w:proofErr w:type="spellEnd"/>
      <w:r w:rsidR="00D24E04" w:rsidRPr="00D24E04">
        <w:rPr>
          <w:rFonts w:ascii="Arial" w:hAnsi="Arial" w:cs="Arial"/>
          <w:sz w:val="24"/>
          <w:szCs w:val="24"/>
        </w:rPr>
        <w:t>) for the drug-treatment interaction term in the Cox model, adjusted by patient confounders. Mutation status of other genes is not used in this model. HR for gene mutation: for all patients with a given gene mutation, OS HR for patients who received that treatment as first-line therapy versus patients who did not take that treatment as first-line therapy. HR for absence of gene mutation: for all patients without mutations in the gene of interest, OS HR for patients who received that treatment as first-line therapy versus patients who did not take that treatment as first-line therapy. HR given drug: for all patients who received the specific first-line treatment, HR for patients with gene mutation versus patients without the gene mutation. HR given other drugs: for all patients who received other treatments as first-line therapy, HR for patients with gene mutation versus patients without the gene mutation. We used IPTW to control for baseline confounders in all the HR estimations. The 95% confidence intervals are shown in parentheses.</w:t>
      </w:r>
    </w:p>
    <w:p w14:paraId="43F8916C" w14:textId="77777777" w:rsidR="00EF5965" w:rsidRDefault="00EF5965" w:rsidP="00EF5965">
      <w:pPr>
        <w:spacing w:after="0"/>
        <w:rPr>
          <w:rFonts w:ascii="Arial" w:hAnsi="Arial" w:cs="Arial"/>
          <w:sz w:val="24"/>
          <w:szCs w:val="24"/>
        </w:rPr>
      </w:pPr>
    </w:p>
    <w:p w14:paraId="67EEF9A0" w14:textId="77777777" w:rsidR="00EF5965" w:rsidRDefault="00EF5965" w:rsidP="00EF5965">
      <w:pPr>
        <w:spacing w:after="0"/>
        <w:rPr>
          <w:rFonts w:ascii="Arial" w:hAnsi="Arial" w:cs="Arial"/>
          <w:sz w:val="24"/>
          <w:szCs w:val="24"/>
        </w:rPr>
      </w:pPr>
    </w:p>
    <w:p w14:paraId="0C856E50" w14:textId="3102FF97"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4</w:t>
      </w:r>
    </w:p>
    <w:p w14:paraId="75E5A6E9" w14:textId="064EF6AF" w:rsidR="00EF5965" w:rsidRPr="00BA58AF" w:rsidRDefault="00EF5965" w:rsidP="00EF5965">
      <w:pPr>
        <w:spacing w:after="0"/>
        <w:rPr>
          <w:rFonts w:ascii="Arial" w:hAnsi="Arial" w:cs="Arial"/>
          <w:sz w:val="24"/>
          <w:szCs w:val="24"/>
        </w:rPr>
      </w:pPr>
      <w:r w:rsidRPr="00BA58AF">
        <w:rPr>
          <w:rFonts w:ascii="Arial" w:hAnsi="Arial" w:cs="Arial"/>
          <w:sz w:val="24"/>
          <w:szCs w:val="24"/>
        </w:rPr>
        <w:t>Description:</w:t>
      </w:r>
      <w:r w:rsidR="00D24E04">
        <w:rPr>
          <w:rFonts w:ascii="Arial" w:hAnsi="Arial" w:cs="Arial"/>
          <w:sz w:val="24"/>
          <w:szCs w:val="24"/>
        </w:rPr>
        <w:t xml:space="preserve"> </w:t>
      </w:r>
      <w:r w:rsidR="00D24E04" w:rsidRPr="00D24E04">
        <w:rPr>
          <w:rFonts w:ascii="Arial" w:hAnsi="Arial" w:cs="Arial"/>
          <w:sz w:val="24"/>
          <w:szCs w:val="24"/>
        </w:rPr>
        <w:t>Significant gene-treatment interactions for known and likely pathogenic mutations for the 95 prognostic genes. TMB is added as an additional confounding covariate.</w:t>
      </w:r>
    </w:p>
    <w:p w14:paraId="3EB6F944" w14:textId="77777777" w:rsidR="00EF5965" w:rsidRDefault="00EF5965" w:rsidP="00EF5965">
      <w:pPr>
        <w:spacing w:after="0"/>
        <w:rPr>
          <w:rFonts w:ascii="Arial" w:hAnsi="Arial" w:cs="Arial"/>
          <w:sz w:val="24"/>
          <w:szCs w:val="24"/>
        </w:rPr>
      </w:pPr>
    </w:p>
    <w:p w14:paraId="0D6E42C2" w14:textId="77777777" w:rsidR="00EF5965" w:rsidRDefault="00EF5965" w:rsidP="00EF5965">
      <w:pPr>
        <w:spacing w:after="0"/>
        <w:rPr>
          <w:rFonts w:ascii="Arial" w:hAnsi="Arial" w:cs="Arial"/>
          <w:sz w:val="24"/>
          <w:szCs w:val="24"/>
        </w:rPr>
      </w:pPr>
    </w:p>
    <w:p w14:paraId="525C197F" w14:textId="2B5A0324"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5</w:t>
      </w:r>
    </w:p>
    <w:p w14:paraId="324B03DD" w14:textId="1A3C1D61" w:rsidR="00EF5965" w:rsidRPr="00BA58AF" w:rsidRDefault="00EF5965" w:rsidP="00EF5965">
      <w:pPr>
        <w:spacing w:after="0"/>
        <w:rPr>
          <w:rFonts w:ascii="Arial" w:hAnsi="Arial" w:cs="Arial"/>
          <w:sz w:val="24"/>
          <w:szCs w:val="24"/>
        </w:rPr>
      </w:pPr>
      <w:r w:rsidRPr="00BA58AF">
        <w:rPr>
          <w:rFonts w:ascii="Arial" w:hAnsi="Arial" w:cs="Arial"/>
          <w:sz w:val="24"/>
          <w:szCs w:val="24"/>
        </w:rPr>
        <w:t>Description:</w:t>
      </w:r>
      <w:r w:rsidR="00450EEC">
        <w:rPr>
          <w:rFonts w:ascii="Arial" w:hAnsi="Arial" w:cs="Arial"/>
          <w:sz w:val="24"/>
          <w:szCs w:val="24"/>
        </w:rPr>
        <w:t xml:space="preserve"> </w:t>
      </w:r>
      <w:r w:rsidR="00450EEC" w:rsidRPr="00450EEC">
        <w:rPr>
          <w:rFonts w:ascii="Arial" w:hAnsi="Arial" w:cs="Arial"/>
          <w:sz w:val="24"/>
          <w:szCs w:val="24"/>
        </w:rPr>
        <w:t>Gene pathways and corresponding genes in each pathway.</w:t>
      </w:r>
    </w:p>
    <w:p w14:paraId="5C7D6A19" w14:textId="77777777" w:rsidR="00EF5965" w:rsidRDefault="00EF5965" w:rsidP="00EF5965">
      <w:pPr>
        <w:spacing w:after="0"/>
        <w:rPr>
          <w:rFonts w:ascii="Arial" w:hAnsi="Arial" w:cs="Arial"/>
          <w:sz w:val="24"/>
          <w:szCs w:val="24"/>
        </w:rPr>
      </w:pPr>
    </w:p>
    <w:p w14:paraId="68DC2E5B" w14:textId="77777777" w:rsidR="00EF5965" w:rsidRDefault="00EF5965" w:rsidP="00EF5965">
      <w:pPr>
        <w:spacing w:after="0"/>
        <w:rPr>
          <w:rFonts w:ascii="Arial" w:hAnsi="Arial" w:cs="Arial"/>
          <w:sz w:val="24"/>
          <w:szCs w:val="24"/>
        </w:rPr>
      </w:pPr>
    </w:p>
    <w:p w14:paraId="7A359EA7" w14:textId="6163847B"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6</w:t>
      </w:r>
    </w:p>
    <w:p w14:paraId="76145DA8" w14:textId="4F9E0CC8" w:rsidR="00EF5965" w:rsidRPr="00BA58AF" w:rsidRDefault="00EF5965" w:rsidP="00EF5965">
      <w:pPr>
        <w:spacing w:after="0"/>
        <w:rPr>
          <w:rFonts w:ascii="Arial" w:hAnsi="Arial" w:cs="Arial"/>
          <w:sz w:val="24"/>
          <w:szCs w:val="24"/>
        </w:rPr>
      </w:pPr>
      <w:r w:rsidRPr="00BA58AF">
        <w:rPr>
          <w:rFonts w:ascii="Arial" w:hAnsi="Arial" w:cs="Arial"/>
          <w:sz w:val="24"/>
          <w:szCs w:val="24"/>
        </w:rPr>
        <w:t>Description:</w:t>
      </w:r>
      <w:r w:rsidR="00450EEC">
        <w:rPr>
          <w:rFonts w:ascii="Arial" w:hAnsi="Arial" w:cs="Arial"/>
          <w:sz w:val="24"/>
          <w:szCs w:val="24"/>
        </w:rPr>
        <w:t xml:space="preserve"> </w:t>
      </w:r>
      <w:r w:rsidR="00450EEC" w:rsidRPr="00450EEC">
        <w:rPr>
          <w:rFonts w:ascii="Arial" w:hAnsi="Arial" w:cs="Arial"/>
          <w:sz w:val="24"/>
          <w:szCs w:val="24"/>
        </w:rPr>
        <w:t xml:space="preserve">Overall survival association with predictive pathways based on first-line therapies received. </w:t>
      </w:r>
      <w:proofErr w:type="gramStart"/>
      <w:r w:rsidR="00450EEC" w:rsidRPr="00450EEC">
        <w:rPr>
          <w:rFonts w:ascii="Arial" w:hAnsi="Arial" w:cs="Arial"/>
          <w:sz w:val="24"/>
          <w:szCs w:val="24"/>
        </w:rPr>
        <w:t>All of</w:t>
      </w:r>
      <w:proofErr w:type="gramEnd"/>
      <w:r w:rsidR="00450EEC" w:rsidRPr="00450EEC">
        <w:rPr>
          <w:rFonts w:ascii="Arial" w:hAnsi="Arial" w:cs="Arial"/>
          <w:sz w:val="24"/>
          <w:szCs w:val="24"/>
        </w:rPr>
        <w:t xml:space="preserve"> the drug-pathway interactions with two-sided Wald test p value &lt; 0.05, with at least </w:t>
      </w:r>
      <w:r w:rsidR="00450EEC" w:rsidRPr="00450EEC">
        <w:rPr>
          <w:rFonts w:ascii="Arial" w:hAnsi="Arial" w:cs="Arial"/>
          <w:sz w:val="24"/>
          <w:szCs w:val="24"/>
        </w:rPr>
        <w:lastRenderedPageBreak/>
        <w:t>200 patients in the treatment group and at least 20 patients with the gene of the pathway mutated in the treatment group are reported. Overall survival is measured from the start date of the first-line treatment to death. N - given drug: all the patients who took the treatment and have that mutation. Interaction: exp(</w:t>
      </w:r>
      <w:proofErr w:type="spellStart"/>
      <w:r w:rsidR="00450EEC" w:rsidRPr="00450EEC">
        <w:rPr>
          <w:rFonts w:ascii="Arial" w:hAnsi="Arial" w:cs="Arial"/>
          <w:sz w:val="24"/>
          <w:szCs w:val="24"/>
        </w:rPr>
        <w:t>coef</w:t>
      </w:r>
      <w:proofErr w:type="spellEnd"/>
      <w:r w:rsidR="00450EEC" w:rsidRPr="00450EEC">
        <w:rPr>
          <w:rFonts w:ascii="Arial" w:hAnsi="Arial" w:cs="Arial"/>
          <w:sz w:val="24"/>
          <w:szCs w:val="24"/>
        </w:rPr>
        <w:t>) for the pathway-treatment interaction term in the Cox model, adjusted by patient confounders. Mutation status of other pathways is not used in this model. HR for mutation in pathway: for all patients with a given pathway mutation, OS HR for patients who received that treatment as first-line therapy versus patients who did not take that treatment as first-line therapy. HR for absence of mutation in pathway: for all patients without mutations in the pathway of interest, OS HR for patients who received that treatment as first-line therapy versus patients who did not take that treatment as first-line therapy. HR given drug: for all patients who received the specific first-line treatment, HR for patients with pathway mutation versus patients without pathway mutation. HR given other drugs: for all patients who received other treatments as first-line therapy, HR for patients with pathway mutation versus patients without pathway mutation. We used IPTW to control for baseline confounders in all the HR estimations. The 95% confidence intervals are shown in parentheses.</w:t>
      </w:r>
    </w:p>
    <w:p w14:paraId="19375146" w14:textId="77777777" w:rsidR="00EF5965" w:rsidRDefault="00EF5965" w:rsidP="00EF5965">
      <w:pPr>
        <w:spacing w:after="0"/>
        <w:rPr>
          <w:rFonts w:ascii="Arial" w:hAnsi="Arial" w:cs="Arial"/>
          <w:sz w:val="24"/>
          <w:szCs w:val="24"/>
        </w:rPr>
      </w:pPr>
    </w:p>
    <w:p w14:paraId="43C9B33C" w14:textId="77777777" w:rsidR="00EF5965" w:rsidRDefault="00EF5965" w:rsidP="00EF5965">
      <w:pPr>
        <w:spacing w:after="0"/>
        <w:rPr>
          <w:rFonts w:ascii="Arial" w:hAnsi="Arial" w:cs="Arial"/>
          <w:sz w:val="24"/>
          <w:szCs w:val="24"/>
        </w:rPr>
      </w:pPr>
    </w:p>
    <w:p w14:paraId="66FFC5A6" w14:textId="07E3F9EA" w:rsidR="00EF5965" w:rsidRPr="00BA58AF" w:rsidRDefault="00EF5965" w:rsidP="00EF5965">
      <w:pPr>
        <w:spacing w:after="0"/>
        <w:rPr>
          <w:rFonts w:ascii="Arial" w:hAnsi="Arial" w:cs="Arial"/>
          <w:sz w:val="24"/>
          <w:szCs w:val="24"/>
        </w:rPr>
      </w:pPr>
      <w:r w:rsidRPr="00BA58AF">
        <w:rPr>
          <w:rFonts w:ascii="Arial" w:hAnsi="Arial" w:cs="Arial"/>
          <w:sz w:val="24"/>
          <w:szCs w:val="24"/>
        </w:rPr>
        <w:t xml:space="preserve">File Name: Supplementary Data </w:t>
      </w:r>
      <w:r>
        <w:rPr>
          <w:rFonts w:ascii="Arial" w:hAnsi="Arial" w:cs="Arial"/>
          <w:sz w:val="24"/>
          <w:szCs w:val="24"/>
        </w:rPr>
        <w:t>7</w:t>
      </w:r>
    </w:p>
    <w:p w14:paraId="7D4E5209" w14:textId="7C31ED7B" w:rsidR="00EF5965" w:rsidRPr="00BA58AF" w:rsidRDefault="00EF5965" w:rsidP="00EF5965">
      <w:pPr>
        <w:spacing w:after="0"/>
        <w:rPr>
          <w:rFonts w:ascii="Arial" w:hAnsi="Arial" w:cs="Arial"/>
          <w:sz w:val="24"/>
          <w:szCs w:val="24"/>
        </w:rPr>
      </w:pPr>
      <w:r w:rsidRPr="00BA58AF">
        <w:rPr>
          <w:rFonts w:ascii="Arial" w:hAnsi="Arial" w:cs="Arial"/>
          <w:sz w:val="24"/>
          <w:szCs w:val="24"/>
        </w:rPr>
        <w:t>Description:</w:t>
      </w:r>
      <w:r w:rsidR="00450EEC">
        <w:rPr>
          <w:rFonts w:ascii="Arial" w:hAnsi="Arial" w:cs="Arial"/>
          <w:sz w:val="24"/>
          <w:szCs w:val="24"/>
        </w:rPr>
        <w:t xml:space="preserve"> </w:t>
      </w:r>
      <w:r w:rsidR="00450EEC" w:rsidRPr="00450EEC">
        <w:rPr>
          <w:rFonts w:ascii="Arial" w:hAnsi="Arial" w:cs="Arial"/>
          <w:sz w:val="24"/>
          <w:szCs w:val="24"/>
        </w:rPr>
        <w:t>Significant pathway-treatment interactions for pathways with known and likely pathogenic mutations. TMB is added as an additional confounding covariate.</w:t>
      </w:r>
    </w:p>
    <w:p w14:paraId="5EEA8BBD" w14:textId="77777777" w:rsidR="00EF5965" w:rsidRPr="00BA58AF" w:rsidRDefault="00EF5965" w:rsidP="00EF5965">
      <w:pPr>
        <w:spacing w:after="0"/>
        <w:rPr>
          <w:rFonts w:ascii="Arial" w:hAnsi="Arial" w:cs="Arial"/>
          <w:sz w:val="24"/>
          <w:szCs w:val="24"/>
        </w:rPr>
      </w:pPr>
    </w:p>
    <w:p w14:paraId="4F28F6D5" w14:textId="4850EF33" w:rsidR="008D1E3A" w:rsidRPr="00BA58AF" w:rsidRDefault="008D1E3A" w:rsidP="00BA58AF">
      <w:pPr>
        <w:spacing w:after="0"/>
        <w:rPr>
          <w:rFonts w:ascii="Arial" w:hAnsi="Arial" w:cs="Arial"/>
          <w:sz w:val="24"/>
          <w:szCs w:val="24"/>
        </w:rPr>
      </w:pPr>
    </w:p>
    <w:sectPr w:rsidR="008D1E3A" w:rsidRPr="00BA58AF" w:rsidSect="00BA58AF">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D62B8" w14:textId="77777777" w:rsidR="001861DE" w:rsidRDefault="001861DE" w:rsidP="003D5840">
      <w:pPr>
        <w:spacing w:after="0" w:line="240" w:lineRule="auto"/>
      </w:pPr>
      <w:r>
        <w:separator/>
      </w:r>
    </w:p>
  </w:endnote>
  <w:endnote w:type="continuationSeparator" w:id="0">
    <w:p w14:paraId="5F93D7C4" w14:textId="77777777" w:rsidR="001861DE" w:rsidRDefault="001861DE" w:rsidP="003D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955E" w14:textId="77777777" w:rsidR="001861DE" w:rsidRDefault="001861DE" w:rsidP="003D5840">
      <w:pPr>
        <w:spacing w:after="0" w:line="240" w:lineRule="auto"/>
      </w:pPr>
      <w:r>
        <w:separator/>
      </w:r>
    </w:p>
  </w:footnote>
  <w:footnote w:type="continuationSeparator" w:id="0">
    <w:p w14:paraId="09F070B0" w14:textId="77777777" w:rsidR="001861DE" w:rsidRDefault="001861DE" w:rsidP="003D58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081"/>
    <w:rsid w:val="00012F56"/>
    <w:rsid w:val="000142FF"/>
    <w:rsid w:val="0003452E"/>
    <w:rsid w:val="00044FA3"/>
    <w:rsid w:val="00056F70"/>
    <w:rsid w:val="000700CD"/>
    <w:rsid w:val="00076385"/>
    <w:rsid w:val="0008314D"/>
    <w:rsid w:val="0009238B"/>
    <w:rsid w:val="00094D13"/>
    <w:rsid w:val="00097825"/>
    <w:rsid w:val="000A0BAF"/>
    <w:rsid w:val="000C252D"/>
    <w:rsid w:val="000C4383"/>
    <w:rsid w:val="000D1047"/>
    <w:rsid w:val="000F4A00"/>
    <w:rsid w:val="000F4B01"/>
    <w:rsid w:val="000F7C98"/>
    <w:rsid w:val="0010325A"/>
    <w:rsid w:val="0010644E"/>
    <w:rsid w:val="00110E85"/>
    <w:rsid w:val="0013014A"/>
    <w:rsid w:val="001318EC"/>
    <w:rsid w:val="00142D89"/>
    <w:rsid w:val="00145FBD"/>
    <w:rsid w:val="00173FDA"/>
    <w:rsid w:val="00181150"/>
    <w:rsid w:val="00181B29"/>
    <w:rsid w:val="00182BCE"/>
    <w:rsid w:val="001861DE"/>
    <w:rsid w:val="0019125B"/>
    <w:rsid w:val="00194463"/>
    <w:rsid w:val="00195BA6"/>
    <w:rsid w:val="00195C5E"/>
    <w:rsid w:val="00197CF0"/>
    <w:rsid w:val="001A007A"/>
    <w:rsid w:val="001B2AF7"/>
    <w:rsid w:val="001B3106"/>
    <w:rsid w:val="001B54CF"/>
    <w:rsid w:val="001D7401"/>
    <w:rsid w:val="001E06C9"/>
    <w:rsid w:val="001F17A5"/>
    <w:rsid w:val="002021C5"/>
    <w:rsid w:val="0020479F"/>
    <w:rsid w:val="00224FC6"/>
    <w:rsid w:val="002271AE"/>
    <w:rsid w:val="00233921"/>
    <w:rsid w:val="00234C99"/>
    <w:rsid w:val="0024623C"/>
    <w:rsid w:val="00250972"/>
    <w:rsid w:val="00251013"/>
    <w:rsid w:val="00260EB4"/>
    <w:rsid w:val="00266C3D"/>
    <w:rsid w:val="00267A19"/>
    <w:rsid w:val="00281C61"/>
    <w:rsid w:val="002869D8"/>
    <w:rsid w:val="002943ED"/>
    <w:rsid w:val="002A00C0"/>
    <w:rsid w:val="002B4E45"/>
    <w:rsid w:val="002C5620"/>
    <w:rsid w:val="002C64D9"/>
    <w:rsid w:val="002C6A67"/>
    <w:rsid w:val="002E2D6E"/>
    <w:rsid w:val="002E32ED"/>
    <w:rsid w:val="002F4AF6"/>
    <w:rsid w:val="00304019"/>
    <w:rsid w:val="00310081"/>
    <w:rsid w:val="003167EF"/>
    <w:rsid w:val="003275D4"/>
    <w:rsid w:val="003342E5"/>
    <w:rsid w:val="0033788A"/>
    <w:rsid w:val="00337CAF"/>
    <w:rsid w:val="00341025"/>
    <w:rsid w:val="0034672F"/>
    <w:rsid w:val="00360E57"/>
    <w:rsid w:val="00364F8C"/>
    <w:rsid w:val="0037330F"/>
    <w:rsid w:val="003800BE"/>
    <w:rsid w:val="003853B3"/>
    <w:rsid w:val="00386CBA"/>
    <w:rsid w:val="00396BD5"/>
    <w:rsid w:val="003B543D"/>
    <w:rsid w:val="003C58B7"/>
    <w:rsid w:val="003D5840"/>
    <w:rsid w:val="003E03C5"/>
    <w:rsid w:val="003E681B"/>
    <w:rsid w:val="003F470A"/>
    <w:rsid w:val="00405725"/>
    <w:rsid w:val="0041053C"/>
    <w:rsid w:val="004105DA"/>
    <w:rsid w:val="00425634"/>
    <w:rsid w:val="00440851"/>
    <w:rsid w:val="00445C8A"/>
    <w:rsid w:val="00450EEC"/>
    <w:rsid w:val="00454DB8"/>
    <w:rsid w:val="004645CB"/>
    <w:rsid w:val="00473929"/>
    <w:rsid w:val="00482931"/>
    <w:rsid w:val="00483F90"/>
    <w:rsid w:val="00486663"/>
    <w:rsid w:val="00495B23"/>
    <w:rsid w:val="00496C25"/>
    <w:rsid w:val="004B56B3"/>
    <w:rsid w:val="004B608C"/>
    <w:rsid w:val="004B65D5"/>
    <w:rsid w:val="004C05C7"/>
    <w:rsid w:val="004D5B8A"/>
    <w:rsid w:val="004E240A"/>
    <w:rsid w:val="005105A0"/>
    <w:rsid w:val="0051636E"/>
    <w:rsid w:val="0052342A"/>
    <w:rsid w:val="0052750B"/>
    <w:rsid w:val="00540CE8"/>
    <w:rsid w:val="005412BC"/>
    <w:rsid w:val="00542B83"/>
    <w:rsid w:val="00556CF6"/>
    <w:rsid w:val="00570F0A"/>
    <w:rsid w:val="0057397B"/>
    <w:rsid w:val="005A1D5B"/>
    <w:rsid w:val="005B41E4"/>
    <w:rsid w:val="005B5D7F"/>
    <w:rsid w:val="005B66CF"/>
    <w:rsid w:val="005C1CC4"/>
    <w:rsid w:val="005C539E"/>
    <w:rsid w:val="005C6606"/>
    <w:rsid w:val="005F0E72"/>
    <w:rsid w:val="005F1C5C"/>
    <w:rsid w:val="00604501"/>
    <w:rsid w:val="00607FBA"/>
    <w:rsid w:val="00612983"/>
    <w:rsid w:val="00620618"/>
    <w:rsid w:val="00627EA8"/>
    <w:rsid w:val="00631C92"/>
    <w:rsid w:val="00636F38"/>
    <w:rsid w:val="006451C4"/>
    <w:rsid w:val="0065698A"/>
    <w:rsid w:val="00690213"/>
    <w:rsid w:val="006C361E"/>
    <w:rsid w:val="006D1B3E"/>
    <w:rsid w:val="006E0A1E"/>
    <w:rsid w:val="0070093D"/>
    <w:rsid w:val="00704DCF"/>
    <w:rsid w:val="00716D2E"/>
    <w:rsid w:val="00735DEE"/>
    <w:rsid w:val="00735F07"/>
    <w:rsid w:val="00741186"/>
    <w:rsid w:val="00767067"/>
    <w:rsid w:val="00780D93"/>
    <w:rsid w:val="0079138B"/>
    <w:rsid w:val="00791ABA"/>
    <w:rsid w:val="00792421"/>
    <w:rsid w:val="00797B36"/>
    <w:rsid w:val="00797E16"/>
    <w:rsid w:val="007B4301"/>
    <w:rsid w:val="007C1D69"/>
    <w:rsid w:val="007F748C"/>
    <w:rsid w:val="00803FF5"/>
    <w:rsid w:val="00817F71"/>
    <w:rsid w:val="008214FE"/>
    <w:rsid w:val="008232D6"/>
    <w:rsid w:val="00826DCC"/>
    <w:rsid w:val="0084175B"/>
    <w:rsid w:val="00843473"/>
    <w:rsid w:val="00843686"/>
    <w:rsid w:val="0085114A"/>
    <w:rsid w:val="00856937"/>
    <w:rsid w:val="00873550"/>
    <w:rsid w:val="008820E6"/>
    <w:rsid w:val="00884A44"/>
    <w:rsid w:val="008933CE"/>
    <w:rsid w:val="00897BED"/>
    <w:rsid w:val="008A1F9F"/>
    <w:rsid w:val="008B18C5"/>
    <w:rsid w:val="008C1478"/>
    <w:rsid w:val="008C2E33"/>
    <w:rsid w:val="008D1E3A"/>
    <w:rsid w:val="008E362B"/>
    <w:rsid w:val="008E41E9"/>
    <w:rsid w:val="008E4BE9"/>
    <w:rsid w:val="008F5C6F"/>
    <w:rsid w:val="00901C48"/>
    <w:rsid w:val="00910EF5"/>
    <w:rsid w:val="00920946"/>
    <w:rsid w:val="00922969"/>
    <w:rsid w:val="00945BA4"/>
    <w:rsid w:val="00955A36"/>
    <w:rsid w:val="00961DB7"/>
    <w:rsid w:val="00965CE2"/>
    <w:rsid w:val="0097451E"/>
    <w:rsid w:val="009764B2"/>
    <w:rsid w:val="009872E4"/>
    <w:rsid w:val="009A1B44"/>
    <w:rsid w:val="009A5C01"/>
    <w:rsid w:val="009C0B19"/>
    <w:rsid w:val="009C15A3"/>
    <w:rsid w:val="009D5DC1"/>
    <w:rsid w:val="009E5093"/>
    <w:rsid w:val="00A25042"/>
    <w:rsid w:val="00A37D49"/>
    <w:rsid w:val="00A45CAC"/>
    <w:rsid w:val="00A54079"/>
    <w:rsid w:val="00A56F15"/>
    <w:rsid w:val="00A66EEA"/>
    <w:rsid w:val="00A74BE5"/>
    <w:rsid w:val="00A75D06"/>
    <w:rsid w:val="00A8199C"/>
    <w:rsid w:val="00A873F9"/>
    <w:rsid w:val="00A91D45"/>
    <w:rsid w:val="00A921C5"/>
    <w:rsid w:val="00AA0A6A"/>
    <w:rsid w:val="00AA4071"/>
    <w:rsid w:val="00AA5ADF"/>
    <w:rsid w:val="00AB4275"/>
    <w:rsid w:val="00AB6262"/>
    <w:rsid w:val="00AB7530"/>
    <w:rsid w:val="00AC7C72"/>
    <w:rsid w:val="00AF4FB4"/>
    <w:rsid w:val="00B01FBF"/>
    <w:rsid w:val="00B035D6"/>
    <w:rsid w:val="00B1359E"/>
    <w:rsid w:val="00B16222"/>
    <w:rsid w:val="00B21A22"/>
    <w:rsid w:val="00B25A06"/>
    <w:rsid w:val="00B274EF"/>
    <w:rsid w:val="00B370A3"/>
    <w:rsid w:val="00B562FA"/>
    <w:rsid w:val="00B605DA"/>
    <w:rsid w:val="00B62A18"/>
    <w:rsid w:val="00B63377"/>
    <w:rsid w:val="00B667CD"/>
    <w:rsid w:val="00B76953"/>
    <w:rsid w:val="00B80C74"/>
    <w:rsid w:val="00B8282D"/>
    <w:rsid w:val="00B96109"/>
    <w:rsid w:val="00BA58AF"/>
    <w:rsid w:val="00BA7D90"/>
    <w:rsid w:val="00BB1417"/>
    <w:rsid w:val="00BB4904"/>
    <w:rsid w:val="00BE31A7"/>
    <w:rsid w:val="00C17AAF"/>
    <w:rsid w:val="00C3317F"/>
    <w:rsid w:val="00C42A53"/>
    <w:rsid w:val="00C47A48"/>
    <w:rsid w:val="00C51E4E"/>
    <w:rsid w:val="00C67F7D"/>
    <w:rsid w:val="00C70065"/>
    <w:rsid w:val="00C736B1"/>
    <w:rsid w:val="00CC444E"/>
    <w:rsid w:val="00CD4934"/>
    <w:rsid w:val="00CE32EF"/>
    <w:rsid w:val="00CE405F"/>
    <w:rsid w:val="00CE4ACC"/>
    <w:rsid w:val="00CE5D11"/>
    <w:rsid w:val="00CE769B"/>
    <w:rsid w:val="00CF4284"/>
    <w:rsid w:val="00CF4A96"/>
    <w:rsid w:val="00CF5F15"/>
    <w:rsid w:val="00CF625B"/>
    <w:rsid w:val="00D1063E"/>
    <w:rsid w:val="00D24E04"/>
    <w:rsid w:val="00D26839"/>
    <w:rsid w:val="00D350BB"/>
    <w:rsid w:val="00D35220"/>
    <w:rsid w:val="00D37CA3"/>
    <w:rsid w:val="00D443F7"/>
    <w:rsid w:val="00D456E4"/>
    <w:rsid w:val="00D60257"/>
    <w:rsid w:val="00D77D70"/>
    <w:rsid w:val="00D821EA"/>
    <w:rsid w:val="00DA1769"/>
    <w:rsid w:val="00DA29D2"/>
    <w:rsid w:val="00DA66D8"/>
    <w:rsid w:val="00DA69B1"/>
    <w:rsid w:val="00DC52E1"/>
    <w:rsid w:val="00DC6CBB"/>
    <w:rsid w:val="00DE3F1E"/>
    <w:rsid w:val="00DF395F"/>
    <w:rsid w:val="00E00393"/>
    <w:rsid w:val="00E00B68"/>
    <w:rsid w:val="00E154F8"/>
    <w:rsid w:val="00E270BB"/>
    <w:rsid w:val="00E3015D"/>
    <w:rsid w:val="00E35191"/>
    <w:rsid w:val="00E4508F"/>
    <w:rsid w:val="00E4634A"/>
    <w:rsid w:val="00E54DA0"/>
    <w:rsid w:val="00E74041"/>
    <w:rsid w:val="00E85984"/>
    <w:rsid w:val="00E90217"/>
    <w:rsid w:val="00E91358"/>
    <w:rsid w:val="00E964C9"/>
    <w:rsid w:val="00EA08C7"/>
    <w:rsid w:val="00EB25C0"/>
    <w:rsid w:val="00EC5CCA"/>
    <w:rsid w:val="00ED159C"/>
    <w:rsid w:val="00ED2F60"/>
    <w:rsid w:val="00EE0577"/>
    <w:rsid w:val="00EF24C4"/>
    <w:rsid w:val="00EF5965"/>
    <w:rsid w:val="00F143AA"/>
    <w:rsid w:val="00F21411"/>
    <w:rsid w:val="00F22077"/>
    <w:rsid w:val="00F24943"/>
    <w:rsid w:val="00F25F19"/>
    <w:rsid w:val="00F4315B"/>
    <w:rsid w:val="00F47CAC"/>
    <w:rsid w:val="00F563B3"/>
    <w:rsid w:val="00F56EE8"/>
    <w:rsid w:val="00F629E1"/>
    <w:rsid w:val="00F63115"/>
    <w:rsid w:val="00F711ED"/>
    <w:rsid w:val="00F942E1"/>
    <w:rsid w:val="00FA4C77"/>
    <w:rsid w:val="00FB21AB"/>
    <w:rsid w:val="00FC023C"/>
    <w:rsid w:val="00FC553E"/>
    <w:rsid w:val="00FD35B8"/>
    <w:rsid w:val="00FD5EDC"/>
    <w:rsid w:val="00FE4FA4"/>
    <w:rsid w:val="00FF22BA"/>
    <w:rsid w:val="00FF6152"/>
    <w:rsid w:val="00FF74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180BE"/>
  <w15:chartTrackingRefBased/>
  <w15:docId w15:val="{6A1B3EC9-1A59-4599-81C6-E23EF2DC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E3A"/>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840"/>
    <w:pPr>
      <w:tabs>
        <w:tab w:val="center" w:pos="4513"/>
        <w:tab w:val="right" w:pos="9026"/>
      </w:tabs>
      <w:snapToGrid w:val="0"/>
    </w:pPr>
  </w:style>
  <w:style w:type="character" w:customStyle="1" w:styleId="HeaderChar">
    <w:name w:val="Header Char"/>
    <w:basedOn w:val="DefaultParagraphFont"/>
    <w:link w:val="Header"/>
    <w:uiPriority w:val="99"/>
    <w:rsid w:val="003D5840"/>
  </w:style>
  <w:style w:type="paragraph" w:styleId="Footer">
    <w:name w:val="footer"/>
    <w:basedOn w:val="Normal"/>
    <w:link w:val="FooterChar"/>
    <w:uiPriority w:val="99"/>
    <w:unhideWhenUsed/>
    <w:rsid w:val="003D5840"/>
    <w:pPr>
      <w:tabs>
        <w:tab w:val="center" w:pos="4513"/>
        <w:tab w:val="right" w:pos="9026"/>
      </w:tabs>
      <w:snapToGrid w:val="0"/>
    </w:pPr>
  </w:style>
  <w:style w:type="character" w:customStyle="1" w:styleId="FooterChar">
    <w:name w:val="Footer Char"/>
    <w:basedOn w:val="DefaultParagraphFont"/>
    <w:link w:val="Footer"/>
    <w:uiPriority w:val="99"/>
    <w:rsid w:val="003D5840"/>
  </w:style>
  <w:style w:type="paragraph" w:customStyle="1" w:styleId="Default">
    <w:name w:val="Default"/>
    <w:rsid w:val="002C6A67"/>
    <w:pPr>
      <w:widowControl w:val="0"/>
      <w:autoSpaceDE w:val="0"/>
      <w:autoSpaceDN w:val="0"/>
      <w:adjustRightInd w:val="0"/>
      <w:spacing w:after="0" w:line="240" w:lineRule="auto"/>
      <w:jc w:val="left"/>
    </w:pPr>
    <w:rPr>
      <w:rFonts w:ascii="Times New Roman" w:hAnsi="Times New Roman" w:cs="Times New Roman"/>
      <w:color w:val="000000"/>
      <w:kern w:val="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95383">
      <w:bodyDiv w:val="1"/>
      <w:marLeft w:val="0"/>
      <w:marRight w:val="0"/>
      <w:marTop w:val="0"/>
      <w:marBottom w:val="0"/>
      <w:divBdr>
        <w:top w:val="none" w:sz="0" w:space="0" w:color="auto"/>
        <w:left w:val="none" w:sz="0" w:space="0" w:color="auto"/>
        <w:bottom w:val="none" w:sz="0" w:space="0" w:color="auto"/>
        <w:right w:val="none" w:sz="0" w:space="0" w:color="auto"/>
      </w:divBdr>
    </w:div>
    <w:div w:id="203387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6C429-3CA5-483E-9F60-20E261070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4158</Characters>
  <Application>Microsoft Office Word</Application>
  <DocSecurity>0</DocSecurity>
  <Lines>34</Lines>
  <Paragraphs>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이성은</dc:creator>
  <cp:keywords/>
  <dc:description/>
  <cp:lastModifiedBy>James Zou</cp:lastModifiedBy>
  <cp:revision>2</cp:revision>
  <cp:lastPrinted>2024-08-13T14:15:00Z</cp:lastPrinted>
  <dcterms:created xsi:type="dcterms:W3CDTF">2024-11-22T17:57:00Z</dcterms:created>
  <dcterms:modified xsi:type="dcterms:W3CDTF">2024-11-22T17:57:00Z</dcterms:modified>
</cp:coreProperties>
</file>