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2A05" w14:textId="77777777" w:rsidR="000F4C58" w:rsidRPr="00374BE0" w:rsidRDefault="00B16F99" w:rsidP="009417BC">
      <w:pPr>
        <w:spacing w:line="480" w:lineRule="auto"/>
        <w:rPr>
          <w:rFonts w:ascii="Arial" w:hAnsi="Arial" w:cs="Arial"/>
          <w:b/>
          <w:sz w:val="28"/>
          <w:szCs w:val="28"/>
        </w:rPr>
      </w:pPr>
      <w:r w:rsidRPr="00374BE0">
        <w:rPr>
          <w:rFonts w:ascii="Arial" w:hAnsi="Arial" w:cs="Arial"/>
          <w:b/>
          <w:sz w:val="28"/>
          <w:szCs w:val="28"/>
        </w:rPr>
        <w:t>Supplementary Information</w:t>
      </w:r>
    </w:p>
    <w:p w14:paraId="63BA5266" w14:textId="77777777" w:rsidR="00475C09" w:rsidRPr="00374BE0" w:rsidRDefault="00475C09" w:rsidP="00475C09">
      <w:pPr>
        <w:spacing w:line="480" w:lineRule="auto"/>
        <w:contextualSpacing/>
        <w:rPr>
          <w:rFonts w:ascii="Arial" w:hAnsi="Arial" w:cs="Arial"/>
          <w:i/>
          <w:iCs/>
          <w:sz w:val="28"/>
          <w:szCs w:val="28"/>
        </w:rPr>
      </w:pPr>
      <w:r w:rsidRPr="00374BE0">
        <w:rPr>
          <w:rFonts w:ascii="Arial" w:hAnsi="Arial" w:cs="Arial"/>
          <w:sz w:val="28"/>
          <w:szCs w:val="28"/>
        </w:rPr>
        <w:t>Semicircular canals shed light on bottleneck events in the evolution of the Neanderthal clade.</w:t>
      </w:r>
    </w:p>
    <w:p w14:paraId="441C4560" w14:textId="1B393F7F" w:rsidR="00671F28" w:rsidRPr="002C46AF" w:rsidRDefault="00671F28" w:rsidP="009417BC">
      <w:pPr>
        <w:spacing w:line="480" w:lineRule="auto"/>
        <w:rPr>
          <w:rFonts w:ascii="Arial" w:hAnsi="Arial" w:cs="Arial"/>
          <w:sz w:val="20"/>
          <w:lang w:val="es-ES"/>
        </w:rPr>
      </w:pPr>
      <w:r w:rsidRPr="002C46AF">
        <w:rPr>
          <w:rFonts w:ascii="Arial" w:hAnsi="Arial" w:cs="Arial"/>
          <w:sz w:val="20"/>
          <w:lang w:val="es-ES"/>
        </w:rPr>
        <w:t xml:space="preserve">Alessandro Urciuoli*, Ignacio Martínez, Rolf Quam, Juan Luis Arsuaga, Brian A. Keeling, </w:t>
      </w:r>
      <w:r w:rsidR="00F678ED" w:rsidRPr="002C46AF">
        <w:rPr>
          <w:rFonts w:ascii="Arial" w:hAnsi="Arial" w:cs="Arial"/>
          <w:sz w:val="20"/>
          <w:lang w:val="es-ES"/>
        </w:rPr>
        <w:t xml:space="preserve">Julia Diez-Valero, </w:t>
      </w:r>
      <w:r w:rsidRPr="002C46AF">
        <w:rPr>
          <w:rFonts w:ascii="Arial" w:hAnsi="Arial" w:cs="Arial"/>
          <w:sz w:val="20"/>
          <w:lang w:val="es-ES"/>
        </w:rPr>
        <w:t>Mercedes Conde-Valverde*</w:t>
      </w:r>
    </w:p>
    <w:p w14:paraId="6BD358AB" w14:textId="77777777" w:rsidR="003D3052" w:rsidRPr="002C46AF" w:rsidRDefault="003D3052" w:rsidP="009417BC">
      <w:pPr>
        <w:spacing w:line="480" w:lineRule="auto"/>
        <w:rPr>
          <w:rFonts w:ascii="Arial" w:hAnsi="Arial" w:cs="Arial"/>
          <w:sz w:val="20"/>
          <w:lang w:val="es-ES"/>
        </w:rPr>
      </w:pPr>
    </w:p>
    <w:p w14:paraId="25FD9A0C" w14:textId="50A51896" w:rsidR="004779CB" w:rsidRPr="00374BE0" w:rsidRDefault="000F4C58" w:rsidP="009417BC">
      <w:pPr>
        <w:spacing w:line="480" w:lineRule="auto"/>
        <w:rPr>
          <w:rFonts w:ascii="Arial" w:hAnsi="Arial" w:cs="Arial"/>
          <w:sz w:val="20"/>
        </w:rPr>
      </w:pPr>
      <w:r w:rsidRPr="00374BE0">
        <w:rPr>
          <w:rFonts w:ascii="Arial" w:hAnsi="Arial" w:cs="Arial"/>
          <w:sz w:val="20"/>
        </w:rPr>
        <w:t xml:space="preserve">*To whom correspondence may be addressed: </w:t>
      </w:r>
      <w:hyperlink r:id="rId8">
        <w:r w:rsidR="00671F28" w:rsidRPr="00AB598E">
          <w:rPr>
            <w:rStyle w:val="Hyperlink"/>
            <w:rFonts w:ascii="Arial" w:hAnsi="Arial" w:cs="Arial"/>
            <w:sz w:val="20"/>
          </w:rPr>
          <w:t>alessandro.urciuoli@icp.cat</w:t>
        </w:r>
      </w:hyperlink>
      <w:r w:rsidR="00671F28" w:rsidRPr="00AB598E">
        <w:rPr>
          <w:rFonts w:ascii="Arial" w:hAnsi="Arial" w:cs="Arial"/>
          <w:sz w:val="20"/>
          <w:u w:val="single"/>
        </w:rPr>
        <w:t xml:space="preserve">; </w:t>
      </w:r>
      <w:hyperlink r:id="rId9" w:history="1">
        <w:r w:rsidR="00671F28" w:rsidRPr="00AB598E">
          <w:rPr>
            <w:rStyle w:val="Hyperlink"/>
            <w:rFonts w:ascii="Arial" w:hAnsi="Arial" w:cs="Arial"/>
            <w:sz w:val="20"/>
          </w:rPr>
          <w:t>mercedes.conde@uah.es</w:t>
        </w:r>
      </w:hyperlink>
      <w:r w:rsidR="00671F28" w:rsidRPr="00AB598E">
        <w:rPr>
          <w:rFonts w:ascii="Arial" w:hAnsi="Arial" w:cs="Arial"/>
          <w:sz w:val="20"/>
          <w:u w:val="single"/>
        </w:rPr>
        <w:t>.</w:t>
      </w:r>
    </w:p>
    <w:p w14:paraId="0D0B9701" w14:textId="77777777" w:rsidR="00015F74" w:rsidRPr="00374BE0" w:rsidRDefault="00015F74" w:rsidP="009417BC">
      <w:pPr>
        <w:spacing w:line="480" w:lineRule="auto"/>
        <w:rPr>
          <w:rFonts w:ascii="Arial" w:hAnsi="Arial" w:cs="Arial"/>
          <w:b/>
          <w:sz w:val="20"/>
        </w:rPr>
      </w:pPr>
    </w:p>
    <w:p w14:paraId="10ACB046" w14:textId="77777777" w:rsidR="002C030F" w:rsidRPr="00374BE0" w:rsidRDefault="009743A9" w:rsidP="009417BC">
      <w:pPr>
        <w:spacing w:line="480" w:lineRule="auto"/>
        <w:rPr>
          <w:rFonts w:ascii="Arial" w:hAnsi="Arial" w:cs="Arial"/>
          <w:b/>
          <w:sz w:val="20"/>
        </w:rPr>
      </w:pPr>
      <w:r w:rsidRPr="00374BE0">
        <w:rPr>
          <w:rFonts w:ascii="Arial" w:hAnsi="Arial" w:cs="Arial"/>
          <w:b/>
          <w:sz w:val="20"/>
        </w:rPr>
        <w:t xml:space="preserve">This file </w:t>
      </w:r>
      <w:r w:rsidR="002C030F" w:rsidRPr="00374BE0">
        <w:rPr>
          <w:rFonts w:ascii="Arial" w:hAnsi="Arial" w:cs="Arial"/>
          <w:b/>
          <w:sz w:val="20"/>
        </w:rPr>
        <w:t>includes:</w:t>
      </w:r>
    </w:p>
    <w:p w14:paraId="6EDA9F6E" w14:textId="5659B1FB" w:rsidR="00FD2BD9" w:rsidRPr="00374BE0" w:rsidRDefault="003D3052" w:rsidP="009417BC">
      <w:pPr>
        <w:spacing w:line="480" w:lineRule="auto"/>
        <w:rPr>
          <w:rFonts w:ascii="Arial" w:hAnsi="Arial" w:cs="Arial"/>
          <w:sz w:val="20"/>
        </w:rPr>
      </w:pPr>
      <w:r w:rsidRPr="00374BE0">
        <w:rPr>
          <w:rFonts w:ascii="Arial" w:hAnsi="Arial" w:cs="Arial"/>
          <w:sz w:val="20"/>
        </w:rPr>
        <w:t xml:space="preserve">Supplementary </w:t>
      </w:r>
      <w:r w:rsidR="005F50C6" w:rsidRPr="00374BE0">
        <w:rPr>
          <w:rFonts w:ascii="Arial" w:hAnsi="Arial" w:cs="Arial"/>
          <w:sz w:val="20"/>
        </w:rPr>
        <w:t xml:space="preserve">Figure </w:t>
      </w:r>
      <w:r w:rsidR="00FD2BD9" w:rsidRPr="00374BE0">
        <w:rPr>
          <w:rFonts w:ascii="Arial" w:hAnsi="Arial" w:cs="Arial"/>
          <w:sz w:val="20"/>
        </w:rPr>
        <w:t>1</w:t>
      </w:r>
      <w:r w:rsidR="00742427" w:rsidRPr="00374BE0">
        <w:rPr>
          <w:rFonts w:ascii="Arial" w:hAnsi="Arial" w:cs="Arial"/>
          <w:sz w:val="20"/>
        </w:rPr>
        <w:t>-4</w:t>
      </w:r>
    </w:p>
    <w:p w14:paraId="542321B7" w14:textId="48553597" w:rsidR="00154A4D" w:rsidRPr="00374BE0" w:rsidRDefault="003D3052" w:rsidP="009417BC">
      <w:pPr>
        <w:spacing w:line="480" w:lineRule="auto"/>
        <w:rPr>
          <w:rFonts w:ascii="Arial" w:hAnsi="Arial" w:cs="Arial"/>
          <w:sz w:val="20"/>
        </w:rPr>
      </w:pPr>
      <w:r w:rsidRPr="00374BE0">
        <w:rPr>
          <w:rFonts w:ascii="Arial" w:hAnsi="Arial" w:cs="Arial"/>
          <w:sz w:val="20"/>
        </w:rPr>
        <w:t xml:space="preserve">Supplementary </w:t>
      </w:r>
      <w:r w:rsidR="005F50C6" w:rsidRPr="00374BE0">
        <w:rPr>
          <w:rFonts w:ascii="Arial" w:hAnsi="Arial" w:cs="Arial"/>
          <w:sz w:val="20"/>
        </w:rPr>
        <w:t>Table 1</w:t>
      </w:r>
    </w:p>
    <w:p w14:paraId="0E9F3836" w14:textId="12A28A5B" w:rsidR="008D2FC1" w:rsidRPr="00374BE0" w:rsidRDefault="008D2FC1" w:rsidP="009417BC">
      <w:pPr>
        <w:spacing w:line="480" w:lineRule="auto"/>
        <w:rPr>
          <w:rFonts w:ascii="Arial" w:hAnsi="Arial" w:cs="Arial"/>
          <w:sz w:val="20"/>
        </w:rPr>
      </w:pPr>
      <w:r w:rsidRPr="00374BE0">
        <w:rPr>
          <w:rFonts w:ascii="Arial" w:hAnsi="Arial" w:cs="Arial"/>
          <w:sz w:val="20"/>
        </w:rPr>
        <w:t>Supplementary References</w:t>
      </w:r>
    </w:p>
    <w:p w14:paraId="13665790" w14:textId="77777777" w:rsidR="005A16C5" w:rsidRPr="00374BE0" w:rsidRDefault="005A16C5" w:rsidP="009417BC">
      <w:pPr>
        <w:spacing w:line="480" w:lineRule="auto"/>
        <w:rPr>
          <w:rFonts w:ascii="Arial" w:hAnsi="Arial" w:cs="Arial"/>
          <w:sz w:val="20"/>
        </w:rPr>
      </w:pPr>
      <w:r w:rsidRPr="00374BE0">
        <w:rPr>
          <w:rFonts w:ascii="Arial" w:hAnsi="Arial" w:cs="Arial"/>
          <w:b/>
          <w:bCs/>
          <w:sz w:val="20"/>
        </w:rPr>
        <w:br w:type="page"/>
      </w:r>
    </w:p>
    <w:p w14:paraId="1E761CC0" w14:textId="53CA9122" w:rsidR="00D83EEF" w:rsidRPr="00374BE0" w:rsidRDefault="00D83EEF" w:rsidP="009417BC">
      <w:pPr>
        <w:spacing w:line="480" w:lineRule="auto"/>
        <w:rPr>
          <w:rFonts w:ascii="Arial" w:hAnsi="Arial" w:cs="Arial"/>
          <w:sz w:val="20"/>
        </w:rPr>
      </w:pPr>
      <w:bookmarkStart w:id="0" w:name="Tables"/>
      <w:bookmarkStart w:id="1" w:name="MaterialsMethods"/>
      <w:bookmarkEnd w:id="0"/>
      <w:bookmarkEnd w:id="1"/>
    </w:p>
    <w:p w14:paraId="25EB92A4" w14:textId="2A68FEAA" w:rsidR="009929E1" w:rsidRPr="00374BE0" w:rsidRDefault="00FB0CFF" w:rsidP="009417BC">
      <w:pPr>
        <w:pStyle w:val="SMcaption"/>
        <w:spacing w:line="480" w:lineRule="auto"/>
        <w:jc w:val="center"/>
        <w:rPr>
          <w:rFonts w:ascii="Arial" w:hAnsi="Arial" w:cs="Arial"/>
          <w:b/>
          <w:sz w:val="20"/>
        </w:rPr>
      </w:pPr>
      <w:r w:rsidRPr="00374BE0">
        <w:rPr>
          <w:rFonts w:ascii="Arial" w:hAnsi="Arial" w:cs="Arial"/>
          <w:b/>
          <w:sz w:val="20"/>
        </w:rPr>
        <w:drawing>
          <wp:inline distT="0" distB="0" distL="0" distR="0" wp14:anchorId="18FE79E8" wp14:editId="046AFA8E">
            <wp:extent cx="5706207" cy="4565873"/>
            <wp:effectExtent l="0" t="0" r="8890" b="6350"/>
            <wp:docPr id="1527206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06397"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06207" cy="4565873"/>
                    </a:xfrm>
                    <a:prstGeom prst="rect">
                      <a:avLst/>
                    </a:prstGeom>
                  </pic:spPr>
                </pic:pic>
              </a:graphicData>
            </a:graphic>
          </wp:inline>
        </w:drawing>
      </w:r>
    </w:p>
    <w:p w14:paraId="28E87AB7" w14:textId="51501F8E" w:rsidR="00EA23E5" w:rsidRPr="00374BE0" w:rsidRDefault="00B822FA" w:rsidP="009417BC">
      <w:pPr>
        <w:pStyle w:val="SMcaption"/>
        <w:spacing w:line="480" w:lineRule="auto"/>
        <w:jc w:val="both"/>
        <w:rPr>
          <w:rFonts w:ascii="Arial" w:hAnsi="Arial" w:cs="Arial"/>
          <w:sz w:val="20"/>
        </w:rPr>
      </w:pPr>
      <w:r w:rsidRPr="00374BE0">
        <w:rPr>
          <w:rFonts w:ascii="Arial" w:hAnsi="Arial" w:cs="Arial"/>
          <w:b/>
          <w:sz w:val="20"/>
        </w:rPr>
        <w:t xml:space="preserve">Supplementary Figure </w:t>
      </w:r>
      <w:r w:rsidR="001A2B35" w:rsidRPr="00374BE0">
        <w:rPr>
          <w:rFonts w:ascii="Arial" w:hAnsi="Arial" w:cs="Arial"/>
          <w:b/>
          <w:sz w:val="20"/>
        </w:rPr>
        <w:t>1</w:t>
      </w:r>
      <w:r w:rsidR="00C75DBC" w:rsidRPr="00374BE0">
        <w:rPr>
          <w:rFonts w:ascii="Arial" w:hAnsi="Arial" w:cs="Arial"/>
          <w:b/>
          <w:sz w:val="20"/>
        </w:rPr>
        <w:t xml:space="preserve">. </w:t>
      </w:r>
      <w:r w:rsidR="00942C22" w:rsidRPr="00374BE0">
        <w:rPr>
          <w:rFonts w:ascii="Arial" w:hAnsi="Arial" w:cs="Arial"/>
          <w:b/>
          <w:sz w:val="20"/>
        </w:rPr>
        <w:t xml:space="preserve">Extreme conformation for the first three principal components </w:t>
      </w:r>
      <w:r w:rsidR="00942C22" w:rsidRPr="00374BE0">
        <w:rPr>
          <w:rFonts w:ascii="Arial" w:hAnsi="Arial" w:cs="Arial"/>
          <w:b/>
          <w:bCs/>
          <w:color w:val="000000"/>
          <w:sz w:val="20"/>
        </w:rPr>
        <w:t>of the principal component analysis performed on the deformation-fields (raw shape data) obtained from the diffeomorph</w:t>
      </w:r>
      <w:r w:rsidR="00743994" w:rsidRPr="00374BE0">
        <w:rPr>
          <w:rFonts w:ascii="Arial" w:hAnsi="Arial" w:cs="Arial"/>
          <w:b/>
          <w:bCs/>
          <w:color w:val="000000"/>
          <w:sz w:val="20"/>
        </w:rPr>
        <w:t>ometric shape</w:t>
      </w:r>
      <w:r w:rsidR="00942C22" w:rsidRPr="00374BE0">
        <w:rPr>
          <w:rFonts w:ascii="Arial" w:hAnsi="Arial" w:cs="Arial"/>
          <w:b/>
          <w:bCs/>
          <w:color w:val="000000"/>
          <w:sz w:val="20"/>
        </w:rPr>
        <w:t xml:space="preserve"> analysis</w:t>
      </w:r>
      <w:r w:rsidR="00942C22" w:rsidRPr="00374BE0">
        <w:rPr>
          <w:rFonts w:ascii="Arial" w:hAnsi="Arial" w:cs="Arial"/>
          <w:sz w:val="20"/>
        </w:rPr>
        <w:t>. Three-dimensional renderings corresponding to the maximum (above) and minimum (below) of (</w:t>
      </w:r>
      <w:r w:rsidR="00942C22" w:rsidRPr="00374BE0">
        <w:rPr>
          <w:rFonts w:ascii="Arial" w:hAnsi="Arial" w:cs="Arial"/>
          <w:b/>
          <w:bCs/>
          <w:sz w:val="20"/>
        </w:rPr>
        <w:t>a</w:t>
      </w:r>
      <w:r w:rsidR="00942C22" w:rsidRPr="00374BE0">
        <w:rPr>
          <w:rFonts w:ascii="Arial" w:hAnsi="Arial" w:cs="Arial"/>
          <w:sz w:val="20"/>
        </w:rPr>
        <w:t>) PC1, (</w:t>
      </w:r>
      <w:r w:rsidR="00942C22" w:rsidRPr="00374BE0">
        <w:rPr>
          <w:rFonts w:ascii="Arial" w:hAnsi="Arial" w:cs="Arial"/>
          <w:b/>
          <w:bCs/>
          <w:sz w:val="20"/>
        </w:rPr>
        <w:t>b</w:t>
      </w:r>
      <w:r w:rsidR="00942C22" w:rsidRPr="00374BE0">
        <w:rPr>
          <w:rFonts w:ascii="Arial" w:hAnsi="Arial" w:cs="Arial"/>
          <w:sz w:val="20"/>
        </w:rPr>
        <w:t>) PC2, (</w:t>
      </w:r>
      <w:r w:rsidR="00942C22" w:rsidRPr="00374BE0">
        <w:rPr>
          <w:rFonts w:ascii="Arial" w:hAnsi="Arial" w:cs="Arial"/>
          <w:b/>
          <w:bCs/>
          <w:sz w:val="20"/>
        </w:rPr>
        <w:t>c</w:t>
      </w:r>
      <w:r w:rsidR="00942C22" w:rsidRPr="00374BE0">
        <w:rPr>
          <w:rFonts w:ascii="Arial" w:hAnsi="Arial" w:cs="Arial"/>
          <w:sz w:val="20"/>
        </w:rPr>
        <w:t>) PC3</w:t>
      </w:r>
      <w:r w:rsidR="001A2B35" w:rsidRPr="00374BE0">
        <w:rPr>
          <w:rFonts w:ascii="Arial" w:hAnsi="Arial" w:cs="Arial"/>
          <w:sz w:val="20"/>
        </w:rPr>
        <w:t>, and (</w:t>
      </w:r>
      <w:r w:rsidR="001A2B35" w:rsidRPr="00374BE0">
        <w:rPr>
          <w:rFonts w:ascii="Arial" w:hAnsi="Arial" w:cs="Arial"/>
          <w:b/>
          <w:bCs/>
          <w:sz w:val="20"/>
        </w:rPr>
        <w:t>d</w:t>
      </w:r>
      <w:r w:rsidR="001A2B35" w:rsidRPr="00374BE0">
        <w:rPr>
          <w:rFonts w:ascii="Arial" w:hAnsi="Arial" w:cs="Arial"/>
          <w:sz w:val="20"/>
        </w:rPr>
        <w:t>) PC4</w:t>
      </w:r>
      <w:r w:rsidR="00942C22" w:rsidRPr="00374BE0">
        <w:rPr>
          <w:rFonts w:ascii="Arial" w:hAnsi="Arial" w:cs="Arial"/>
          <w:sz w:val="20"/>
        </w:rPr>
        <w:t xml:space="preserve">. Deformations from the sample mean shape are coded as pseudocolors with red and blue corresponding to maximal (0.5 mm) and no deformation from the average, respectively. </w:t>
      </w:r>
      <w:r w:rsidR="00B1771B">
        <w:rPr>
          <w:rFonts w:ascii="Arial" w:hAnsi="Arial" w:cs="Arial"/>
          <w:sz w:val="20"/>
        </w:rPr>
        <w:t xml:space="preserve">Extreme conformations can be reproduced based on </w:t>
      </w:r>
      <w:r w:rsidR="00B1771B" w:rsidRPr="00B1771B">
        <w:rPr>
          <w:rFonts w:ascii="Arial" w:hAnsi="Arial" w:cs="Arial"/>
          <w:sz w:val="20"/>
        </w:rPr>
        <w:t xml:space="preserve">the code and files provided in Supplementary Code 1 and Supplementary Data </w:t>
      </w:r>
      <w:r w:rsidR="00DD51F9">
        <w:rPr>
          <w:rFonts w:ascii="Arial" w:hAnsi="Arial" w:cs="Arial"/>
          <w:sz w:val="20"/>
        </w:rPr>
        <w:t>3</w:t>
      </w:r>
      <w:r w:rsidR="00B1771B">
        <w:rPr>
          <w:rFonts w:ascii="Arial" w:hAnsi="Arial" w:cs="Arial"/>
          <w:sz w:val="20"/>
        </w:rPr>
        <w:t>.</w:t>
      </w:r>
    </w:p>
    <w:p w14:paraId="34DE8B55" w14:textId="77777777" w:rsidR="00EA23E5" w:rsidRPr="00374BE0" w:rsidRDefault="00EA23E5">
      <w:pPr>
        <w:rPr>
          <w:rFonts w:ascii="Arial" w:hAnsi="Arial" w:cs="Arial"/>
          <w:sz w:val="20"/>
        </w:rPr>
      </w:pPr>
      <w:r w:rsidRPr="00374BE0">
        <w:rPr>
          <w:rFonts w:ascii="Arial" w:hAnsi="Arial" w:cs="Arial"/>
          <w:sz w:val="20"/>
        </w:rPr>
        <w:br w:type="page"/>
      </w:r>
    </w:p>
    <w:p w14:paraId="1D67A0FB" w14:textId="23C13564" w:rsidR="009A23B2" w:rsidRPr="00374BE0" w:rsidRDefault="009A23B2" w:rsidP="009A23B2">
      <w:pPr>
        <w:pStyle w:val="SMcaption"/>
        <w:spacing w:line="480" w:lineRule="auto"/>
        <w:jc w:val="both"/>
        <w:rPr>
          <w:rFonts w:ascii="Arial" w:hAnsi="Arial" w:cs="Arial"/>
          <w:sz w:val="20"/>
        </w:rPr>
      </w:pPr>
      <w:r w:rsidRPr="00374BE0">
        <w:rPr>
          <w:rFonts w:ascii="Arial" w:hAnsi="Arial" w:cs="Arial"/>
          <w:b/>
          <w:bCs/>
          <w:sz w:val="20"/>
        </w:rPr>
        <w:lastRenderedPageBreak/>
        <w:drawing>
          <wp:anchor distT="0" distB="0" distL="114300" distR="114300" simplePos="0" relativeHeight="251662336" behindDoc="0" locked="0" layoutInCell="1" allowOverlap="1" wp14:anchorId="6EE3315F" wp14:editId="4F0531DC">
            <wp:simplePos x="0" y="0"/>
            <wp:positionH relativeFrom="margin">
              <wp:posOffset>744855</wp:posOffset>
            </wp:positionH>
            <wp:positionV relativeFrom="margin">
              <wp:posOffset>0</wp:posOffset>
            </wp:positionV>
            <wp:extent cx="4493895" cy="7601585"/>
            <wp:effectExtent l="0" t="0" r="1905" b="0"/>
            <wp:wrapSquare wrapText="bothSides"/>
            <wp:docPr id="1049399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99657"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93895" cy="7601585"/>
                    </a:xfrm>
                    <a:prstGeom prst="rect">
                      <a:avLst/>
                    </a:prstGeom>
                  </pic:spPr>
                </pic:pic>
              </a:graphicData>
            </a:graphic>
            <wp14:sizeRelH relativeFrom="page">
              <wp14:pctWidth>0</wp14:pctWidth>
            </wp14:sizeRelH>
            <wp14:sizeRelV relativeFrom="page">
              <wp14:pctHeight>0</wp14:pctHeight>
            </wp14:sizeRelV>
          </wp:anchor>
        </w:drawing>
      </w:r>
      <w:r w:rsidRPr="00374BE0">
        <w:rPr>
          <w:rFonts w:ascii="Arial" w:hAnsi="Arial" w:cs="Arial"/>
          <w:b/>
          <w:bCs/>
          <w:sz w:val="20"/>
        </w:rPr>
        <w:t xml:space="preserve">Supplementary Figure 2. Bivariate scatterplots of a principal component analysis performed on the deformation-fields (raw shape data) obtained from the diffeomorphometric analysis of semicircular canals and as shown in Figure 2. </w:t>
      </w:r>
      <w:r w:rsidRPr="00374BE0">
        <w:rPr>
          <w:rFonts w:ascii="Arial" w:hAnsi="Arial" w:cs="Arial"/>
          <w:color w:val="000000"/>
          <w:sz w:val="20"/>
        </w:rPr>
        <w:t>(</w:t>
      </w:r>
      <w:r w:rsidRPr="00374BE0">
        <w:rPr>
          <w:rFonts w:ascii="Arial" w:hAnsi="Arial" w:cs="Arial"/>
          <w:b/>
          <w:bCs/>
          <w:color w:val="000000"/>
          <w:sz w:val="20"/>
        </w:rPr>
        <w:t>a</w:t>
      </w:r>
      <w:r w:rsidRPr="00374BE0">
        <w:rPr>
          <w:rFonts w:ascii="Arial" w:hAnsi="Arial" w:cs="Arial"/>
          <w:color w:val="000000"/>
          <w:sz w:val="20"/>
        </w:rPr>
        <w:t>) PC2 vs. PC1; (</w:t>
      </w:r>
      <w:r w:rsidRPr="00374BE0">
        <w:rPr>
          <w:rFonts w:ascii="Arial" w:hAnsi="Arial" w:cs="Arial"/>
          <w:b/>
          <w:bCs/>
          <w:color w:val="000000"/>
          <w:sz w:val="20"/>
        </w:rPr>
        <w:t>b</w:t>
      </w:r>
      <w:r w:rsidRPr="00374BE0">
        <w:rPr>
          <w:rFonts w:ascii="Arial" w:hAnsi="Arial" w:cs="Arial"/>
          <w:color w:val="000000"/>
          <w:sz w:val="20"/>
        </w:rPr>
        <w:t xml:space="preserve">) PC4 vs. PC3. Group coloring as in </w:t>
      </w:r>
      <w:r w:rsidRPr="00374BE0">
        <w:rPr>
          <w:rFonts w:ascii="Arial" w:hAnsi="Arial" w:cs="Arial"/>
          <w:sz w:val="20"/>
        </w:rPr>
        <w:t xml:space="preserve">Figure 2. Symbols’ fillings remark on the sex of the included individuals: red = female; black = male; </w:t>
      </w:r>
      <w:r w:rsidRPr="00374BE0">
        <w:rPr>
          <w:rFonts w:ascii="Arial" w:hAnsi="Arial" w:cs="Arial"/>
          <w:sz w:val="20"/>
        </w:rPr>
        <w:lastRenderedPageBreak/>
        <w:t xml:space="preserve">empty = indeterminate/non-sexed juvenile. </w:t>
      </w:r>
      <w:r w:rsidR="00DD51F9">
        <w:rPr>
          <w:rFonts w:ascii="Arial" w:hAnsi="Arial" w:cs="Arial"/>
          <w:sz w:val="20"/>
        </w:rPr>
        <w:t>Sex was extracted from the literature</w:t>
      </w:r>
      <w:r w:rsidR="006A6261">
        <w:rPr>
          <w:rFonts w:ascii="Arial" w:hAnsi="Arial" w:cs="Arial"/>
          <w:sz w:val="20"/>
          <w:vertAlign w:val="superscript"/>
        </w:rPr>
        <w:t>1-12</w:t>
      </w:r>
      <w:r w:rsidR="00DD51F9">
        <w:rPr>
          <w:rFonts w:ascii="Arial" w:hAnsi="Arial" w:cs="Arial"/>
          <w:sz w:val="20"/>
        </w:rPr>
        <w:t xml:space="preserve"> or from the collection metadada</w:t>
      </w:r>
      <w:r w:rsidR="006A6261">
        <w:rPr>
          <w:rFonts w:ascii="Arial" w:hAnsi="Arial" w:cs="Arial"/>
          <w:sz w:val="20"/>
        </w:rPr>
        <w:t xml:space="preserve"> (see Supplementary Data 2)</w:t>
      </w:r>
      <w:r w:rsidR="00DD51F9">
        <w:rPr>
          <w:rFonts w:ascii="Arial" w:hAnsi="Arial" w:cs="Arial"/>
          <w:sz w:val="20"/>
        </w:rPr>
        <w:t xml:space="preserve">. </w:t>
      </w:r>
      <w:r w:rsidRPr="00374BE0">
        <w:rPr>
          <w:rFonts w:ascii="Arial" w:hAnsi="Arial" w:cs="Arial"/>
          <w:sz w:val="20"/>
        </w:rPr>
        <w:t>Please note the absence of sex-related patterns of shape variation occurring the morphospace based on the available information for the analyzed individuals.</w:t>
      </w:r>
      <w:r w:rsidR="00B1771B">
        <w:rPr>
          <w:rFonts w:ascii="Arial" w:hAnsi="Arial" w:cs="Arial"/>
          <w:sz w:val="20"/>
        </w:rPr>
        <w:t xml:space="preserve"> </w:t>
      </w:r>
      <w:r w:rsidR="00B1771B" w:rsidRPr="00B1771B">
        <w:rPr>
          <w:rFonts w:ascii="Arial" w:hAnsi="Arial" w:cs="Arial"/>
          <w:sz w:val="20"/>
        </w:rPr>
        <w:t xml:space="preserve">Source data for this figure can be reproduced using the code and files provided in Supplementary Code 1 and Supplementary Data </w:t>
      </w:r>
      <w:r w:rsidR="00DD51F9">
        <w:rPr>
          <w:rFonts w:ascii="Arial" w:hAnsi="Arial" w:cs="Arial"/>
          <w:sz w:val="20"/>
        </w:rPr>
        <w:t>3</w:t>
      </w:r>
    </w:p>
    <w:p w14:paraId="2B978557" w14:textId="77777777" w:rsidR="009A23B2" w:rsidRPr="00374BE0" w:rsidRDefault="009A23B2" w:rsidP="009A23B2">
      <w:pPr>
        <w:rPr>
          <w:rFonts w:ascii="Arial" w:hAnsi="Arial" w:cs="Arial"/>
          <w:sz w:val="20"/>
        </w:rPr>
      </w:pPr>
      <w:r w:rsidRPr="00374BE0">
        <w:rPr>
          <w:rFonts w:ascii="Arial" w:hAnsi="Arial" w:cs="Arial"/>
          <w:sz w:val="20"/>
        </w:rPr>
        <w:br w:type="page"/>
      </w:r>
    </w:p>
    <w:p w14:paraId="231C919D" w14:textId="6BF5C00B" w:rsidR="00A0340F" w:rsidRPr="00374BE0" w:rsidRDefault="00A0340F" w:rsidP="009417BC">
      <w:pPr>
        <w:pStyle w:val="SMcaption"/>
        <w:spacing w:line="480" w:lineRule="auto"/>
        <w:jc w:val="both"/>
        <w:rPr>
          <w:rFonts w:ascii="Arial" w:hAnsi="Arial" w:cs="Arial"/>
          <w:b/>
          <w:bCs/>
          <w:sz w:val="20"/>
        </w:rPr>
      </w:pPr>
      <w:r w:rsidRPr="00374BE0">
        <w:rPr>
          <w:rFonts w:ascii="Arial" w:hAnsi="Arial" w:cs="Arial"/>
          <w:b/>
          <w:bCs/>
          <w:sz w:val="20"/>
        </w:rPr>
        <w:lastRenderedPageBreak/>
        <w:drawing>
          <wp:anchor distT="0" distB="0" distL="114300" distR="114300" simplePos="0" relativeHeight="251659264" behindDoc="0" locked="0" layoutInCell="1" allowOverlap="1" wp14:anchorId="4DD55DA8" wp14:editId="2A55627B">
            <wp:simplePos x="914400" y="914400"/>
            <wp:positionH relativeFrom="margin">
              <wp:align>center</wp:align>
            </wp:positionH>
            <wp:positionV relativeFrom="margin">
              <wp:align>top</wp:align>
            </wp:positionV>
            <wp:extent cx="5311140" cy="8863965"/>
            <wp:effectExtent l="0" t="0" r="3810" b="0"/>
            <wp:wrapTopAndBottom/>
            <wp:docPr id="4203701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70120"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11505" cy="8863965"/>
                    </a:xfrm>
                    <a:prstGeom prst="rect">
                      <a:avLst/>
                    </a:prstGeom>
                  </pic:spPr>
                </pic:pic>
              </a:graphicData>
            </a:graphic>
          </wp:anchor>
        </w:drawing>
      </w:r>
    </w:p>
    <w:p w14:paraId="7DB9DD89" w14:textId="19940757" w:rsidR="0033770D" w:rsidRPr="00374BE0" w:rsidRDefault="00240A7B" w:rsidP="009417BC">
      <w:pPr>
        <w:pStyle w:val="SMcaption"/>
        <w:spacing w:line="480" w:lineRule="auto"/>
        <w:jc w:val="both"/>
        <w:rPr>
          <w:rFonts w:ascii="Arial" w:hAnsi="Arial" w:cs="Arial"/>
          <w:sz w:val="20"/>
        </w:rPr>
      </w:pPr>
      <w:r w:rsidRPr="00374BE0">
        <w:rPr>
          <w:rFonts w:ascii="Arial" w:hAnsi="Arial" w:cs="Arial"/>
          <w:b/>
          <w:bCs/>
          <w:sz w:val="20"/>
        </w:rPr>
        <w:lastRenderedPageBreak/>
        <w:t>Supplementary Figure</w:t>
      </w:r>
      <w:r w:rsidR="00D13129" w:rsidRPr="00374BE0">
        <w:rPr>
          <w:rFonts w:ascii="Arial" w:hAnsi="Arial" w:cs="Arial"/>
          <w:b/>
          <w:bCs/>
          <w:sz w:val="20"/>
        </w:rPr>
        <w:t xml:space="preserve"> 3</w:t>
      </w:r>
      <w:r w:rsidRPr="00374BE0">
        <w:rPr>
          <w:rFonts w:ascii="Arial" w:hAnsi="Arial" w:cs="Arial"/>
          <w:b/>
          <w:bCs/>
          <w:sz w:val="20"/>
        </w:rPr>
        <w:t xml:space="preserve">. Effect of computed tomography scan type (medical CT vs. </w:t>
      </w:r>
      <w:bookmarkStart w:id="2" w:name="_Hlk174182743"/>
      <w:r w:rsidRPr="00374BE0">
        <w:rPr>
          <w:rFonts w:ascii="Arial" w:hAnsi="Arial" w:cs="Arial"/>
          <w:b/>
          <w:bCs/>
          <w:sz w:val="20"/>
        </w:rPr>
        <w:t>µCT</w:t>
      </w:r>
      <w:bookmarkEnd w:id="2"/>
      <w:r w:rsidRPr="00374BE0">
        <w:rPr>
          <w:rFonts w:ascii="Arial" w:hAnsi="Arial" w:cs="Arial"/>
          <w:b/>
          <w:bCs/>
          <w:sz w:val="20"/>
        </w:rPr>
        <w:t xml:space="preserve">) on the patterns of morphological diversity. </w:t>
      </w:r>
      <w:r w:rsidRPr="00374BE0">
        <w:rPr>
          <w:rFonts w:ascii="Arial" w:hAnsi="Arial" w:cs="Arial"/>
          <w:sz w:val="20"/>
        </w:rPr>
        <w:t>The analyses shown in Figure 4 have been repeated to test whether CT scan type and differences in voxel size might affect the amount of disparity observed for the analyzed taxa. The assessment was performed by replacing the µCT scans of modern humans (F01, F03, F04, F05, F06) with standard CT scans available for the same specimens</w:t>
      </w:r>
      <w:r w:rsidR="00FE722B">
        <w:rPr>
          <w:rFonts w:ascii="Arial" w:hAnsi="Arial" w:cs="Arial"/>
          <w:sz w:val="20"/>
          <w:vertAlign w:val="superscript"/>
        </w:rPr>
        <w:t>12</w:t>
      </w:r>
      <w:r w:rsidRPr="00374BE0">
        <w:rPr>
          <w:rFonts w:ascii="Arial" w:hAnsi="Arial" w:cs="Arial"/>
          <w:sz w:val="20"/>
        </w:rPr>
        <w:t>.</w:t>
      </w:r>
      <w:r w:rsidR="00FE722B">
        <w:rPr>
          <w:rFonts w:ascii="Arial" w:hAnsi="Arial" w:cs="Arial"/>
          <w:sz w:val="20"/>
        </w:rPr>
        <w:t xml:space="preserve"> Group sizes remained the same (i.e., </w:t>
      </w:r>
      <w:r w:rsidR="00147697">
        <w:rPr>
          <w:rFonts w:ascii="Arial" w:hAnsi="Arial" w:cs="Arial"/>
          <w:sz w:val="20"/>
        </w:rPr>
        <w:t>Sima de los Huesos, n = 13; Krapina, n = 10; late Neanderthals, n = 9; modern humans n = 20).</w:t>
      </w:r>
      <w:r w:rsidRPr="00374BE0">
        <w:rPr>
          <w:rFonts w:ascii="Arial" w:hAnsi="Arial" w:cs="Arial"/>
          <w:sz w:val="20"/>
        </w:rPr>
        <w:t xml:space="preserve"> Given that other scans were not available for fossil specimens, the voxel size of one individual of late Neanderthals (La Ferrassie 2; new voxel size = 0.156x0.156x0.4 mm), Sima de los Huesos (Cr6; new voxel size =</w:t>
      </w:r>
      <w:r w:rsidR="00F17AF4" w:rsidRPr="00374BE0">
        <w:rPr>
          <w:rFonts w:ascii="Arial" w:hAnsi="Arial" w:cs="Arial"/>
          <w:sz w:val="20"/>
        </w:rPr>
        <w:t xml:space="preserve"> 0.05 mm</w:t>
      </w:r>
      <w:r w:rsidRPr="00374BE0">
        <w:rPr>
          <w:rFonts w:ascii="Arial" w:hAnsi="Arial" w:cs="Arial"/>
          <w:sz w:val="20"/>
        </w:rPr>
        <w:t>), and Krapina (Krapina</w:t>
      </w:r>
      <w:r w:rsidR="00B65D68" w:rsidRPr="00374BE0">
        <w:rPr>
          <w:rFonts w:ascii="Arial" w:hAnsi="Arial" w:cs="Arial"/>
          <w:sz w:val="20"/>
        </w:rPr>
        <w:t xml:space="preserve"> 38.20</w:t>
      </w:r>
      <w:r w:rsidRPr="00374BE0">
        <w:rPr>
          <w:rFonts w:ascii="Arial" w:hAnsi="Arial" w:cs="Arial"/>
          <w:sz w:val="20"/>
        </w:rPr>
        <w:t>; new voxel size = 0.156x0.156x0.4 mm) was modified in ImageJ</w:t>
      </w:r>
      <w:r w:rsidR="00374BE0" w:rsidRPr="002539B8">
        <w:rPr>
          <w:rFonts w:ascii="Arial" w:hAnsi="Arial" w:cs="Arial"/>
          <w:sz w:val="20"/>
          <w:vertAlign w:val="superscript"/>
        </w:rPr>
        <w:t>1</w:t>
      </w:r>
      <w:r w:rsidR="00FE722B">
        <w:rPr>
          <w:rFonts w:ascii="Arial" w:hAnsi="Arial" w:cs="Arial"/>
          <w:sz w:val="20"/>
          <w:vertAlign w:val="superscript"/>
        </w:rPr>
        <w:t>3</w:t>
      </w:r>
      <w:r w:rsidRPr="00374BE0">
        <w:rPr>
          <w:rFonts w:ascii="Arial" w:hAnsi="Arial" w:cs="Arial"/>
          <w:sz w:val="20"/>
        </w:rPr>
        <w:t xml:space="preserve"> by downscaling or upscaling the original scan. The observed patterns of morphological diversity (</w:t>
      </w:r>
      <w:r w:rsidRPr="00374BE0">
        <w:rPr>
          <w:rFonts w:ascii="Arial" w:hAnsi="Arial" w:cs="Arial"/>
          <w:b/>
          <w:bCs/>
          <w:sz w:val="20"/>
        </w:rPr>
        <w:t>a-c</w:t>
      </w:r>
      <w:r w:rsidRPr="00374BE0">
        <w:rPr>
          <w:rFonts w:ascii="Arial" w:hAnsi="Arial" w:cs="Arial"/>
          <w:sz w:val="20"/>
        </w:rPr>
        <w:t xml:space="preserve">) are almost identical to those shown in Figure 4, thus allowing us to rule out </w:t>
      </w:r>
      <w:r w:rsidR="0054104D" w:rsidRPr="00374BE0">
        <w:rPr>
          <w:rFonts w:ascii="Arial" w:hAnsi="Arial" w:cs="Arial"/>
          <w:sz w:val="20"/>
        </w:rPr>
        <w:t xml:space="preserve">the </w:t>
      </w:r>
      <w:r w:rsidRPr="00374BE0">
        <w:rPr>
          <w:rFonts w:ascii="Arial" w:hAnsi="Arial" w:cs="Arial"/>
          <w:sz w:val="20"/>
        </w:rPr>
        <w:t xml:space="preserve">role of voxel size and CT scan type in the observed shape diversity. We also computed </w:t>
      </w:r>
      <w:r w:rsidR="00331B07" w:rsidRPr="00374BE0">
        <w:rPr>
          <w:rFonts w:ascii="Arial" w:hAnsi="Arial" w:cs="Arial"/>
          <w:sz w:val="20"/>
        </w:rPr>
        <w:t xml:space="preserve">natural logarithm of </w:t>
      </w:r>
      <w:r w:rsidRPr="00374BE0">
        <w:rPr>
          <w:rFonts w:ascii="Arial" w:hAnsi="Arial" w:cs="Arial"/>
          <w:sz w:val="20"/>
        </w:rPr>
        <w:t>the centroid size (</w:t>
      </w:r>
      <w:r w:rsidRPr="00374BE0">
        <w:rPr>
          <w:rFonts w:ascii="Arial" w:hAnsi="Arial" w:cs="Arial"/>
          <w:b/>
          <w:bCs/>
          <w:sz w:val="20"/>
        </w:rPr>
        <w:t>d</w:t>
      </w:r>
      <w:r w:rsidRPr="00374BE0">
        <w:rPr>
          <w:rFonts w:ascii="Arial" w:hAnsi="Arial" w:cs="Arial"/>
          <w:sz w:val="20"/>
        </w:rPr>
        <w:t xml:space="preserve">) for the aforementioned specimens (red dots). The </w:t>
      </w:r>
      <w:r w:rsidR="00331B07" w:rsidRPr="00374BE0">
        <w:rPr>
          <w:rFonts w:ascii="Arial" w:hAnsi="Arial" w:cs="Arial"/>
          <w:sz w:val="20"/>
        </w:rPr>
        <w:t xml:space="preserve">newly segmented </w:t>
      </w:r>
      <w:r w:rsidRPr="00374BE0">
        <w:rPr>
          <w:rFonts w:ascii="Arial" w:hAnsi="Arial" w:cs="Arial"/>
          <w:sz w:val="20"/>
        </w:rPr>
        <w:t xml:space="preserve">specimens </w:t>
      </w:r>
      <w:r w:rsidR="00331B07" w:rsidRPr="00374BE0">
        <w:rPr>
          <w:rFonts w:ascii="Arial" w:hAnsi="Arial" w:cs="Arial"/>
          <w:sz w:val="20"/>
        </w:rPr>
        <w:t xml:space="preserve">fall within the group ranges and thus </w:t>
      </w:r>
      <w:r w:rsidRPr="00374BE0">
        <w:rPr>
          <w:rFonts w:ascii="Arial" w:hAnsi="Arial" w:cs="Arial"/>
          <w:sz w:val="20"/>
        </w:rPr>
        <w:t xml:space="preserve">demonstrate </w:t>
      </w:r>
      <w:r w:rsidR="00331B07" w:rsidRPr="00374BE0">
        <w:rPr>
          <w:rFonts w:ascii="Arial" w:hAnsi="Arial" w:cs="Arial"/>
          <w:sz w:val="20"/>
        </w:rPr>
        <w:t>how differences in voxel size or scan type are not the source of the observed range of variation in semicircular canal and vestibule size.</w:t>
      </w:r>
      <w:r w:rsidR="00B1771B">
        <w:rPr>
          <w:rFonts w:ascii="Arial" w:hAnsi="Arial" w:cs="Arial"/>
          <w:sz w:val="20"/>
        </w:rPr>
        <w:t xml:space="preserve"> </w:t>
      </w:r>
      <w:r w:rsidR="00B1771B" w:rsidRPr="00B1771B">
        <w:rPr>
          <w:rFonts w:ascii="Arial" w:hAnsi="Arial" w:cs="Arial"/>
          <w:sz w:val="20"/>
        </w:rPr>
        <w:t xml:space="preserve">Source data for this figure can be reproduced using the code and files provided in Supplementary Code 1 and Supplementary Data </w:t>
      </w:r>
      <w:r w:rsidR="00DD51F9">
        <w:rPr>
          <w:rFonts w:ascii="Arial" w:hAnsi="Arial" w:cs="Arial"/>
          <w:sz w:val="20"/>
        </w:rPr>
        <w:t>3.</w:t>
      </w:r>
    </w:p>
    <w:p w14:paraId="407C497C" w14:textId="77777777" w:rsidR="0033770D" w:rsidRPr="00374BE0" w:rsidRDefault="0033770D">
      <w:pPr>
        <w:rPr>
          <w:rFonts w:ascii="Arial" w:hAnsi="Arial" w:cs="Arial"/>
          <w:sz w:val="20"/>
        </w:rPr>
      </w:pPr>
      <w:r w:rsidRPr="00374BE0">
        <w:rPr>
          <w:rFonts w:ascii="Arial" w:hAnsi="Arial" w:cs="Arial"/>
          <w:sz w:val="20"/>
        </w:rPr>
        <w:br w:type="page"/>
      </w:r>
    </w:p>
    <w:p w14:paraId="5B43B7AF" w14:textId="54DE420F" w:rsidR="002366E1" w:rsidRPr="00374BE0" w:rsidRDefault="002078FA" w:rsidP="009417BC">
      <w:pPr>
        <w:pStyle w:val="SMcaption"/>
        <w:spacing w:line="480" w:lineRule="auto"/>
        <w:jc w:val="both"/>
        <w:rPr>
          <w:rFonts w:ascii="Arial" w:hAnsi="Arial" w:cs="Arial"/>
          <w:sz w:val="20"/>
        </w:rPr>
        <w:sectPr w:rsidR="002366E1" w:rsidRPr="00374BE0" w:rsidSect="00B737EA">
          <w:headerReference w:type="default" r:id="rId13"/>
          <w:footerReference w:type="even" r:id="rId14"/>
          <w:footerReference w:type="default" r:id="rId15"/>
          <w:pgSz w:w="11907" w:h="16839" w:code="9"/>
          <w:pgMar w:top="1440" w:right="1440" w:bottom="1440" w:left="1440" w:header="720" w:footer="720" w:gutter="0"/>
          <w:pgNumType w:start="1"/>
          <w:cols w:space="720"/>
          <w:docGrid w:linePitch="360"/>
        </w:sectPr>
      </w:pPr>
      <w:r w:rsidRPr="00374BE0">
        <w:rPr>
          <w:rFonts w:ascii="Arial" w:hAnsi="Arial" w:cs="Arial"/>
          <w:b/>
          <w:bCs/>
          <w:sz w:val="20"/>
        </w:rPr>
        <w:lastRenderedPageBreak/>
        <w:drawing>
          <wp:anchor distT="0" distB="0" distL="114300" distR="114300" simplePos="0" relativeHeight="251660288" behindDoc="0" locked="0" layoutInCell="1" allowOverlap="1" wp14:anchorId="3F0CDD01" wp14:editId="05E30820">
            <wp:simplePos x="914400" y="914400"/>
            <wp:positionH relativeFrom="margin">
              <wp:align>center</wp:align>
            </wp:positionH>
            <wp:positionV relativeFrom="margin">
              <wp:align>top</wp:align>
            </wp:positionV>
            <wp:extent cx="5732145" cy="7411085"/>
            <wp:effectExtent l="0" t="0" r="1905" b="0"/>
            <wp:wrapSquare wrapText="bothSides"/>
            <wp:docPr id="1207081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81842"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7411258"/>
                    </a:xfrm>
                    <a:prstGeom prst="rect">
                      <a:avLst/>
                    </a:prstGeom>
                  </pic:spPr>
                </pic:pic>
              </a:graphicData>
            </a:graphic>
            <wp14:sizeRelH relativeFrom="page">
              <wp14:pctWidth>0</wp14:pctWidth>
            </wp14:sizeRelH>
            <wp14:sizeRelV relativeFrom="page">
              <wp14:pctHeight>0</wp14:pctHeight>
            </wp14:sizeRelV>
          </wp:anchor>
        </w:drawing>
      </w:r>
      <w:r w:rsidR="0033770D" w:rsidRPr="00374BE0">
        <w:rPr>
          <w:rFonts w:ascii="Arial" w:hAnsi="Arial" w:cs="Arial"/>
          <w:b/>
          <w:bCs/>
          <w:sz w:val="20"/>
        </w:rPr>
        <w:t>Supplementary Figure</w:t>
      </w:r>
      <w:r w:rsidR="00874AEA" w:rsidRPr="00374BE0">
        <w:rPr>
          <w:rFonts w:ascii="Arial" w:hAnsi="Arial" w:cs="Arial"/>
          <w:b/>
          <w:bCs/>
          <w:sz w:val="20"/>
        </w:rPr>
        <w:t xml:space="preserve"> 4</w:t>
      </w:r>
      <w:r w:rsidR="0033770D" w:rsidRPr="00374BE0">
        <w:rPr>
          <w:rFonts w:ascii="Arial" w:hAnsi="Arial" w:cs="Arial"/>
          <w:b/>
          <w:bCs/>
          <w:sz w:val="20"/>
        </w:rPr>
        <w:t xml:space="preserve">. </w:t>
      </w:r>
      <w:r w:rsidR="0033770D" w:rsidRPr="00374BE0">
        <w:rPr>
          <w:rFonts w:ascii="Arial" w:hAnsi="Arial" w:cs="Arial"/>
          <w:sz w:val="20"/>
        </w:rPr>
        <w:t>To assess the influence of (</w:t>
      </w:r>
      <w:r w:rsidR="0033770D" w:rsidRPr="00374BE0">
        <w:rPr>
          <w:rFonts w:ascii="Arial" w:hAnsi="Arial" w:cs="Arial"/>
          <w:b/>
          <w:bCs/>
          <w:sz w:val="20"/>
        </w:rPr>
        <w:t>a</w:t>
      </w:r>
      <w:r w:rsidR="0033770D" w:rsidRPr="00374BE0">
        <w:rPr>
          <w:rFonts w:ascii="Arial" w:hAnsi="Arial" w:cs="Arial"/>
          <w:sz w:val="20"/>
        </w:rPr>
        <w:t>) segmentation and (</w:t>
      </w:r>
      <w:r w:rsidR="0033770D" w:rsidRPr="00374BE0">
        <w:rPr>
          <w:rFonts w:ascii="Arial" w:hAnsi="Arial" w:cs="Arial"/>
          <w:b/>
          <w:bCs/>
          <w:sz w:val="20"/>
        </w:rPr>
        <w:t>b</w:t>
      </w:r>
      <w:r w:rsidR="0033770D" w:rsidRPr="00374BE0">
        <w:rPr>
          <w:rFonts w:ascii="Arial" w:hAnsi="Arial" w:cs="Arial"/>
          <w:sz w:val="20"/>
        </w:rPr>
        <w:t>) alignment protocols, we performed two separate tests. (</w:t>
      </w:r>
      <w:r w:rsidR="0033770D" w:rsidRPr="00374BE0">
        <w:rPr>
          <w:rFonts w:ascii="Arial" w:hAnsi="Arial" w:cs="Arial"/>
          <w:b/>
          <w:bCs/>
          <w:sz w:val="20"/>
        </w:rPr>
        <w:t>a</w:t>
      </w:r>
      <w:r w:rsidR="0033770D" w:rsidRPr="00374BE0">
        <w:rPr>
          <w:rFonts w:ascii="Arial" w:hAnsi="Arial" w:cs="Arial"/>
          <w:sz w:val="20"/>
        </w:rPr>
        <w:t>) The segmentation-related errors in our analysis we inspected by segmenting three times</w:t>
      </w:r>
      <w:r w:rsidR="00A7662A" w:rsidRPr="00374BE0">
        <w:rPr>
          <w:rFonts w:ascii="Arial" w:hAnsi="Arial" w:cs="Arial"/>
          <w:sz w:val="20"/>
        </w:rPr>
        <w:t xml:space="preserve"> (with intervals between the replicates)</w:t>
      </w:r>
      <w:r w:rsidR="0033770D" w:rsidRPr="00374BE0">
        <w:rPr>
          <w:rFonts w:ascii="Arial" w:hAnsi="Arial" w:cs="Arial"/>
          <w:sz w:val="20"/>
        </w:rPr>
        <w:t xml:space="preserve"> four individuals (one modern extant human [F01], one Krapina Neanderthal [Krapina 39.3], one Late Pleistocene Neanderthal [Amud 7], and a Sima de los Huesos human [Cr.3]). The specimens were selected due to their different state of </w:t>
      </w:r>
      <w:r w:rsidR="0033770D" w:rsidRPr="00374BE0">
        <w:rPr>
          <w:rFonts w:ascii="Arial" w:hAnsi="Arial" w:cs="Arial"/>
          <w:sz w:val="20"/>
        </w:rPr>
        <w:lastRenderedPageBreak/>
        <w:t xml:space="preserve">conservation (Amud 7, Cr.3, and Krapina 39.3 showing abundant sediment in the bony labyrinth cavities, whereas F01’s inner ear was free of any inclusion) and/or different scanning parameters (F01 and Amud 7 being microCTs, whereas Cr.3 and Krapina 39.3 were scanned using a medical CT scan). The segmentation repetitions were performed by the same author (A.U.) on separate days with an interval of a week between each attempt to ensure the independence of the segmentation attempts. </w:t>
      </w:r>
      <w:r w:rsidR="00A7662A" w:rsidRPr="00374BE0">
        <w:rPr>
          <w:rFonts w:ascii="Arial" w:hAnsi="Arial" w:cs="Arial"/>
          <w:sz w:val="20"/>
        </w:rPr>
        <w:t>(</w:t>
      </w:r>
      <w:r w:rsidR="00A7662A" w:rsidRPr="00374BE0">
        <w:rPr>
          <w:rFonts w:ascii="Arial" w:hAnsi="Arial" w:cs="Arial"/>
          <w:b/>
          <w:bCs/>
          <w:sz w:val="20"/>
        </w:rPr>
        <w:t>b</w:t>
      </w:r>
      <w:r w:rsidR="00A7662A" w:rsidRPr="00374BE0">
        <w:rPr>
          <w:rFonts w:ascii="Arial" w:hAnsi="Arial" w:cs="Arial"/>
          <w:sz w:val="20"/>
        </w:rPr>
        <w:t xml:space="preserve">) The effect of the initial position of the 3D model during the alignment procedure was tested by </w:t>
      </w:r>
      <w:r w:rsidR="00B459E0" w:rsidRPr="00374BE0">
        <w:rPr>
          <w:rFonts w:ascii="Arial" w:hAnsi="Arial" w:cs="Arial"/>
          <w:sz w:val="20"/>
        </w:rPr>
        <w:t>performing the alignment several times starting from different initial positions in space and applying our alignment protocol (see Materials and Methods section). For both tests, the replicates were inspected by means of a PCA performed on the shape data obtained from a DMorph analysis. The results show that regardless of the initial conditions for the scans, the error associated with the segmentation (computed as the average of the Euclidean distances between the replicates</w:t>
      </w:r>
      <w:r w:rsidR="002857A6" w:rsidRPr="00374BE0">
        <w:rPr>
          <w:rFonts w:ascii="Arial" w:hAnsi="Arial" w:cs="Arial"/>
          <w:sz w:val="20"/>
        </w:rPr>
        <w:t xml:space="preserve"> in </w:t>
      </w:r>
      <w:r w:rsidR="00B459E0" w:rsidRPr="00374BE0">
        <w:rPr>
          <w:rFonts w:ascii="Arial" w:hAnsi="Arial" w:cs="Arial"/>
          <w:sz w:val="20"/>
        </w:rPr>
        <w:t>PC1-3</w:t>
      </w:r>
      <w:r w:rsidR="002857A6" w:rsidRPr="00374BE0">
        <w:rPr>
          <w:rFonts w:ascii="Arial" w:hAnsi="Arial" w:cs="Arial"/>
          <w:sz w:val="20"/>
        </w:rPr>
        <w:t>,</w:t>
      </w:r>
      <w:r w:rsidR="00B459E0" w:rsidRPr="00374BE0">
        <w:rPr>
          <w:rFonts w:ascii="Arial" w:hAnsi="Arial" w:cs="Arial"/>
          <w:sz w:val="20"/>
        </w:rPr>
        <w:t xml:space="preserve"> 98.8% </w:t>
      </w:r>
      <w:r w:rsidR="002857A6" w:rsidRPr="00374BE0">
        <w:rPr>
          <w:rFonts w:ascii="Arial" w:hAnsi="Arial" w:cs="Arial"/>
          <w:sz w:val="20"/>
        </w:rPr>
        <w:t xml:space="preserve">and 99.9% </w:t>
      </w:r>
      <w:r w:rsidR="00B459E0" w:rsidRPr="00374BE0">
        <w:rPr>
          <w:rFonts w:ascii="Arial" w:hAnsi="Arial" w:cs="Arial"/>
          <w:sz w:val="20"/>
        </w:rPr>
        <w:t>of variance</w:t>
      </w:r>
      <w:r w:rsidR="002857A6" w:rsidRPr="00374BE0">
        <w:rPr>
          <w:rFonts w:ascii="Arial" w:hAnsi="Arial" w:cs="Arial"/>
          <w:sz w:val="20"/>
        </w:rPr>
        <w:t>, respectively</w:t>
      </w:r>
      <w:r w:rsidR="00B459E0" w:rsidRPr="00374BE0">
        <w:rPr>
          <w:rFonts w:ascii="Arial" w:hAnsi="Arial" w:cs="Arial"/>
          <w:sz w:val="20"/>
        </w:rPr>
        <w:t xml:space="preserve">) was always ≤ 2% than the average interindividual distance. </w:t>
      </w:r>
      <w:r w:rsidR="002857A6" w:rsidRPr="00374BE0">
        <w:rPr>
          <w:rFonts w:ascii="Arial" w:hAnsi="Arial" w:cs="Arial"/>
          <w:sz w:val="20"/>
        </w:rPr>
        <w:t xml:space="preserve">Hence, we can rule out a significant effect of segmentation or alignment </w:t>
      </w:r>
      <w:r w:rsidR="00E21A8F" w:rsidRPr="00374BE0">
        <w:rPr>
          <w:rFonts w:ascii="Arial" w:hAnsi="Arial" w:cs="Arial"/>
          <w:sz w:val="20"/>
        </w:rPr>
        <w:t>in</w:t>
      </w:r>
      <w:r w:rsidR="00086521" w:rsidRPr="00374BE0">
        <w:rPr>
          <w:rFonts w:ascii="Arial" w:hAnsi="Arial" w:cs="Arial"/>
          <w:sz w:val="20"/>
        </w:rPr>
        <w:t xml:space="preserve"> the current </w:t>
      </w:r>
      <w:r w:rsidR="001B3881" w:rsidRPr="00374BE0">
        <w:rPr>
          <w:rFonts w:ascii="Arial" w:hAnsi="Arial" w:cs="Arial"/>
          <w:sz w:val="20"/>
        </w:rPr>
        <w:t>DMorph</w:t>
      </w:r>
      <w:r w:rsidR="00086521" w:rsidRPr="00374BE0">
        <w:rPr>
          <w:rFonts w:ascii="Arial" w:hAnsi="Arial" w:cs="Arial"/>
          <w:sz w:val="20"/>
        </w:rPr>
        <w:t xml:space="preserve"> shape analyses</w:t>
      </w:r>
      <w:r w:rsidR="001B3881" w:rsidRPr="00374BE0">
        <w:rPr>
          <w:rFonts w:ascii="Arial" w:hAnsi="Arial" w:cs="Arial"/>
          <w:sz w:val="20"/>
        </w:rPr>
        <w:t>.</w:t>
      </w:r>
      <w:r w:rsidR="00B1771B">
        <w:rPr>
          <w:rFonts w:ascii="Arial" w:hAnsi="Arial" w:cs="Arial"/>
          <w:sz w:val="20"/>
        </w:rPr>
        <w:t xml:space="preserve"> </w:t>
      </w:r>
      <w:r w:rsidR="00B1771B" w:rsidRPr="00B1771B">
        <w:rPr>
          <w:rFonts w:ascii="Arial" w:hAnsi="Arial" w:cs="Arial"/>
          <w:sz w:val="20"/>
        </w:rPr>
        <w:t xml:space="preserve">Source data for this figure can be reproduced using the code and files provided in Supplementary Code 1 and Supplementary Data </w:t>
      </w:r>
      <w:r w:rsidR="00DD51F9">
        <w:rPr>
          <w:rFonts w:ascii="Arial" w:hAnsi="Arial" w:cs="Arial"/>
          <w:sz w:val="20"/>
        </w:rPr>
        <w:t>3.</w:t>
      </w:r>
      <w:r w:rsidR="00C75DBC" w:rsidRPr="00374BE0">
        <w:rPr>
          <w:rFonts w:ascii="Arial" w:hAnsi="Arial" w:cs="Arial"/>
          <w:b/>
          <w:bCs/>
          <w:sz w:val="20"/>
        </w:rPr>
        <w:br w:type="page"/>
      </w:r>
    </w:p>
    <w:p w14:paraId="276C4E5F" w14:textId="11A33561" w:rsidR="0040633D" w:rsidRPr="00374BE0" w:rsidRDefault="009B6C02" w:rsidP="0077348E">
      <w:pPr>
        <w:spacing w:line="480" w:lineRule="auto"/>
        <w:rPr>
          <w:rFonts w:ascii="Arial" w:hAnsi="Arial" w:cs="Arial"/>
          <w:sz w:val="20"/>
        </w:rPr>
      </w:pPr>
      <w:bookmarkStart w:id="3" w:name="_Hlk185345998"/>
      <w:r w:rsidRPr="00374BE0">
        <w:rPr>
          <w:rFonts w:ascii="Arial" w:hAnsi="Arial" w:cs="Arial"/>
          <w:b/>
          <w:sz w:val="20"/>
        </w:rPr>
        <w:lastRenderedPageBreak/>
        <w:t xml:space="preserve">Supplementary Table </w:t>
      </w:r>
      <w:r w:rsidR="009661F4" w:rsidRPr="00374BE0">
        <w:rPr>
          <w:rFonts w:ascii="Arial" w:hAnsi="Arial" w:cs="Arial"/>
          <w:b/>
          <w:sz w:val="20"/>
        </w:rPr>
        <w:t xml:space="preserve">1. </w:t>
      </w:r>
      <w:bookmarkEnd w:id="3"/>
      <w:r w:rsidR="0040633D" w:rsidRPr="00374BE0">
        <w:rPr>
          <w:rFonts w:ascii="Arial" w:hAnsi="Arial" w:cs="Arial"/>
          <w:b/>
          <w:bCs/>
          <w:sz w:val="20"/>
        </w:rPr>
        <w:t>Results of morphological variance</w:t>
      </w:r>
      <w:r w:rsidR="00274777" w:rsidRPr="00374BE0">
        <w:rPr>
          <w:rFonts w:ascii="Arial" w:hAnsi="Arial" w:cs="Arial"/>
          <w:b/>
          <w:bCs/>
          <w:sz w:val="20"/>
        </w:rPr>
        <w:t>,</w:t>
      </w:r>
      <w:r w:rsidR="0040633D" w:rsidRPr="00374BE0">
        <w:rPr>
          <w:rFonts w:ascii="Arial" w:hAnsi="Arial" w:cs="Arial"/>
          <w:b/>
          <w:bCs/>
          <w:sz w:val="20"/>
        </w:rPr>
        <w:t xml:space="preserve"> disparity</w:t>
      </w:r>
      <w:r w:rsidR="00274777" w:rsidRPr="00374BE0">
        <w:rPr>
          <w:rFonts w:ascii="Arial" w:hAnsi="Arial" w:cs="Arial"/>
          <w:b/>
          <w:bCs/>
          <w:sz w:val="20"/>
        </w:rPr>
        <w:t>, and pair-wise Euclidean distance</w:t>
      </w:r>
      <w:r w:rsidR="0040633D" w:rsidRPr="00374BE0">
        <w:rPr>
          <w:rFonts w:ascii="Arial" w:hAnsi="Arial" w:cs="Arial"/>
          <w:b/>
          <w:bCs/>
          <w:sz w:val="20"/>
        </w:rPr>
        <w:t xml:space="preserve"> analyses</w:t>
      </w:r>
      <w:r w:rsidR="00A3151A" w:rsidRPr="00374BE0">
        <w:rPr>
          <w:rFonts w:ascii="Arial" w:hAnsi="Arial" w:cs="Arial"/>
          <w:b/>
          <w:bCs/>
          <w:sz w:val="20"/>
        </w:rPr>
        <w:t xml:space="preserve"> </w:t>
      </w:r>
      <w:r w:rsidR="00274777" w:rsidRPr="00374BE0">
        <w:rPr>
          <w:rFonts w:ascii="Arial" w:hAnsi="Arial" w:cs="Arial"/>
          <w:b/>
          <w:bCs/>
          <w:sz w:val="20"/>
        </w:rPr>
        <w:t xml:space="preserve">considering group </w:t>
      </w:r>
      <w:r w:rsidR="00A3151A" w:rsidRPr="00374BE0">
        <w:rPr>
          <w:rFonts w:ascii="Arial" w:hAnsi="Arial" w:cs="Arial"/>
          <w:b/>
          <w:bCs/>
          <w:sz w:val="20"/>
        </w:rPr>
        <w:t>rarefaction</w:t>
      </w:r>
      <w:r w:rsidR="0040633D" w:rsidRPr="00374BE0">
        <w:rPr>
          <w:rFonts w:ascii="Arial" w:hAnsi="Arial" w:cs="Arial"/>
          <w:b/>
          <w:bCs/>
          <w:sz w:val="20"/>
        </w:rPr>
        <w:t xml:space="preserve">. </w:t>
      </w:r>
      <w:bookmarkStart w:id="4" w:name="_Hlk173851061"/>
      <w:r w:rsidR="00A3151A" w:rsidRPr="00374BE0">
        <w:rPr>
          <w:rFonts w:ascii="Arial" w:hAnsi="Arial" w:cs="Arial"/>
          <w:sz w:val="20"/>
        </w:rPr>
        <w:t>M</w:t>
      </w:r>
      <w:r w:rsidR="0040633D" w:rsidRPr="00374BE0">
        <w:rPr>
          <w:rFonts w:ascii="Arial" w:hAnsi="Arial" w:cs="Arial"/>
          <w:sz w:val="20"/>
        </w:rPr>
        <w:t>ean morphological variance</w:t>
      </w:r>
      <w:r w:rsidR="00B26A88" w:rsidRPr="00374BE0">
        <w:rPr>
          <w:rFonts w:ascii="Arial" w:hAnsi="Arial" w:cs="Arial"/>
          <w:sz w:val="20"/>
        </w:rPr>
        <w:t>,</w:t>
      </w:r>
      <w:r w:rsidR="0040633D" w:rsidRPr="00374BE0">
        <w:rPr>
          <w:rFonts w:ascii="Arial" w:hAnsi="Arial" w:cs="Arial"/>
          <w:sz w:val="20"/>
        </w:rPr>
        <w:t xml:space="preserve"> disparity</w:t>
      </w:r>
      <w:r w:rsidR="00B26A88" w:rsidRPr="00374BE0">
        <w:rPr>
          <w:rFonts w:ascii="Arial" w:hAnsi="Arial" w:cs="Arial"/>
          <w:sz w:val="20"/>
        </w:rPr>
        <w:t xml:space="preserve">, and pair-wise Euclidean distance </w:t>
      </w:r>
      <w:r w:rsidR="00A3151A" w:rsidRPr="00374BE0">
        <w:rPr>
          <w:rFonts w:ascii="Arial" w:hAnsi="Arial" w:cs="Arial"/>
          <w:sz w:val="20"/>
        </w:rPr>
        <w:t xml:space="preserve">for </w:t>
      </w:r>
      <w:r w:rsidR="00B26A88" w:rsidRPr="00374BE0">
        <w:rPr>
          <w:rFonts w:ascii="Arial" w:hAnsi="Arial" w:cs="Arial"/>
          <w:sz w:val="20"/>
        </w:rPr>
        <w:t xml:space="preserve">the bootstrapped PC scores (PC1-19) of each </w:t>
      </w:r>
      <w:r w:rsidR="00A3151A" w:rsidRPr="00374BE0">
        <w:rPr>
          <w:rFonts w:ascii="Arial" w:hAnsi="Arial" w:cs="Arial"/>
          <w:sz w:val="20"/>
        </w:rPr>
        <w:t>group</w:t>
      </w:r>
      <w:r w:rsidR="00B26A88" w:rsidRPr="00374BE0">
        <w:rPr>
          <w:rFonts w:ascii="Arial" w:hAnsi="Arial" w:cs="Arial"/>
          <w:sz w:val="20"/>
        </w:rPr>
        <w:t>.</w:t>
      </w:r>
      <w:bookmarkEnd w:id="4"/>
      <w:r w:rsidR="00A3151A" w:rsidRPr="00374BE0">
        <w:rPr>
          <w:rFonts w:ascii="Arial" w:hAnsi="Arial" w:cs="Arial"/>
          <w:sz w:val="20"/>
        </w:rPr>
        <w:t xml:space="preserve"> </w:t>
      </w:r>
      <w:bookmarkStart w:id="5" w:name="_Hlk173851082"/>
      <w:bookmarkStart w:id="6" w:name="_Hlk185339254"/>
      <w:r w:rsidR="009E1E78">
        <w:rPr>
          <w:rFonts w:ascii="Arial" w:hAnsi="Arial" w:cs="Arial"/>
          <w:sz w:val="20"/>
        </w:rPr>
        <w:t xml:space="preserve">Group </w:t>
      </w:r>
      <w:bookmarkEnd w:id="6"/>
      <w:r w:rsidR="00A3151A" w:rsidRPr="00374BE0">
        <w:rPr>
          <w:rFonts w:ascii="Arial" w:hAnsi="Arial" w:cs="Arial"/>
          <w:sz w:val="20"/>
        </w:rPr>
        <w:t xml:space="preserve">differences </w:t>
      </w:r>
      <w:bookmarkStart w:id="7" w:name="_Hlk185339266"/>
      <w:r w:rsidR="009E1E78">
        <w:rPr>
          <w:rFonts w:ascii="Arial" w:hAnsi="Arial" w:cs="Arial"/>
          <w:sz w:val="20"/>
        </w:rPr>
        <w:t xml:space="preserve">were tested by means of Wilcoxon test performed on the </w:t>
      </w:r>
      <w:r w:rsidR="009E1E78" w:rsidRPr="009E1E78">
        <w:rPr>
          <w:rFonts w:ascii="Arial" w:hAnsi="Arial" w:cs="Arial"/>
          <w:sz w:val="20"/>
        </w:rPr>
        <w:t xml:space="preserve">bootstrapped </w:t>
      </w:r>
      <w:r w:rsidR="009E1E78">
        <w:rPr>
          <w:rFonts w:ascii="Arial" w:hAnsi="Arial" w:cs="Arial"/>
          <w:sz w:val="20"/>
        </w:rPr>
        <w:t>distributions, using Bonferroni’s adjustment. Differences</w:t>
      </w:r>
      <w:bookmarkEnd w:id="7"/>
      <w:r w:rsidR="009E1E78">
        <w:rPr>
          <w:rFonts w:ascii="Arial" w:hAnsi="Arial" w:cs="Arial"/>
          <w:sz w:val="20"/>
        </w:rPr>
        <w:t xml:space="preserve"> </w:t>
      </w:r>
      <w:r w:rsidR="00B26A88" w:rsidRPr="00374BE0">
        <w:rPr>
          <w:rFonts w:ascii="Arial" w:hAnsi="Arial" w:cs="Arial"/>
          <w:sz w:val="20"/>
        </w:rPr>
        <w:t>were</w:t>
      </w:r>
      <w:r w:rsidR="00A3151A" w:rsidRPr="00374BE0">
        <w:rPr>
          <w:rFonts w:ascii="Arial" w:hAnsi="Arial" w:cs="Arial"/>
          <w:sz w:val="20"/>
        </w:rPr>
        <w:t xml:space="preserve"> significant </w:t>
      </w:r>
      <w:bookmarkStart w:id="8" w:name="_Hlk185339600"/>
      <w:r w:rsidR="00751E91" w:rsidRPr="00751E91">
        <w:rPr>
          <w:rFonts w:ascii="Arial" w:hAnsi="Arial" w:cs="Arial"/>
          <w:sz w:val="20"/>
        </w:rPr>
        <w:t>(p &lt; 0.001)</w:t>
      </w:r>
      <w:r w:rsidR="00751E91">
        <w:rPr>
          <w:rFonts w:ascii="Arial" w:hAnsi="Arial" w:cs="Arial"/>
          <w:sz w:val="20"/>
        </w:rPr>
        <w:t xml:space="preserve"> </w:t>
      </w:r>
      <w:bookmarkStart w:id="9" w:name="_Hlk185339285"/>
      <w:bookmarkEnd w:id="5"/>
      <w:bookmarkEnd w:id="8"/>
      <w:r w:rsidR="009E1E78">
        <w:rPr>
          <w:rFonts w:ascii="Arial" w:hAnsi="Arial" w:cs="Arial"/>
          <w:sz w:val="20"/>
        </w:rPr>
        <w:t>for all the group pairs</w:t>
      </w:r>
      <w:bookmarkEnd w:id="9"/>
      <w:r w:rsidR="009E1E78">
        <w:rPr>
          <w:rFonts w:ascii="Arial" w:hAnsi="Arial" w:cs="Arial"/>
          <w:sz w:val="20"/>
        </w:rPr>
        <w:t xml:space="preserve"> </w:t>
      </w:r>
      <w:r w:rsidR="009E1E78" w:rsidRPr="009E1E78">
        <w:rPr>
          <w:rFonts w:ascii="Arial" w:hAnsi="Arial" w:cs="Arial"/>
          <w:sz w:val="20"/>
        </w:rPr>
        <w:t>considered</w:t>
      </w:r>
      <w:r w:rsidR="0040633D" w:rsidRPr="00374BE0">
        <w:rPr>
          <w:rFonts w:ascii="Arial" w:hAnsi="Arial" w:cs="Arial"/>
          <w:sz w:val="20"/>
        </w:rPr>
        <w:t>.</w:t>
      </w:r>
      <w:r w:rsidR="00A3151A" w:rsidRPr="00374BE0">
        <w:rPr>
          <w:rFonts w:ascii="Arial" w:hAnsi="Arial" w:cs="Arial"/>
          <w:sz w:val="20"/>
        </w:rPr>
        <w:t xml:space="preserve"> Rarefaction was set to </w:t>
      </w:r>
      <w:r w:rsidR="006D6BFD" w:rsidRPr="00374BE0">
        <w:rPr>
          <w:rFonts w:ascii="Arial" w:hAnsi="Arial" w:cs="Arial"/>
          <w:sz w:val="20"/>
        </w:rPr>
        <w:t xml:space="preserve">the </w:t>
      </w:r>
      <w:r w:rsidR="00A3151A" w:rsidRPr="00374BE0">
        <w:rPr>
          <w:rFonts w:ascii="Arial" w:hAnsi="Arial" w:cs="Arial"/>
          <w:sz w:val="20"/>
        </w:rPr>
        <w:t xml:space="preserve">minimum </w:t>
      </w:r>
      <w:r w:rsidR="006D6BFD" w:rsidRPr="00374BE0">
        <w:rPr>
          <w:rFonts w:ascii="Arial" w:hAnsi="Arial" w:cs="Arial"/>
          <w:sz w:val="20"/>
        </w:rPr>
        <w:t>group size of 9 individuals</w:t>
      </w:r>
      <w:r w:rsidR="005F34D7" w:rsidRPr="00374BE0">
        <w:rPr>
          <w:rFonts w:ascii="Arial" w:hAnsi="Arial" w:cs="Arial"/>
          <w:sz w:val="20"/>
        </w:rPr>
        <w:t xml:space="preserve"> of late Neanderthals</w:t>
      </w:r>
      <w:r w:rsidR="006D6BFD" w:rsidRPr="00374BE0">
        <w:rPr>
          <w:rFonts w:ascii="Arial" w:hAnsi="Arial" w:cs="Arial"/>
          <w:sz w:val="20"/>
        </w:rPr>
        <w:t>.</w:t>
      </w:r>
      <w:r w:rsidR="00B1771B">
        <w:rPr>
          <w:rFonts w:ascii="Arial" w:hAnsi="Arial" w:cs="Arial"/>
          <w:sz w:val="20"/>
        </w:rPr>
        <w:t xml:space="preserve"> </w:t>
      </w:r>
      <w:bookmarkStart w:id="10" w:name="_Hlk185337258"/>
      <w:bookmarkStart w:id="11" w:name="_Hlk185339378"/>
      <w:r w:rsidR="00B1771B">
        <w:rPr>
          <w:rFonts w:ascii="Arial" w:hAnsi="Arial" w:cs="Arial"/>
          <w:sz w:val="20"/>
        </w:rPr>
        <w:t xml:space="preserve">The metrics were computed using the </w:t>
      </w:r>
      <w:r w:rsidR="00B1771B" w:rsidRPr="00B1771B">
        <w:rPr>
          <w:rFonts w:ascii="Arial" w:hAnsi="Arial" w:cs="Arial"/>
          <w:sz w:val="20"/>
        </w:rPr>
        <w:t xml:space="preserve">code and files provided in Supplementary Code 1 and Supplementary Data </w:t>
      </w:r>
      <w:bookmarkEnd w:id="10"/>
      <w:r w:rsidR="00DD51F9">
        <w:rPr>
          <w:rFonts w:ascii="Arial" w:hAnsi="Arial" w:cs="Arial"/>
          <w:sz w:val="20"/>
        </w:rPr>
        <w:t>3</w:t>
      </w:r>
      <w:r w:rsidR="00B1771B">
        <w:rPr>
          <w:rFonts w:ascii="Arial" w:hAnsi="Arial" w:cs="Arial"/>
          <w:sz w:val="20"/>
        </w:rPr>
        <w:t>.</w:t>
      </w:r>
      <w:bookmarkEnd w:id="11"/>
    </w:p>
    <w:tbl>
      <w:tblPr>
        <w:tblW w:w="9334" w:type="dxa"/>
        <w:tblCellMar>
          <w:left w:w="0" w:type="dxa"/>
          <w:right w:w="0" w:type="dxa"/>
        </w:tblCellMar>
        <w:tblLook w:val="04A0" w:firstRow="1" w:lastRow="0" w:firstColumn="1" w:lastColumn="0" w:noHBand="0" w:noVBand="1"/>
      </w:tblPr>
      <w:tblGrid>
        <w:gridCol w:w="2268"/>
        <w:gridCol w:w="1492"/>
        <w:gridCol w:w="2009"/>
        <w:gridCol w:w="1662"/>
        <w:gridCol w:w="1903"/>
      </w:tblGrid>
      <w:tr w:rsidR="0040633D" w:rsidRPr="00374BE0" w14:paraId="55D9F8E3" w14:textId="77777777" w:rsidTr="00B737EA">
        <w:trPr>
          <w:trHeight w:val="300"/>
        </w:trPr>
        <w:tc>
          <w:tcPr>
            <w:tcW w:w="2268" w:type="dxa"/>
          </w:tcPr>
          <w:p w14:paraId="010748D7" w14:textId="77777777" w:rsidR="0040633D" w:rsidRPr="00374BE0" w:rsidRDefault="0040633D" w:rsidP="00EA11EC">
            <w:pPr>
              <w:spacing w:line="480" w:lineRule="auto"/>
              <w:contextualSpacing/>
              <w:jc w:val="center"/>
              <w:textAlignment w:val="baseline"/>
              <w:rPr>
                <w:rFonts w:ascii="Arial" w:hAnsi="Arial" w:cs="Arial"/>
                <w:sz w:val="20"/>
              </w:rPr>
            </w:pPr>
          </w:p>
        </w:tc>
        <w:tc>
          <w:tcPr>
            <w:tcW w:w="1492" w:type="dxa"/>
            <w:vAlign w:val="center"/>
          </w:tcPr>
          <w:p w14:paraId="0F8207AC" w14:textId="49F26608" w:rsidR="0040633D" w:rsidRPr="00374BE0" w:rsidRDefault="006D6BFD" w:rsidP="00EA11EC">
            <w:pPr>
              <w:spacing w:line="480" w:lineRule="auto"/>
              <w:contextualSpacing/>
              <w:jc w:val="center"/>
              <w:textAlignment w:val="baseline"/>
              <w:rPr>
                <w:rFonts w:ascii="Arial" w:hAnsi="Arial" w:cs="Arial"/>
                <w:sz w:val="20"/>
              </w:rPr>
            </w:pPr>
            <w:r w:rsidRPr="00374BE0">
              <w:rPr>
                <w:rFonts w:ascii="Arial" w:hAnsi="Arial" w:cs="Arial"/>
                <w:sz w:val="20"/>
              </w:rPr>
              <w:t>Sima de los Huesos</w:t>
            </w:r>
          </w:p>
        </w:tc>
        <w:tc>
          <w:tcPr>
            <w:tcW w:w="2009" w:type="dxa"/>
            <w:shd w:val="clear" w:color="auto" w:fill="auto"/>
            <w:vAlign w:val="center"/>
          </w:tcPr>
          <w:p w14:paraId="0A6D015E" w14:textId="7C1405DB" w:rsidR="0040633D" w:rsidRPr="00374BE0" w:rsidRDefault="0040633D" w:rsidP="00EA11EC">
            <w:pPr>
              <w:spacing w:line="480" w:lineRule="auto"/>
              <w:contextualSpacing/>
              <w:jc w:val="center"/>
              <w:textAlignment w:val="baseline"/>
              <w:rPr>
                <w:rFonts w:ascii="Arial" w:hAnsi="Arial" w:cs="Arial"/>
                <w:sz w:val="20"/>
                <w:lang w:eastAsia="en-GB"/>
              </w:rPr>
            </w:pPr>
            <w:r w:rsidRPr="00374BE0">
              <w:rPr>
                <w:rFonts w:ascii="Arial" w:hAnsi="Arial" w:cs="Arial"/>
                <w:sz w:val="20"/>
                <w:lang w:eastAsia="en-GB"/>
              </w:rPr>
              <w:t>Kr</w:t>
            </w:r>
            <w:r w:rsidR="006D6BFD" w:rsidRPr="00374BE0">
              <w:rPr>
                <w:rFonts w:ascii="Arial" w:hAnsi="Arial" w:cs="Arial"/>
                <w:sz w:val="20"/>
                <w:lang w:eastAsia="en-GB"/>
              </w:rPr>
              <w:t>apina</w:t>
            </w:r>
          </w:p>
        </w:tc>
        <w:tc>
          <w:tcPr>
            <w:tcW w:w="1662" w:type="dxa"/>
            <w:shd w:val="clear" w:color="auto" w:fill="auto"/>
            <w:vAlign w:val="center"/>
          </w:tcPr>
          <w:p w14:paraId="12DA34C0" w14:textId="45A5B9F0" w:rsidR="0040633D" w:rsidRPr="00374BE0" w:rsidRDefault="0040633D" w:rsidP="00EA11EC">
            <w:pPr>
              <w:spacing w:line="480" w:lineRule="auto"/>
              <w:contextualSpacing/>
              <w:jc w:val="center"/>
              <w:textAlignment w:val="baseline"/>
              <w:rPr>
                <w:rFonts w:ascii="Arial" w:hAnsi="Arial" w:cs="Arial"/>
                <w:sz w:val="20"/>
                <w:lang w:eastAsia="en-GB"/>
              </w:rPr>
            </w:pPr>
            <w:r w:rsidRPr="00374BE0">
              <w:rPr>
                <w:rFonts w:ascii="Arial" w:hAnsi="Arial" w:cs="Arial"/>
                <w:sz w:val="20"/>
                <w:lang w:eastAsia="en-GB"/>
              </w:rPr>
              <w:t>L</w:t>
            </w:r>
            <w:r w:rsidR="006D6BFD" w:rsidRPr="00374BE0">
              <w:rPr>
                <w:rFonts w:ascii="Arial" w:hAnsi="Arial" w:cs="Arial"/>
                <w:sz w:val="20"/>
                <w:lang w:eastAsia="en-GB"/>
              </w:rPr>
              <w:t xml:space="preserve">ate </w:t>
            </w:r>
            <w:r w:rsidRPr="00374BE0">
              <w:rPr>
                <w:rFonts w:ascii="Arial" w:hAnsi="Arial" w:cs="Arial"/>
                <w:sz w:val="20"/>
                <w:lang w:eastAsia="en-GB"/>
              </w:rPr>
              <w:t>N</w:t>
            </w:r>
            <w:r w:rsidR="006D6BFD" w:rsidRPr="00374BE0">
              <w:rPr>
                <w:rFonts w:ascii="Arial" w:hAnsi="Arial" w:cs="Arial"/>
                <w:sz w:val="20"/>
                <w:lang w:eastAsia="en-GB"/>
              </w:rPr>
              <w:t>eanderthals</w:t>
            </w:r>
          </w:p>
        </w:tc>
        <w:tc>
          <w:tcPr>
            <w:tcW w:w="1903" w:type="dxa"/>
            <w:shd w:val="clear" w:color="auto" w:fill="auto"/>
            <w:vAlign w:val="center"/>
          </w:tcPr>
          <w:p w14:paraId="5826716B" w14:textId="236CA5E8" w:rsidR="0040633D" w:rsidRPr="00374BE0" w:rsidRDefault="0040633D" w:rsidP="00EA11EC">
            <w:pPr>
              <w:spacing w:line="480" w:lineRule="auto"/>
              <w:contextualSpacing/>
              <w:jc w:val="center"/>
              <w:textAlignment w:val="baseline"/>
              <w:rPr>
                <w:rFonts w:ascii="Arial" w:hAnsi="Arial" w:cs="Arial"/>
                <w:sz w:val="20"/>
                <w:lang w:eastAsia="en-GB"/>
              </w:rPr>
            </w:pPr>
            <w:r w:rsidRPr="00374BE0">
              <w:rPr>
                <w:rFonts w:ascii="Arial" w:hAnsi="Arial" w:cs="Arial"/>
                <w:sz w:val="20"/>
                <w:lang w:eastAsia="en-GB"/>
              </w:rPr>
              <w:t>M</w:t>
            </w:r>
            <w:r w:rsidR="006D6BFD" w:rsidRPr="00374BE0">
              <w:rPr>
                <w:rFonts w:ascii="Arial" w:hAnsi="Arial" w:cs="Arial"/>
                <w:sz w:val="20"/>
                <w:lang w:eastAsia="en-GB"/>
              </w:rPr>
              <w:t>odern humans</w:t>
            </w:r>
          </w:p>
        </w:tc>
      </w:tr>
      <w:tr w:rsidR="0040633D" w:rsidRPr="00374BE0" w14:paraId="24AC3B5D" w14:textId="77777777" w:rsidTr="00B737EA">
        <w:trPr>
          <w:trHeight w:val="300"/>
        </w:trPr>
        <w:tc>
          <w:tcPr>
            <w:tcW w:w="2268" w:type="dxa"/>
          </w:tcPr>
          <w:p w14:paraId="02864A3C" w14:textId="77777777" w:rsidR="0040633D" w:rsidRPr="00374BE0" w:rsidRDefault="0040633D" w:rsidP="00EA11EC">
            <w:pPr>
              <w:spacing w:line="480" w:lineRule="auto"/>
              <w:contextualSpacing/>
              <w:jc w:val="right"/>
              <w:textAlignment w:val="baseline"/>
              <w:rPr>
                <w:rFonts w:ascii="Arial" w:hAnsi="Arial" w:cs="Arial"/>
                <w:sz w:val="20"/>
              </w:rPr>
            </w:pPr>
            <w:r w:rsidRPr="00374BE0">
              <w:rPr>
                <w:rFonts w:ascii="Arial" w:hAnsi="Arial" w:cs="Arial"/>
                <w:sz w:val="20"/>
              </w:rPr>
              <w:t>Morphological variance</w:t>
            </w:r>
          </w:p>
        </w:tc>
        <w:tc>
          <w:tcPr>
            <w:tcW w:w="1492" w:type="dxa"/>
          </w:tcPr>
          <w:p w14:paraId="74DA85EF" w14:textId="29BA730D" w:rsidR="0040633D" w:rsidRPr="00374BE0" w:rsidRDefault="00CE312B" w:rsidP="00CE312B">
            <w:pPr>
              <w:spacing w:line="480" w:lineRule="auto"/>
              <w:contextualSpacing/>
              <w:jc w:val="center"/>
              <w:textAlignment w:val="baseline"/>
              <w:rPr>
                <w:rFonts w:ascii="Arial" w:hAnsi="Arial" w:cs="Arial"/>
                <w:sz w:val="20"/>
              </w:rPr>
            </w:pPr>
            <w:r w:rsidRPr="00374BE0">
              <w:rPr>
                <w:rFonts w:ascii="Arial" w:hAnsi="Arial" w:cs="Arial"/>
                <w:sz w:val="20"/>
              </w:rPr>
              <w:t>0.92</w:t>
            </w:r>
            <w:r w:rsidR="00E33CD8" w:rsidRPr="00374BE0">
              <w:rPr>
                <w:rFonts w:ascii="Arial" w:hAnsi="Arial" w:cs="Arial"/>
                <w:sz w:val="20"/>
              </w:rPr>
              <w:t>0</w:t>
            </w:r>
          </w:p>
        </w:tc>
        <w:tc>
          <w:tcPr>
            <w:tcW w:w="2009" w:type="dxa"/>
            <w:shd w:val="clear" w:color="auto" w:fill="auto"/>
          </w:tcPr>
          <w:p w14:paraId="7E510D1F" w14:textId="283D3358" w:rsidR="0040633D" w:rsidRPr="00374BE0" w:rsidRDefault="00CE312B" w:rsidP="00EA11EC">
            <w:pPr>
              <w:spacing w:line="480" w:lineRule="auto"/>
              <w:contextualSpacing/>
              <w:jc w:val="center"/>
              <w:textAlignment w:val="baseline"/>
              <w:rPr>
                <w:rFonts w:ascii="Arial" w:hAnsi="Arial" w:cs="Arial"/>
                <w:sz w:val="20"/>
              </w:rPr>
            </w:pPr>
            <w:r w:rsidRPr="00374BE0">
              <w:rPr>
                <w:rFonts w:ascii="Arial" w:hAnsi="Arial" w:cs="Arial"/>
                <w:sz w:val="20"/>
              </w:rPr>
              <w:t>0.96</w:t>
            </w:r>
            <w:r w:rsidR="00E33CD8" w:rsidRPr="00374BE0">
              <w:rPr>
                <w:rFonts w:ascii="Arial" w:hAnsi="Arial" w:cs="Arial"/>
                <w:sz w:val="20"/>
              </w:rPr>
              <w:t>9</w:t>
            </w:r>
          </w:p>
        </w:tc>
        <w:tc>
          <w:tcPr>
            <w:tcW w:w="1662" w:type="dxa"/>
            <w:shd w:val="clear" w:color="auto" w:fill="auto"/>
          </w:tcPr>
          <w:p w14:paraId="06715361" w14:textId="565C66CD" w:rsidR="0040633D" w:rsidRPr="00374BE0" w:rsidRDefault="00CE312B" w:rsidP="00EA11EC">
            <w:pPr>
              <w:spacing w:line="480" w:lineRule="auto"/>
              <w:contextualSpacing/>
              <w:jc w:val="center"/>
              <w:textAlignment w:val="baseline"/>
              <w:rPr>
                <w:rFonts w:ascii="Arial" w:hAnsi="Arial" w:cs="Arial"/>
                <w:sz w:val="20"/>
              </w:rPr>
            </w:pPr>
            <w:r w:rsidRPr="00374BE0">
              <w:rPr>
                <w:rFonts w:ascii="Arial" w:hAnsi="Arial" w:cs="Arial"/>
                <w:sz w:val="20"/>
              </w:rPr>
              <w:t>0.8</w:t>
            </w:r>
          </w:p>
        </w:tc>
        <w:tc>
          <w:tcPr>
            <w:tcW w:w="1903" w:type="dxa"/>
            <w:shd w:val="clear" w:color="auto" w:fill="auto"/>
          </w:tcPr>
          <w:p w14:paraId="4498601E" w14:textId="24D53EE4" w:rsidR="0040633D" w:rsidRPr="00374BE0" w:rsidRDefault="00CE312B" w:rsidP="00EA11EC">
            <w:pPr>
              <w:spacing w:line="480" w:lineRule="auto"/>
              <w:contextualSpacing/>
              <w:jc w:val="center"/>
              <w:textAlignment w:val="baseline"/>
              <w:rPr>
                <w:rFonts w:ascii="Arial" w:hAnsi="Arial" w:cs="Arial"/>
                <w:sz w:val="20"/>
              </w:rPr>
            </w:pPr>
            <w:r w:rsidRPr="00374BE0">
              <w:rPr>
                <w:rFonts w:ascii="Arial" w:hAnsi="Arial" w:cs="Arial"/>
                <w:sz w:val="20"/>
              </w:rPr>
              <w:t>0.912</w:t>
            </w:r>
          </w:p>
        </w:tc>
      </w:tr>
      <w:tr w:rsidR="0040633D" w:rsidRPr="00374BE0" w14:paraId="18C56830" w14:textId="77777777" w:rsidTr="00B737EA">
        <w:trPr>
          <w:trHeight w:val="300"/>
        </w:trPr>
        <w:tc>
          <w:tcPr>
            <w:tcW w:w="2268" w:type="dxa"/>
          </w:tcPr>
          <w:p w14:paraId="7E6E17CD" w14:textId="77777777" w:rsidR="0040633D" w:rsidRPr="00374BE0" w:rsidRDefault="0040633D" w:rsidP="00EA11EC">
            <w:pPr>
              <w:spacing w:line="480" w:lineRule="auto"/>
              <w:contextualSpacing/>
              <w:jc w:val="right"/>
              <w:textAlignment w:val="baseline"/>
              <w:rPr>
                <w:rFonts w:ascii="Arial" w:hAnsi="Arial" w:cs="Arial"/>
                <w:sz w:val="20"/>
              </w:rPr>
            </w:pPr>
            <w:r w:rsidRPr="00374BE0">
              <w:rPr>
                <w:rFonts w:ascii="Arial" w:hAnsi="Arial" w:cs="Arial"/>
                <w:sz w:val="20"/>
              </w:rPr>
              <w:t>Morphological disparity</w:t>
            </w:r>
          </w:p>
        </w:tc>
        <w:tc>
          <w:tcPr>
            <w:tcW w:w="1492" w:type="dxa"/>
          </w:tcPr>
          <w:p w14:paraId="60941C71" w14:textId="78E9E7A5" w:rsidR="0040633D" w:rsidRPr="00374BE0" w:rsidRDefault="0034179F" w:rsidP="004A2705">
            <w:pPr>
              <w:spacing w:line="480" w:lineRule="auto"/>
              <w:contextualSpacing/>
              <w:jc w:val="center"/>
              <w:textAlignment w:val="baseline"/>
              <w:rPr>
                <w:rFonts w:ascii="Arial" w:hAnsi="Arial" w:cs="Arial"/>
                <w:sz w:val="20"/>
              </w:rPr>
            </w:pPr>
            <w:r w:rsidRPr="00374BE0">
              <w:rPr>
                <w:rFonts w:ascii="Arial" w:hAnsi="Arial" w:cs="Arial"/>
                <w:sz w:val="20"/>
              </w:rPr>
              <w:t>3.83</w:t>
            </w:r>
            <w:r w:rsidR="00E33CD8" w:rsidRPr="00374BE0">
              <w:rPr>
                <w:rFonts w:ascii="Arial" w:hAnsi="Arial" w:cs="Arial"/>
                <w:sz w:val="20"/>
              </w:rPr>
              <w:t>2</w:t>
            </w:r>
          </w:p>
        </w:tc>
        <w:tc>
          <w:tcPr>
            <w:tcW w:w="2009" w:type="dxa"/>
            <w:shd w:val="clear" w:color="auto" w:fill="auto"/>
          </w:tcPr>
          <w:p w14:paraId="2D13F664" w14:textId="751CCC5F" w:rsidR="0040633D" w:rsidRPr="00374BE0" w:rsidRDefault="0034179F" w:rsidP="0034179F">
            <w:pPr>
              <w:spacing w:line="480" w:lineRule="auto"/>
              <w:contextualSpacing/>
              <w:jc w:val="center"/>
              <w:textAlignment w:val="baseline"/>
              <w:rPr>
                <w:rFonts w:ascii="Arial" w:hAnsi="Arial" w:cs="Arial"/>
                <w:sz w:val="20"/>
              </w:rPr>
            </w:pPr>
            <w:r w:rsidRPr="00374BE0">
              <w:rPr>
                <w:rFonts w:ascii="Arial" w:hAnsi="Arial" w:cs="Arial"/>
                <w:sz w:val="20"/>
              </w:rPr>
              <w:t>3.97</w:t>
            </w:r>
            <w:r w:rsidR="00E33CD8" w:rsidRPr="00374BE0">
              <w:rPr>
                <w:rFonts w:ascii="Arial" w:hAnsi="Arial" w:cs="Arial"/>
                <w:sz w:val="20"/>
              </w:rPr>
              <w:t>9</w:t>
            </w:r>
          </w:p>
        </w:tc>
        <w:tc>
          <w:tcPr>
            <w:tcW w:w="1662" w:type="dxa"/>
            <w:shd w:val="clear" w:color="auto" w:fill="auto"/>
          </w:tcPr>
          <w:p w14:paraId="71E01DE9" w14:textId="01240F20" w:rsidR="0040633D" w:rsidRPr="00374BE0" w:rsidRDefault="004A2705" w:rsidP="004A2705">
            <w:pPr>
              <w:spacing w:line="480" w:lineRule="auto"/>
              <w:contextualSpacing/>
              <w:jc w:val="center"/>
              <w:textAlignment w:val="baseline"/>
              <w:rPr>
                <w:rFonts w:ascii="Arial" w:hAnsi="Arial" w:cs="Arial"/>
                <w:sz w:val="20"/>
                <w:lang w:eastAsia="en-GB"/>
              </w:rPr>
            </w:pPr>
            <w:r w:rsidRPr="00374BE0">
              <w:rPr>
                <w:rFonts w:ascii="Arial" w:hAnsi="Arial" w:cs="Arial"/>
                <w:sz w:val="20"/>
                <w:lang w:eastAsia="en-GB"/>
              </w:rPr>
              <w:t>3.751</w:t>
            </w:r>
          </w:p>
        </w:tc>
        <w:tc>
          <w:tcPr>
            <w:tcW w:w="1903" w:type="dxa"/>
            <w:shd w:val="clear" w:color="auto" w:fill="auto"/>
          </w:tcPr>
          <w:p w14:paraId="3DE86DB4" w14:textId="0C8B4BA9" w:rsidR="0040633D" w:rsidRPr="00374BE0" w:rsidRDefault="004A2705" w:rsidP="004A2705">
            <w:pPr>
              <w:spacing w:line="480" w:lineRule="auto"/>
              <w:contextualSpacing/>
              <w:jc w:val="center"/>
              <w:textAlignment w:val="baseline"/>
              <w:rPr>
                <w:rFonts w:ascii="Arial" w:hAnsi="Arial" w:cs="Arial"/>
                <w:sz w:val="20"/>
                <w:lang w:eastAsia="en-GB"/>
              </w:rPr>
            </w:pPr>
            <w:r w:rsidRPr="00374BE0">
              <w:rPr>
                <w:rFonts w:ascii="Arial" w:hAnsi="Arial" w:cs="Arial"/>
                <w:sz w:val="20"/>
                <w:lang w:eastAsia="en-GB"/>
              </w:rPr>
              <w:t>3.</w:t>
            </w:r>
            <w:r w:rsidR="00E33CD8" w:rsidRPr="00374BE0">
              <w:rPr>
                <w:rFonts w:ascii="Arial" w:hAnsi="Arial" w:cs="Arial"/>
                <w:sz w:val="20"/>
                <w:lang w:eastAsia="en-GB"/>
              </w:rPr>
              <w:t>798</w:t>
            </w:r>
          </w:p>
        </w:tc>
      </w:tr>
      <w:tr w:rsidR="00A3151A" w:rsidRPr="00374BE0" w14:paraId="2A2C791E" w14:textId="77777777" w:rsidTr="00B737EA">
        <w:trPr>
          <w:trHeight w:val="300"/>
        </w:trPr>
        <w:tc>
          <w:tcPr>
            <w:tcW w:w="2268" w:type="dxa"/>
          </w:tcPr>
          <w:p w14:paraId="3E152B05" w14:textId="7D591317" w:rsidR="00A3151A" w:rsidRPr="00374BE0" w:rsidRDefault="006D6BFD" w:rsidP="00EA11EC">
            <w:pPr>
              <w:spacing w:line="480" w:lineRule="auto"/>
              <w:contextualSpacing/>
              <w:jc w:val="right"/>
              <w:textAlignment w:val="baseline"/>
              <w:rPr>
                <w:rFonts w:ascii="Arial" w:hAnsi="Arial" w:cs="Arial"/>
                <w:sz w:val="20"/>
              </w:rPr>
            </w:pPr>
            <w:r w:rsidRPr="00374BE0">
              <w:rPr>
                <w:rFonts w:ascii="Arial" w:hAnsi="Arial" w:cs="Arial"/>
                <w:sz w:val="20"/>
              </w:rPr>
              <w:t>Pair-wise Euclidean distance</w:t>
            </w:r>
          </w:p>
        </w:tc>
        <w:tc>
          <w:tcPr>
            <w:tcW w:w="1492" w:type="dxa"/>
          </w:tcPr>
          <w:p w14:paraId="4D203881" w14:textId="653A0318" w:rsidR="00A3151A" w:rsidRPr="00374BE0" w:rsidRDefault="00E33CD8" w:rsidP="004A2705">
            <w:pPr>
              <w:spacing w:line="480" w:lineRule="auto"/>
              <w:contextualSpacing/>
              <w:jc w:val="center"/>
              <w:textAlignment w:val="baseline"/>
              <w:rPr>
                <w:rFonts w:ascii="Arial" w:hAnsi="Arial" w:cs="Arial"/>
                <w:sz w:val="20"/>
              </w:rPr>
            </w:pPr>
            <w:r w:rsidRPr="00374BE0">
              <w:rPr>
                <w:rFonts w:ascii="Arial" w:hAnsi="Arial" w:cs="Arial"/>
                <w:sz w:val="20"/>
              </w:rPr>
              <w:t>5.580</w:t>
            </w:r>
          </w:p>
        </w:tc>
        <w:tc>
          <w:tcPr>
            <w:tcW w:w="2009" w:type="dxa"/>
            <w:shd w:val="clear" w:color="auto" w:fill="auto"/>
          </w:tcPr>
          <w:p w14:paraId="682496F6" w14:textId="3BE88209" w:rsidR="00A3151A" w:rsidRPr="00374BE0" w:rsidRDefault="00E33CD8" w:rsidP="0034179F">
            <w:pPr>
              <w:spacing w:line="480" w:lineRule="auto"/>
              <w:contextualSpacing/>
              <w:jc w:val="center"/>
              <w:textAlignment w:val="baseline"/>
              <w:rPr>
                <w:rFonts w:ascii="Arial" w:hAnsi="Arial" w:cs="Arial"/>
                <w:sz w:val="20"/>
              </w:rPr>
            </w:pPr>
            <w:r w:rsidRPr="00374BE0">
              <w:rPr>
                <w:rFonts w:ascii="Arial" w:hAnsi="Arial" w:cs="Arial"/>
                <w:sz w:val="20"/>
              </w:rPr>
              <w:t>5.696</w:t>
            </w:r>
          </w:p>
        </w:tc>
        <w:tc>
          <w:tcPr>
            <w:tcW w:w="1662" w:type="dxa"/>
            <w:shd w:val="clear" w:color="auto" w:fill="auto"/>
          </w:tcPr>
          <w:p w14:paraId="5EC03CFF" w14:textId="0B164647" w:rsidR="00A3151A" w:rsidRPr="00374BE0" w:rsidRDefault="00E33CD8" w:rsidP="004A2705">
            <w:pPr>
              <w:spacing w:line="480" w:lineRule="auto"/>
              <w:contextualSpacing/>
              <w:jc w:val="center"/>
              <w:textAlignment w:val="baseline"/>
              <w:rPr>
                <w:rFonts w:ascii="Arial" w:hAnsi="Arial" w:cs="Arial"/>
                <w:sz w:val="20"/>
                <w:lang w:eastAsia="en-GB"/>
              </w:rPr>
            </w:pPr>
            <w:r w:rsidRPr="00374BE0">
              <w:rPr>
                <w:rFonts w:ascii="Arial" w:hAnsi="Arial" w:cs="Arial"/>
                <w:sz w:val="20"/>
                <w:lang w:eastAsia="en-GB"/>
              </w:rPr>
              <w:t>5.337</w:t>
            </w:r>
          </w:p>
        </w:tc>
        <w:tc>
          <w:tcPr>
            <w:tcW w:w="1903" w:type="dxa"/>
            <w:shd w:val="clear" w:color="auto" w:fill="auto"/>
          </w:tcPr>
          <w:p w14:paraId="0FF0F67B" w14:textId="3BD8B911" w:rsidR="00A3151A" w:rsidRPr="00374BE0" w:rsidRDefault="00E33CD8" w:rsidP="004A2705">
            <w:pPr>
              <w:spacing w:line="480" w:lineRule="auto"/>
              <w:contextualSpacing/>
              <w:jc w:val="center"/>
              <w:textAlignment w:val="baseline"/>
              <w:rPr>
                <w:rFonts w:ascii="Arial" w:hAnsi="Arial" w:cs="Arial"/>
                <w:sz w:val="20"/>
                <w:lang w:eastAsia="en-GB"/>
              </w:rPr>
            </w:pPr>
            <w:r w:rsidRPr="00374BE0">
              <w:rPr>
                <w:rFonts w:ascii="Arial" w:hAnsi="Arial" w:cs="Arial"/>
                <w:sz w:val="20"/>
                <w:lang w:eastAsia="en-GB"/>
              </w:rPr>
              <w:t>5.590</w:t>
            </w:r>
          </w:p>
        </w:tc>
      </w:tr>
    </w:tbl>
    <w:p w14:paraId="050B5702" w14:textId="309CDC99" w:rsidR="00192F87" w:rsidRPr="00374BE0" w:rsidRDefault="008D2FC1" w:rsidP="009417BC">
      <w:pPr>
        <w:spacing w:line="480" w:lineRule="auto"/>
        <w:rPr>
          <w:rFonts w:ascii="Arial" w:hAnsi="Arial" w:cs="Arial"/>
          <w:b/>
          <w:bCs/>
          <w:sz w:val="20"/>
        </w:rPr>
      </w:pPr>
      <w:r w:rsidRPr="00374BE0">
        <w:rPr>
          <w:rFonts w:ascii="Arial" w:hAnsi="Arial" w:cs="Arial"/>
          <w:sz w:val="20"/>
        </w:rPr>
        <w:br w:type="page"/>
      </w:r>
      <w:r w:rsidRPr="00374BE0">
        <w:rPr>
          <w:rFonts w:ascii="Arial" w:hAnsi="Arial" w:cs="Arial"/>
          <w:b/>
          <w:bCs/>
          <w:sz w:val="20"/>
        </w:rPr>
        <w:lastRenderedPageBreak/>
        <w:t>Supplementary References</w:t>
      </w:r>
    </w:p>
    <w:p w14:paraId="574991ED" w14:textId="14747194" w:rsidR="00374BE0" w:rsidRDefault="00374BE0" w:rsidP="006A6261">
      <w:pPr>
        <w:pStyle w:val="EndNoteBibliography"/>
        <w:numPr>
          <w:ilvl w:val="0"/>
          <w:numId w:val="18"/>
        </w:numPr>
        <w:spacing w:afterLines="120" w:after="288" w:line="480" w:lineRule="auto"/>
      </w:pPr>
      <w:bookmarkStart w:id="12" w:name="_ENREF_87"/>
      <w:bookmarkStart w:id="13" w:name="_ENREF_92"/>
      <w:r w:rsidRPr="006A6261">
        <w:rPr>
          <w:lang w:val="es-ES"/>
        </w:rPr>
        <w:t>Martínez I, Conde</w:t>
      </w:r>
      <w:r w:rsidRPr="006A6261">
        <w:rPr>
          <w:rFonts w:ascii="Cambria Math" w:hAnsi="Cambria Math" w:cs="Cambria Math"/>
          <w:lang w:val="es-ES"/>
        </w:rPr>
        <w:t>‐</w:t>
      </w:r>
      <w:r w:rsidRPr="006A6261">
        <w:rPr>
          <w:lang w:val="es-ES"/>
        </w:rPr>
        <w:t xml:space="preserve">Valverde M, Quam R, Arsuaga JL. </w:t>
      </w:r>
      <w:r w:rsidRPr="00374BE0">
        <w:t>Fusion of the occipitomastoidal synchondrosis as a developmental marker in the Sima de los Huesos Crania (Atapuerca, Spain).</w:t>
      </w:r>
      <w:r w:rsidRPr="006A6261">
        <w:rPr>
          <w:i/>
          <w:iCs/>
        </w:rPr>
        <w:t xml:space="preserve"> Anat Rec </w:t>
      </w:r>
      <w:r w:rsidRPr="006A6261">
        <w:rPr>
          <w:b/>
          <w:bCs/>
        </w:rPr>
        <w:t>307</w:t>
      </w:r>
      <w:r w:rsidRPr="00374BE0">
        <w:t xml:space="preserve">, 2425-2436 </w:t>
      </w:r>
      <w:r w:rsidRPr="00B737EA">
        <w:t>(2024)</w:t>
      </w:r>
      <w:r w:rsidRPr="00374BE0">
        <w:t>.</w:t>
      </w:r>
    </w:p>
    <w:p w14:paraId="0D873B89" w14:textId="39D45E12" w:rsidR="00E23AEC" w:rsidRDefault="00E23AEC" w:rsidP="00374BE0">
      <w:pPr>
        <w:pStyle w:val="EndNoteBibliography"/>
        <w:numPr>
          <w:ilvl w:val="0"/>
          <w:numId w:val="18"/>
        </w:numPr>
        <w:spacing w:afterLines="120" w:after="288" w:line="480" w:lineRule="auto"/>
      </w:pPr>
      <w:r w:rsidRPr="00AB598E">
        <w:rPr>
          <w:lang w:val="es-ES"/>
        </w:rPr>
        <w:t xml:space="preserve">Poza-Rey EM, Gómez-Robles A, Arsuaga JL. </w:t>
      </w:r>
      <w:r w:rsidRPr="00374BE0">
        <w:t xml:space="preserve">Brain size and organization in the Middle Pleistocene hominins from Sima de los Huesos. Inferences from endocranial variation. </w:t>
      </w:r>
      <w:r w:rsidRPr="00374BE0">
        <w:rPr>
          <w:i/>
          <w:iCs/>
        </w:rPr>
        <w:t xml:space="preserve">J Hum Evol </w:t>
      </w:r>
      <w:r w:rsidRPr="00374BE0">
        <w:rPr>
          <w:b/>
          <w:bCs/>
        </w:rPr>
        <w:t>129</w:t>
      </w:r>
      <w:r w:rsidRPr="00374BE0">
        <w:t>, 67-90 (2019).</w:t>
      </w:r>
    </w:p>
    <w:p w14:paraId="351DC6DB" w14:textId="0E6B5AC7" w:rsidR="00E23AEC" w:rsidRDefault="00E23AEC" w:rsidP="00374BE0">
      <w:pPr>
        <w:pStyle w:val="EndNoteBibliography"/>
        <w:numPr>
          <w:ilvl w:val="0"/>
          <w:numId w:val="18"/>
        </w:numPr>
        <w:spacing w:afterLines="120" w:after="288" w:line="480" w:lineRule="auto"/>
      </w:pPr>
      <w:r w:rsidRPr="00374BE0">
        <w:rPr>
          <w:lang w:val="es-ES"/>
        </w:rPr>
        <w:t xml:space="preserve">Bermudéz de Castro JM, </w:t>
      </w:r>
      <w:r w:rsidRPr="00374BE0">
        <w:rPr>
          <w:i/>
          <w:iCs/>
          <w:lang w:val="es-ES"/>
        </w:rPr>
        <w:t xml:space="preserve">et al. </w:t>
      </w:r>
      <w:r w:rsidRPr="00B737EA">
        <w:rPr>
          <w:lang w:val="es-ES"/>
        </w:rPr>
        <w:t xml:space="preserve">The Sima de los Huesos Middle Pleistocene hominin site (Burgos, Spain). </w:t>
      </w:r>
      <w:r w:rsidRPr="00374BE0">
        <w:t xml:space="preserve">Estimation of the number of individuals. </w:t>
      </w:r>
      <w:r w:rsidRPr="00374BE0">
        <w:rPr>
          <w:i/>
          <w:iCs/>
        </w:rPr>
        <w:t xml:space="preserve">Anat Rec </w:t>
      </w:r>
      <w:r w:rsidRPr="00374BE0">
        <w:rPr>
          <w:b/>
          <w:bCs/>
        </w:rPr>
        <w:t>304</w:t>
      </w:r>
      <w:r w:rsidRPr="00374BE0">
        <w:t>, 1463-1477 (2021).</w:t>
      </w:r>
    </w:p>
    <w:p w14:paraId="6BD21AFF" w14:textId="6A394EAE" w:rsidR="00E23AEC" w:rsidRDefault="00E23AEC" w:rsidP="00374BE0">
      <w:pPr>
        <w:pStyle w:val="EndNoteBibliography"/>
        <w:numPr>
          <w:ilvl w:val="0"/>
          <w:numId w:val="18"/>
        </w:numPr>
        <w:spacing w:afterLines="120" w:after="288" w:line="480" w:lineRule="auto"/>
      </w:pPr>
      <w:r w:rsidRPr="00E23AEC">
        <w:t xml:space="preserve">Arsuaga J L, Martinez I, Gracia A, Carretero JM, Carbonell E. Three new human skulls from the Sima de los Huesos Middle Pleistocene site in Sierra de Atapuerca, Spain. </w:t>
      </w:r>
      <w:r w:rsidRPr="00E23AEC">
        <w:rPr>
          <w:i/>
          <w:iCs/>
        </w:rPr>
        <w:t>Nature</w:t>
      </w:r>
      <w:r w:rsidRPr="00E23AEC">
        <w:t xml:space="preserve"> </w:t>
      </w:r>
      <w:r w:rsidRPr="00E23AEC">
        <w:rPr>
          <w:b/>
          <w:bCs/>
        </w:rPr>
        <w:t>362</w:t>
      </w:r>
      <w:r w:rsidRPr="00E23AEC">
        <w:t xml:space="preserve">, 534-537 </w:t>
      </w:r>
      <w:r w:rsidRPr="00E23AEC">
        <w:rPr>
          <w:lang w:val="es-ES"/>
        </w:rPr>
        <w:t>(1993)</w:t>
      </w:r>
      <w:r w:rsidRPr="00E23AEC">
        <w:t>.</w:t>
      </w:r>
    </w:p>
    <w:p w14:paraId="00D29E71" w14:textId="6523F4D8" w:rsidR="00E23AEC" w:rsidRPr="00AB598E" w:rsidRDefault="00E23AEC" w:rsidP="00374BE0">
      <w:pPr>
        <w:pStyle w:val="EndNoteBibliography"/>
        <w:numPr>
          <w:ilvl w:val="0"/>
          <w:numId w:val="18"/>
        </w:numPr>
        <w:spacing w:afterLines="120" w:after="288" w:line="480" w:lineRule="auto"/>
      </w:pPr>
      <w:r w:rsidRPr="009D5E83">
        <w:rPr>
          <w:lang w:val="es-ES"/>
        </w:rPr>
        <w:t xml:space="preserve">Martınez I, Arsuaga JL. The temporal bones from Sima de los Huesos Middle Pleistocene site (Sierra de Atapuerca, Spain). </w:t>
      </w:r>
      <w:r w:rsidRPr="00B737EA">
        <w:t xml:space="preserve">A phylogenetic approach. </w:t>
      </w:r>
      <w:r w:rsidRPr="00B737EA">
        <w:rPr>
          <w:i/>
          <w:iCs/>
        </w:rPr>
        <w:t xml:space="preserve">J Hum Evol </w:t>
      </w:r>
      <w:r w:rsidRPr="00B737EA">
        <w:rPr>
          <w:b/>
          <w:bCs/>
        </w:rPr>
        <w:t>33</w:t>
      </w:r>
      <w:r w:rsidRPr="00B737EA">
        <w:t>, 283-318 (1997).</w:t>
      </w:r>
    </w:p>
    <w:p w14:paraId="2F1C3F39" w14:textId="7EF94FC3" w:rsidR="00E23AEC" w:rsidRDefault="00E23AEC" w:rsidP="00374BE0">
      <w:pPr>
        <w:pStyle w:val="EndNoteBibliography"/>
        <w:numPr>
          <w:ilvl w:val="0"/>
          <w:numId w:val="18"/>
        </w:numPr>
        <w:spacing w:afterLines="120" w:after="288" w:line="480" w:lineRule="auto"/>
      </w:pPr>
      <w:r w:rsidRPr="00AB598E">
        <w:t xml:space="preserve">Martínez I. </w:t>
      </w:r>
      <w:r w:rsidRPr="00AB598E">
        <w:rPr>
          <w:i/>
          <w:iCs/>
        </w:rPr>
        <w:t>et al.</w:t>
      </w:r>
      <w:r w:rsidRPr="00AB598E">
        <w:t xml:space="preserve"> </w:t>
      </w:r>
      <w:r w:rsidRPr="00CC20EC">
        <w:t>Auditory capacities in Middle Pleistocene humans from the Sierra de Atapuerca in Spain.</w:t>
      </w:r>
      <w:r w:rsidRPr="00E23AEC">
        <w:t xml:space="preserve"> </w:t>
      </w:r>
      <w:r w:rsidRPr="00CC20EC">
        <w:rPr>
          <w:i/>
          <w:iCs/>
        </w:rPr>
        <w:t>Proc</w:t>
      </w:r>
      <w:r w:rsidRPr="00E23AEC">
        <w:rPr>
          <w:i/>
          <w:iCs/>
        </w:rPr>
        <w:t xml:space="preserve"> </w:t>
      </w:r>
      <w:r w:rsidRPr="00CC20EC">
        <w:rPr>
          <w:i/>
          <w:iCs/>
        </w:rPr>
        <w:t>Nat</w:t>
      </w:r>
      <w:r w:rsidRPr="00E23AEC">
        <w:rPr>
          <w:i/>
          <w:iCs/>
        </w:rPr>
        <w:t xml:space="preserve">l </w:t>
      </w:r>
      <w:r w:rsidRPr="00CC20EC">
        <w:rPr>
          <w:i/>
          <w:iCs/>
        </w:rPr>
        <w:t>Acad</w:t>
      </w:r>
      <w:r w:rsidRPr="00E23AEC">
        <w:rPr>
          <w:i/>
          <w:iCs/>
        </w:rPr>
        <w:t xml:space="preserve"> </w:t>
      </w:r>
      <w:r w:rsidRPr="00CC20EC">
        <w:rPr>
          <w:i/>
          <w:iCs/>
        </w:rPr>
        <w:t>Sci</w:t>
      </w:r>
      <w:r w:rsidRPr="00E23AEC">
        <w:rPr>
          <w:i/>
          <w:iCs/>
        </w:rPr>
        <w:t xml:space="preserve"> USA </w:t>
      </w:r>
      <w:r w:rsidRPr="00E23AEC">
        <w:rPr>
          <w:b/>
          <w:bCs/>
        </w:rPr>
        <w:t>101</w:t>
      </w:r>
      <w:r w:rsidRPr="00CC20EC">
        <w:t>, 9976-9981</w:t>
      </w:r>
      <w:r w:rsidRPr="00E23AEC">
        <w:t xml:space="preserve"> </w:t>
      </w:r>
      <w:r w:rsidRPr="00CC20EC">
        <w:t>(2004).</w:t>
      </w:r>
    </w:p>
    <w:p w14:paraId="4D7C7897" w14:textId="0683F848" w:rsidR="00E23AEC" w:rsidRDefault="00E23AEC" w:rsidP="00374BE0">
      <w:pPr>
        <w:pStyle w:val="EndNoteBibliography"/>
        <w:numPr>
          <w:ilvl w:val="0"/>
          <w:numId w:val="18"/>
        </w:numPr>
        <w:spacing w:afterLines="120" w:after="288" w:line="480" w:lineRule="auto"/>
      </w:pPr>
      <w:r w:rsidRPr="00E23AEC">
        <w:t>Smith FH. Sexual differences in European Neanderthal crania with special reference to the Krapina remains. J Hum Evol 9, 359-375 (1980).</w:t>
      </w:r>
    </w:p>
    <w:p w14:paraId="73DA2DC6" w14:textId="1F384F75" w:rsidR="00E23AEC" w:rsidRDefault="00E23AEC" w:rsidP="00374BE0">
      <w:pPr>
        <w:pStyle w:val="EndNoteBibliography"/>
        <w:numPr>
          <w:ilvl w:val="0"/>
          <w:numId w:val="18"/>
        </w:numPr>
        <w:spacing w:afterLines="120" w:after="288" w:line="480" w:lineRule="auto"/>
      </w:pPr>
      <w:r w:rsidRPr="00E23AEC">
        <w:t xml:space="preserve">Suzuki H, Takai F. </w:t>
      </w:r>
      <w:r w:rsidRPr="00E23AEC">
        <w:rPr>
          <w:i/>
          <w:iCs/>
        </w:rPr>
        <w:t>The Amud Man and His Cave Site</w:t>
      </w:r>
      <w:r w:rsidRPr="00E23AEC">
        <w:t>. Tokyo University Press (1970).</w:t>
      </w:r>
    </w:p>
    <w:p w14:paraId="61D339A6" w14:textId="77777777" w:rsidR="00E23AEC" w:rsidRPr="00165667" w:rsidRDefault="00E23AEC" w:rsidP="00E23AEC">
      <w:pPr>
        <w:pStyle w:val="EndNoteBibliography"/>
        <w:numPr>
          <w:ilvl w:val="0"/>
          <w:numId w:val="18"/>
        </w:numPr>
        <w:rPr>
          <w:lang w:val="es-ES"/>
        </w:rPr>
      </w:pPr>
      <w:r w:rsidRPr="00165667">
        <w:rPr>
          <w:lang w:val="es-ES"/>
        </w:rPr>
        <w:t xml:space="preserve">Broca P. Sur les crânes et les ossements des Eyzies. </w:t>
      </w:r>
      <w:r w:rsidRPr="00165667">
        <w:rPr>
          <w:i/>
          <w:iCs/>
          <w:lang w:val="es-ES"/>
        </w:rPr>
        <w:t>Bull</w:t>
      </w:r>
      <w:r w:rsidRPr="00165667">
        <w:rPr>
          <w:lang w:val="es-ES"/>
        </w:rPr>
        <w:t xml:space="preserve"> Soc </w:t>
      </w:r>
      <w:r w:rsidRPr="00165667">
        <w:rPr>
          <w:i/>
          <w:iCs/>
          <w:lang w:val="es-ES"/>
        </w:rPr>
        <w:t>Anthropol</w:t>
      </w:r>
      <w:r w:rsidRPr="00165667">
        <w:rPr>
          <w:lang w:val="es-ES"/>
        </w:rPr>
        <w:t xml:space="preserve"> </w:t>
      </w:r>
      <w:r w:rsidRPr="00165667">
        <w:rPr>
          <w:i/>
          <w:iCs/>
          <w:lang w:val="es-ES"/>
        </w:rPr>
        <w:t>Paris</w:t>
      </w:r>
      <w:r w:rsidRPr="00165667">
        <w:rPr>
          <w:lang w:val="es-ES"/>
        </w:rPr>
        <w:t xml:space="preserve"> </w:t>
      </w:r>
      <w:r w:rsidRPr="00165667">
        <w:rPr>
          <w:b/>
          <w:bCs/>
          <w:lang w:val="es-ES"/>
        </w:rPr>
        <w:t>3</w:t>
      </w:r>
      <w:r w:rsidRPr="00165667">
        <w:rPr>
          <w:lang w:val="es-ES"/>
        </w:rPr>
        <w:t>, 350-392 (1868).</w:t>
      </w:r>
    </w:p>
    <w:p w14:paraId="0AFB9557" w14:textId="3538E309" w:rsidR="00E23AEC" w:rsidRDefault="00E23AEC" w:rsidP="00E23AEC">
      <w:pPr>
        <w:pStyle w:val="EndNoteBibliography"/>
        <w:numPr>
          <w:ilvl w:val="0"/>
          <w:numId w:val="18"/>
        </w:numPr>
        <w:spacing w:afterLines="120" w:after="288" w:line="480" w:lineRule="auto"/>
      </w:pPr>
      <w:r w:rsidRPr="00E23AEC">
        <w:rPr>
          <w:lang w:val="es-ES"/>
        </w:rPr>
        <w:t xml:space="preserve">Gambier D, Valladas H, Tisnérat-Laborde N, Arnold M, Bresson F. Datation de vestiges humains présumés du Paléolithique Supérieur par la méthode du carbone 14 en spectrometry de masse par accélérateur. </w:t>
      </w:r>
      <w:r w:rsidRPr="00E23AEC">
        <w:rPr>
          <w:i/>
          <w:iCs/>
        </w:rPr>
        <w:t>Paléo</w:t>
      </w:r>
      <w:r w:rsidRPr="00374BE0">
        <w:t xml:space="preserve"> </w:t>
      </w:r>
      <w:r w:rsidRPr="00E23AEC">
        <w:rPr>
          <w:b/>
          <w:bCs/>
        </w:rPr>
        <w:t>12</w:t>
      </w:r>
      <w:r w:rsidRPr="00374BE0">
        <w:t>, 201-212 (2000).</w:t>
      </w:r>
    </w:p>
    <w:p w14:paraId="3270D3E0" w14:textId="25DFED57" w:rsidR="00E23AEC" w:rsidRDefault="00E23AEC" w:rsidP="00E23AEC">
      <w:pPr>
        <w:pStyle w:val="EndNoteBibliography"/>
        <w:numPr>
          <w:ilvl w:val="0"/>
          <w:numId w:val="18"/>
        </w:numPr>
        <w:spacing w:afterLines="120" w:after="288" w:line="480" w:lineRule="auto"/>
      </w:pPr>
      <w:r w:rsidRPr="00E23AEC">
        <w:lastRenderedPageBreak/>
        <w:t xml:space="preserve">Urciuoli A, </w:t>
      </w:r>
      <w:r w:rsidRPr="00E23AEC">
        <w:rPr>
          <w:i/>
          <w:iCs/>
        </w:rPr>
        <w:t>et al.</w:t>
      </w:r>
      <w:r w:rsidRPr="00E23AEC">
        <w:t xml:space="preserve"> A comparative analysis of the vestibular apparatus in </w:t>
      </w:r>
      <w:r w:rsidRPr="00E23AEC">
        <w:rPr>
          <w:i/>
        </w:rPr>
        <w:t>Epipliopithecus vindobonensis</w:t>
      </w:r>
      <w:r w:rsidRPr="00E23AEC">
        <w:t xml:space="preserve">: phylogenetic implications. </w:t>
      </w:r>
      <w:r w:rsidRPr="00E23AEC">
        <w:rPr>
          <w:i/>
        </w:rPr>
        <w:t>J Hum Evol</w:t>
      </w:r>
      <w:r w:rsidRPr="00E23AEC">
        <w:t xml:space="preserve"> </w:t>
      </w:r>
      <w:r w:rsidRPr="00E23AEC">
        <w:rPr>
          <w:b/>
          <w:bCs/>
        </w:rPr>
        <w:t>151</w:t>
      </w:r>
      <w:r w:rsidRPr="00E23AEC">
        <w:t>, 102930 (2021).</w:t>
      </w:r>
    </w:p>
    <w:p w14:paraId="729BF661" w14:textId="77777777" w:rsidR="006A6261" w:rsidRPr="00DD51F9" w:rsidRDefault="006A6261" w:rsidP="006A6261">
      <w:pPr>
        <w:pStyle w:val="EndNoteBibliography"/>
        <w:numPr>
          <w:ilvl w:val="0"/>
          <w:numId w:val="18"/>
        </w:numPr>
      </w:pPr>
      <w:r w:rsidRPr="00DD51F9">
        <w:t xml:space="preserve">Wimmer W, </w:t>
      </w:r>
      <w:r w:rsidRPr="00DD51F9">
        <w:rPr>
          <w:i/>
          <w:iCs/>
        </w:rPr>
        <w:t>et al.</w:t>
      </w:r>
      <w:r w:rsidRPr="00DD51F9">
        <w:t xml:space="preserve"> Human bony labyrinth dataset: Co-registered CT and micro-CT images, surface models and anatomical landmarks. </w:t>
      </w:r>
      <w:r w:rsidRPr="00DD51F9">
        <w:rPr>
          <w:i/>
        </w:rPr>
        <w:t>Data Brief</w:t>
      </w:r>
      <w:r w:rsidRPr="00DD51F9">
        <w:t xml:space="preserve"> </w:t>
      </w:r>
      <w:r w:rsidRPr="00DD51F9">
        <w:rPr>
          <w:b/>
          <w:bCs/>
        </w:rPr>
        <w:t>27</w:t>
      </w:r>
      <w:r w:rsidRPr="00DD51F9">
        <w:t>, 104782 (2019).</w:t>
      </w:r>
    </w:p>
    <w:p w14:paraId="6447D202" w14:textId="77777777" w:rsidR="006A6261" w:rsidRDefault="006A6261" w:rsidP="006A6261">
      <w:pPr>
        <w:pStyle w:val="EndNoteBibliography"/>
        <w:numPr>
          <w:ilvl w:val="0"/>
          <w:numId w:val="18"/>
        </w:numPr>
        <w:spacing w:afterLines="120" w:after="288" w:line="480" w:lineRule="auto"/>
      </w:pPr>
      <w:r w:rsidRPr="00374BE0">
        <w:t xml:space="preserve">Schindelin J, </w:t>
      </w:r>
      <w:r w:rsidRPr="00374BE0">
        <w:rPr>
          <w:i/>
          <w:iCs/>
        </w:rPr>
        <w:t>et al.</w:t>
      </w:r>
      <w:r w:rsidRPr="00374BE0">
        <w:t xml:space="preserve"> Fiji: an open-source platform for biological-image analysis.</w:t>
      </w:r>
      <w:r w:rsidRPr="00374BE0">
        <w:rPr>
          <w:i/>
          <w:iCs/>
        </w:rPr>
        <w:t>Nat Methods</w:t>
      </w:r>
      <w:r w:rsidRPr="00374BE0">
        <w:t xml:space="preserve"> </w:t>
      </w:r>
      <w:r w:rsidRPr="00374BE0">
        <w:rPr>
          <w:b/>
          <w:bCs/>
        </w:rPr>
        <w:t>9</w:t>
      </w:r>
      <w:r w:rsidRPr="00374BE0">
        <w:t>, 676-682 (2012).</w:t>
      </w:r>
    </w:p>
    <w:p w14:paraId="76F3EF86" w14:textId="77777777" w:rsidR="00E23AEC" w:rsidRPr="00374BE0" w:rsidRDefault="00E23AEC" w:rsidP="00AB598E">
      <w:pPr>
        <w:pStyle w:val="EndNoteBibliography"/>
        <w:spacing w:afterLines="120" w:after="288" w:line="480" w:lineRule="auto"/>
      </w:pPr>
    </w:p>
    <w:p w14:paraId="55FE1D7D" w14:textId="233A9F2B" w:rsidR="007903AE" w:rsidRPr="00374BE0" w:rsidRDefault="007903AE" w:rsidP="00CE403D">
      <w:pPr>
        <w:pStyle w:val="EndNoteBibliography"/>
        <w:spacing w:afterLines="120" w:after="288" w:line="480" w:lineRule="auto"/>
      </w:pPr>
    </w:p>
    <w:p w14:paraId="40E63FB8" w14:textId="23653881" w:rsidR="00A43988" w:rsidRPr="00374BE0" w:rsidRDefault="00A43988" w:rsidP="00CE403D">
      <w:pPr>
        <w:pStyle w:val="EndNoteBibliography"/>
        <w:spacing w:afterLines="120" w:after="288" w:line="480" w:lineRule="auto"/>
      </w:pPr>
    </w:p>
    <w:bookmarkEnd w:id="12"/>
    <w:p w14:paraId="0E3441B4" w14:textId="55245824" w:rsidR="008D2FC1" w:rsidRPr="00374BE0" w:rsidRDefault="008D2FC1" w:rsidP="00CE403D">
      <w:pPr>
        <w:pStyle w:val="EndNoteBibliography"/>
        <w:spacing w:afterLines="120" w:after="288" w:line="480" w:lineRule="auto"/>
      </w:pPr>
    </w:p>
    <w:bookmarkEnd w:id="13"/>
    <w:p w14:paraId="04B5F5A1" w14:textId="25C6BD75" w:rsidR="00374BE0" w:rsidRPr="00374BE0" w:rsidRDefault="00374BE0" w:rsidP="00374BE0">
      <w:pPr>
        <w:pStyle w:val="EndNoteBibliography"/>
      </w:pPr>
    </w:p>
    <w:p w14:paraId="7443FC04" w14:textId="3C9B66F9" w:rsidR="00374BE0" w:rsidRPr="00374BE0" w:rsidRDefault="00374BE0" w:rsidP="00374BE0">
      <w:pPr>
        <w:pStyle w:val="EndNoteBibliography"/>
      </w:pPr>
    </w:p>
    <w:p w14:paraId="0DA1B0DA" w14:textId="77777777" w:rsidR="008D2FC1" w:rsidRPr="008D2FC1" w:rsidRDefault="008D2FC1" w:rsidP="00306425">
      <w:pPr>
        <w:pStyle w:val="EndNoteBibliography"/>
        <w:spacing w:afterLines="120" w:after="288" w:line="480" w:lineRule="auto"/>
      </w:pPr>
    </w:p>
    <w:sectPr w:rsidR="008D2FC1" w:rsidRPr="008D2FC1" w:rsidSect="006B641C">
      <w:pgSz w:w="11907" w:h="16839" w:code="9"/>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521CE" w14:textId="77777777" w:rsidR="00F536FA" w:rsidRPr="00374BE0" w:rsidRDefault="00F536FA">
      <w:r w:rsidRPr="00374BE0">
        <w:separator/>
      </w:r>
    </w:p>
  </w:endnote>
  <w:endnote w:type="continuationSeparator" w:id="0">
    <w:p w14:paraId="5A350880" w14:textId="77777777" w:rsidR="00F536FA" w:rsidRPr="00374BE0" w:rsidRDefault="00F536FA">
      <w:r w:rsidRPr="00374B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590301"/>
      <w:docPartObj>
        <w:docPartGallery w:val="Page Numbers (Bottom of Page)"/>
        <w:docPartUnique/>
      </w:docPartObj>
    </w:sdtPr>
    <w:sdtContent>
      <w:p w14:paraId="1D216EFF" w14:textId="77777777" w:rsidR="003D5250" w:rsidRPr="00374BE0" w:rsidRDefault="005A6E6B" w:rsidP="00761A44">
        <w:pPr>
          <w:pStyle w:val="Footer"/>
          <w:framePr w:wrap="none" w:vAnchor="text" w:hAnchor="margin" w:xAlign="center" w:y="1"/>
          <w:rPr>
            <w:rStyle w:val="PageNumber"/>
          </w:rPr>
        </w:pPr>
        <w:r w:rsidRPr="00374BE0">
          <w:rPr>
            <w:rStyle w:val="PageNumber"/>
          </w:rPr>
          <w:fldChar w:fldCharType="begin"/>
        </w:r>
        <w:r w:rsidR="003D5250" w:rsidRPr="00374BE0">
          <w:rPr>
            <w:rStyle w:val="PageNumber"/>
          </w:rPr>
          <w:instrText xml:space="preserve"> PAGE </w:instrText>
        </w:r>
        <w:r w:rsidRPr="00374BE0">
          <w:rPr>
            <w:rStyle w:val="PageNumber"/>
          </w:rPr>
          <w:fldChar w:fldCharType="separate"/>
        </w:r>
        <w:r w:rsidR="003D5250" w:rsidRPr="00374BE0">
          <w:rPr>
            <w:rStyle w:val="PageNumber"/>
          </w:rPr>
          <w:t>26</w:t>
        </w:r>
        <w:r w:rsidRPr="00374BE0">
          <w:rPr>
            <w:rStyle w:val="PageNumber"/>
          </w:rPr>
          <w:fldChar w:fldCharType="end"/>
        </w:r>
      </w:p>
    </w:sdtContent>
  </w:sdt>
  <w:p w14:paraId="26ABE13D" w14:textId="77777777" w:rsidR="003D5250" w:rsidRPr="00374BE0" w:rsidRDefault="003D52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9977779"/>
      <w:docPartObj>
        <w:docPartGallery w:val="Page Numbers (Bottom of Page)"/>
        <w:docPartUnique/>
      </w:docPartObj>
    </w:sdtPr>
    <w:sdtContent>
      <w:p w14:paraId="54002101" w14:textId="77777777" w:rsidR="003D5250" w:rsidRPr="00374BE0" w:rsidRDefault="005A6E6B" w:rsidP="00761A44">
        <w:pPr>
          <w:pStyle w:val="Footer"/>
          <w:framePr w:wrap="none" w:vAnchor="text" w:hAnchor="margin" w:xAlign="center" w:y="1"/>
          <w:rPr>
            <w:rStyle w:val="PageNumber"/>
          </w:rPr>
        </w:pPr>
        <w:r w:rsidRPr="00374BE0">
          <w:rPr>
            <w:rStyle w:val="PageNumber"/>
          </w:rPr>
          <w:fldChar w:fldCharType="begin"/>
        </w:r>
        <w:r w:rsidR="003D5250" w:rsidRPr="00374BE0">
          <w:rPr>
            <w:rStyle w:val="PageNumber"/>
          </w:rPr>
          <w:instrText xml:space="preserve"> PAGE </w:instrText>
        </w:r>
        <w:r w:rsidRPr="00374BE0">
          <w:rPr>
            <w:rStyle w:val="PageNumber"/>
          </w:rPr>
          <w:fldChar w:fldCharType="separate"/>
        </w:r>
        <w:r w:rsidR="002A3BB2" w:rsidRPr="00374BE0">
          <w:rPr>
            <w:rStyle w:val="PageNumber"/>
          </w:rPr>
          <w:t>15</w:t>
        </w:r>
        <w:r w:rsidRPr="00374BE0">
          <w:rPr>
            <w:rStyle w:val="PageNumber"/>
          </w:rPr>
          <w:fldChar w:fldCharType="end"/>
        </w:r>
      </w:p>
    </w:sdtContent>
  </w:sdt>
  <w:p w14:paraId="23FEF736" w14:textId="77777777" w:rsidR="003D5250" w:rsidRPr="00374BE0" w:rsidRDefault="003D5250">
    <w:pPr>
      <w:pStyle w:val="Footer"/>
      <w:jc w:val="right"/>
    </w:pPr>
  </w:p>
  <w:p w14:paraId="075E8FEA" w14:textId="77777777" w:rsidR="003D5250" w:rsidRPr="00374BE0" w:rsidRDefault="003D5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9E6E6" w14:textId="77777777" w:rsidR="00F536FA" w:rsidRPr="00374BE0" w:rsidRDefault="00F536FA">
      <w:r w:rsidRPr="00374BE0">
        <w:separator/>
      </w:r>
    </w:p>
  </w:footnote>
  <w:footnote w:type="continuationSeparator" w:id="0">
    <w:p w14:paraId="10AA4C60" w14:textId="77777777" w:rsidR="00F536FA" w:rsidRPr="00374BE0" w:rsidRDefault="00F536FA">
      <w:r w:rsidRPr="00374B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DCA9C" w14:textId="77777777" w:rsidR="003D5250" w:rsidRPr="00374BE0" w:rsidRDefault="003D5250" w:rsidP="005001AC">
    <w:pPr>
      <w:jc w:val="right"/>
      <w:rPr>
        <w:sz w:val="20"/>
      </w:rPr>
    </w:pPr>
  </w:p>
  <w:p w14:paraId="0EF278B3" w14:textId="77777777" w:rsidR="003D5250" w:rsidRPr="00374BE0" w:rsidRDefault="003D52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1345DF"/>
    <w:multiLevelType w:val="hybridMultilevel"/>
    <w:tmpl w:val="180283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8D4926"/>
    <w:multiLevelType w:val="hybridMultilevel"/>
    <w:tmpl w:val="B218BCEE"/>
    <w:lvl w:ilvl="0" w:tplc="7FF67990">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A026C3C"/>
    <w:multiLevelType w:val="hybridMultilevel"/>
    <w:tmpl w:val="27CAB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D926EC"/>
    <w:multiLevelType w:val="hybridMultilevel"/>
    <w:tmpl w:val="6F28C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2C55C5"/>
    <w:multiLevelType w:val="hybridMultilevel"/>
    <w:tmpl w:val="7FAA1A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3645639">
    <w:abstractNumId w:val="9"/>
  </w:num>
  <w:num w:numId="2" w16cid:durableId="839346835">
    <w:abstractNumId w:val="7"/>
  </w:num>
  <w:num w:numId="3" w16cid:durableId="308362005">
    <w:abstractNumId w:val="6"/>
  </w:num>
  <w:num w:numId="4" w16cid:durableId="470366993">
    <w:abstractNumId w:val="5"/>
  </w:num>
  <w:num w:numId="5" w16cid:durableId="1352025312">
    <w:abstractNumId w:val="4"/>
  </w:num>
  <w:num w:numId="6" w16cid:durableId="954484161">
    <w:abstractNumId w:val="8"/>
  </w:num>
  <w:num w:numId="7" w16cid:durableId="210771205">
    <w:abstractNumId w:val="3"/>
  </w:num>
  <w:num w:numId="8" w16cid:durableId="380594465">
    <w:abstractNumId w:val="2"/>
  </w:num>
  <w:num w:numId="9" w16cid:durableId="1304584837">
    <w:abstractNumId w:val="1"/>
  </w:num>
  <w:num w:numId="10" w16cid:durableId="1645618271">
    <w:abstractNumId w:val="0"/>
  </w:num>
  <w:num w:numId="11" w16cid:durableId="1120731708">
    <w:abstractNumId w:val="10"/>
  </w:num>
  <w:num w:numId="12" w16cid:durableId="64571113">
    <w:abstractNumId w:val="13"/>
  </w:num>
  <w:num w:numId="13" w16cid:durableId="1500316835">
    <w:abstractNumId w:val="17"/>
  </w:num>
  <w:num w:numId="14" w16cid:durableId="902839741">
    <w:abstractNumId w:val="12"/>
  </w:num>
  <w:num w:numId="15" w16cid:durableId="1446391498">
    <w:abstractNumId w:val="11"/>
  </w:num>
  <w:num w:numId="16" w16cid:durableId="1862283969">
    <w:abstractNumId w:val="16"/>
  </w:num>
  <w:num w:numId="17" w16cid:durableId="1461537878">
    <w:abstractNumId w:val="15"/>
  </w:num>
  <w:num w:numId="18" w16cid:durableId="6806231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0F"/>
    <w:rsid w:val="000004B2"/>
    <w:rsid w:val="00000FC2"/>
    <w:rsid w:val="000010F8"/>
    <w:rsid w:val="00001C4E"/>
    <w:rsid w:val="00002520"/>
    <w:rsid w:val="00003025"/>
    <w:rsid w:val="00004842"/>
    <w:rsid w:val="0000616F"/>
    <w:rsid w:val="00006217"/>
    <w:rsid w:val="00007003"/>
    <w:rsid w:val="0000792F"/>
    <w:rsid w:val="00014212"/>
    <w:rsid w:val="0001428C"/>
    <w:rsid w:val="00015D31"/>
    <w:rsid w:val="00015F74"/>
    <w:rsid w:val="00017C53"/>
    <w:rsid w:val="00021432"/>
    <w:rsid w:val="00023655"/>
    <w:rsid w:val="0002584F"/>
    <w:rsid w:val="000264F2"/>
    <w:rsid w:val="00030840"/>
    <w:rsid w:val="000329DA"/>
    <w:rsid w:val="00032F9C"/>
    <w:rsid w:val="00033AC0"/>
    <w:rsid w:val="00034B77"/>
    <w:rsid w:val="00036940"/>
    <w:rsid w:val="00037428"/>
    <w:rsid w:val="00037888"/>
    <w:rsid w:val="0004228E"/>
    <w:rsid w:val="000424BE"/>
    <w:rsid w:val="00043097"/>
    <w:rsid w:val="00045650"/>
    <w:rsid w:val="00046204"/>
    <w:rsid w:val="00050179"/>
    <w:rsid w:val="00051B29"/>
    <w:rsid w:val="0005299A"/>
    <w:rsid w:val="00053B1C"/>
    <w:rsid w:val="00054D57"/>
    <w:rsid w:val="00055139"/>
    <w:rsid w:val="000552F0"/>
    <w:rsid w:val="00055CD5"/>
    <w:rsid w:val="00056397"/>
    <w:rsid w:val="0006018C"/>
    <w:rsid w:val="00062169"/>
    <w:rsid w:val="000622B4"/>
    <w:rsid w:val="00065EBD"/>
    <w:rsid w:val="00067A8F"/>
    <w:rsid w:val="000728B2"/>
    <w:rsid w:val="00075C38"/>
    <w:rsid w:val="00077FA2"/>
    <w:rsid w:val="00083B44"/>
    <w:rsid w:val="000844E9"/>
    <w:rsid w:val="000850DC"/>
    <w:rsid w:val="00086353"/>
    <w:rsid w:val="00086521"/>
    <w:rsid w:val="0009252D"/>
    <w:rsid w:val="00093E78"/>
    <w:rsid w:val="000948EE"/>
    <w:rsid w:val="0009563A"/>
    <w:rsid w:val="000A0698"/>
    <w:rsid w:val="000A3366"/>
    <w:rsid w:val="000A41E4"/>
    <w:rsid w:val="000A4FB8"/>
    <w:rsid w:val="000C1D7A"/>
    <w:rsid w:val="000C2771"/>
    <w:rsid w:val="000C3277"/>
    <w:rsid w:val="000C4756"/>
    <w:rsid w:val="000C5F36"/>
    <w:rsid w:val="000C6E9B"/>
    <w:rsid w:val="000C7966"/>
    <w:rsid w:val="000D4199"/>
    <w:rsid w:val="000D4446"/>
    <w:rsid w:val="000D4D23"/>
    <w:rsid w:val="000D59BD"/>
    <w:rsid w:val="000E26A8"/>
    <w:rsid w:val="000E4C7C"/>
    <w:rsid w:val="000E5A48"/>
    <w:rsid w:val="000E7482"/>
    <w:rsid w:val="000F0DCE"/>
    <w:rsid w:val="000F1A66"/>
    <w:rsid w:val="000F35D4"/>
    <w:rsid w:val="000F4C58"/>
    <w:rsid w:val="000F52FC"/>
    <w:rsid w:val="000F5D3C"/>
    <w:rsid w:val="000F74C0"/>
    <w:rsid w:val="000F7ACC"/>
    <w:rsid w:val="000F7F29"/>
    <w:rsid w:val="001006D1"/>
    <w:rsid w:val="00102DAE"/>
    <w:rsid w:val="0010440A"/>
    <w:rsid w:val="00107C9C"/>
    <w:rsid w:val="00112C5B"/>
    <w:rsid w:val="0011389F"/>
    <w:rsid w:val="00114193"/>
    <w:rsid w:val="0011589C"/>
    <w:rsid w:val="00115A38"/>
    <w:rsid w:val="0011687B"/>
    <w:rsid w:val="001202CA"/>
    <w:rsid w:val="00123BE2"/>
    <w:rsid w:val="00124F82"/>
    <w:rsid w:val="00127A04"/>
    <w:rsid w:val="0013053E"/>
    <w:rsid w:val="00130E7C"/>
    <w:rsid w:val="001328FB"/>
    <w:rsid w:val="00135822"/>
    <w:rsid w:val="0013690D"/>
    <w:rsid w:val="001404FD"/>
    <w:rsid w:val="0014163F"/>
    <w:rsid w:val="001421A5"/>
    <w:rsid w:val="0014321C"/>
    <w:rsid w:val="001441E2"/>
    <w:rsid w:val="00145BC0"/>
    <w:rsid w:val="00145DE2"/>
    <w:rsid w:val="00147697"/>
    <w:rsid w:val="00147DF2"/>
    <w:rsid w:val="0015108F"/>
    <w:rsid w:val="0015135B"/>
    <w:rsid w:val="001519C1"/>
    <w:rsid w:val="00151D73"/>
    <w:rsid w:val="00152667"/>
    <w:rsid w:val="001532FA"/>
    <w:rsid w:val="001539E1"/>
    <w:rsid w:val="00154A4D"/>
    <w:rsid w:val="00155131"/>
    <w:rsid w:val="001559EB"/>
    <w:rsid w:val="00156E6F"/>
    <w:rsid w:val="00156FA6"/>
    <w:rsid w:val="00160138"/>
    <w:rsid w:val="001603F4"/>
    <w:rsid w:val="0016161C"/>
    <w:rsid w:val="0016337A"/>
    <w:rsid w:val="00164269"/>
    <w:rsid w:val="001643D6"/>
    <w:rsid w:val="001669B8"/>
    <w:rsid w:val="00171B74"/>
    <w:rsid w:val="00173EF8"/>
    <w:rsid w:val="00174A8B"/>
    <w:rsid w:val="0017775E"/>
    <w:rsid w:val="001779C9"/>
    <w:rsid w:val="00180109"/>
    <w:rsid w:val="001806FE"/>
    <w:rsid w:val="0018118F"/>
    <w:rsid w:val="00181B38"/>
    <w:rsid w:val="0018226D"/>
    <w:rsid w:val="00182C02"/>
    <w:rsid w:val="001830A1"/>
    <w:rsid w:val="00183324"/>
    <w:rsid w:val="00183E1F"/>
    <w:rsid w:val="001847D7"/>
    <w:rsid w:val="00184D12"/>
    <w:rsid w:val="001868DC"/>
    <w:rsid w:val="00187404"/>
    <w:rsid w:val="00192F87"/>
    <w:rsid w:val="00193183"/>
    <w:rsid w:val="00196044"/>
    <w:rsid w:val="001975B8"/>
    <w:rsid w:val="001A1BDE"/>
    <w:rsid w:val="001A27FB"/>
    <w:rsid w:val="001A2B35"/>
    <w:rsid w:val="001A2C24"/>
    <w:rsid w:val="001A601B"/>
    <w:rsid w:val="001A63FE"/>
    <w:rsid w:val="001B0955"/>
    <w:rsid w:val="001B1396"/>
    <w:rsid w:val="001B29A8"/>
    <w:rsid w:val="001B3881"/>
    <w:rsid w:val="001B3FBC"/>
    <w:rsid w:val="001B5286"/>
    <w:rsid w:val="001C037A"/>
    <w:rsid w:val="001C0520"/>
    <w:rsid w:val="001C0975"/>
    <w:rsid w:val="001C109E"/>
    <w:rsid w:val="001C1CBB"/>
    <w:rsid w:val="001C40BB"/>
    <w:rsid w:val="001C496E"/>
    <w:rsid w:val="001C4EDD"/>
    <w:rsid w:val="001C7530"/>
    <w:rsid w:val="001D084B"/>
    <w:rsid w:val="001D0AA6"/>
    <w:rsid w:val="001D0EB8"/>
    <w:rsid w:val="001D65B3"/>
    <w:rsid w:val="001E136B"/>
    <w:rsid w:val="001E1860"/>
    <w:rsid w:val="001E4C9C"/>
    <w:rsid w:val="001F0876"/>
    <w:rsid w:val="001F167C"/>
    <w:rsid w:val="001F169A"/>
    <w:rsid w:val="001F1B97"/>
    <w:rsid w:val="001F4220"/>
    <w:rsid w:val="001F4C49"/>
    <w:rsid w:val="001F5946"/>
    <w:rsid w:val="001F5C5B"/>
    <w:rsid w:val="001F5DC1"/>
    <w:rsid w:val="001F5E91"/>
    <w:rsid w:val="00200121"/>
    <w:rsid w:val="00200C45"/>
    <w:rsid w:val="00203B2B"/>
    <w:rsid w:val="0020405C"/>
    <w:rsid w:val="00204B42"/>
    <w:rsid w:val="002050DD"/>
    <w:rsid w:val="002051BF"/>
    <w:rsid w:val="00205E2F"/>
    <w:rsid w:val="00205EEF"/>
    <w:rsid w:val="00206D24"/>
    <w:rsid w:val="00206D3A"/>
    <w:rsid w:val="00207751"/>
    <w:rsid w:val="002077B9"/>
    <w:rsid w:val="002078FA"/>
    <w:rsid w:val="00207D15"/>
    <w:rsid w:val="002101A1"/>
    <w:rsid w:val="002114DB"/>
    <w:rsid w:val="002149E5"/>
    <w:rsid w:val="002149FF"/>
    <w:rsid w:val="00215772"/>
    <w:rsid w:val="0021592D"/>
    <w:rsid w:val="00217C95"/>
    <w:rsid w:val="00220693"/>
    <w:rsid w:val="00223385"/>
    <w:rsid w:val="00224507"/>
    <w:rsid w:val="0022620A"/>
    <w:rsid w:val="002269B9"/>
    <w:rsid w:val="00227975"/>
    <w:rsid w:val="002346B4"/>
    <w:rsid w:val="002366E1"/>
    <w:rsid w:val="00236C71"/>
    <w:rsid w:val="00240A7B"/>
    <w:rsid w:val="002411A3"/>
    <w:rsid w:val="0024227F"/>
    <w:rsid w:val="00242AFF"/>
    <w:rsid w:val="002474C3"/>
    <w:rsid w:val="00247E79"/>
    <w:rsid w:val="00252813"/>
    <w:rsid w:val="00252CC9"/>
    <w:rsid w:val="00253A5A"/>
    <w:rsid w:val="00255BCC"/>
    <w:rsid w:val="002578F7"/>
    <w:rsid w:val="00261DA5"/>
    <w:rsid w:val="002629A0"/>
    <w:rsid w:val="00262D72"/>
    <w:rsid w:val="00263E06"/>
    <w:rsid w:val="00263F67"/>
    <w:rsid w:val="00266801"/>
    <w:rsid w:val="002678A2"/>
    <w:rsid w:val="0027003C"/>
    <w:rsid w:val="00270148"/>
    <w:rsid w:val="00271225"/>
    <w:rsid w:val="00274777"/>
    <w:rsid w:val="002755B5"/>
    <w:rsid w:val="00280F96"/>
    <w:rsid w:val="002810E6"/>
    <w:rsid w:val="0028465B"/>
    <w:rsid w:val="00285069"/>
    <w:rsid w:val="002857A6"/>
    <w:rsid w:val="00291882"/>
    <w:rsid w:val="00291897"/>
    <w:rsid w:val="00293C8A"/>
    <w:rsid w:val="00294FBB"/>
    <w:rsid w:val="002961EE"/>
    <w:rsid w:val="002A216B"/>
    <w:rsid w:val="002A232B"/>
    <w:rsid w:val="002A3BB2"/>
    <w:rsid w:val="002A42F6"/>
    <w:rsid w:val="002A511C"/>
    <w:rsid w:val="002A54E0"/>
    <w:rsid w:val="002A5FD3"/>
    <w:rsid w:val="002B077D"/>
    <w:rsid w:val="002B0AF8"/>
    <w:rsid w:val="002B1FDF"/>
    <w:rsid w:val="002B5297"/>
    <w:rsid w:val="002C030F"/>
    <w:rsid w:val="002C0EC0"/>
    <w:rsid w:val="002C0EF7"/>
    <w:rsid w:val="002C14BB"/>
    <w:rsid w:val="002C1EDC"/>
    <w:rsid w:val="002C46AF"/>
    <w:rsid w:val="002C4F24"/>
    <w:rsid w:val="002C667A"/>
    <w:rsid w:val="002D2866"/>
    <w:rsid w:val="002D39BB"/>
    <w:rsid w:val="002D48AD"/>
    <w:rsid w:val="002D6341"/>
    <w:rsid w:val="002D6B67"/>
    <w:rsid w:val="002E1BB0"/>
    <w:rsid w:val="002E2471"/>
    <w:rsid w:val="002E5419"/>
    <w:rsid w:val="002E6FF3"/>
    <w:rsid w:val="002F0CFA"/>
    <w:rsid w:val="002F103F"/>
    <w:rsid w:val="002F2E1D"/>
    <w:rsid w:val="002F2FBC"/>
    <w:rsid w:val="002F343F"/>
    <w:rsid w:val="002F3FD1"/>
    <w:rsid w:val="00302D2D"/>
    <w:rsid w:val="00302EEA"/>
    <w:rsid w:val="0030318B"/>
    <w:rsid w:val="0030325C"/>
    <w:rsid w:val="003046F5"/>
    <w:rsid w:val="00306425"/>
    <w:rsid w:val="00306AC3"/>
    <w:rsid w:val="003108FB"/>
    <w:rsid w:val="00310D10"/>
    <w:rsid w:val="0031116A"/>
    <w:rsid w:val="00311C17"/>
    <w:rsid w:val="00312348"/>
    <w:rsid w:val="003124AB"/>
    <w:rsid w:val="00316E2F"/>
    <w:rsid w:val="00317699"/>
    <w:rsid w:val="00320653"/>
    <w:rsid w:val="00320F44"/>
    <w:rsid w:val="00321A3E"/>
    <w:rsid w:val="003259B0"/>
    <w:rsid w:val="00325BA8"/>
    <w:rsid w:val="00325BD3"/>
    <w:rsid w:val="00325D90"/>
    <w:rsid w:val="0032634E"/>
    <w:rsid w:val="003269FF"/>
    <w:rsid w:val="00327277"/>
    <w:rsid w:val="003304D1"/>
    <w:rsid w:val="00330F0B"/>
    <w:rsid w:val="00331B07"/>
    <w:rsid w:val="00331D75"/>
    <w:rsid w:val="00332BFB"/>
    <w:rsid w:val="003336F2"/>
    <w:rsid w:val="00335440"/>
    <w:rsid w:val="00336BBD"/>
    <w:rsid w:val="0033770D"/>
    <w:rsid w:val="00341208"/>
    <w:rsid w:val="0034179F"/>
    <w:rsid w:val="00341C9F"/>
    <w:rsid w:val="00343259"/>
    <w:rsid w:val="0034439E"/>
    <w:rsid w:val="003451B6"/>
    <w:rsid w:val="0034541A"/>
    <w:rsid w:val="003523DF"/>
    <w:rsid w:val="00352D0B"/>
    <w:rsid w:val="00355362"/>
    <w:rsid w:val="0035578F"/>
    <w:rsid w:val="00355A49"/>
    <w:rsid w:val="00355B93"/>
    <w:rsid w:val="00357220"/>
    <w:rsid w:val="00360440"/>
    <w:rsid w:val="00360D9E"/>
    <w:rsid w:val="00361770"/>
    <w:rsid w:val="00362AD9"/>
    <w:rsid w:val="00363A2D"/>
    <w:rsid w:val="00363E44"/>
    <w:rsid w:val="00364772"/>
    <w:rsid w:val="00365B71"/>
    <w:rsid w:val="0036791F"/>
    <w:rsid w:val="00370291"/>
    <w:rsid w:val="00370557"/>
    <w:rsid w:val="003709B3"/>
    <w:rsid w:val="00370D55"/>
    <w:rsid w:val="00371B6E"/>
    <w:rsid w:val="00372983"/>
    <w:rsid w:val="00374BE0"/>
    <w:rsid w:val="003754F4"/>
    <w:rsid w:val="003804EF"/>
    <w:rsid w:val="00381699"/>
    <w:rsid w:val="003816E9"/>
    <w:rsid w:val="00382370"/>
    <w:rsid w:val="00383342"/>
    <w:rsid w:val="00385293"/>
    <w:rsid w:val="00385EF8"/>
    <w:rsid w:val="003863F1"/>
    <w:rsid w:val="00387114"/>
    <w:rsid w:val="00390E60"/>
    <w:rsid w:val="00393B25"/>
    <w:rsid w:val="00393E7E"/>
    <w:rsid w:val="003948A1"/>
    <w:rsid w:val="00395E86"/>
    <w:rsid w:val="00397983"/>
    <w:rsid w:val="003A074B"/>
    <w:rsid w:val="003A2FD8"/>
    <w:rsid w:val="003A4600"/>
    <w:rsid w:val="003A71C0"/>
    <w:rsid w:val="003A7307"/>
    <w:rsid w:val="003A7FAE"/>
    <w:rsid w:val="003B1A02"/>
    <w:rsid w:val="003B28BA"/>
    <w:rsid w:val="003B3569"/>
    <w:rsid w:val="003B40E6"/>
    <w:rsid w:val="003B719C"/>
    <w:rsid w:val="003B7694"/>
    <w:rsid w:val="003B7C04"/>
    <w:rsid w:val="003C0189"/>
    <w:rsid w:val="003C0FD5"/>
    <w:rsid w:val="003C129D"/>
    <w:rsid w:val="003C1AD3"/>
    <w:rsid w:val="003C50DA"/>
    <w:rsid w:val="003C6918"/>
    <w:rsid w:val="003C6BC0"/>
    <w:rsid w:val="003C7E42"/>
    <w:rsid w:val="003D1A43"/>
    <w:rsid w:val="003D1B5E"/>
    <w:rsid w:val="003D22E1"/>
    <w:rsid w:val="003D3052"/>
    <w:rsid w:val="003D3896"/>
    <w:rsid w:val="003D5250"/>
    <w:rsid w:val="003D699B"/>
    <w:rsid w:val="003E04D1"/>
    <w:rsid w:val="003E2C60"/>
    <w:rsid w:val="003E2DAE"/>
    <w:rsid w:val="003E2E2D"/>
    <w:rsid w:val="003E3917"/>
    <w:rsid w:val="003E449B"/>
    <w:rsid w:val="003E7DCF"/>
    <w:rsid w:val="003F0A7F"/>
    <w:rsid w:val="003F12EE"/>
    <w:rsid w:val="003F1A00"/>
    <w:rsid w:val="003F22A7"/>
    <w:rsid w:val="003F251B"/>
    <w:rsid w:val="003F2C1C"/>
    <w:rsid w:val="003F53A1"/>
    <w:rsid w:val="003F6D46"/>
    <w:rsid w:val="003F6E14"/>
    <w:rsid w:val="003F741F"/>
    <w:rsid w:val="0040005B"/>
    <w:rsid w:val="00402D6D"/>
    <w:rsid w:val="00403EC2"/>
    <w:rsid w:val="00405336"/>
    <w:rsid w:val="00406305"/>
    <w:rsid w:val="0040633D"/>
    <w:rsid w:val="00407B81"/>
    <w:rsid w:val="00407E75"/>
    <w:rsid w:val="00407EB6"/>
    <w:rsid w:val="00411C19"/>
    <w:rsid w:val="00413EBF"/>
    <w:rsid w:val="0041505E"/>
    <w:rsid w:val="00416CFA"/>
    <w:rsid w:val="00416E73"/>
    <w:rsid w:val="004178F9"/>
    <w:rsid w:val="00420C92"/>
    <w:rsid w:val="0042197C"/>
    <w:rsid w:val="00421D3E"/>
    <w:rsid w:val="0042219B"/>
    <w:rsid w:val="00422407"/>
    <w:rsid w:val="00425E2B"/>
    <w:rsid w:val="004266AD"/>
    <w:rsid w:val="00426A34"/>
    <w:rsid w:val="00432666"/>
    <w:rsid w:val="00433795"/>
    <w:rsid w:val="0044149A"/>
    <w:rsid w:val="00441F06"/>
    <w:rsid w:val="004423FD"/>
    <w:rsid w:val="004457FC"/>
    <w:rsid w:val="00446E5A"/>
    <w:rsid w:val="0045004E"/>
    <w:rsid w:val="004571D5"/>
    <w:rsid w:val="0046054B"/>
    <w:rsid w:val="00460C1D"/>
    <w:rsid w:val="00461D81"/>
    <w:rsid w:val="00462B7D"/>
    <w:rsid w:val="0046356B"/>
    <w:rsid w:val="00465169"/>
    <w:rsid w:val="00465410"/>
    <w:rsid w:val="004678E7"/>
    <w:rsid w:val="004702D2"/>
    <w:rsid w:val="004721FB"/>
    <w:rsid w:val="00473A3B"/>
    <w:rsid w:val="00473E09"/>
    <w:rsid w:val="00475233"/>
    <w:rsid w:val="00475C09"/>
    <w:rsid w:val="00477182"/>
    <w:rsid w:val="004779CB"/>
    <w:rsid w:val="004806B6"/>
    <w:rsid w:val="0048078F"/>
    <w:rsid w:val="00482487"/>
    <w:rsid w:val="004824BA"/>
    <w:rsid w:val="00483B28"/>
    <w:rsid w:val="004928F2"/>
    <w:rsid w:val="00493310"/>
    <w:rsid w:val="0049521D"/>
    <w:rsid w:val="0049560C"/>
    <w:rsid w:val="004A159F"/>
    <w:rsid w:val="004A2386"/>
    <w:rsid w:val="004A2705"/>
    <w:rsid w:val="004A4490"/>
    <w:rsid w:val="004A5CE7"/>
    <w:rsid w:val="004A7BF8"/>
    <w:rsid w:val="004B0062"/>
    <w:rsid w:val="004B2678"/>
    <w:rsid w:val="004B2F21"/>
    <w:rsid w:val="004B3DB7"/>
    <w:rsid w:val="004B3F72"/>
    <w:rsid w:val="004B4162"/>
    <w:rsid w:val="004B6459"/>
    <w:rsid w:val="004B65BC"/>
    <w:rsid w:val="004C1741"/>
    <w:rsid w:val="004C1FE5"/>
    <w:rsid w:val="004C2180"/>
    <w:rsid w:val="004C7B4F"/>
    <w:rsid w:val="004D0BD8"/>
    <w:rsid w:val="004D0BE8"/>
    <w:rsid w:val="004D1D94"/>
    <w:rsid w:val="004D1EC1"/>
    <w:rsid w:val="004D3246"/>
    <w:rsid w:val="004D5D42"/>
    <w:rsid w:val="004D6C2A"/>
    <w:rsid w:val="004D7695"/>
    <w:rsid w:val="004D7A37"/>
    <w:rsid w:val="004D7CA8"/>
    <w:rsid w:val="004D7E36"/>
    <w:rsid w:val="004E0975"/>
    <w:rsid w:val="004E1550"/>
    <w:rsid w:val="004E302C"/>
    <w:rsid w:val="004E3586"/>
    <w:rsid w:val="004E42D8"/>
    <w:rsid w:val="004E4333"/>
    <w:rsid w:val="004E4F55"/>
    <w:rsid w:val="004E58B1"/>
    <w:rsid w:val="004E6830"/>
    <w:rsid w:val="004E79AC"/>
    <w:rsid w:val="004E7B49"/>
    <w:rsid w:val="004E7BA2"/>
    <w:rsid w:val="004F0E88"/>
    <w:rsid w:val="004F3135"/>
    <w:rsid w:val="004F74B2"/>
    <w:rsid w:val="004F7EDF"/>
    <w:rsid w:val="005001AC"/>
    <w:rsid w:val="005004CF"/>
    <w:rsid w:val="0050161A"/>
    <w:rsid w:val="005018FC"/>
    <w:rsid w:val="00502502"/>
    <w:rsid w:val="005025CA"/>
    <w:rsid w:val="005028AB"/>
    <w:rsid w:val="00503BB8"/>
    <w:rsid w:val="0050613E"/>
    <w:rsid w:val="0050765D"/>
    <w:rsid w:val="00510279"/>
    <w:rsid w:val="00510328"/>
    <w:rsid w:val="00513E89"/>
    <w:rsid w:val="00513F79"/>
    <w:rsid w:val="00514CBD"/>
    <w:rsid w:val="00517C78"/>
    <w:rsid w:val="00523EB8"/>
    <w:rsid w:val="00523EE1"/>
    <w:rsid w:val="005245E1"/>
    <w:rsid w:val="00525E02"/>
    <w:rsid w:val="00526062"/>
    <w:rsid w:val="00527648"/>
    <w:rsid w:val="00527D71"/>
    <w:rsid w:val="00533B30"/>
    <w:rsid w:val="00535F85"/>
    <w:rsid w:val="00540834"/>
    <w:rsid w:val="0054104D"/>
    <w:rsid w:val="0054212B"/>
    <w:rsid w:val="00546D29"/>
    <w:rsid w:val="00546ECA"/>
    <w:rsid w:val="005473F1"/>
    <w:rsid w:val="00550B54"/>
    <w:rsid w:val="0055105A"/>
    <w:rsid w:val="00554ADA"/>
    <w:rsid w:val="00556161"/>
    <w:rsid w:val="00556503"/>
    <w:rsid w:val="005600C1"/>
    <w:rsid w:val="005607DD"/>
    <w:rsid w:val="005609E9"/>
    <w:rsid w:val="00562D21"/>
    <w:rsid w:val="00563254"/>
    <w:rsid w:val="00563392"/>
    <w:rsid w:val="00571C49"/>
    <w:rsid w:val="0057372A"/>
    <w:rsid w:val="00573B23"/>
    <w:rsid w:val="00574D1E"/>
    <w:rsid w:val="00575965"/>
    <w:rsid w:val="00576403"/>
    <w:rsid w:val="00576759"/>
    <w:rsid w:val="005768C4"/>
    <w:rsid w:val="00583EA0"/>
    <w:rsid w:val="00584127"/>
    <w:rsid w:val="00585CA0"/>
    <w:rsid w:val="00586FD2"/>
    <w:rsid w:val="0059227E"/>
    <w:rsid w:val="00592A77"/>
    <w:rsid w:val="00593CF1"/>
    <w:rsid w:val="0059429D"/>
    <w:rsid w:val="00594618"/>
    <w:rsid w:val="005A16C5"/>
    <w:rsid w:val="005A37C3"/>
    <w:rsid w:val="005A3CBB"/>
    <w:rsid w:val="005A4595"/>
    <w:rsid w:val="005A5427"/>
    <w:rsid w:val="005A558C"/>
    <w:rsid w:val="005A6939"/>
    <w:rsid w:val="005A6E6B"/>
    <w:rsid w:val="005A75FD"/>
    <w:rsid w:val="005B1B79"/>
    <w:rsid w:val="005B2EC5"/>
    <w:rsid w:val="005B3159"/>
    <w:rsid w:val="005B3766"/>
    <w:rsid w:val="005B73CE"/>
    <w:rsid w:val="005C04AB"/>
    <w:rsid w:val="005C0704"/>
    <w:rsid w:val="005C1447"/>
    <w:rsid w:val="005C3EBF"/>
    <w:rsid w:val="005C52D5"/>
    <w:rsid w:val="005C5AA0"/>
    <w:rsid w:val="005D088E"/>
    <w:rsid w:val="005D14F1"/>
    <w:rsid w:val="005D2FCA"/>
    <w:rsid w:val="005D35A3"/>
    <w:rsid w:val="005D38B8"/>
    <w:rsid w:val="005D4E58"/>
    <w:rsid w:val="005D5D1A"/>
    <w:rsid w:val="005D625A"/>
    <w:rsid w:val="005D6918"/>
    <w:rsid w:val="005D7C23"/>
    <w:rsid w:val="005E28F8"/>
    <w:rsid w:val="005E2E3F"/>
    <w:rsid w:val="005E2FB1"/>
    <w:rsid w:val="005E33FE"/>
    <w:rsid w:val="005E409E"/>
    <w:rsid w:val="005E4A49"/>
    <w:rsid w:val="005E546F"/>
    <w:rsid w:val="005E58C2"/>
    <w:rsid w:val="005E5CBE"/>
    <w:rsid w:val="005E6513"/>
    <w:rsid w:val="005E6B00"/>
    <w:rsid w:val="005E70FB"/>
    <w:rsid w:val="005F21CD"/>
    <w:rsid w:val="005F34D7"/>
    <w:rsid w:val="005F3B81"/>
    <w:rsid w:val="005F50C6"/>
    <w:rsid w:val="005F7B78"/>
    <w:rsid w:val="006022EE"/>
    <w:rsid w:val="00603C5A"/>
    <w:rsid w:val="006040B0"/>
    <w:rsid w:val="006058E5"/>
    <w:rsid w:val="006058F6"/>
    <w:rsid w:val="006069C6"/>
    <w:rsid w:val="006073BC"/>
    <w:rsid w:val="00610854"/>
    <w:rsid w:val="00611A19"/>
    <w:rsid w:val="006140DF"/>
    <w:rsid w:val="00614FF1"/>
    <w:rsid w:val="00615806"/>
    <w:rsid w:val="00616F87"/>
    <w:rsid w:val="00617ADD"/>
    <w:rsid w:val="00621660"/>
    <w:rsid w:val="00624104"/>
    <w:rsid w:val="00625211"/>
    <w:rsid w:val="00625CB0"/>
    <w:rsid w:val="00626771"/>
    <w:rsid w:val="00627AC5"/>
    <w:rsid w:val="00630FDB"/>
    <w:rsid w:val="0063117E"/>
    <w:rsid w:val="006332B0"/>
    <w:rsid w:val="00633537"/>
    <w:rsid w:val="00634849"/>
    <w:rsid w:val="00635567"/>
    <w:rsid w:val="00641302"/>
    <w:rsid w:val="006423E7"/>
    <w:rsid w:val="00645CFC"/>
    <w:rsid w:val="00646B38"/>
    <w:rsid w:val="00651114"/>
    <w:rsid w:val="00652848"/>
    <w:rsid w:val="00653B72"/>
    <w:rsid w:val="00653FE9"/>
    <w:rsid w:val="006542E8"/>
    <w:rsid w:val="0065521C"/>
    <w:rsid w:val="00655396"/>
    <w:rsid w:val="0065754F"/>
    <w:rsid w:val="0065772A"/>
    <w:rsid w:val="00661F41"/>
    <w:rsid w:val="00663059"/>
    <w:rsid w:val="00663E16"/>
    <w:rsid w:val="00665A5B"/>
    <w:rsid w:val="0066766E"/>
    <w:rsid w:val="0067005F"/>
    <w:rsid w:val="00670299"/>
    <w:rsid w:val="00671F28"/>
    <w:rsid w:val="006742E6"/>
    <w:rsid w:val="0067451B"/>
    <w:rsid w:val="00676CB2"/>
    <w:rsid w:val="006835D4"/>
    <w:rsid w:val="00685581"/>
    <w:rsid w:val="006856FE"/>
    <w:rsid w:val="00686614"/>
    <w:rsid w:val="00686BBE"/>
    <w:rsid w:val="00687808"/>
    <w:rsid w:val="006904A1"/>
    <w:rsid w:val="00690668"/>
    <w:rsid w:val="00691754"/>
    <w:rsid w:val="00691985"/>
    <w:rsid w:val="00691ED2"/>
    <w:rsid w:val="00694045"/>
    <w:rsid w:val="00696A34"/>
    <w:rsid w:val="0069755A"/>
    <w:rsid w:val="006A1B64"/>
    <w:rsid w:val="006A201A"/>
    <w:rsid w:val="006A4121"/>
    <w:rsid w:val="006A4F8A"/>
    <w:rsid w:val="006A6261"/>
    <w:rsid w:val="006A6846"/>
    <w:rsid w:val="006B0480"/>
    <w:rsid w:val="006B278D"/>
    <w:rsid w:val="006B3E2F"/>
    <w:rsid w:val="006B57A0"/>
    <w:rsid w:val="006B5AFA"/>
    <w:rsid w:val="006B641C"/>
    <w:rsid w:val="006B6B4D"/>
    <w:rsid w:val="006B7474"/>
    <w:rsid w:val="006B7A0B"/>
    <w:rsid w:val="006C053B"/>
    <w:rsid w:val="006C089F"/>
    <w:rsid w:val="006C4F49"/>
    <w:rsid w:val="006C72EA"/>
    <w:rsid w:val="006D169A"/>
    <w:rsid w:val="006D5955"/>
    <w:rsid w:val="006D6BFD"/>
    <w:rsid w:val="006D76F6"/>
    <w:rsid w:val="006D7E0B"/>
    <w:rsid w:val="006E0811"/>
    <w:rsid w:val="006E2590"/>
    <w:rsid w:val="006E3E68"/>
    <w:rsid w:val="006F0A73"/>
    <w:rsid w:val="006F1326"/>
    <w:rsid w:val="006F236B"/>
    <w:rsid w:val="006F28EF"/>
    <w:rsid w:val="006F47B1"/>
    <w:rsid w:val="006F5307"/>
    <w:rsid w:val="006F6248"/>
    <w:rsid w:val="006F7210"/>
    <w:rsid w:val="00701649"/>
    <w:rsid w:val="00702381"/>
    <w:rsid w:val="0070472F"/>
    <w:rsid w:val="00704CC5"/>
    <w:rsid w:val="00706FFB"/>
    <w:rsid w:val="007108F5"/>
    <w:rsid w:val="00713E5B"/>
    <w:rsid w:val="00714F84"/>
    <w:rsid w:val="00715259"/>
    <w:rsid w:val="00715352"/>
    <w:rsid w:val="00717382"/>
    <w:rsid w:val="00720217"/>
    <w:rsid w:val="00721FE7"/>
    <w:rsid w:val="0072240F"/>
    <w:rsid w:val="00727DC6"/>
    <w:rsid w:val="00732C9C"/>
    <w:rsid w:val="00734E7A"/>
    <w:rsid w:val="00735A79"/>
    <w:rsid w:val="007360A9"/>
    <w:rsid w:val="00736230"/>
    <w:rsid w:val="00737321"/>
    <w:rsid w:val="007402FC"/>
    <w:rsid w:val="00740BF0"/>
    <w:rsid w:val="007411A1"/>
    <w:rsid w:val="00742427"/>
    <w:rsid w:val="00743994"/>
    <w:rsid w:val="00745C02"/>
    <w:rsid w:val="007475A1"/>
    <w:rsid w:val="00750B50"/>
    <w:rsid w:val="00750F88"/>
    <w:rsid w:val="00751E91"/>
    <w:rsid w:val="00752992"/>
    <w:rsid w:val="00752F68"/>
    <w:rsid w:val="007540FD"/>
    <w:rsid w:val="00754309"/>
    <w:rsid w:val="007547A6"/>
    <w:rsid w:val="00756B6B"/>
    <w:rsid w:val="0076025E"/>
    <w:rsid w:val="00761A44"/>
    <w:rsid w:val="007623D8"/>
    <w:rsid w:val="007627F2"/>
    <w:rsid w:val="007631A9"/>
    <w:rsid w:val="00763345"/>
    <w:rsid w:val="007668BB"/>
    <w:rsid w:val="00766DC8"/>
    <w:rsid w:val="00767A53"/>
    <w:rsid w:val="00771512"/>
    <w:rsid w:val="0077348E"/>
    <w:rsid w:val="00773613"/>
    <w:rsid w:val="0077456F"/>
    <w:rsid w:val="00774E68"/>
    <w:rsid w:val="00775738"/>
    <w:rsid w:val="00782C34"/>
    <w:rsid w:val="007843C9"/>
    <w:rsid w:val="00784963"/>
    <w:rsid w:val="00785A8F"/>
    <w:rsid w:val="00786946"/>
    <w:rsid w:val="00787353"/>
    <w:rsid w:val="00787915"/>
    <w:rsid w:val="007903AE"/>
    <w:rsid w:val="0079110F"/>
    <w:rsid w:val="00791776"/>
    <w:rsid w:val="00792166"/>
    <w:rsid w:val="00792278"/>
    <w:rsid w:val="00792CF0"/>
    <w:rsid w:val="00793B87"/>
    <w:rsid w:val="00794AA4"/>
    <w:rsid w:val="00795859"/>
    <w:rsid w:val="00797041"/>
    <w:rsid w:val="007972E4"/>
    <w:rsid w:val="00797F24"/>
    <w:rsid w:val="007A0584"/>
    <w:rsid w:val="007A0B9E"/>
    <w:rsid w:val="007A0E14"/>
    <w:rsid w:val="007A7934"/>
    <w:rsid w:val="007A7F19"/>
    <w:rsid w:val="007B102B"/>
    <w:rsid w:val="007B4674"/>
    <w:rsid w:val="007B52A6"/>
    <w:rsid w:val="007B5946"/>
    <w:rsid w:val="007B62B4"/>
    <w:rsid w:val="007C0E95"/>
    <w:rsid w:val="007C0EFB"/>
    <w:rsid w:val="007C115E"/>
    <w:rsid w:val="007C35AA"/>
    <w:rsid w:val="007C7FE2"/>
    <w:rsid w:val="007D06F9"/>
    <w:rsid w:val="007D23FC"/>
    <w:rsid w:val="007D3F5F"/>
    <w:rsid w:val="007D6DF8"/>
    <w:rsid w:val="007E026C"/>
    <w:rsid w:val="007E1A3C"/>
    <w:rsid w:val="007E22BF"/>
    <w:rsid w:val="007E2C27"/>
    <w:rsid w:val="007E3724"/>
    <w:rsid w:val="007E6782"/>
    <w:rsid w:val="007E6CCD"/>
    <w:rsid w:val="007E726D"/>
    <w:rsid w:val="007F2E17"/>
    <w:rsid w:val="007F5297"/>
    <w:rsid w:val="007F5641"/>
    <w:rsid w:val="007F6813"/>
    <w:rsid w:val="008008B2"/>
    <w:rsid w:val="0080170F"/>
    <w:rsid w:val="008028B1"/>
    <w:rsid w:val="00805969"/>
    <w:rsid w:val="00806F7D"/>
    <w:rsid w:val="00807D35"/>
    <w:rsid w:val="008122C7"/>
    <w:rsid w:val="00820484"/>
    <w:rsid w:val="00820CCA"/>
    <w:rsid w:val="008236C8"/>
    <w:rsid w:val="00824134"/>
    <w:rsid w:val="00824DF3"/>
    <w:rsid w:val="00827143"/>
    <w:rsid w:val="008311AA"/>
    <w:rsid w:val="008317FD"/>
    <w:rsid w:val="00833A31"/>
    <w:rsid w:val="00834ABF"/>
    <w:rsid w:val="00835D10"/>
    <w:rsid w:val="00840155"/>
    <w:rsid w:val="00840BB2"/>
    <w:rsid w:val="00842516"/>
    <w:rsid w:val="0084590A"/>
    <w:rsid w:val="00847C30"/>
    <w:rsid w:val="008504A2"/>
    <w:rsid w:val="008514CA"/>
    <w:rsid w:val="00852318"/>
    <w:rsid w:val="008530FA"/>
    <w:rsid w:val="0085336A"/>
    <w:rsid w:val="00860677"/>
    <w:rsid w:val="00861275"/>
    <w:rsid w:val="008615A3"/>
    <w:rsid w:val="00867155"/>
    <w:rsid w:val="00867A4E"/>
    <w:rsid w:val="008707B0"/>
    <w:rsid w:val="00872671"/>
    <w:rsid w:val="00874AEA"/>
    <w:rsid w:val="008849C4"/>
    <w:rsid w:val="00884DB7"/>
    <w:rsid w:val="00885C9B"/>
    <w:rsid w:val="00886975"/>
    <w:rsid w:val="00887A71"/>
    <w:rsid w:val="00890802"/>
    <w:rsid w:val="00893892"/>
    <w:rsid w:val="0089581A"/>
    <w:rsid w:val="008959A7"/>
    <w:rsid w:val="00895D11"/>
    <w:rsid w:val="0089689A"/>
    <w:rsid w:val="00897255"/>
    <w:rsid w:val="008A1019"/>
    <w:rsid w:val="008A193C"/>
    <w:rsid w:val="008A2A9A"/>
    <w:rsid w:val="008A4842"/>
    <w:rsid w:val="008A6161"/>
    <w:rsid w:val="008B0064"/>
    <w:rsid w:val="008B12FC"/>
    <w:rsid w:val="008B1846"/>
    <w:rsid w:val="008B1F4B"/>
    <w:rsid w:val="008B6760"/>
    <w:rsid w:val="008B6EB9"/>
    <w:rsid w:val="008B7850"/>
    <w:rsid w:val="008B7C01"/>
    <w:rsid w:val="008C069B"/>
    <w:rsid w:val="008C4017"/>
    <w:rsid w:val="008C4161"/>
    <w:rsid w:val="008C5BDE"/>
    <w:rsid w:val="008D0DE0"/>
    <w:rsid w:val="008D10C4"/>
    <w:rsid w:val="008D1C12"/>
    <w:rsid w:val="008D2FC1"/>
    <w:rsid w:val="008D3D61"/>
    <w:rsid w:val="008D5D2A"/>
    <w:rsid w:val="008E0C43"/>
    <w:rsid w:val="008E2C38"/>
    <w:rsid w:val="008E3E83"/>
    <w:rsid w:val="008E453E"/>
    <w:rsid w:val="008E4AB0"/>
    <w:rsid w:val="008E4BBE"/>
    <w:rsid w:val="008E7606"/>
    <w:rsid w:val="008F0E5E"/>
    <w:rsid w:val="008F614F"/>
    <w:rsid w:val="008F69C8"/>
    <w:rsid w:val="008F7A7A"/>
    <w:rsid w:val="00903487"/>
    <w:rsid w:val="009045F8"/>
    <w:rsid w:val="00905A12"/>
    <w:rsid w:val="00910E58"/>
    <w:rsid w:val="00912D5A"/>
    <w:rsid w:val="00914B63"/>
    <w:rsid w:val="00916E3B"/>
    <w:rsid w:val="00917035"/>
    <w:rsid w:val="00923C0E"/>
    <w:rsid w:val="00925523"/>
    <w:rsid w:val="00925578"/>
    <w:rsid w:val="009258B8"/>
    <w:rsid w:val="0092634D"/>
    <w:rsid w:val="00930F50"/>
    <w:rsid w:val="00934E0F"/>
    <w:rsid w:val="009354F3"/>
    <w:rsid w:val="009364CC"/>
    <w:rsid w:val="00937E87"/>
    <w:rsid w:val="009417BC"/>
    <w:rsid w:val="0094199B"/>
    <w:rsid w:val="00942600"/>
    <w:rsid w:val="00942C22"/>
    <w:rsid w:val="00942CB6"/>
    <w:rsid w:val="00943025"/>
    <w:rsid w:val="00943C3C"/>
    <w:rsid w:val="009447DC"/>
    <w:rsid w:val="00945807"/>
    <w:rsid w:val="00950A4C"/>
    <w:rsid w:val="009519CF"/>
    <w:rsid w:val="00952D5C"/>
    <w:rsid w:val="00954A3A"/>
    <w:rsid w:val="00954C98"/>
    <w:rsid w:val="00956D39"/>
    <w:rsid w:val="00960F5A"/>
    <w:rsid w:val="00961BA5"/>
    <w:rsid w:val="00964656"/>
    <w:rsid w:val="009661F4"/>
    <w:rsid w:val="00967CE6"/>
    <w:rsid w:val="00970370"/>
    <w:rsid w:val="00971952"/>
    <w:rsid w:val="00973F4D"/>
    <w:rsid w:val="009743A9"/>
    <w:rsid w:val="009747B3"/>
    <w:rsid w:val="00975AB0"/>
    <w:rsid w:val="00977468"/>
    <w:rsid w:val="009777D0"/>
    <w:rsid w:val="0098182F"/>
    <w:rsid w:val="00983DC2"/>
    <w:rsid w:val="00983F6A"/>
    <w:rsid w:val="009874F2"/>
    <w:rsid w:val="009902AF"/>
    <w:rsid w:val="0099099F"/>
    <w:rsid w:val="009929E1"/>
    <w:rsid w:val="00995E4F"/>
    <w:rsid w:val="009A23B2"/>
    <w:rsid w:val="009A3F39"/>
    <w:rsid w:val="009A4F90"/>
    <w:rsid w:val="009A5287"/>
    <w:rsid w:val="009A5A14"/>
    <w:rsid w:val="009A670E"/>
    <w:rsid w:val="009B115E"/>
    <w:rsid w:val="009B1D96"/>
    <w:rsid w:val="009B28EA"/>
    <w:rsid w:val="009B2AC5"/>
    <w:rsid w:val="009B3397"/>
    <w:rsid w:val="009B5A89"/>
    <w:rsid w:val="009B6ABA"/>
    <w:rsid w:val="009B6C02"/>
    <w:rsid w:val="009B7984"/>
    <w:rsid w:val="009B7AFE"/>
    <w:rsid w:val="009C0231"/>
    <w:rsid w:val="009C3270"/>
    <w:rsid w:val="009C3957"/>
    <w:rsid w:val="009C5854"/>
    <w:rsid w:val="009C6B31"/>
    <w:rsid w:val="009C6C1F"/>
    <w:rsid w:val="009C7AF3"/>
    <w:rsid w:val="009D548C"/>
    <w:rsid w:val="009D5E83"/>
    <w:rsid w:val="009D7123"/>
    <w:rsid w:val="009D77B8"/>
    <w:rsid w:val="009D78CA"/>
    <w:rsid w:val="009D7ABC"/>
    <w:rsid w:val="009E1E78"/>
    <w:rsid w:val="009E22B2"/>
    <w:rsid w:val="009E46C2"/>
    <w:rsid w:val="009E665C"/>
    <w:rsid w:val="009E7174"/>
    <w:rsid w:val="009F3126"/>
    <w:rsid w:val="009F35A3"/>
    <w:rsid w:val="009F4BED"/>
    <w:rsid w:val="009F66A0"/>
    <w:rsid w:val="009F7D93"/>
    <w:rsid w:val="00A00B14"/>
    <w:rsid w:val="00A01BAA"/>
    <w:rsid w:val="00A0340F"/>
    <w:rsid w:val="00A04A76"/>
    <w:rsid w:val="00A10E73"/>
    <w:rsid w:val="00A12223"/>
    <w:rsid w:val="00A12F3C"/>
    <w:rsid w:val="00A14307"/>
    <w:rsid w:val="00A14C72"/>
    <w:rsid w:val="00A1567B"/>
    <w:rsid w:val="00A26D5F"/>
    <w:rsid w:val="00A26FF8"/>
    <w:rsid w:val="00A27057"/>
    <w:rsid w:val="00A3151A"/>
    <w:rsid w:val="00A329C7"/>
    <w:rsid w:val="00A32CB5"/>
    <w:rsid w:val="00A3302B"/>
    <w:rsid w:val="00A33929"/>
    <w:rsid w:val="00A3403B"/>
    <w:rsid w:val="00A34C9E"/>
    <w:rsid w:val="00A37DD5"/>
    <w:rsid w:val="00A432C8"/>
    <w:rsid w:val="00A4340C"/>
    <w:rsid w:val="00A43732"/>
    <w:rsid w:val="00A43988"/>
    <w:rsid w:val="00A447EF"/>
    <w:rsid w:val="00A44A4B"/>
    <w:rsid w:val="00A460F8"/>
    <w:rsid w:val="00A47495"/>
    <w:rsid w:val="00A51A12"/>
    <w:rsid w:val="00A54981"/>
    <w:rsid w:val="00A61002"/>
    <w:rsid w:val="00A621BA"/>
    <w:rsid w:val="00A627D4"/>
    <w:rsid w:val="00A72B81"/>
    <w:rsid w:val="00A74DA2"/>
    <w:rsid w:val="00A7662A"/>
    <w:rsid w:val="00A77850"/>
    <w:rsid w:val="00A808C1"/>
    <w:rsid w:val="00A829CA"/>
    <w:rsid w:val="00A84925"/>
    <w:rsid w:val="00A85513"/>
    <w:rsid w:val="00A85A6A"/>
    <w:rsid w:val="00A861B1"/>
    <w:rsid w:val="00A907D4"/>
    <w:rsid w:val="00A909D8"/>
    <w:rsid w:val="00A90DDB"/>
    <w:rsid w:val="00A91BCA"/>
    <w:rsid w:val="00A921B1"/>
    <w:rsid w:val="00A9310B"/>
    <w:rsid w:val="00A93DB1"/>
    <w:rsid w:val="00A9437D"/>
    <w:rsid w:val="00A94788"/>
    <w:rsid w:val="00A94FD3"/>
    <w:rsid w:val="00A959D3"/>
    <w:rsid w:val="00A95EE9"/>
    <w:rsid w:val="00A9704E"/>
    <w:rsid w:val="00AA1801"/>
    <w:rsid w:val="00AA2354"/>
    <w:rsid w:val="00AA2885"/>
    <w:rsid w:val="00AA53D5"/>
    <w:rsid w:val="00AA734C"/>
    <w:rsid w:val="00AA7708"/>
    <w:rsid w:val="00AB0914"/>
    <w:rsid w:val="00AB20CC"/>
    <w:rsid w:val="00AB3213"/>
    <w:rsid w:val="00AB3AE3"/>
    <w:rsid w:val="00AB598E"/>
    <w:rsid w:val="00AB5C35"/>
    <w:rsid w:val="00AC0F73"/>
    <w:rsid w:val="00AC15B4"/>
    <w:rsid w:val="00AC2844"/>
    <w:rsid w:val="00AC2F11"/>
    <w:rsid w:val="00AC3439"/>
    <w:rsid w:val="00AC3B30"/>
    <w:rsid w:val="00AC6A2E"/>
    <w:rsid w:val="00AC7E8B"/>
    <w:rsid w:val="00AC7F26"/>
    <w:rsid w:val="00AD2348"/>
    <w:rsid w:val="00AD25AE"/>
    <w:rsid w:val="00AD499C"/>
    <w:rsid w:val="00AD4CE5"/>
    <w:rsid w:val="00AD61AE"/>
    <w:rsid w:val="00AD695A"/>
    <w:rsid w:val="00AD6C7D"/>
    <w:rsid w:val="00AD78D8"/>
    <w:rsid w:val="00AE2B07"/>
    <w:rsid w:val="00AE4430"/>
    <w:rsid w:val="00AE5A57"/>
    <w:rsid w:val="00AE5A70"/>
    <w:rsid w:val="00AE6DEB"/>
    <w:rsid w:val="00AE7BFE"/>
    <w:rsid w:val="00AE7F8C"/>
    <w:rsid w:val="00AF1CB7"/>
    <w:rsid w:val="00AF2488"/>
    <w:rsid w:val="00AF3378"/>
    <w:rsid w:val="00AF3BE5"/>
    <w:rsid w:val="00AF6EAF"/>
    <w:rsid w:val="00AF7BD3"/>
    <w:rsid w:val="00B003EE"/>
    <w:rsid w:val="00B008FF"/>
    <w:rsid w:val="00B01CA6"/>
    <w:rsid w:val="00B02E63"/>
    <w:rsid w:val="00B02F96"/>
    <w:rsid w:val="00B0304A"/>
    <w:rsid w:val="00B038F4"/>
    <w:rsid w:val="00B05D35"/>
    <w:rsid w:val="00B0681A"/>
    <w:rsid w:val="00B11BBB"/>
    <w:rsid w:val="00B11D7F"/>
    <w:rsid w:val="00B13A48"/>
    <w:rsid w:val="00B14237"/>
    <w:rsid w:val="00B15008"/>
    <w:rsid w:val="00B15B5D"/>
    <w:rsid w:val="00B16D69"/>
    <w:rsid w:val="00B16F99"/>
    <w:rsid w:val="00B1771B"/>
    <w:rsid w:val="00B21471"/>
    <w:rsid w:val="00B244C3"/>
    <w:rsid w:val="00B24E70"/>
    <w:rsid w:val="00B265C2"/>
    <w:rsid w:val="00B2683D"/>
    <w:rsid w:val="00B26A88"/>
    <w:rsid w:val="00B278EC"/>
    <w:rsid w:val="00B30B24"/>
    <w:rsid w:val="00B32EBC"/>
    <w:rsid w:val="00B36869"/>
    <w:rsid w:val="00B36DC5"/>
    <w:rsid w:val="00B40480"/>
    <w:rsid w:val="00B40619"/>
    <w:rsid w:val="00B41F01"/>
    <w:rsid w:val="00B42326"/>
    <w:rsid w:val="00B42749"/>
    <w:rsid w:val="00B42F9C"/>
    <w:rsid w:val="00B43B31"/>
    <w:rsid w:val="00B43DA9"/>
    <w:rsid w:val="00B45135"/>
    <w:rsid w:val="00B45296"/>
    <w:rsid w:val="00B459E0"/>
    <w:rsid w:val="00B47CFA"/>
    <w:rsid w:val="00B5088B"/>
    <w:rsid w:val="00B52935"/>
    <w:rsid w:val="00B53AA2"/>
    <w:rsid w:val="00B54083"/>
    <w:rsid w:val="00B579A2"/>
    <w:rsid w:val="00B57F00"/>
    <w:rsid w:val="00B653A1"/>
    <w:rsid w:val="00B65D68"/>
    <w:rsid w:val="00B65FFB"/>
    <w:rsid w:val="00B6646B"/>
    <w:rsid w:val="00B669F7"/>
    <w:rsid w:val="00B66E5A"/>
    <w:rsid w:val="00B67A86"/>
    <w:rsid w:val="00B71D63"/>
    <w:rsid w:val="00B7327D"/>
    <w:rsid w:val="00B737EA"/>
    <w:rsid w:val="00B7494B"/>
    <w:rsid w:val="00B76113"/>
    <w:rsid w:val="00B77B2A"/>
    <w:rsid w:val="00B80203"/>
    <w:rsid w:val="00B8085C"/>
    <w:rsid w:val="00B81C9D"/>
    <w:rsid w:val="00B822FA"/>
    <w:rsid w:val="00B82880"/>
    <w:rsid w:val="00B82C22"/>
    <w:rsid w:val="00B82CD4"/>
    <w:rsid w:val="00B84A92"/>
    <w:rsid w:val="00B85B3A"/>
    <w:rsid w:val="00B87192"/>
    <w:rsid w:val="00B8723B"/>
    <w:rsid w:val="00B91A52"/>
    <w:rsid w:val="00B93DBA"/>
    <w:rsid w:val="00B94172"/>
    <w:rsid w:val="00B9440A"/>
    <w:rsid w:val="00B94800"/>
    <w:rsid w:val="00B94A6F"/>
    <w:rsid w:val="00BA08EF"/>
    <w:rsid w:val="00BA1C58"/>
    <w:rsid w:val="00BA2CE4"/>
    <w:rsid w:val="00BA2D2F"/>
    <w:rsid w:val="00BA5847"/>
    <w:rsid w:val="00BA6A31"/>
    <w:rsid w:val="00BA6CEB"/>
    <w:rsid w:val="00BB24CF"/>
    <w:rsid w:val="00BB2D2A"/>
    <w:rsid w:val="00BB34CB"/>
    <w:rsid w:val="00BB6414"/>
    <w:rsid w:val="00BB76D5"/>
    <w:rsid w:val="00BB7939"/>
    <w:rsid w:val="00BC038C"/>
    <w:rsid w:val="00BC06BB"/>
    <w:rsid w:val="00BC1330"/>
    <w:rsid w:val="00BC375E"/>
    <w:rsid w:val="00BC5858"/>
    <w:rsid w:val="00BD0B86"/>
    <w:rsid w:val="00BD11EE"/>
    <w:rsid w:val="00BD1349"/>
    <w:rsid w:val="00BD502E"/>
    <w:rsid w:val="00BD58CF"/>
    <w:rsid w:val="00BE07F4"/>
    <w:rsid w:val="00BE38D5"/>
    <w:rsid w:val="00BE4A53"/>
    <w:rsid w:val="00BF0229"/>
    <w:rsid w:val="00BF121C"/>
    <w:rsid w:val="00BF135B"/>
    <w:rsid w:val="00BF1478"/>
    <w:rsid w:val="00BF5F76"/>
    <w:rsid w:val="00BF72FF"/>
    <w:rsid w:val="00C018AE"/>
    <w:rsid w:val="00C03B9D"/>
    <w:rsid w:val="00C046DC"/>
    <w:rsid w:val="00C04CC1"/>
    <w:rsid w:val="00C07EF3"/>
    <w:rsid w:val="00C11A77"/>
    <w:rsid w:val="00C12DB7"/>
    <w:rsid w:val="00C14D63"/>
    <w:rsid w:val="00C2083D"/>
    <w:rsid w:val="00C21F35"/>
    <w:rsid w:val="00C2431C"/>
    <w:rsid w:val="00C319F8"/>
    <w:rsid w:val="00C32D24"/>
    <w:rsid w:val="00C35826"/>
    <w:rsid w:val="00C35CD1"/>
    <w:rsid w:val="00C364C5"/>
    <w:rsid w:val="00C4330F"/>
    <w:rsid w:val="00C44156"/>
    <w:rsid w:val="00C447A5"/>
    <w:rsid w:val="00C44A1F"/>
    <w:rsid w:val="00C45BBB"/>
    <w:rsid w:val="00C47149"/>
    <w:rsid w:val="00C47714"/>
    <w:rsid w:val="00C50C6D"/>
    <w:rsid w:val="00C5108E"/>
    <w:rsid w:val="00C52AF2"/>
    <w:rsid w:val="00C53CC0"/>
    <w:rsid w:val="00C54A8E"/>
    <w:rsid w:val="00C54B75"/>
    <w:rsid w:val="00C5671E"/>
    <w:rsid w:val="00C570CB"/>
    <w:rsid w:val="00C600D9"/>
    <w:rsid w:val="00C61899"/>
    <w:rsid w:val="00C6198A"/>
    <w:rsid w:val="00C64491"/>
    <w:rsid w:val="00C654E9"/>
    <w:rsid w:val="00C667F7"/>
    <w:rsid w:val="00C709DD"/>
    <w:rsid w:val="00C71629"/>
    <w:rsid w:val="00C73139"/>
    <w:rsid w:val="00C751F2"/>
    <w:rsid w:val="00C75C54"/>
    <w:rsid w:val="00C75D98"/>
    <w:rsid w:val="00C75DBC"/>
    <w:rsid w:val="00C762BB"/>
    <w:rsid w:val="00C80413"/>
    <w:rsid w:val="00C80B58"/>
    <w:rsid w:val="00C81A14"/>
    <w:rsid w:val="00C82203"/>
    <w:rsid w:val="00C82CFB"/>
    <w:rsid w:val="00C8398E"/>
    <w:rsid w:val="00C839DB"/>
    <w:rsid w:val="00C87DBB"/>
    <w:rsid w:val="00C90F50"/>
    <w:rsid w:val="00C93BBF"/>
    <w:rsid w:val="00C94D6B"/>
    <w:rsid w:val="00C955CC"/>
    <w:rsid w:val="00C974DF"/>
    <w:rsid w:val="00CA2F44"/>
    <w:rsid w:val="00CA4055"/>
    <w:rsid w:val="00CA5BDA"/>
    <w:rsid w:val="00CA5CE1"/>
    <w:rsid w:val="00CA5E8B"/>
    <w:rsid w:val="00CA5F12"/>
    <w:rsid w:val="00CA764F"/>
    <w:rsid w:val="00CB0378"/>
    <w:rsid w:val="00CB0650"/>
    <w:rsid w:val="00CB0D4E"/>
    <w:rsid w:val="00CB2DB7"/>
    <w:rsid w:val="00CB4676"/>
    <w:rsid w:val="00CB5970"/>
    <w:rsid w:val="00CC1384"/>
    <w:rsid w:val="00CC2BDA"/>
    <w:rsid w:val="00CC366A"/>
    <w:rsid w:val="00CC5ECE"/>
    <w:rsid w:val="00CC714C"/>
    <w:rsid w:val="00CC71E8"/>
    <w:rsid w:val="00CD0E6D"/>
    <w:rsid w:val="00CD10FE"/>
    <w:rsid w:val="00CD2BF5"/>
    <w:rsid w:val="00CD3720"/>
    <w:rsid w:val="00CD43DE"/>
    <w:rsid w:val="00CD4A51"/>
    <w:rsid w:val="00CD5C6C"/>
    <w:rsid w:val="00CD69E9"/>
    <w:rsid w:val="00CE28DC"/>
    <w:rsid w:val="00CE312B"/>
    <w:rsid w:val="00CE3C2F"/>
    <w:rsid w:val="00CE403D"/>
    <w:rsid w:val="00CE5DC0"/>
    <w:rsid w:val="00CE5F3C"/>
    <w:rsid w:val="00CE61B2"/>
    <w:rsid w:val="00CE792D"/>
    <w:rsid w:val="00CF12C9"/>
    <w:rsid w:val="00CF16C9"/>
    <w:rsid w:val="00CF1848"/>
    <w:rsid w:val="00CF59CF"/>
    <w:rsid w:val="00CF5C2F"/>
    <w:rsid w:val="00CF6E9A"/>
    <w:rsid w:val="00CF760E"/>
    <w:rsid w:val="00CF791B"/>
    <w:rsid w:val="00D00CE4"/>
    <w:rsid w:val="00D037AD"/>
    <w:rsid w:val="00D04BCF"/>
    <w:rsid w:val="00D053A6"/>
    <w:rsid w:val="00D069C2"/>
    <w:rsid w:val="00D069EA"/>
    <w:rsid w:val="00D072C2"/>
    <w:rsid w:val="00D10B97"/>
    <w:rsid w:val="00D10BD2"/>
    <w:rsid w:val="00D112E9"/>
    <w:rsid w:val="00D11C09"/>
    <w:rsid w:val="00D13129"/>
    <w:rsid w:val="00D13858"/>
    <w:rsid w:val="00D143D9"/>
    <w:rsid w:val="00D16754"/>
    <w:rsid w:val="00D16C60"/>
    <w:rsid w:val="00D2043C"/>
    <w:rsid w:val="00D20F16"/>
    <w:rsid w:val="00D2324A"/>
    <w:rsid w:val="00D24FA0"/>
    <w:rsid w:val="00D25207"/>
    <w:rsid w:val="00D269AB"/>
    <w:rsid w:val="00D27228"/>
    <w:rsid w:val="00D34591"/>
    <w:rsid w:val="00D346C2"/>
    <w:rsid w:val="00D34786"/>
    <w:rsid w:val="00D36A4F"/>
    <w:rsid w:val="00D3726F"/>
    <w:rsid w:val="00D43C0C"/>
    <w:rsid w:val="00D45AE7"/>
    <w:rsid w:val="00D46333"/>
    <w:rsid w:val="00D47EF9"/>
    <w:rsid w:val="00D503D0"/>
    <w:rsid w:val="00D50C42"/>
    <w:rsid w:val="00D51BE4"/>
    <w:rsid w:val="00D621CC"/>
    <w:rsid w:val="00D62647"/>
    <w:rsid w:val="00D63F2C"/>
    <w:rsid w:val="00D6547E"/>
    <w:rsid w:val="00D70368"/>
    <w:rsid w:val="00D71D7E"/>
    <w:rsid w:val="00D743A3"/>
    <w:rsid w:val="00D76AB7"/>
    <w:rsid w:val="00D809E0"/>
    <w:rsid w:val="00D81858"/>
    <w:rsid w:val="00D837A5"/>
    <w:rsid w:val="00D83EEF"/>
    <w:rsid w:val="00D925A8"/>
    <w:rsid w:val="00D93D38"/>
    <w:rsid w:val="00D94069"/>
    <w:rsid w:val="00D94F13"/>
    <w:rsid w:val="00D9633C"/>
    <w:rsid w:val="00D97260"/>
    <w:rsid w:val="00DA22DA"/>
    <w:rsid w:val="00DA2EB9"/>
    <w:rsid w:val="00DA45E7"/>
    <w:rsid w:val="00DA59EA"/>
    <w:rsid w:val="00DA5E2D"/>
    <w:rsid w:val="00DA7A0C"/>
    <w:rsid w:val="00DA7DA8"/>
    <w:rsid w:val="00DB0B1D"/>
    <w:rsid w:val="00DB0BAC"/>
    <w:rsid w:val="00DB1C05"/>
    <w:rsid w:val="00DB2F01"/>
    <w:rsid w:val="00DB4C2B"/>
    <w:rsid w:val="00DB6CB3"/>
    <w:rsid w:val="00DC1CFD"/>
    <w:rsid w:val="00DC226C"/>
    <w:rsid w:val="00DC3490"/>
    <w:rsid w:val="00DC623A"/>
    <w:rsid w:val="00DC70D0"/>
    <w:rsid w:val="00DD13FC"/>
    <w:rsid w:val="00DD1413"/>
    <w:rsid w:val="00DD421A"/>
    <w:rsid w:val="00DD4F5B"/>
    <w:rsid w:val="00DD51F9"/>
    <w:rsid w:val="00DD599A"/>
    <w:rsid w:val="00DD7A0D"/>
    <w:rsid w:val="00DE5B75"/>
    <w:rsid w:val="00DE6766"/>
    <w:rsid w:val="00DE7D5E"/>
    <w:rsid w:val="00DF14E7"/>
    <w:rsid w:val="00DF1964"/>
    <w:rsid w:val="00DF291C"/>
    <w:rsid w:val="00DF35A3"/>
    <w:rsid w:val="00DF39E0"/>
    <w:rsid w:val="00DF4773"/>
    <w:rsid w:val="00DF4ACC"/>
    <w:rsid w:val="00DF78C6"/>
    <w:rsid w:val="00DF7A43"/>
    <w:rsid w:val="00E013D7"/>
    <w:rsid w:val="00E01F0D"/>
    <w:rsid w:val="00E0585E"/>
    <w:rsid w:val="00E05BAA"/>
    <w:rsid w:val="00E0721E"/>
    <w:rsid w:val="00E116D1"/>
    <w:rsid w:val="00E12706"/>
    <w:rsid w:val="00E159D7"/>
    <w:rsid w:val="00E16D49"/>
    <w:rsid w:val="00E20331"/>
    <w:rsid w:val="00E205CB"/>
    <w:rsid w:val="00E20626"/>
    <w:rsid w:val="00E21049"/>
    <w:rsid w:val="00E21A8F"/>
    <w:rsid w:val="00E23AEC"/>
    <w:rsid w:val="00E24945"/>
    <w:rsid w:val="00E257C8"/>
    <w:rsid w:val="00E2712E"/>
    <w:rsid w:val="00E32CAC"/>
    <w:rsid w:val="00E335A8"/>
    <w:rsid w:val="00E33CD8"/>
    <w:rsid w:val="00E37047"/>
    <w:rsid w:val="00E37A9F"/>
    <w:rsid w:val="00E403C6"/>
    <w:rsid w:val="00E415E0"/>
    <w:rsid w:val="00E43344"/>
    <w:rsid w:val="00E43E83"/>
    <w:rsid w:val="00E44600"/>
    <w:rsid w:val="00E46856"/>
    <w:rsid w:val="00E47E56"/>
    <w:rsid w:val="00E50D9F"/>
    <w:rsid w:val="00E539E3"/>
    <w:rsid w:val="00E54F61"/>
    <w:rsid w:val="00E602D2"/>
    <w:rsid w:val="00E60D0F"/>
    <w:rsid w:val="00E6235F"/>
    <w:rsid w:val="00E66FA4"/>
    <w:rsid w:val="00E7075F"/>
    <w:rsid w:val="00E7193E"/>
    <w:rsid w:val="00E73B6B"/>
    <w:rsid w:val="00E764F3"/>
    <w:rsid w:val="00E7676F"/>
    <w:rsid w:val="00E82F08"/>
    <w:rsid w:val="00E831B5"/>
    <w:rsid w:val="00E84FF1"/>
    <w:rsid w:val="00E900B2"/>
    <w:rsid w:val="00E901BF"/>
    <w:rsid w:val="00E91F5C"/>
    <w:rsid w:val="00E92989"/>
    <w:rsid w:val="00E92E44"/>
    <w:rsid w:val="00E933B3"/>
    <w:rsid w:val="00E9344B"/>
    <w:rsid w:val="00E95AB9"/>
    <w:rsid w:val="00E975C4"/>
    <w:rsid w:val="00E9773B"/>
    <w:rsid w:val="00E97A15"/>
    <w:rsid w:val="00EA024F"/>
    <w:rsid w:val="00EA07D4"/>
    <w:rsid w:val="00EA1A96"/>
    <w:rsid w:val="00EA23E5"/>
    <w:rsid w:val="00EA2CB8"/>
    <w:rsid w:val="00EA596B"/>
    <w:rsid w:val="00EA5C9E"/>
    <w:rsid w:val="00EA66A1"/>
    <w:rsid w:val="00EB689C"/>
    <w:rsid w:val="00EB7337"/>
    <w:rsid w:val="00EB743D"/>
    <w:rsid w:val="00EC02E9"/>
    <w:rsid w:val="00EC13A3"/>
    <w:rsid w:val="00EC1ED2"/>
    <w:rsid w:val="00EC7C85"/>
    <w:rsid w:val="00EC7CF0"/>
    <w:rsid w:val="00ED0FE3"/>
    <w:rsid w:val="00ED1103"/>
    <w:rsid w:val="00ED30F7"/>
    <w:rsid w:val="00ED3EE4"/>
    <w:rsid w:val="00ED4A4F"/>
    <w:rsid w:val="00ED5DB4"/>
    <w:rsid w:val="00ED5FA8"/>
    <w:rsid w:val="00ED62C7"/>
    <w:rsid w:val="00ED7092"/>
    <w:rsid w:val="00EE0017"/>
    <w:rsid w:val="00EE1C35"/>
    <w:rsid w:val="00EE2B61"/>
    <w:rsid w:val="00EE3776"/>
    <w:rsid w:val="00EE4F45"/>
    <w:rsid w:val="00EE5819"/>
    <w:rsid w:val="00EE5EFF"/>
    <w:rsid w:val="00EF0281"/>
    <w:rsid w:val="00EF48DB"/>
    <w:rsid w:val="00EF5241"/>
    <w:rsid w:val="00EF5EBC"/>
    <w:rsid w:val="00F0009A"/>
    <w:rsid w:val="00F002E1"/>
    <w:rsid w:val="00F01AA1"/>
    <w:rsid w:val="00F02684"/>
    <w:rsid w:val="00F03BD9"/>
    <w:rsid w:val="00F04CD9"/>
    <w:rsid w:val="00F04D02"/>
    <w:rsid w:val="00F04D3C"/>
    <w:rsid w:val="00F069F3"/>
    <w:rsid w:val="00F07090"/>
    <w:rsid w:val="00F10802"/>
    <w:rsid w:val="00F125EE"/>
    <w:rsid w:val="00F12E70"/>
    <w:rsid w:val="00F12E98"/>
    <w:rsid w:val="00F14362"/>
    <w:rsid w:val="00F148CB"/>
    <w:rsid w:val="00F14CAB"/>
    <w:rsid w:val="00F161BA"/>
    <w:rsid w:val="00F175E9"/>
    <w:rsid w:val="00F17AF4"/>
    <w:rsid w:val="00F20D17"/>
    <w:rsid w:val="00F22029"/>
    <w:rsid w:val="00F22191"/>
    <w:rsid w:val="00F23BA7"/>
    <w:rsid w:val="00F2437C"/>
    <w:rsid w:val="00F24746"/>
    <w:rsid w:val="00F25DEF"/>
    <w:rsid w:val="00F310A1"/>
    <w:rsid w:val="00F34B21"/>
    <w:rsid w:val="00F34C83"/>
    <w:rsid w:val="00F3583F"/>
    <w:rsid w:val="00F35BEF"/>
    <w:rsid w:val="00F36224"/>
    <w:rsid w:val="00F37036"/>
    <w:rsid w:val="00F414AA"/>
    <w:rsid w:val="00F42B53"/>
    <w:rsid w:val="00F4439E"/>
    <w:rsid w:val="00F44EC4"/>
    <w:rsid w:val="00F45C0A"/>
    <w:rsid w:val="00F465A0"/>
    <w:rsid w:val="00F50186"/>
    <w:rsid w:val="00F50244"/>
    <w:rsid w:val="00F5039D"/>
    <w:rsid w:val="00F5086D"/>
    <w:rsid w:val="00F509F3"/>
    <w:rsid w:val="00F50FD6"/>
    <w:rsid w:val="00F514EC"/>
    <w:rsid w:val="00F52447"/>
    <w:rsid w:val="00F536FA"/>
    <w:rsid w:val="00F5403C"/>
    <w:rsid w:val="00F551DC"/>
    <w:rsid w:val="00F56938"/>
    <w:rsid w:val="00F600A8"/>
    <w:rsid w:val="00F60CD4"/>
    <w:rsid w:val="00F62100"/>
    <w:rsid w:val="00F630EA"/>
    <w:rsid w:val="00F65D01"/>
    <w:rsid w:val="00F6646E"/>
    <w:rsid w:val="00F66480"/>
    <w:rsid w:val="00F675DA"/>
    <w:rsid w:val="00F678ED"/>
    <w:rsid w:val="00F7007E"/>
    <w:rsid w:val="00F70200"/>
    <w:rsid w:val="00F73193"/>
    <w:rsid w:val="00F7483C"/>
    <w:rsid w:val="00F74F95"/>
    <w:rsid w:val="00F75808"/>
    <w:rsid w:val="00F759CC"/>
    <w:rsid w:val="00F75A60"/>
    <w:rsid w:val="00F75C4D"/>
    <w:rsid w:val="00F7740D"/>
    <w:rsid w:val="00F80705"/>
    <w:rsid w:val="00F81724"/>
    <w:rsid w:val="00F82534"/>
    <w:rsid w:val="00F82ADF"/>
    <w:rsid w:val="00F83260"/>
    <w:rsid w:val="00F8528A"/>
    <w:rsid w:val="00F85790"/>
    <w:rsid w:val="00F87139"/>
    <w:rsid w:val="00F90017"/>
    <w:rsid w:val="00F9104D"/>
    <w:rsid w:val="00F9146C"/>
    <w:rsid w:val="00F940B4"/>
    <w:rsid w:val="00F94295"/>
    <w:rsid w:val="00F94CCD"/>
    <w:rsid w:val="00F96175"/>
    <w:rsid w:val="00F9714F"/>
    <w:rsid w:val="00FA1481"/>
    <w:rsid w:val="00FA3402"/>
    <w:rsid w:val="00FA5EF0"/>
    <w:rsid w:val="00FA71C1"/>
    <w:rsid w:val="00FA788B"/>
    <w:rsid w:val="00FB0824"/>
    <w:rsid w:val="00FB0CFF"/>
    <w:rsid w:val="00FB1F91"/>
    <w:rsid w:val="00FB36F0"/>
    <w:rsid w:val="00FB5F4B"/>
    <w:rsid w:val="00FB6E22"/>
    <w:rsid w:val="00FB6E3A"/>
    <w:rsid w:val="00FC16B3"/>
    <w:rsid w:val="00FC1B44"/>
    <w:rsid w:val="00FC3713"/>
    <w:rsid w:val="00FC38C3"/>
    <w:rsid w:val="00FC3DA0"/>
    <w:rsid w:val="00FC44FD"/>
    <w:rsid w:val="00FC45D2"/>
    <w:rsid w:val="00FC4C1B"/>
    <w:rsid w:val="00FC5380"/>
    <w:rsid w:val="00FC65AA"/>
    <w:rsid w:val="00FC75EE"/>
    <w:rsid w:val="00FD2BD9"/>
    <w:rsid w:val="00FD3B2B"/>
    <w:rsid w:val="00FD3C51"/>
    <w:rsid w:val="00FD3C52"/>
    <w:rsid w:val="00FD4F1B"/>
    <w:rsid w:val="00FD5C56"/>
    <w:rsid w:val="00FD6EF3"/>
    <w:rsid w:val="00FD7439"/>
    <w:rsid w:val="00FD75D0"/>
    <w:rsid w:val="00FE27A9"/>
    <w:rsid w:val="00FE33C5"/>
    <w:rsid w:val="00FE3909"/>
    <w:rsid w:val="00FE476D"/>
    <w:rsid w:val="00FE60AB"/>
    <w:rsid w:val="00FE67D7"/>
    <w:rsid w:val="00FE722B"/>
    <w:rsid w:val="00FF04E3"/>
    <w:rsid w:val="00FF0FFF"/>
    <w:rsid w:val="00FF2C0A"/>
    <w:rsid w:val="00FF4859"/>
    <w:rsid w:val="00FF4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7F4D2"/>
  <w15:docId w15:val="{4528D326-5070-44FA-938E-90E6BBE4A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noProof/>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uiPriority w:val="99"/>
    <w:semiHidden/>
    <w:rsid w:val="00405336"/>
    <w:rPr>
      <w:rFonts w:ascii="Tahoma" w:hAnsi="Tahoma" w:cs="Tahoma"/>
      <w:sz w:val="16"/>
      <w:szCs w:val="16"/>
    </w:rPr>
  </w:style>
  <w:style w:type="character" w:customStyle="1" w:styleId="BalloonTextChar">
    <w:name w:val="Balloon Text Char"/>
    <w:basedOn w:val="DefaultParagraphFont"/>
    <w:link w:val="BalloonText"/>
    <w:uiPriority w:val="99"/>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uiPriority w:val="99"/>
    <w:semiHidden/>
    <w:rsid w:val="00405336"/>
    <w:rPr>
      <w:sz w:val="20"/>
    </w:rPr>
  </w:style>
  <w:style w:type="character" w:customStyle="1" w:styleId="CommentTextChar">
    <w:name w:val="Comment Text Char"/>
    <w:basedOn w:val="DefaultParagraphFont"/>
    <w:link w:val="CommentText"/>
    <w:uiPriority w:val="99"/>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uiPriority w:val="99"/>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uiPriority w:val="99"/>
    <w:semiHidden/>
    <w:rsid w:val="009258B8"/>
    <w:rPr>
      <w:sz w:val="16"/>
      <w:szCs w:val="16"/>
    </w:rPr>
  </w:style>
  <w:style w:type="character" w:styleId="FollowedHyperlink">
    <w:name w:val="FollowedHyperlink"/>
    <w:basedOn w:val="DefaultParagraphFont"/>
    <w:uiPriority w:val="99"/>
    <w:semiHidden/>
    <w:unhideWhenUsed/>
    <w:rsid w:val="00611A19"/>
    <w:rPr>
      <w:color w:val="800080" w:themeColor="followedHyperlink"/>
      <w:u w:val="single"/>
    </w:rPr>
  </w:style>
  <w:style w:type="table" w:styleId="TableGrid">
    <w:name w:val="Table Grid"/>
    <w:basedOn w:val="TableNormal"/>
    <w:uiPriority w:val="59"/>
    <w:rsid w:val="00303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E58B1"/>
    <w:rPr>
      <w:sz w:val="24"/>
    </w:rPr>
  </w:style>
  <w:style w:type="character" w:styleId="UnresolvedMention">
    <w:name w:val="Unresolved Mention"/>
    <w:basedOn w:val="DefaultParagraphFont"/>
    <w:uiPriority w:val="99"/>
    <w:semiHidden/>
    <w:unhideWhenUsed/>
    <w:rsid w:val="00671F28"/>
    <w:rPr>
      <w:color w:val="605E5C"/>
      <w:shd w:val="clear" w:color="auto" w:fill="E1DFDD"/>
    </w:rPr>
  </w:style>
  <w:style w:type="paragraph" w:customStyle="1" w:styleId="EndNoteBibliography">
    <w:name w:val="EndNote Bibliography"/>
    <w:basedOn w:val="Normal"/>
    <w:link w:val="EndNoteBibliographyChar"/>
    <w:rsid w:val="008D2FC1"/>
    <w:pPr>
      <w:spacing w:after="160" w:line="360" w:lineRule="auto"/>
      <w:jc w:val="both"/>
    </w:pPr>
    <w:rPr>
      <w:rFonts w:ascii="Arial" w:eastAsiaTheme="minorHAnsi" w:hAnsi="Arial" w:cs="Arial"/>
      <w:sz w:val="20"/>
      <w:szCs w:val="22"/>
    </w:rPr>
  </w:style>
  <w:style w:type="character" w:customStyle="1" w:styleId="EndNoteBibliographyChar">
    <w:name w:val="EndNote Bibliography Char"/>
    <w:basedOn w:val="DefaultParagraphFont"/>
    <w:link w:val="EndNoteBibliography"/>
    <w:rsid w:val="008D2FC1"/>
    <w:rPr>
      <w:rFonts w:ascii="Arial" w:eastAsiaTheme="minorHAnsi" w:hAnsi="Arial" w:cs="Arial"/>
      <w:noProof/>
      <w:szCs w:val="22"/>
    </w:rPr>
  </w:style>
  <w:style w:type="character" w:styleId="LineNumber">
    <w:name w:val="line number"/>
    <w:basedOn w:val="DefaultParagraphFont"/>
    <w:semiHidden/>
    <w:unhideWhenUsed/>
    <w:rsid w:val="00155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4655">
      <w:bodyDiv w:val="1"/>
      <w:marLeft w:val="0"/>
      <w:marRight w:val="0"/>
      <w:marTop w:val="0"/>
      <w:marBottom w:val="0"/>
      <w:divBdr>
        <w:top w:val="none" w:sz="0" w:space="0" w:color="auto"/>
        <w:left w:val="none" w:sz="0" w:space="0" w:color="auto"/>
        <w:bottom w:val="none" w:sz="0" w:space="0" w:color="auto"/>
        <w:right w:val="none" w:sz="0" w:space="0" w:color="auto"/>
      </w:divBdr>
    </w:div>
    <w:div w:id="38479760">
      <w:bodyDiv w:val="1"/>
      <w:marLeft w:val="0"/>
      <w:marRight w:val="0"/>
      <w:marTop w:val="0"/>
      <w:marBottom w:val="0"/>
      <w:divBdr>
        <w:top w:val="none" w:sz="0" w:space="0" w:color="auto"/>
        <w:left w:val="none" w:sz="0" w:space="0" w:color="auto"/>
        <w:bottom w:val="none" w:sz="0" w:space="0" w:color="auto"/>
        <w:right w:val="none" w:sz="0" w:space="0" w:color="auto"/>
      </w:divBdr>
    </w:div>
    <w:div w:id="45615164">
      <w:bodyDiv w:val="1"/>
      <w:marLeft w:val="0"/>
      <w:marRight w:val="0"/>
      <w:marTop w:val="0"/>
      <w:marBottom w:val="0"/>
      <w:divBdr>
        <w:top w:val="none" w:sz="0" w:space="0" w:color="auto"/>
        <w:left w:val="none" w:sz="0" w:space="0" w:color="auto"/>
        <w:bottom w:val="none" w:sz="0" w:space="0" w:color="auto"/>
        <w:right w:val="none" w:sz="0" w:space="0" w:color="auto"/>
      </w:divBdr>
    </w:div>
    <w:div w:id="102573951">
      <w:bodyDiv w:val="1"/>
      <w:marLeft w:val="0"/>
      <w:marRight w:val="0"/>
      <w:marTop w:val="0"/>
      <w:marBottom w:val="0"/>
      <w:divBdr>
        <w:top w:val="none" w:sz="0" w:space="0" w:color="auto"/>
        <w:left w:val="none" w:sz="0" w:space="0" w:color="auto"/>
        <w:bottom w:val="none" w:sz="0" w:space="0" w:color="auto"/>
        <w:right w:val="none" w:sz="0" w:space="0" w:color="auto"/>
      </w:divBdr>
    </w:div>
    <w:div w:id="122118464">
      <w:bodyDiv w:val="1"/>
      <w:marLeft w:val="0"/>
      <w:marRight w:val="0"/>
      <w:marTop w:val="0"/>
      <w:marBottom w:val="0"/>
      <w:divBdr>
        <w:top w:val="none" w:sz="0" w:space="0" w:color="auto"/>
        <w:left w:val="none" w:sz="0" w:space="0" w:color="auto"/>
        <w:bottom w:val="none" w:sz="0" w:space="0" w:color="auto"/>
        <w:right w:val="none" w:sz="0" w:space="0" w:color="auto"/>
      </w:divBdr>
    </w:div>
    <w:div w:id="138695832">
      <w:bodyDiv w:val="1"/>
      <w:marLeft w:val="0"/>
      <w:marRight w:val="0"/>
      <w:marTop w:val="0"/>
      <w:marBottom w:val="0"/>
      <w:divBdr>
        <w:top w:val="none" w:sz="0" w:space="0" w:color="auto"/>
        <w:left w:val="none" w:sz="0" w:space="0" w:color="auto"/>
        <w:bottom w:val="none" w:sz="0" w:space="0" w:color="auto"/>
        <w:right w:val="none" w:sz="0" w:space="0" w:color="auto"/>
      </w:divBdr>
    </w:div>
    <w:div w:id="237986351">
      <w:bodyDiv w:val="1"/>
      <w:marLeft w:val="0"/>
      <w:marRight w:val="0"/>
      <w:marTop w:val="0"/>
      <w:marBottom w:val="0"/>
      <w:divBdr>
        <w:top w:val="none" w:sz="0" w:space="0" w:color="auto"/>
        <w:left w:val="none" w:sz="0" w:space="0" w:color="auto"/>
        <w:bottom w:val="none" w:sz="0" w:space="0" w:color="auto"/>
        <w:right w:val="none" w:sz="0" w:space="0" w:color="auto"/>
      </w:divBdr>
    </w:div>
    <w:div w:id="244071292">
      <w:bodyDiv w:val="1"/>
      <w:marLeft w:val="0"/>
      <w:marRight w:val="0"/>
      <w:marTop w:val="0"/>
      <w:marBottom w:val="0"/>
      <w:divBdr>
        <w:top w:val="none" w:sz="0" w:space="0" w:color="auto"/>
        <w:left w:val="none" w:sz="0" w:space="0" w:color="auto"/>
        <w:bottom w:val="none" w:sz="0" w:space="0" w:color="auto"/>
        <w:right w:val="none" w:sz="0" w:space="0" w:color="auto"/>
      </w:divBdr>
    </w:div>
    <w:div w:id="300576885">
      <w:bodyDiv w:val="1"/>
      <w:marLeft w:val="0"/>
      <w:marRight w:val="0"/>
      <w:marTop w:val="0"/>
      <w:marBottom w:val="0"/>
      <w:divBdr>
        <w:top w:val="none" w:sz="0" w:space="0" w:color="auto"/>
        <w:left w:val="none" w:sz="0" w:space="0" w:color="auto"/>
        <w:bottom w:val="none" w:sz="0" w:space="0" w:color="auto"/>
        <w:right w:val="none" w:sz="0" w:space="0" w:color="auto"/>
      </w:divBdr>
    </w:div>
    <w:div w:id="319625771">
      <w:bodyDiv w:val="1"/>
      <w:marLeft w:val="0"/>
      <w:marRight w:val="0"/>
      <w:marTop w:val="0"/>
      <w:marBottom w:val="0"/>
      <w:divBdr>
        <w:top w:val="none" w:sz="0" w:space="0" w:color="auto"/>
        <w:left w:val="none" w:sz="0" w:space="0" w:color="auto"/>
        <w:bottom w:val="none" w:sz="0" w:space="0" w:color="auto"/>
        <w:right w:val="none" w:sz="0" w:space="0" w:color="auto"/>
      </w:divBdr>
    </w:div>
    <w:div w:id="333072094">
      <w:bodyDiv w:val="1"/>
      <w:marLeft w:val="0"/>
      <w:marRight w:val="0"/>
      <w:marTop w:val="0"/>
      <w:marBottom w:val="0"/>
      <w:divBdr>
        <w:top w:val="none" w:sz="0" w:space="0" w:color="auto"/>
        <w:left w:val="none" w:sz="0" w:space="0" w:color="auto"/>
        <w:bottom w:val="none" w:sz="0" w:space="0" w:color="auto"/>
        <w:right w:val="none" w:sz="0" w:space="0" w:color="auto"/>
      </w:divBdr>
    </w:div>
    <w:div w:id="336689843">
      <w:bodyDiv w:val="1"/>
      <w:marLeft w:val="0"/>
      <w:marRight w:val="0"/>
      <w:marTop w:val="0"/>
      <w:marBottom w:val="0"/>
      <w:divBdr>
        <w:top w:val="none" w:sz="0" w:space="0" w:color="auto"/>
        <w:left w:val="none" w:sz="0" w:space="0" w:color="auto"/>
        <w:bottom w:val="none" w:sz="0" w:space="0" w:color="auto"/>
        <w:right w:val="none" w:sz="0" w:space="0" w:color="auto"/>
      </w:divBdr>
    </w:div>
    <w:div w:id="342781373">
      <w:bodyDiv w:val="1"/>
      <w:marLeft w:val="0"/>
      <w:marRight w:val="0"/>
      <w:marTop w:val="0"/>
      <w:marBottom w:val="0"/>
      <w:divBdr>
        <w:top w:val="none" w:sz="0" w:space="0" w:color="auto"/>
        <w:left w:val="none" w:sz="0" w:space="0" w:color="auto"/>
        <w:bottom w:val="none" w:sz="0" w:space="0" w:color="auto"/>
        <w:right w:val="none" w:sz="0" w:space="0" w:color="auto"/>
      </w:divBdr>
    </w:div>
    <w:div w:id="348606796">
      <w:bodyDiv w:val="1"/>
      <w:marLeft w:val="0"/>
      <w:marRight w:val="0"/>
      <w:marTop w:val="0"/>
      <w:marBottom w:val="0"/>
      <w:divBdr>
        <w:top w:val="none" w:sz="0" w:space="0" w:color="auto"/>
        <w:left w:val="none" w:sz="0" w:space="0" w:color="auto"/>
        <w:bottom w:val="none" w:sz="0" w:space="0" w:color="auto"/>
        <w:right w:val="none" w:sz="0" w:space="0" w:color="auto"/>
      </w:divBdr>
    </w:div>
    <w:div w:id="369695953">
      <w:bodyDiv w:val="1"/>
      <w:marLeft w:val="0"/>
      <w:marRight w:val="0"/>
      <w:marTop w:val="0"/>
      <w:marBottom w:val="0"/>
      <w:divBdr>
        <w:top w:val="none" w:sz="0" w:space="0" w:color="auto"/>
        <w:left w:val="none" w:sz="0" w:space="0" w:color="auto"/>
        <w:bottom w:val="none" w:sz="0" w:space="0" w:color="auto"/>
        <w:right w:val="none" w:sz="0" w:space="0" w:color="auto"/>
      </w:divBdr>
    </w:div>
    <w:div w:id="451704206">
      <w:bodyDiv w:val="1"/>
      <w:marLeft w:val="0"/>
      <w:marRight w:val="0"/>
      <w:marTop w:val="0"/>
      <w:marBottom w:val="0"/>
      <w:divBdr>
        <w:top w:val="none" w:sz="0" w:space="0" w:color="auto"/>
        <w:left w:val="none" w:sz="0" w:space="0" w:color="auto"/>
        <w:bottom w:val="none" w:sz="0" w:space="0" w:color="auto"/>
        <w:right w:val="none" w:sz="0" w:space="0" w:color="auto"/>
      </w:divBdr>
    </w:div>
    <w:div w:id="452020914">
      <w:bodyDiv w:val="1"/>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593904050">
      <w:bodyDiv w:val="1"/>
      <w:marLeft w:val="0"/>
      <w:marRight w:val="0"/>
      <w:marTop w:val="0"/>
      <w:marBottom w:val="0"/>
      <w:divBdr>
        <w:top w:val="none" w:sz="0" w:space="0" w:color="auto"/>
        <w:left w:val="none" w:sz="0" w:space="0" w:color="auto"/>
        <w:bottom w:val="none" w:sz="0" w:space="0" w:color="auto"/>
        <w:right w:val="none" w:sz="0" w:space="0" w:color="auto"/>
      </w:divBdr>
    </w:div>
    <w:div w:id="600844285">
      <w:bodyDiv w:val="1"/>
      <w:marLeft w:val="0"/>
      <w:marRight w:val="0"/>
      <w:marTop w:val="0"/>
      <w:marBottom w:val="0"/>
      <w:divBdr>
        <w:top w:val="none" w:sz="0" w:space="0" w:color="auto"/>
        <w:left w:val="none" w:sz="0" w:space="0" w:color="auto"/>
        <w:bottom w:val="none" w:sz="0" w:space="0" w:color="auto"/>
        <w:right w:val="none" w:sz="0" w:space="0" w:color="auto"/>
      </w:divBdr>
    </w:div>
    <w:div w:id="606422463">
      <w:bodyDiv w:val="1"/>
      <w:marLeft w:val="0"/>
      <w:marRight w:val="0"/>
      <w:marTop w:val="0"/>
      <w:marBottom w:val="0"/>
      <w:divBdr>
        <w:top w:val="none" w:sz="0" w:space="0" w:color="auto"/>
        <w:left w:val="none" w:sz="0" w:space="0" w:color="auto"/>
        <w:bottom w:val="none" w:sz="0" w:space="0" w:color="auto"/>
        <w:right w:val="none" w:sz="0" w:space="0" w:color="auto"/>
      </w:divBdr>
    </w:div>
    <w:div w:id="625821553">
      <w:bodyDiv w:val="1"/>
      <w:marLeft w:val="0"/>
      <w:marRight w:val="0"/>
      <w:marTop w:val="0"/>
      <w:marBottom w:val="0"/>
      <w:divBdr>
        <w:top w:val="none" w:sz="0" w:space="0" w:color="auto"/>
        <w:left w:val="none" w:sz="0" w:space="0" w:color="auto"/>
        <w:bottom w:val="none" w:sz="0" w:space="0" w:color="auto"/>
        <w:right w:val="none" w:sz="0" w:space="0" w:color="auto"/>
      </w:divBdr>
    </w:div>
    <w:div w:id="648751570">
      <w:bodyDiv w:val="1"/>
      <w:marLeft w:val="0"/>
      <w:marRight w:val="0"/>
      <w:marTop w:val="0"/>
      <w:marBottom w:val="0"/>
      <w:divBdr>
        <w:top w:val="none" w:sz="0" w:space="0" w:color="auto"/>
        <w:left w:val="none" w:sz="0" w:space="0" w:color="auto"/>
        <w:bottom w:val="none" w:sz="0" w:space="0" w:color="auto"/>
        <w:right w:val="none" w:sz="0" w:space="0" w:color="auto"/>
      </w:divBdr>
    </w:div>
    <w:div w:id="716206081">
      <w:bodyDiv w:val="1"/>
      <w:marLeft w:val="0"/>
      <w:marRight w:val="0"/>
      <w:marTop w:val="0"/>
      <w:marBottom w:val="0"/>
      <w:divBdr>
        <w:top w:val="none" w:sz="0" w:space="0" w:color="auto"/>
        <w:left w:val="none" w:sz="0" w:space="0" w:color="auto"/>
        <w:bottom w:val="none" w:sz="0" w:space="0" w:color="auto"/>
        <w:right w:val="none" w:sz="0" w:space="0" w:color="auto"/>
      </w:divBdr>
    </w:div>
    <w:div w:id="770971873">
      <w:bodyDiv w:val="1"/>
      <w:marLeft w:val="0"/>
      <w:marRight w:val="0"/>
      <w:marTop w:val="0"/>
      <w:marBottom w:val="0"/>
      <w:divBdr>
        <w:top w:val="none" w:sz="0" w:space="0" w:color="auto"/>
        <w:left w:val="none" w:sz="0" w:space="0" w:color="auto"/>
        <w:bottom w:val="none" w:sz="0" w:space="0" w:color="auto"/>
        <w:right w:val="none" w:sz="0" w:space="0" w:color="auto"/>
      </w:divBdr>
    </w:div>
    <w:div w:id="845560171">
      <w:bodyDiv w:val="1"/>
      <w:marLeft w:val="0"/>
      <w:marRight w:val="0"/>
      <w:marTop w:val="0"/>
      <w:marBottom w:val="0"/>
      <w:divBdr>
        <w:top w:val="none" w:sz="0" w:space="0" w:color="auto"/>
        <w:left w:val="none" w:sz="0" w:space="0" w:color="auto"/>
        <w:bottom w:val="none" w:sz="0" w:space="0" w:color="auto"/>
        <w:right w:val="none" w:sz="0" w:space="0" w:color="auto"/>
      </w:divBdr>
    </w:div>
    <w:div w:id="848759230">
      <w:bodyDiv w:val="1"/>
      <w:marLeft w:val="0"/>
      <w:marRight w:val="0"/>
      <w:marTop w:val="0"/>
      <w:marBottom w:val="0"/>
      <w:divBdr>
        <w:top w:val="none" w:sz="0" w:space="0" w:color="auto"/>
        <w:left w:val="none" w:sz="0" w:space="0" w:color="auto"/>
        <w:bottom w:val="none" w:sz="0" w:space="0" w:color="auto"/>
        <w:right w:val="none" w:sz="0" w:space="0" w:color="auto"/>
      </w:divBdr>
    </w:div>
    <w:div w:id="872620458">
      <w:bodyDiv w:val="1"/>
      <w:marLeft w:val="0"/>
      <w:marRight w:val="0"/>
      <w:marTop w:val="0"/>
      <w:marBottom w:val="0"/>
      <w:divBdr>
        <w:top w:val="none" w:sz="0" w:space="0" w:color="auto"/>
        <w:left w:val="none" w:sz="0" w:space="0" w:color="auto"/>
        <w:bottom w:val="none" w:sz="0" w:space="0" w:color="auto"/>
        <w:right w:val="none" w:sz="0" w:space="0" w:color="auto"/>
      </w:divBdr>
    </w:div>
    <w:div w:id="893542684">
      <w:bodyDiv w:val="1"/>
      <w:marLeft w:val="0"/>
      <w:marRight w:val="0"/>
      <w:marTop w:val="0"/>
      <w:marBottom w:val="0"/>
      <w:divBdr>
        <w:top w:val="none" w:sz="0" w:space="0" w:color="auto"/>
        <w:left w:val="none" w:sz="0" w:space="0" w:color="auto"/>
        <w:bottom w:val="none" w:sz="0" w:space="0" w:color="auto"/>
        <w:right w:val="none" w:sz="0" w:space="0" w:color="auto"/>
      </w:divBdr>
    </w:div>
    <w:div w:id="968703547">
      <w:bodyDiv w:val="1"/>
      <w:marLeft w:val="0"/>
      <w:marRight w:val="0"/>
      <w:marTop w:val="0"/>
      <w:marBottom w:val="0"/>
      <w:divBdr>
        <w:top w:val="none" w:sz="0" w:space="0" w:color="auto"/>
        <w:left w:val="none" w:sz="0" w:space="0" w:color="auto"/>
        <w:bottom w:val="none" w:sz="0" w:space="0" w:color="auto"/>
        <w:right w:val="none" w:sz="0" w:space="0" w:color="auto"/>
      </w:divBdr>
    </w:div>
    <w:div w:id="1078403806">
      <w:bodyDiv w:val="1"/>
      <w:marLeft w:val="0"/>
      <w:marRight w:val="0"/>
      <w:marTop w:val="0"/>
      <w:marBottom w:val="0"/>
      <w:divBdr>
        <w:top w:val="none" w:sz="0" w:space="0" w:color="auto"/>
        <w:left w:val="none" w:sz="0" w:space="0" w:color="auto"/>
        <w:bottom w:val="none" w:sz="0" w:space="0" w:color="auto"/>
        <w:right w:val="none" w:sz="0" w:space="0" w:color="auto"/>
      </w:divBdr>
    </w:div>
    <w:div w:id="1107039256">
      <w:bodyDiv w:val="1"/>
      <w:marLeft w:val="0"/>
      <w:marRight w:val="0"/>
      <w:marTop w:val="0"/>
      <w:marBottom w:val="0"/>
      <w:divBdr>
        <w:top w:val="none" w:sz="0" w:space="0" w:color="auto"/>
        <w:left w:val="none" w:sz="0" w:space="0" w:color="auto"/>
        <w:bottom w:val="none" w:sz="0" w:space="0" w:color="auto"/>
        <w:right w:val="none" w:sz="0" w:space="0" w:color="auto"/>
      </w:divBdr>
    </w:div>
    <w:div w:id="1109355214">
      <w:bodyDiv w:val="1"/>
      <w:marLeft w:val="0"/>
      <w:marRight w:val="0"/>
      <w:marTop w:val="0"/>
      <w:marBottom w:val="0"/>
      <w:divBdr>
        <w:top w:val="none" w:sz="0" w:space="0" w:color="auto"/>
        <w:left w:val="none" w:sz="0" w:space="0" w:color="auto"/>
        <w:bottom w:val="none" w:sz="0" w:space="0" w:color="auto"/>
        <w:right w:val="none" w:sz="0" w:space="0" w:color="auto"/>
      </w:divBdr>
    </w:div>
    <w:div w:id="1161191699">
      <w:bodyDiv w:val="1"/>
      <w:marLeft w:val="0"/>
      <w:marRight w:val="0"/>
      <w:marTop w:val="0"/>
      <w:marBottom w:val="0"/>
      <w:divBdr>
        <w:top w:val="none" w:sz="0" w:space="0" w:color="auto"/>
        <w:left w:val="none" w:sz="0" w:space="0" w:color="auto"/>
        <w:bottom w:val="none" w:sz="0" w:space="0" w:color="auto"/>
        <w:right w:val="none" w:sz="0" w:space="0" w:color="auto"/>
      </w:divBdr>
    </w:div>
    <w:div w:id="1181161702">
      <w:bodyDiv w:val="1"/>
      <w:marLeft w:val="0"/>
      <w:marRight w:val="0"/>
      <w:marTop w:val="0"/>
      <w:marBottom w:val="0"/>
      <w:divBdr>
        <w:top w:val="none" w:sz="0" w:space="0" w:color="auto"/>
        <w:left w:val="none" w:sz="0" w:space="0" w:color="auto"/>
        <w:bottom w:val="none" w:sz="0" w:space="0" w:color="auto"/>
        <w:right w:val="none" w:sz="0" w:space="0" w:color="auto"/>
      </w:divBdr>
    </w:div>
    <w:div w:id="1212113552">
      <w:bodyDiv w:val="1"/>
      <w:marLeft w:val="0"/>
      <w:marRight w:val="0"/>
      <w:marTop w:val="0"/>
      <w:marBottom w:val="0"/>
      <w:divBdr>
        <w:top w:val="none" w:sz="0" w:space="0" w:color="auto"/>
        <w:left w:val="none" w:sz="0" w:space="0" w:color="auto"/>
        <w:bottom w:val="none" w:sz="0" w:space="0" w:color="auto"/>
        <w:right w:val="none" w:sz="0" w:space="0" w:color="auto"/>
      </w:divBdr>
    </w:div>
    <w:div w:id="1216888404">
      <w:bodyDiv w:val="1"/>
      <w:marLeft w:val="0"/>
      <w:marRight w:val="0"/>
      <w:marTop w:val="0"/>
      <w:marBottom w:val="0"/>
      <w:divBdr>
        <w:top w:val="none" w:sz="0" w:space="0" w:color="auto"/>
        <w:left w:val="none" w:sz="0" w:space="0" w:color="auto"/>
        <w:bottom w:val="none" w:sz="0" w:space="0" w:color="auto"/>
        <w:right w:val="none" w:sz="0" w:space="0" w:color="auto"/>
      </w:divBdr>
    </w:div>
    <w:div w:id="1222789768">
      <w:bodyDiv w:val="1"/>
      <w:marLeft w:val="0"/>
      <w:marRight w:val="0"/>
      <w:marTop w:val="0"/>
      <w:marBottom w:val="0"/>
      <w:divBdr>
        <w:top w:val="none" w:sz="0" w:space="0" w:color="auto"/>
        <w:left w:val="none" w:sz="0" w:space="0" w:color="auto"/>
        <w:bottom w:val="none" w:sz="0" w:space="0" w:color="auto"/>
        <w:right w:val="none" w:sz="0" w:space="0" w:color="auto"/>
      </w:divBdr>
    </w:div>
    <w:div w:id="1333752392">
      <w:bodyDiv w:val="1"/>
      <w:marLeft w:val="0"/>
      <w:marRight w:val="0"/>
      <w:marTop w:val="0"/>
      <w:marBottom w:val="0"/>
      <w:divBdr>
        <w:top w:val="none" w:sz="0" w:space="0" w:color="auto"/>
        <w:left w:val="none" w:sz="0" w:space="0" w:color="auto"/>
        <w:bottom w:val="none" w:sz="0" w:space="0" w:color="auto"/>
        <w:right w:val="none" w:sz="0" w:space="0" w:color="auto"/>
      </w:divBdr>
    </w:div>
    <w:div w:id="1352612550">
      <w:bodyDiv w:val="1"/>
      <w:marLeft w:val="0"/>
      <w:marRight w:val="0"/>
      <w:marTop w:val="0"/>
      <w:marBottom w:val="0"/>
      <w:divBdr>
        <w:top w:val="none" w:sz="0" w:space="0" w:color="auto"/>
        <w:left w:val="none" w:sz="0" w:space="0" w:color="auto"/>
        <w:bottom w:val="none" w:sz="0" w:space="0" w:color="auto"/>
        <w:right w:val="none" w:sz="0" w:space="0" w:color="auto"/>
      </w:divBdr>
    </w:div>
    <w:div w:id="1353416350">
      <w:bodyDiv w:val="1"/>
      <w:marLeft w:val="0"/>
      <w:marRight w:val="0"/>
      <w:marTop w:val="0"/>
      <w:marBottom w:val="0"/>
      <w:divBdr>
        <w:top w:val="none" w:sz="0" w:space="0" w:color="auto"/>
        <w:left w:val="none" w:sz="0" w:space="0" w:color="auto"/>
        <w:bottom w:val="none" w:sz="0" w:space="0" w:color="auto"/>
        <w:right w:val="none" w:sz="0" w:space="0" w:color="auto"/>
      </w:divBdr>
    </w:div>
    <w:div w:id="1359962305">
      <w:bodyDiv w:val="1"/>
      <w:marLeft w:val="0"/>
      <w:marRight w:val="0"/>
      <w:marTop w:val="0"/>
      <w:marBottom w:val="0"/>
      <w:divBdr>
        <w:top w:val="none" w:sz="0" w:space="0" w:color="auto"/>
        <w:left w:val="none" w:sz="0" w:space="0" w:color="auto"/>
        <w:bottom w:val="none" w:sz="0" w:space="0" w:color="auto"/>
        <w:right w:val="none" w:sz="0" w:space="0" w:color="auto"/>
      </w:divBdr>
    </w:div>
    <w:div w:id="1410736170">
      <w:bodyDiv w:val="1"/>
      <w:marLeft w:val="0"/>
      <w:marRight w:val="0"/>
      <w:marTop w:val="0"/>
      <w:marBottom w:val="0"/>
      <w:divBdr>
        <w:top w:val="none" w:sz="0" w:space="0" w:color="auto"/>
        <w:left w:val="none" w:sz="0" w:space="0" w:color="auto"/>
        <w:bottom w:val="none" w:sz="0" w:space="0" w:color="auto"/>
        <w:right w:val="none" w:sz="0" w:space="0" w:color="auto"/>
      </w:divBdr>
    </w:div>
    <w:div w:id="1458524227">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493372761">
      <w:bodyDiv w:val="1"/>
      <w:marLeft w:val="0"/>
      <w:marRight w:val="0"/>
      <w:marTop w:val="0"/>
      <w:marBottom w:val="0"/>
      <w:divBdr>
        <w:top w:val="none" w:sz="0" w:space="0" w:color="auto"/>
        <w:left w:val="none" w:sz="0" w:space="0" w:color="auto"/>
        <w:bottom w:val="none" w:sz="0" w:space="0" w:color="auto"/>
        <w:right w:val="none" w:sz="0" w:space="0" w:color="auto"/>
      </w:divBdr>
    </w:div>
    <w:div w:id="1497112153">
      <w:bodyDiv w:val="1"/>
      <w:marLeft w:val="0"/>
      <w:marRight w:val="0"/>
      <w:marTop w:val="0"/>
      <w:marBottom w:val="0"/>
      <w:divBdr>
        <w:top w:val="none" w:sz="0" w:space="0" w:color="auto"/>
        <w:left w:val="none" w:sz="0" w:space="0" w:color="auto"/>
        <w:bottom w:val="none" w:sz="0" w:space="0" w:color="auto"/>
        <w:right w:val="none" w:sz="0" w:space="0" w:color="auto"/>
      </w:divBdr>
    </w:div>
    <w:div w:id="1509904194">
      <w:bodyDiv w:val="1"/>
      <w:marLeft w:val="0"/>
      <w:marRight w:val="0"/>
      <w:marTop w:val="0"/>
      <w:marBottom w:val="0"/>
      <w:divBdr>
        <w:top w:val="none" w:sz="0" w:space="0" w:color="auto"/>
        <w:left w:val="none" w:sz="0" w:space="0" w:color="auto"/>
        <w:bottom w:val="none" w:sz="0" w:space="0" w:color="auto"/>
        <w:right w:val="none" w:sz="0" w:space="0" w:color="auto"/>
      </w:divBdr>
    </w:div>
    <w:div w:id="1534003659">
      <w:bodyDiv w:val="1"/>
      <w:marLeft w:val="0"/>
      <w:marRight w:val="0"/>
      <w:marTop w:val="0"/>
      <w:marBottom w:val="0"/>
      <w:divBdr>
        <w:top w:val="none" w:sz="0" w:space="0" w:color="auto"/>
        <w:left w:val="none" w:sz="0" w:space="0" w:color="auto"/>
        <w:bottom w:val="none" w:sz="0" w:space="0" w:color="auto"/>
        <w:right w:val="none" w:sz="0" w:space="0" w:color="auto"/>
      </w:divBdr>
    </w:div>
    <w:div w:id="1546871915">
      <w:bodyDiv w:val="1"/>
      <w:marLeft w:val="0"/>
      <w:marRight w:val="0"/>
      <w:marTop w:val="0"/>
      <w:marBottom w:val="0"/>
      <w:divBdr>
        <w:top w:val="none" w:sz="0" w:space="0" w:color="auto"/>
        <w:left w:val="none" w:sz="0" w:space="0" w:color="auto"/>
        <w:bottom w:val="none" w:sz="0" w:space="0" w:color="auto"/>
        <w:right w:val="none" w:sz="0" w:space="0" w:color="auto"/>
      </w:divBdr>
    </w:div>
    <w:div w:id="1581987358">
      <w:bodyDiv w:val="1"/>
      <w:marLeft w:val="0"/>
      <w:marRight w:val="0"/>
      <w:marTop w:val="0"/>
      <w:marBottom w:val="0"/>
      <w:divBdr>
        <w:top w:val="none" w:sz="0" w:space="0" w:color="auto"/>
        <w:left w:val="none" w:sz="0" w:space="0" w:color="auto"/>
        <w:bottom w:val="none" w:sz="0" w:space="0" w:color="auto"/>
        <w:right w:val="none" w:sz="0" w:space="0" w:color="auto"/>
      </w:divBdr>
    </w:div>
    <w:div w:id="1632633990">
      <w:bodyDiv w:val="1"/>
      <w:marLeft w:val="0"/>
      <w:marRight w:val="0"/>
      <w:marTop w:val="0"/>
      <w:marBottom w:val="0"/>
      <w:divBdr>
        <w:top w:val="none" w:sz="0" w:space="0" w:color="auto"/>
        <w:left w:val="none" w:sz="0" w:space="0" w:color="auto"/>
        <w:bottom w:val="none" w:sz="0" w:space="0" w:color="auto"/>
        <w:right w:val="none" w:sz="0" w:space="0" w:color="auto"/>
      </w:divBdr>
    </w:div>
    <w:div w:id="1705859404">
      <w:bodyDiv w:val="1"/>
      <w:marLeft w:val="0"/>
      <w:marRight w:val="0"/>
      <w:marTop w:val="0"/>
      <w:marBottom w:val="0"/>
      <w:divBdr>
        <w:top w:val="none" w:sz="0" w:space="0" w:color="auto"/>
        <w:left w:val="none" w:sz="0" w:space="0" w:color="auto"/>
        <w:bottom w:val="none" w:sz="0" w:space="0" w:color="auto"/>
        <w:right w:val="none" w:sz="0" w:space="0" w:color="auto"/>
      </w:divBdr>
    </w:div>
    <w:div w:id="1716275607">
      <w:bodyDiv w:val="1"/>
      <w:marLeft w:val="0"/>
      <w:marRight w:val="0"/>
      <w:marTop w:val="0"/>
      <w:marBottom w:val="0"/>
      <w:divBdr>
        <w:top w:val="none" w:sz="0" w:space="0" w:color="auto"/>
        <w:left w:val="none" w:sz="0" w:space="0" w:color="auto"/>
        <w:bottom w:val="none" w:sz="0" w:space="0" w:color="auto"/>
        <w:right w:val="none" w:sz="0" w:space="0" w:color="auto"/>
      </w:divBdr>
    </w:div>
    <w:div w:id="1747454852">
      <w:bodyDiv w:val="1"/>
      <w:marLeft w:val="0"/>
      <w:marRight w:val="0"/>
      <w:marTop w:val="0"/>
      <w:marBottom w:val="0"/>
      <w:divBdr>
        <w:top w:val="none" w:sz="0" w:space="0" w:color="auto"/>
        <w:left w:val="none" w:sz="0" w:space="0" w:color="auto"/>
        <w:bottom w:val="none" w:sz="0" w:space="0" w:color="auto"/>
        <w:right w:val="none" w:sz="0" w:space="0" w:color="auto"/>
      </w:divBdr>
    </w:div>
    <w:div w:id="1775710443">
      <w:bodyDiv w:val="1"/>
      <w:marLeft w:val="0"/>
      <w:marRight w:val="0"/>
      <w:marTop w:val="0"/>
      <w:marBottom w:val="0"/>
      <w:divBdr>
        <w:top w:val="none" w:sz="0" w:space="0" w:color="auto"/>
        <w:left w:val="none" w:sz="0" w:space="0" w:color="auto"/>
        <w:bottom w:val="none" w:sz="0" w:space="0" w:color="auto"/>
        <w:right w:val="none" w:sz="0" w:space="0" w:color="auto"/>
      </w:divBdr>
    </w:div>
    <w:div w:id="1783527693">
      <w:bodyDiv w:val="1"/>
      <w:marLeft w:val="0"/>
      <w:marRight w:val="0"/>
      <w:marTop w:val="0"/>
      <w:marBottom w:val="0"/>
      <w:divBdr>
        <w:top w:val="none" w:sz="0" w:space="0" w:color="auto"/>
        <w:left w:val="none" w:sz="0" w:space="0" w:color="auto"/>
        <w:bottom w:val="none" w:sz="0" w:space="0" w:color="auto"/>
        <w:right w:val="none" w:sz="0" w:space="0" w:color="auto"/>
      </w:divBdr>
    </w:div>
    <w:div w:id="1822964759">
      <w:bodyDiv w:val="1"/>
      <w:marLeft w:val="0"/>
      <w:marRight w:val="0"/>
      <w:marTop w:val="0"/>
      <w:marBottom w:val="0"/>
      <w:divBdr>
        <w:top w:val="none" w:sz="0" w:space="0" w:color="auto"/>
        <w:left w:val="none" w:sz="0" w:space="0" w:color="auto"/>
        <w:bottom w:val="none" w:sz="0" w:space="0" w:color="auto"/>
        <w:right w:val="none" w:sz="0" w:space="0" w:color="auto"/>
      </w:divBdr>
    </w:div>
    <w:div w:id="1827434434">
      <w:bodyDiv w:val="1"/>
      <w:marLeft w:val="0"/>
      <w:marRight w:val="0"/>
      <w:marTop w:val="0"/>
      <w:marBottom w:val="0"/>
      <w:divBdr>
        <w:top w:val="none" w:sz="0" w:space="0" w:color="auto"/>
        <w:left w:val="none" w:sz="0" w:space="0" w:color="auto"/>
        <w:bottom w:val="none" w:sz="0" w:space="0" w:color="auto"/>
        <w:right w:val="none" w:sz="0" w:space="0" w:color="auto"/>
      </w:divBdr>
    </w:div>
    <w:div w:id="1940530256">
      <w:bodyDiv w:val="1"/>
      <w:marLeft w:val="0"/>
      <w:marRight w:val="0"/>
      <w:marTop w:val="0"/>
      <w:marBottom w:val="0"/>
      <w:divBdr>
        <w:top w:val="none" w:sz="0" w:space="0" w:color="auto"/>
        <w:left w:val="none" w:sz="0" w:space="0" w:color="auto"/>
        <w:bottom w:val="none" w:sz="0" w:space="0" w:color="auto"/>
        <w:right w:val="none" w:sz="0" w:space="0" w:color="auto"/>
      </w:divBdr>
    </w:div>
    <w:div w:id="1941911512">
      <w:bodyDiv w:val="1"/>
      <w:marLeft w:val="0"/>
      <w:marRight w:val="0"/>
      <w:marTop w:val="0"/>
      <w:marBottom w:val="0"/>
      <w:divBdr>
        <w:top w:val="none" w:sz="0" w:space="0" w:color="auto"/>
        <w:left w:val="none" w:sz="0" w:space="0" w:color="auto"/>
        <w:bottom w:val="none" w:sz="0" w:space="0" w:color="auto"/>
        <w:right w:val="none" w:sz="0" w:space="0" w:color="auto"/>
      </w:divBdr>
    </w:div>
    <w:div w:id="1947805198">
      <w:bodyDiv w:val="1"/>
      <w:marLeft w:val="0"/>
      <w:marRight w:val="0"/>
      <w:marTop w:val="0"/>
      <w:marBottom w:val="0"/>
      <w:divBdr>
        <w:top w:val="none" w:sz="0" w:space="0" w:color="auto"/>
        <w:left w:val="none" w:sz="0" w:space="0" w:color="auto"/>
        <w:bottom w:val="none" w:sz="0" w:space="0" w:color="auto"/>
        <w:right w:val="none" w:sz="0" w:space="0" w:color="auto"/>
      </w:divBdr>
    </w:div>
    <w:div w:id="1949116023">
      <w:bodyDiv w:val="1"/>
      <w:marLeft w:val="0"/>
      <w:marRight w:val="0"/>
      <w:marTop w:val="0"/>
      <w:marBottom w:val="0"/>
      <w:divBdr>
        <w:top w:val="none" w:sz="0" w:space="0" w:color="auto"/>
        <w:left w:val="none" w:sz="0" w:space="0" w:color="auto"/>
        <w:bottom w:val="none" w:sz="0" w:space="0" w:color="auto"/>
        <w:right w:val="none" w:sz="0" w:space="0" w:color="auto"/>
      </w:divBdr>
    </w:div>
    <w:div w:id="1965186188">
      <w:bodyDiv w:val="1"/>
      <w:marLeft w:val="0"/>
      <w:marRight w:val="0"/>
      <w:marTop w:val="0"/>
      <w:marBottom w:val="0"/>
      <w:divBdr>
        <w:top w:val="none" w:sz="0" w:space="0" w:color="auto"/>
        <w:left w:val="none" w:sz="0" w:space="0" w:color="auto"/>
        <w:bottom w:val="none" w:sz="0" w:space="0" w:color="auto"/>
        <w:right w:val="none" w:sz="0" w:space="0" w:color="auto"/>
      </w:divBdr>
    </w:div>
    <w:div w:id="196792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ssandro.urciuoli@icp.cat"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yperlink" Target="mailto:mercedes.conde@uah.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D93DA-F144-4A1F-B1E4-91CDC67C9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11</Pages>
  <Words>1275</Words>
  <Characters>7274</Characters>
  <Application>Microsoft Office Word</Application>
  <DocSecurity>0</DocSecurity>
  <Lines>60</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8532</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 Urciuoli</dc:creator>
  <cp:lastModifiedBy>Alessandro Urciuoli</cp:lastModifiedBy>
  <cp:revision>9</cp:revision>
  <cp:lastPrinted>2024-11-27T13:04:00Z</cp:lastPrinted>
  <dcterms:created xsi:type="dcterms:W3CDTF">2024-11-27T13:09:00Z</dcterms:created>
  <dcterms:modified xsi:type="dcterms:W3CDTF">2025-01-16T10:26:00Z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2024-11-27T13:04:59Z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079877d4-bea0-42b3-ba39-faa722c93c48</vt:lpwstr>
  </property>
  <property fmtid="{D5CDD505-2E9C-101B-9397-08002B2CF9AE}" pid="7" name="MSIP_Label_defa4170-0d19-0005-0004-bc88714345d2_ActionId">
    <vt:lpwstr>17e4dbc7-054a-4baa-990b-1b53aefd9ec9</vt:lpwstr>
  </property>
  <property fmtid="{D5CDD505-2E9C-101B-9397-08002B2CF9AE}" pid="8" name="MSIP_Label_defa4170-0d19-0005-0004-bc88714345d2_ContentBits">
    <vt:lpwstr>0</vt:lpwstr>
  </property>
</Properties>
</file>