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6603C" w14:textId="396009BE" w:rsidR="003B1A26" w:rsidRPr="009200A4" w:rsidRDefault="009200A4" w:rsidP="009200A4">
      <w:pPr>
        <w:rPr>
          <w:rFonts w:ascii="Times New Roman" w:hAnsi="Times New Roman" w:cs="Times New Roman"/>
          <w:b/>
          <w:bCs/>
          <w:sz w:val="24"/>
        </w:rPr>
      </w:pPr>
      <w:r w:rsidRPr="009200A4">
        <w:rPr>
          <w:rFonts w:ascii="Times New Roman" w:hAnsi="Times New Roman" w:cs="Times New Roman"/>
          <w:b/>
          <w:bCs/>
          <w:noProof/>
          <w:sz w:val="24"/>
        </w:rPr>
        <w:drawing>
          <wp:anchor distT="0" distB="0" distL="114300" distR="114300" simplePos="0" relativeHeight="251659264" behindDoc="0" locked="0" layoutInCell="1" allowOverlap="1" wp14:anchorId="7F253FCC" wp14:editId="5E970F79">
            <wp:simplePos x="0" y="0"/>
            <wp:positionH relativeFrom="margin">
              <wp:align>center</wp:align>
            </wp:positionH>
            <wp:positionV relativeFrom="paragraph">
              <wp:posOffset>402728</wp:posOffset>
            </wp:positionV>
            <wp:extent cx="4900930" cy="7237095"/>
            <wp:effectExtent l="0" t="0" r="0" b="1905"/>
            <wp:wrapTopAndBottom/>
            <wp:docPr id="156255693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00930" cy="7237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0A4">
        <w:rPr>
          <w:rFonts w:ascii="Times New Roman" w:hAnsi="Times New Roman" w:cs="Times New Roman"/>
          <w:b/>
          <w:bCs/>
          <w:sz w:val="28"/>
          <w:szCs w:val="28"/>
        </w:rPr>
        <w:t>SUPPLEMENTAL FIGURES</w:t>
      </w:r>
    </w:p>
    <w:p w14:paraId="66FEAB54" w14:textId="45F1818E" w:rsidR="003B1A26" w:rsidRDefault="003B1A26" w:rsidP="00FD09D5">
      <w:pPr>
        <w:jc w:val="both"/>
        <w:rPr>
          <w:rFonts w:ascii="Times New Roman" w:hAnsi="Times New Roman" w:cs="Times New Roman"/>
          <w:sz w:val="24"/>
        </w:rPr>
      </w:pPr>
      <w:r w:rsidRPr="003B1A26">
        <w:rPr>
          <w:rFonts w:ascii="Times New Roman" w:hAnsi="Times New Roman" w:cs="Times New Roman"/>
          <w:b/>
          <w:bCs/>
          <w:sz w:val="24"/>
        </w:rPr>
        <w:t xml:space="preserve">Supplementary Figure 1. Heterozygosity of Pinot Noir assessed using </w:t>
      </w:r>
      <w:r w:rsidRPr="00E25E68">
        <w:rPr>
          <w:rFonts w:ascii="Times New Roman" w:hAnsi="Times New Roman" w:cs="Times New Roman"/>
          <w:b/>
          <w:bCs/>
          <w:i/>
          <w:iCs/>
          <w:sz w:val="24"/>
        </w:rPr>
        <w:t>K</w:t>
      </w:r>
      <w:r w:rsidRPr="003B1A26">
        <w:rPr>
          <w:rFonts w:ascii="Times New Roman" w:hAnsi="Times New Roman" w:cs="Times New Roman"/>
          <w:b/>
          <w:bCs/>
          <w:sz w:val="24"/>
        </w:rPr>
        <w:t>-</w:t>
      </w:r>
      <w:proofErr w:type="spellStart"/>
      <w:r w:rsidRPr="003B1A26">
        <w:rPr>
          <w:rFonts w:ascii="Times New Roman" w:hAnsi="Times New Roman" w:cs="Times New Roman"/>
          <w:b/>
          <w:bCs/>
          <w:sz w:val="24"/>
        </w:rPr>
        <w:t>mer</w:t>
      </w:r>
      <w:proofErr w:type="spellEnd"/>
      <w:r w:rsidRPr="003B1A26">
        <w:rPr>
          <w:rFonts w:ascii="Times New Roman" w:hAnsi="Times New Roman" w:cs="Times New Roman"/>
          <w:b/>
          <w:bCs/>
          <w:sz w:val="24"/>
        </w:rPr>
        <w:t xml:space="preserve"> analysis and BUSCO. (A) </w:t>
      </w:r>
      <w:r w:rsidRPr="003B1A26">
        <w:rPr>
          <w:rFonts w:ascii="Times New Roman" w:hAnsi="Times New Roman" w:cs="Times New Roman"/>
          <w:sz w:val="24"/>
        </w:rPr>
        <w:t xml:space="preserve">The heterozygosity and size of PN were predicted using a </w:t>
      </w:r>
      <w:r w:rsidRPr="00E25E68">
        <w:rPr>
          <w:rFonts w:ascii="Times New Roman" w:hAnsi="Times New Roman" w:cs="Times New Roman"/>
          <w:i/>
          <w:iCs/>
          <w:sz w:val="24"/>
        </w:rPr>
        <w:t>k</w:t>
      </w:r>
      <w:r w:rsidRPr="003B1A26">
        <w:rPr>
          <w:rFonts w:ascii="Times New Roman" w:hAnsi="Times New Roman" w:cs="Times New Roman"/>
          <w:sz w:val="24"/>
        </w:rPr>
        <w:t>-</w:t>
      </w:r>
      <w:proofErr w:type="spellStart"/>
      <w:r w:rsidRPr="003B1A26">
        <w:rPr>
          <w:rFonts w:ascii="Times New Roman" w:hAnsi="Times New Roman" w:cs="Times New Roman"/>
          <w:sz w:val="24"/>
        </w:rPr>
        <w:t>mer</w:t>
      </w:r>
      <w:proofErr w:type="spellEnd"/>
      <w:r w:rsidRPr="003B1A26">
        <w:rPr>
          <w:rFonts w:ascii="Times New Roman" w:hAnsi="Times New Roman" w:cs="Times New Roman"/>
          <w:sz w:val="24"/>
        </w:rPr>
        <w:t xml:space="preserve"> of 21, with varying horizontal coordinates representing different coverage levels. </w:t>
      </w:r>
      <w:r w:rsidRPr="003B1A26">
        <w:rPr>
          <w:rFonts w:ascii="Times New Roman" w:hAnsi="Times New Roman" w:cs="Times New Roman"/>
          <w:b/>
          <w:bCs/>
          <w:sz w:val="24"/>
        </w:rPr>
        <w:t xml:space="preserve">(B) </w:t>
      </w:r>
      <w:r w:rsidRPr="003B1A26">
        <w:rPr>
          <w:rFonts w:ascii="Times New Roman" w:hAnsi="Times New Roman" w:cs="Times New Roman"/>
          <w:sz w:val="24"/>
        </w:rPr>
        <w:t xml:space="preserve">The results of gene integrity testing were obtained from the </w:t>
      </w:r>
      <w:r w:rsidR="009766F5">
        <w:rPr>
          <w:rFonts w:ascii="Times New Roman" w:hAnsi="Times New Roman" w:cs="Times New Roman"/>
          <w:sz w:val="24"/>
        </w:rPr>
        <w:t>embryophyte</w:t>
      </w:r>
      <w:r w:rsidR="009766F5">
        <w:rPr>
          <w:rFonts w:ascii="Times New Roman" w:hAnsi="Times New Roman" w:cs="Times New Roman" w:hint="eastAsia"/>
          <w:sz w:val="24"/>
        </w:rPr>
        <w:t>_</w:t>
      </w:r>
      <w:r w:rsidRPr="003B1A26">
        <w:rPr>
          <w:rFonts w:ascii="Times New Roman" w:hAnsi="Times New Roman" w:cs="Times New Roman"/>
          <w:sz w:val="24"/>
        </w:rPr>
        <w:t>odb10 database via BUSCO.</w:t>
      </w:r>
    </w:p>
    <w:p w14:paraId="2D7A61B8" w14:textId="3854BF98" w:rsidR="006F62C3" w:rsidRDefault="006F62C3" w:rsidP="00FD09D5">
      <w:pPr>
        <w:jc w:val="both"/>
        <w:rPr>
          <w:rFonts w:ascii="Times New Roman" w:hAnsi="Times New Roman" w:cs="Times New Roman"/>
          <w:b/>
          <w:bCs/>
          <w:sz w:val="24"/>
        </w:rPr>
      </w:pPr>
      <w:r>
        <w:rPr>
          <w:rFonts w:ascii="Times New Roman" w:hAnsi="Times New Roman" w:cs="Times New Roman"/>
          <w:sz w:val="24"/>
        </w:rPr>
        <w:br w:type="page"/>
      </w:r>
      <w:r w:rsidR="003B1A26">
        <w:rPr>
          <w:rFonts w:ascii="Times New Roman" w:hAnsi="Times New Roman" w:cs="Times New Roman"/>
          <w:noProof/>
          <w:sz w:val="24"/>
        </w:rPr>
        <w:lastRenderedPageBreak/>
        <w:drawing>
          <wp:anchor distT="0" distB="0" distL="114300" distR="114300" simplePos="0" relativeHeight="251660288" behindDoc="0" locked="0" layoutInCell="1" allowOverlap="1" wp14:anchorId="6D84894C" wp14:editId="27105334">
            <wp:simplePos x="0" y="0"/>
            <wp:positionH relativeFrom="column">
              <wp:posOffset>-1456</wp:posOffset>
            </wp:positionH>
            <wp:positionV relativeFrom="paragraph">
              <wp:posOffset>64066</wp:posOffset>
            </wp:positionV>
            <wp:extent cx="5271135" cy="4624705"/>
            <wp:effectExtent l="0" t="0" r="5715" b="4445"/>
            <wp:wrapTopAndBottom/>
            <wp:docPr id="201668587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1135" cy="4624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B237C" w:rsidRPr="008B237C">
        <w:rPr>
          <w:rFonts w:ascii="Times New Roman" w:hAnsi="Times New Roman" w:cs="Times New Roman"/>
          <w:b/>
          <w:bCs/>
          <w:sz w:val="24"/>
        </w:rPr>
        <w:t>Supplementary Figure 2. Mummer diagram of the inversion between PN1 and PN2 on chromosome 19.</w:t>
      </w:r>
      <w:r>
        <w:rPr>
          <w:rFonts w:ascii="Times New Roman" w:hAnsi="Times New Roman" w:cs="Times New Roman"/>
          <w:b/>
          <w:bCs/>
          <w:sz w:val="24"/>
        </w:rPr>
        <w:br w:type="page"/>
      </w:r>
    </w:p>
    <w:p w14:paraId="3EE69A9D" w14:textId="77777777" w:rsidR="003B1A26" w:rsidRPr="008B237C" w:rsidRDefault="003B1A26" w:rsidP="00FD09D5">
      <w:pPr>
        <w:jc w:val="both"/>
        <w:rPr>
          <w:rFonts w:ascii="Times New Roman" w:hAnsi="Times New Roman" w:cs="Times New Roman"/>
          <w:b/>
          <w:bCs/>
          <w:sz w:val="24"/>
        </w:rPr>
      </w:pPr>
    </w:p>
    <w:p w14:paraId="28D003DD" w14:textId="41F6A08F" w:rsidR="00BC6129"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61312" behindDoc="0" locked="0" layoutInCell="1" allowOverlap="1" wp14:anchorId="2B2DC67F" wp14:editId="47D58D67">
            <wp:simplePos x="0" y="0"/>
            <wp:positionH relativeFrom="column">
              <wp:posOffset>-1456</wp:posOffset>
            </wp:positionH>
            <wp:positionV relativeFrom="paragraph">
              <wp:posOffset>24441</wp:posOffset>
            </wp:positionV>
            <wp:extent cx="5269230" cy="6276975"/>
            <wp:effectExtent l="0" t="0" r="7620" b="9525"/>
            <wp:wrapTopAndBottom/>
            <wp:docPr id="7327068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9230" cy="6276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2BBAE" w14:textId="19B5F642" w:rsidR="006F62C3" w:rsidRDefault="00E63D0E" w:rsidP="00FD09D5">
      <w:pPr>
        <w:jc w:val="both"/>
        <w:rPr>
          <w:rFonts w:ascii="Times New Roman" w:hAnsi="Times New Roman" w:cs="Times New Roman"/>
          <w:sz w:val="24"/>
        </w:rPr>
      </w:pPr>
      <w:r w:rsidRPr="00FD09D5">
        <w:rPr>
          <w:rFonts w:ascii="Times New Roman" w:hAnsi="Times New Roman" w:cs="Times New Roman"/>
          <w:b/>
          <w:bCs/>
          <w:sz w:val="24"/>
        </w:rPr>
        <w:t>Supplementary Figure 3. IGV visualization for inversion verification.</w:t>
      </w:r>
      <w:r w:rsidRPr="00FD09D5">
        <w:rPr>
          <w:rFonts w:ascii="Times New Roman" w:hAnsi="Times New Roman" w:cs="Times New Roman"/>
          <w:sz w:val="24"/>
        </w:rPr>
        <w:t xml:space="preserve"> The IGV screenshots show the inverted breakpoints of PN1</w:t>
      </w:r>
      <w:r w:rsidR="0092577B">
        <w:rPr>
          <w:rFonts w:ascii="Times New Roman" w:hAnsi="Times New Roman" w:cs="Times New Roman" w:hint="eastAsia"/>
          <w:sz w:val="24"/>
        </w:rPr>
        <w:t>:</w:t>
      </w:r>
      <w:r w:rsidR="0092577B" w:rsidRPr="0092577B">
        <w:rPr>
          <w:rFonts w:hint="eastAsia"/>
        </w:rPr>
        <w:t xml:space="preserve"> </w:t>
      </w:r>
      <w:bookmarkStart w:id="0" w:name="OLE_LINK2"/>
      <w:r w:rsidR="0092577B" w:rsidRPr="0092577B">
        <w:rPr>
          <w:rFonts w:ascii="Times New Roman" w:hAnsi="Times New Roman" w:cs="Times New Roman" w:hint="eastAsia"/>
          <w:sz w:val="24"/>
        </w:rPr>
        <w:t>(A) the start breakpoint and (B) the end breakpoint. The red vertical lines indicate the locations of these breakpoints.</w:t>
      </w:r>
      <w:bookmarkEnd w:id="0"/>
      <w:r w:rsidR="006F62C3">
        <w:rPr>
          <w:rFonts w:ascii="Times New Roman" w:hAnsi="Times New Roman" w:cs="Times New Roman"/>
          <w:sz w:val="24"/>
        </w:rPr>
        <w:br w:type="page"/>
      </w:r>
    </w:p>
    <w:p w14:paraId="4D8E080F" w14:textId="77777777" w:rsidR="00BC6129" w:rsidRPr="00FD09D5" w:rsidRDefault="00BC6129" w:rsidP="00FD09D5">
      <w:pPr>
        <w:jc w:val="both"/>
        <w:rPr>
          <w:rFonts w:ascii="Times New Roman" w:hAnsi="Times New Roman" w:cs="Times New Roman"/>
          <w:sz w:val="24"/>
        </w:rPr>
      </w:pPr>
    </w:p>
    <w:p w14:paraId="397ADFB4" w14:textId="60B8DCD9" w:rsidR="006F62C3"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62336" behindDoc="0" locked="0" layoutInCell="1" allowOverlap="1" wp14:anchorId="47C22577" wp14:editId="0AA8447D">
            <wp:simplePos x="0" y="0"/>
            <wp:positionH relativeFrom="column">
              <wp:posOffset>-1456</wp:posOffset>
            </wp:positionH>
            <wp:positionV relativeFrom="paragraph">
              <wp:posOffset>30266</wp:posOffset>
            </wp:positionV>
            <wp:extent cx="5269230" cy="6473190"/>
            <wp:effectExtent l="0" t="0" r="7620" b="3810"/>
            <wp:wrapTopAndBottom/>
            <wp:docPr id="16757122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9230" cy="6473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0E" w:rsidRPr="00FD09D5">
        <w:rPr>
          <w:rFonts w:ascii="Times New Roman" w:hAnsi="Times New Roman" w:cs="Times New Roman"/>
          <w:b/>
          <w:bCs/>
          <w:sz w:val="24"/>
        </w:rPr>
        <w:t xml:space="preserve">Supplementary Figure 4. IGV visualization for inversion verification. </w:t>
      </w:r>
      <w:r w:rsidR="00E63D0E" w:rsidRPr="00FD09D5">
        <w:rPr>
          <w:rFonts w:ascii="Times New Roman" w:hAnsi="Times New Roman" w:cs="Times New Roman"/>
          <w:sz w:val="24"/>
        </w:rPr>
        <w:t>The IGV screenshots show the inverted breakpoints of PN2</w:t>
      </w:r>
      <w:r w:rsidR="0092577B">
        <w:rPr>
          <w:rFonts w:ascii="Times New Roman" w:hAnsi="Times New Roman" w:cs="Times New Roman" w:hint="eastAsia"/>
          <w:sz w:val="24"/>
        </w:rPr>
        <w:t xml:space="preserve">: </w:t>
      </w:r>
      <w:r w:rsidR="0092577B" w:rsidRPr="0092577B">
        <w:rPr>
          <w:rFonts w:ascii="Times New Roman" w:hAnsi="Times New Roman" w:cs="Times New Roman" w:hint="eastAsia"/>
          <w:sz w:val="24"/>
        </w:rPr>
        <w:t>(A) the start breakpoint and (B) the end breakpoint. The red vertical lines indicate the locations of these breakpoints.</w:t>
      </w:r>
      <w:r w:rsidR="006F62C3">
        <w:rPr>
          <w:rFonts w:ascii="Times New Roman" w:hAnsi="Times New Roman" w:cs="Times New Roman"/>
          <w:sz w:val="24"/>
        </w:rPr>
        <w:br w:type="page"/>
      </w:r>
    </w:p>
    <w:p w14:paraId="0C480B81" w14:textId="77777777" w:rsidR="00BC6129" w:rsidRPr="00FD09D5" w:rsidRDefault="00BC6129" w:rsidP="00FD09D5">
      <w:pPr>
        <w:jc w:val="both"/>
        <w:rPr>
          <w:rFonts w:ascii="Times New Roman" w:hAnsi="Times New Roman" w:cs="Times New Roman"/>
          <w:sz w:val="24"/>
        </w:rPr>
      </w:pPr>
    </w:p>
    <w:p w14:paraId="55D6E51A" w14:textId="305745D8" w:rsidR="00BC6129"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63360" behindDoc="0" locked="0" layoutInCell="1" allowOverlap="1" wp14:anchorId="4D91DA1F" wp14:editId="4DA9188F">
            <wp:simplePos x="0" y="0"/>
            <wp:positionH relativeFrom="column">
              <wp:posOffset>-1456</wp:posOffset>
            </wp:positionH>
            <wp:positionV relativeFrom="paragraph">
              <wp:posOffset>18617</wp:posOffset>
            </wp:positionV>
            <wp:extent cx="5274310" cy="4509770"/>
            <wp:effectExtent l="0" t="0" r="2540" b="5080"/>
            <wp:wrapTopAndBottom/>
            <wp:docPr id="573347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50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0E"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5</w:t>
      </w:r>
      <w:r w:rsidR="00E63D0E" w:rsidRPr="00FD09D5">
        <w:rPr>
          <w:rFonts w:ascii="Times New Roman" w:hAnsi="Times New Roman" w:cs="Times New Roman"/>
          <w:b/>
          <w:bCs/>
          <w:sz w:val="24"/>
        </w:rPr>
        <w:t>. Schematic of inversion on Chr19 and verification by PCR. (A)</w:t>
      </w:r>
      <w:r w:rsidR="00E63D0E" w:rsidRPr="00FD09D5">
        <w:rPr>
          <w:rFonts w:ascii="Times New Roman" w:hAnsi="Times New Roman" w:cs="Times New Roman"/>
          <w:sz w:val="24"/>
        </w:rPr>
        <w:t xml:space="preserve"> An inversion with two insertions at the flanks on Chr19. The primers used for verification are shown with arrows. </w:t>
      </w:r>
      <w:r w:rsidR="00E63D0E" w:rsidRPr="00FD09D5">
        <w:rPr>
          <w:rFonts w:ascii="Times New Roman" w:hAnsi="Times New Roman" w:cs="Times New Roman"/>
          <w:b/>
          <w:bCs/>
          <w:sz w:val="24"/>
        </w:rPr>
        <w:t>(B)</w:t>
      </w:r>
      <w:r w:rsidR="00E63D0E" w:rsidRPr="00FD09D5">
        <w:rPr>
          <w:rFonts w:ascii="Times New Roman" w:hAnsi="Times New Roman" w:cs="Times New Roman"/>
          <w:sz w:val="24"/>
        </w:rPr>
        <w:t xml:space="preserve"> The PCR results using the primers shown in A.</w:t>
      </w:r>
      <w:r w:rsidR="003D4CAD">
        <w:rPr>
          <w:rFonts w:ascii="Times New Roman" w:hAnsi="Times New Roman" w:cs="Times New Roman" w:hint="eastAsia"/>
          <w:sz w:val="24"/>
        </w:rPr>
        <w:t xml:space="preserve"> </w:t>
      </w:r>
      <w:r w:rsidR="003D4CAD" w:rsidRPr="003D4CAD">
        <w:rPr>
          <w:rFonts w:ascii="Times New Roman" w:hAnsi="Times New Roman" w:cs="Times New Roman" w:hint="eastAsia"/>
          <w:sz w:val="24"/>
        </w:rPr>
        <w:t>Source data are provided as a Source Data file.</w:t>
      </w:r>
    </w:p>
    <w:p w14:paraId="5D76E547" w14:textId="440BFEB4" w:rsidR="006F62C3" w:rsidRDefault="006F62C3" w:rsidP="00FD09D5">
      <w:pPr>
        <w:jc w:val="both"/>
        <w:rPr>
          <w:rFonts w:ascii="Times New Roman" w:hAnsi="Times New Roman" w:cs="Times New Roman"/>
          <w:sz w:val="24"/>
        </w:rPr>
      </w:pPr>
      <w:r>
        <w:rPr>
          <w:rFonts w:ascii="Times New Roman" w:hAnsi="Times New Roman" w:cs="Times New Roman"/>
          <w:sz w:val="24"/>
        </w:rPr>
        <w:br w:type="page"/>
      </w:r>
    </w:p>
    <w:p w14:paraId="773B4544" w14:textId="5F3534E8" w:rsidR="00BC6129" w:rsidRPr="00FD09D5" w:rsidRDefault="00BC6129" w:rsidP="00FD09D5">
      <w:pPr>
        <w:jc w:val="both"/>
        <w:rPr>
          <w:rFonts w:ascii="Times New Roman" w:hAnsi="Times New Roman" w:cs="Times New Roman"/>
          <w:b/>
          <w:bCs/>
          <w:sz w:val="24"/>
        </w:rPr>
      </w:pPr>
      <w:r w:rsidRPr="00FD09D5">
        <w:rPr>
          <w:rFonts w:ascii="Times New Roman" w:hAnsi="Times New Roman" w:cs="Times New Roman"/>
          <w:noProof/>
          <w:sz w:val="24"/>
        </w:rPr>
        <w:lastRenderedPageBreak/>
        <w:drawing>
          <wp:anchor distT="0" distB="0" distL="114300" distR="114300" simplePos="0" relativeHeight="251664384" behindDoc="0" locked="0" layoutInCell="1" allowOverlap="1" wp14:anchorId="6DCAF680" wp14:editId="560A2B8A">
            <wp:simplePos x="0" y="0"/>
            <wp:positionH relativeFrom="column">
              <wp:posOffset>-1456</wp:posOffset>
            </wp:positionH>
            <wp:positionV relativeFrom="paragraph">
              <wp:posOffset>46594</wp:posOffset>
            </wp:positionV>
            <wp:extent cx="5269230" cy="2675890"/>
            <wp:effectExtent l="0" t="0" r="7620" b="0"/>
            <wp:wrapTopAndBottom/>
            <wp:docPr id="20098119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9230" cy="2675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0E"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6</w:t>
      </w:r>
      <w:r w:rsidR="00E63D0E" w:rsidRPr="00FD09D5">
        <w:rPr>
          <w:rFonts w:ascii="Times New Roman" w:hAnsi="Times New Roman" w:cs="Times New Roman"/>
          <w:b/>
          <w:bCs/>
          <w:sz w:val="24"/>
        </w:rPr>
        <w:t xml:space="preserve">. GO term enrichment of the top 1% of genes in the </w:t>
      </w:r>
      <w:proofErr w:type="spellStart"/>
      <w:r w:rsidR="00E63D0E" w:rsidRPr="00E25E68">
        <w:rPr>
          <w:rFonts w:ascii="Times New Roman" w:hAnsi="Times New Roman" w:cs="Times New Roman"/>
          <w:b/>
          <w:bCs/>
          <w:i/>
          <w:iCs/>
          <w:sz w:val="24"/>
        </w:rPr>
        <w:t>f</w:t>
      </w:r>
      <w:r w:rsidR="00E63D0E" w:rsidRPr="00E25E68">
        <w:rPr>
          <w:rFonts w:ascii="Times New Roman" w:hAnsi="Times New Roman" w:cs="Times New Roman"/>
          <w:b/>
          <w:bCs/>
          <w:i/>
          <w:iCs/>
          <w:sz w:val="24"/>
          <w:vertAlign w:val="subscript"/>
        </w:rPr>
        <w:t>d</w:t>
      </w:r>
      <w:proofErr w:type="spellEnd"/>
      <w:r w:rsidR="00E63D0E" w:rsidRPr="00FD09D5">
        <w:rPr>
          <w:rFonts w:ascii="Times New Roman" w:hAnsi="Times New Roman" w:cs="Times New Roman"/>
          <w:b/>
          <w:bCs/>
          <w:sz w:val="24"/>
        </w:rPr>
        <w:t xml:space="preserve"> analysis for EU and PN in the biological process.</w:t>
      </w:r>
      <w:r w:rsidR="007E5595">
        <w:rPr>
          <w:rFonts w:ascii="Times New Roman" w:hAnsi="Times New Roman" w:cs="Times New Roman"/>
          <w:b/>
          <w:bCs/>
          <w:sz w:val="24"/>
        </w:rPr>
        <w:br/>
      </w:r>
    </w:p>
    <w:p w14:paraId="3C9B2572" w14:textId="77777777" w:rsidR="00BC6129" w:rsidRDefault="00BC6129" w:rsidP="00FD09D5">
      <w:pPr>
        <w:jc w:val="both"/>
        <w:rPr>
          <w:rFonts w:ascii="Times New Roman" w:hAnsi="Times New Roman" w:cs="Times New Roman"/>
          <w:sz w:val="24"/>
        </w:rPr>
      </w:pPr>
    </w:p>
    <w:p w14:paraId="735D7601" w14:textId="343DBCA4" w:rsidR="006F62C3" w:rsidRDefault="006F62C3" w:rsidP="00FD09D5">
      <w:pPr>
        <w:jc w:val="both"/>
        <w:rPr>
          <w:rFonts w:ascii="Times New Roman" w:hAnsi="Times New Roman" w:cs="Times New Roman"/>
          <w:sz w:val="24"/>
        </w:rPr>
      </w:pPr>
      <w:r>
        <w:rPr>
          <w:rFonts w:ascii="Times New Roman" w:hAnsi="Times New Roman" w:cs="Times New Roman"/>
          <w:sz w:val="24"/>
        </w:rPr>
        <w:br w:type="page"/>
      </w:r>
    </w:p>
    <w:p w14:paraId="3F7A9DEB" w14:textId="77777777" w:rsidR="00131C28" w:rsidRPr="006F62C3" w:rsidRDefault="00131C28" w:rsidP="00FD09D5">
      <w:pPr>
        <w:jc w:val="both"/>
        <w:rPr>
          <w:rFonts w:ascii="Times New Roman" w:hAnsi="Times New Roman" w:cs="Times New Roman"/>
          <w:sz w:val="24"/>
        </w:rPr>
      </w:pPr>
    </w:p>
    <w:p w14:paraId="43BB6CF6" w14:textId="3A7FB8A4" w:rsidR="00BC6129" w:rsidRDefault="00BC6129" w:rsidP="006F62C3">
      <w:pPr>
        <w:rPr>
          <w:rFonts w:ascii="Times New Roman" w:hAnsi="Times New Roman" w:cs="Times New Roman"/>
          <w:i/>
          <w:iCs/>
          <w:sz w:val="24"/>
        </w:rPr>
      </w:pPr>
      <w:r w:rsidRPr="00FD09D5">
        <w:rPr>
          <w:rFonts w:ascii="Times New Roman" w:hAnsi="Times New Roman" w:cs="Times New Roman"/>
          <w:noProof/>
          <w:sz w:val="24"/>
        </w:rPr>
        <w:drawing>
          <wp:anchor distT="0" distB="0" distL="114300" distR="114300" simplePos="0" relativeHeight="251665408" behindDoc="0" locked="0" layoutInCell="1" allowOverlap="1" wp14:anchorId="13D70422" wp14:editId="516C1573">
            <wp:simplePos x="0" y="0"/>
            <wp:positionH relativeFrom="column">
              <wp:posOffset>266457</wp:posOffset>
            </wp:positionH>
            <wp:positionV relativeFrom="paragraph">
              <wp:posOffset>36090</wp:posOffset>
            </wp:positionV>
            <wp:extent cx="4746726" cy="5074550"/>
            <wp:effectExtent l="0" t="0" r="0" b="0"/>
            <wp:wrapTopAndBottom/>
            <wp:docPr id="78743919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6726" cy="507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7</w:t>
      </w:r>
      <w:r w:rsidR="00851E70" w:rsidRPr="00FD09D5">
        <w:rPr>
          <w:rFonts w:ascii="Times New Roman" w:hAnsi="Times New Roman" w:cs="Times New Roman"/>
          <w:b/>
          <w:bCs/>
          <w:sz w:val="24"/>
        </w:rPr>
        <w:t xml:space="preserve">. Phylogenetic trees of the </w:t>
      </w:r>
      <w:r w:rsidR="00851E70" w:rsidRPr="00FD09D5">
        <w:rPr>
          <w:rFonts w:ascii="Times New Roman" w:hAnsi="Times New Roman" w:cs="Times New Roman"/>
          <w:b/>
          <w:bCs/>
          <w:i/>
          <w:iCs/>
          <w:sz w:val="24"/>
        </w:rPr>
        <w:t>COL5</w:t>
      </w:r>
      <w:r w:rsidR="00851E70" w:rsidRPr="00FD09D5">
        <w:rPr>
          <w:rFonts w:ascii="Times New Roman" w:hAnsi="Times New Roman" w:cs="Times New Roman"/>
          <w:b/>
          <w:bCs/>
          <w:sz w:val="24"/>
        </w:rPr>
        <w:t xml:space="preserve"> gene. </w:t>
      </w:r>
      <w:r w:rsidR="00851E70" w:rsidRPr="00FD09D5">
        <w:rPr>
          <w:rFonts w:ascii="Times New Roman" w:hAnsi="Times New Roman" w:cs="Times New Roman"/>
          <w:sz w:val="24"/>
        </w:rPr>
        <w:t xml:space="preserve">Genes found in grapes are represented in blue, those identified and functionally validated in other plant species are in red, and unvalidated genes are in black. At: </w:t>
      </w:r>
      <w:r w:rsidR="00851E70" w:rsidRPr="00E03D47">
        <w:rPr>
          <w:rFonts w:ascii="Times New Roman" w:hAnsi="Times New Roman" w:cs="Times New Roman"/>
          <w:i/>
          <w:iCs/>
          <w:sz w:val="24"/>
        </w:rPr>
        <w:t>Arabidopsis thaliana</w:t>
      </w:r>
      <w:r w:rsidR="00851E70" w:rsidRPr="00FD09D5">
        <w:rPr>
          <w:rFonts w:ascii="Times New Roman" w:hAnsi="Times New Roman" w:cs="Times New Roman"/>
          <w:sz w:val="24"/>
        </w:rPr>
        <w:t xml:space="preserve">; GLYMA, Gm: </w:t>
      </w:r>
      <w:r w:rsidR="00851E70" w:rsidRPr="00E03D47">
        <w:rPr>
          <w:rFonts w:ascii="Times New Roman" w:hAnsi="Times New Roman" w:cs="Times New Roman"/>
          <w:i/>
          <w:iCs/>
          <w:sz w:val="24"/>
        </w:rPr>
        <w:t>Glycine max</w:t>
      </w:r>
      <w:r w:rsidR="00851E70" w:rsidRPr="00FD09D5">
        <w:rPr>
          <w:rFonts w:ascii="Times New Roman" w:hAnsi="Times New Roman" w:cs="Times New Roman"/>
          <w:sz w:val="24"/>
        </w:rPr>
        <w:t xml:space="preserve">; </w:t>
      </w:r>
      <w:proofErr w:type="spellStart"/>
      <w:r w:rsidR="00851E70" w:rsidRPr="00FD09D5">
        <w:rPr>
          <w:rFonts w:ascii="Times New Roman" w:hAnsi="Times New Roman" w:cs="Times New Roman"/>
          <w:sz w:val="24"/>
        </w:rPr>
        <w:t>Os</w:t>
      </w:r>
      <w:proofErr w:type="spellEnd"/>
      <w:r w:rsidR="00851E70" w:rsidRPr="00FD09D5">
        <w:rPr>
          <w:rFonts w:ascii="Times New Roman" w:hAnsi="Times New Roman" w:cs="Times New Roman"/>
          <w:sz w:val="24"/>
        </w:rPr>
        <w:t xml:space="preserve">: </w:t>
      </w:r>
      <w:r w:rsidR="00851E70" w:rsidRPr="00E03D47">
        <w:rPr>
          <w:rFonts w:ascii="Times New Roman" w:hAnsi="Times New Roman" w:cs="Times New Roman"/>
          <w:i/>
          <w:iCs/>
          <w:sz w:val="24"/>
        </w:rPr>
        <w:t>Oryza sativa</w:t>
      </w:r>
      <w:r w:rsidR="00851E70" w:rsidRPr="00FD09D5">
        <w:rPr>
          <w:rFonts w:ascii="Times New Roman" w:hAnsi="Times New Roman" w:cs="Times New Roman"/>
          <w:sz w:val="24"/>
        </w:rPr>
        <w:t xml:space="preserve">; </w:t>
      </w:r>
      <w:proofErr w:type="spellStart"/>
      <w:r w:rsidR="00851E70" w:rsidRPr="00FD09D5">
        <w:rPr>
          <w:rFonts w:ascii="Times New Roman" w:hAnsi="Times New Roman" w:cs="Times New Roman"/>
          <w:sz w:val="24"/>
        </w:rPr>
        <w:t>Vitvi</w:t>
      </w:r>
      <w:proofErr w:type="spellEnd"/>
      <w:r w:rsidR="00851E70" w:rsidRPr="00FD09D5">
        <w:rPr>
          <w:rFonts w:ascii="Times New Roman" w:hAnsi="Times New Roman" w:cs="Times New Roman"/>
          <w:sz w:val="24"/>
        </w:rPr>
        <w:t xml:space="preserve">: </w:t>
      </w:r>
      <w:r w:rsidR="00851E70" w:rsidRPr="00E03D47">
        <w:rPr>
          <w:rFonts w:ascii="Times New Roman" w:hAnsi="Times New Roman" w:cs="Times New Roman"/>
          <w:i/>
          <w:iCs/>
          <w:sz w:val="24"/>
        </w:rPr>
        <w:t>Vitis vinifera</w:t>
      </w:r>
      <w:r w:rsidR="00851E70" w:rsidRPr="00FD09D5">
        <w:rPr>
          <w:rFonts w:ascii="Times New Roman" w:hAnsi="Times New Roman" w:cs="Times New Roman"/>
          <w:sz w:val="24"/>
        </w:rPr>
        <w:t xml:space="preserve">; PGSC: </w:t>
      </w:r>
      <w:r w:rsidR="00851E70" w:rsidRPr="00E03D47">
        <w:rPr>
          <w:rFonts w:ascii="Times New Roman" w:hAnsi="Times New Roman" w:cs="Times New Roman"/>
          <w:i/>
          <w:iCs/>
          <w:sz w:val="24"/>
        </w:rPr>
        <w:t>Solanum tuberosum</w:t>
      </w:r>
      <w:r w:rsidR="00E03D47">
        <w:rPr>
          <w:rFonts w:ascii="Times New Roman" w:hAnsi="Times New Roman" w:cs="Times New Roman" w:hint="eastAsia"/>
          <w:i/>
          <w:iCs/>
          <w:sz w:val="24"/>
        </w:rPr>
        <w:t>.</w:t>
      </w:r>
    </w:p>
    <w:p w14:paraId="013DDE27" w14:textId="77777777" w:rsidR="00131C28" w:rsidRDefault="00131C28" w:rsidP="00FD09D5">
      <w:pPr>
        <w:jc w:val="both"/>
        <w:rPr>
          <w:rFonts w:ascii="Times New Roman" w:hAnsi="Times New Roman" w:cs="Times New Roman"/>
          <w:i/>
          <w:iCs/>
          <w:sz w:val="24"/>
        </w:rPr>
      </w:pPr>
    </w:p>
    <w:p w14:paraId="7AEBEDE1" w14:textId="77777777" w:rsidR="00131C28" w:rsidRPr="00FD09D5" w:rsidRDefault="00131C28" w:rsidP="00FD09D5">
      <w:pPr>
        <w:jc w:val="both"/>
        <w:rPr>
          <w:rFonts w:ascii="Times New Roman" w:hAnsi="Times New Roman" w:cs="Times New Roman"/>
          <w:sz w:val="24"/>
        </w:rPr>
      </w:pPr>
    </w:p>
    <w:p w14:paraId="12893B2E" w14:textId="50DB3994" w:rsidR="00BC6129" w:rsidRPr="00FD09D5" w:rsidRDefault="00BC6129" w:rsidP="006F62C3">
      <w:pPr>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58240" behindDoc="0" locked="0" layoutInCell="1" allowOverlap="1" wp14:anchorId="3BB91313" wp14:editId="50A82B6F">
            <wp:simplePos x="0" y="0"/>
            <wp:positionH relativeFrom="column">
              <wp:posOffset>103380</wp:posOffset>
            </wp:positionH>
            <wp:positionV relativeFrom="paragraph">
              <wp:posOffset>69890</wp:posOffset>
            </wp:positionV>
            <wp:extent cx="5067057" cy="5206282"/>
            <wp:effectExtent l="0" t="0" r="635" b="0"/>
            <wp:wrapTopAndBottom/>
            <wp:docPr id="20290521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7057" cy="5206282"/>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8</w:t>
      </w:r>
      <w:r w:rsidR="00851E70" w:rsidRPr="00FD09D5">
        <w:rPr>
          <w:rFonts w:ascii="Times New Roman" w:hAnsi="Times New Roman" w:cs="Times New Roman"/>
          <w:b/>
          <w:bCs/>
          <w:sz w:val="24"/>
        </w:rPr>
        <w:t xml:space="preserve">. Phylogenetic tree of 20 wild grapes and 44 wine grapes in the 20 kb region where </w:t>
      </w:r>
      <w:r w:rsidR="00851E70" w:rsidRPr="00FD09D5">
        <w:rPr>
          <w:rFonts w:ascii="Times New Roman" w:hAnsi="Times New Roman" w:cs="Times New Roman"/>
          <w:b/>
          <w:bCs/>
          <w:i/>
          <w:iCs/>
          <w:sz w:val="24"/>
        </w:rPr>
        <w:t>COL5</w:t>
      </w:r>
      <w:r w:rsidR="00851E70" w:rsidRPr="00FD09D5">
        <w:rPr>
          <w:rFonts w:ascii="Times New Roman" w:hAnsi="Times New Roman" w:cs="Times New Roman"/>
          <w:b/>
          <w:bCs/>
          <w:sz w:val="24"/>
        </w:rPr>
        <w:t xml:space="preserve"> is located.</w:t>
      </w:r>
      <w:r w:rsidR="00851E70" w:rsidRPr="00FD09D5">
        <w:rPr>
          <w:rFonts w:ascii="Times New Roman" w:hAnsi="Times New Roman" w:cs="Times New Roman"/>
          <w:sz w:val="24"/>
        </w:rPr>
        <w:t xml:space="preserve"> ME wild grapes are represented with a brown background, while EU wild grapes are shown with a green background. Pinot Noir is highlighted in red.</w:t>
      </w:r>
    </w:p>
    <w:p w14:paraId="3B9DBECB" w14:textId="77777777" w:rsidR="00BC6129" w:rsidRPr="00FD09D5" w:rsidRDefault="00BC6129" w:rsidP="00FD09D5">
      <w:pPr>
        <w:jc w:val="both"/>
        <w:rPr>
          <w:rFonts w:ascii="Times New Roman" w:hAnsi="Times New Roman" w:cs="Times New Roman"/>
          <w:sz w:val="24"/>
        </w:rPr>
      </w:pPr>
    </w:p>
    <w:p w14:paraId="13AC1621" w14:textId="069DB22A" w:rsidR="006F62C3" w:rsidRDefault="006F62C3" w:rsidP="00FD09D5">
      <w:pPr>
        <w:jc w:val="both"/>
        <w:rPr>
          <w:rFonts w:ascii="Times New Roman" w:hAnsi="Times New Roman" w:cs="Times New Roman"/>
          <w:sz w:val="24"/>
        </w:rPr>
      </w:pPr>
      <w:r>
        <w:rPr>
          <w:rFonts w:ascii="Times New Roman" w:hAnsi="Times New Roman" w:cs="Times New Roman"/>
          <w:sz w:val="24"/>
        </w:rPr>
        <w:br w:type="page"/>
      </w:r>
    </w:p>
    <w:p w14:paraId="6AC8AEA7" w14:textId="77777777" w:rsidR="00BC6129" w:rsidRPr="00FD09D5" w:rsidRDefault="00BC6129" w:rsidP="00FD09D5">
      <w:pPr>
        <w:jc w:val="both"/>
        <w:rPr>
          <w:rFonts w:ascii="Times New Roman" w:hAnsi="Times New Roman" w:cs="Times New Roman"/>
          <w:sz w:val="24"/>
        </w:rPr>
      </w:pPr>
    </w:p>
    <w:p w14:paraId="1EC773A3" w14:textId="1972943A" w:rsidR="00BC6129"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66432" behindDoc="0" locked="0" layoutInCell="1" allowOverlap="1" wp14:anchorId="3591E7DC" wp14:editId="176F072A">
            <wp:simplePos x="0" y="0"/>
            <wp:positionH relativeFrom="column">
              <wp:posOffset>-1456</wp:posOffset>
            </wp:positionH>
            <wp:positionV relativeFrom="paragraph">
              <wp:posOffset>65211</wp:posOffset>
            </wp:positionV>
            <wp:extent cx="5269230" cy="3234055"/>
            <wp:effectExtent l="0" t="0" r="7620" b="4445"/>
            <wp:wrapTopAndBottom/>
            <wp:docPr id="18916858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9230" cy="32340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9</w:t>
      </w:r>
      <w:r w:rsidR="00851E70" w:rsidRPr="00FD09D5">
        <w:rPr>
          <w:rFonts w:ascii="Times New Roman" w:hAnsi="Times New Roman" w:cs="Times New Roman"/>
          <w:b/>
          <w:bCs/>
          <w:sz w:val="24"/>
        </w:rPr>
        <w:t xml:space="preserve">. Effects of the number of wild grapes used on mutation detection. </w:t>
      </w:r>
      <w:r w:rsidR="00851E70" w:rsidRPr="00FD09D5">
        <w:rPr>
          <w:rFonts w:ascii="Times New Roman" w:hAnsi="Times New Roman" w:cs="Times New Roman"/>
          <w:sz w:val="24"/>
        </w:rPr>
        <w:t>The blue line indicates the number of mutations shared by PN and wild grapes; the orange line indicates the number of PN-specific mutations; and the yellow line indicates the number of predicted somatic mutations.</w:t>
      </w:r>
    </w:p>
    <w:p w14:paraId="6041889C" w14:textId="77777777" w:rsidR="0048700D" w:rsidRDefault="0048700D" w:rsidP="00FD09D5">
      <w:pPr>
        <w:jc w:val="both"/>
        <w:rPr>
          <w:rFonts w:ascii="Times New Roman" w:hAnsi="Times New Roman" w:cs="Times New Roman"/>
          <w:sz w:val="24"/>
        </w:rPr>
      </w:pPr>
    </w:p>
    <w:p w14:paraId="49BACAF9" w14:textId="7049866A" w:rsidR="0048700D" w:rsidRDefault="0048700D" w:rsidP="00FD09D5">
      <w:pPr>
        <w:jc w:val="both"/>
        <w:rPr>
          <w:rFonts w:ascii="Times New Roman" w:hAnsi="Times New Roman" w:cs="Times New Roman"/>
          <w:sz w:val="24"/>
        </w:rPr>
      </w:pPr>
      <w:r>
        <w:rPr>
          <w:rFonts w:ascii="Times New Roman" w:hAnsi="Times New Roman" w:cs="Times New Roman"/>
          <w:sz w:val="24"/>
        </w:rPr>
        <w:br w:type="page"/>
      </w:r>
    </w:p>
    <w:p w14:paraId="1E60FD79" w14:textId="580CC3F4" w:rsidR="00BC6129"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67456" behindDoc="0" locked="0" layoutInCell="1" allowOverlap="1" wp14:anchorId="2CFFBBA3" wp14:editId="06B70566">
            <wp:simplePos x="0" y="0"/>
            <wp:positionH relativeFrom="column">
              <wp:posOffset>-1456</wp:posOffset>
            </wp:positionH>
            <wp:positionV relativeFrom="paragraph">
              <wp:posOffset>82683</wp:posOffset>
            </wp:positionV>
            <wp:extent cx="5269230" cy="7361555"/>
            <wp:effectExtent l="0" t="0" r="7620" b="0"/>
            <wp:wrapTopAndBottom/>
            <wp:docPr id="11529567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9230" cy="736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0E" w:rsidRPr="00FD09D5">
        <w:rPr>
          <w:rFonts w:ascii="Times New Roman" w:hAnsi="Times New Roman" w:cs="Times New Roman"/>
          <w:b/>
          <w:bCs/>
          <w:sz w:val="24"/>
        </w:rPr>
        <w:t>Supplementary Figure 10.</w:t>
      </w:r>
      <w:r w:rsidR="00230551">
        <w:rPr>
          <w:rFonts w:ascii="Times New Roman" w:hAnsi="Times New Roman" w:cs="Times New Roman" w:hint="eastAsia"/>
          <w:b/>
          <w:bCs/>
          <w:sz w:val="24"/>
        </w:rPr>
        <w:t xml:space="preserve"> </w:t>
      </w:r>
      <w:r w:rsidR="00230551" w:rsidRPr="00230551">
        <w:rPr>
          <w:rFonts w:ascii="Times New Roman" w:hAnsi="Times New Roman" w:cs="Times New Roman" w:hint="eastAsia"/>
          <w:b/>
          <w:bCs/>
          <w:sz w:val="24"/>
        </w:rPr>
        <w:t xml:space="preserve">IGV visualization to examine identified somatic mutations. </w:t>
      </w:r>
      <w:r w:rsidR="00230551" w:rsidRPr="00230551">
        <w:rPr>
          <w:rFonts w:ascii="Times New Roman" w:hAnsi="Times New Roman" w:cs="Times New Roman" w:hint="eastAsia"/>
          <w:sz w:val="24"/>
        </w:rPr>
        <w:t>Subfigures (A) and (B) represent two different somatic mutation sites</w:t>
      </w:r>
      <w:r w:rsidR="00230551">
        <w:rPr>
          <w:rFonts w:ascii="Times New Roman" w:hAnsi="Times New Roman" w:cs="Times New Roman" w:hint="eastAsia"/>
          <w:sz w:val="24"/>
        </w:rPr>
        <w:t xml:space="preserve">. </w:t>
      </w:r>
      <w:r w:rsidR="00E63D0E" w:rsidRPr="00FD09D5">
        <w:rPr>
          <w:rFonts w:ascii="Times New Roman" w:hAnsi="Times New Roman" w:cs="Times New Roman"/>
          <w:sz w:val="24"/>
        </w:rPr>
        <w:t>In each sub</w:t>
      </w:r>
      <w:r w:rsidR="00230551">
        <w:rPr>
          <w:rFonts w:ascii="Times New Roman" w:hAnsi="Times New Roman" w:cs="Times New Roman" w:hint="eastAsia"/>
          <w:sz w:val="24"/>
        </w:rPr>
        <w:t>figure</w:t>
      </w:r>
      <w:r w:rsidR="00E63D0E" w:rsidRPr="00FD09D5">
        <w:rPr>
          <w:rFonts w:ascii="Times New Roman" w:hAnsi="Times New Roman" w:cs="Times New Roman"/>
          <w:sz w:val="24"/>
        </w:rPr>
        <w:t>, the coverage of reads that match and differ from the reference genome of five PN clones is shown, along with detailed reads for one sample without somatic mutation and one sample with somatic mutation.</w:t>
      </w:r>
    </w:p>
    <w:p w14:paraId="0456E4DE" w14:textId="3E965C63" w:rsidR="00BC6129" w:rsidRPr="00FD09D5" w:rsidRDefault="00230551" w:rsidP="00FD09D5">
      <w:pPr>
        <w:jc w:val="both"/>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68480" behindDoc="0" locked="0" layoutInCell="1" allowOverlap="1" wp14:anchorId="63232A51" wp14:editId="6CFA1297">
            <wp:simplePos x="0" y="0"/>
            <wp:positionH relativeFrom="margin">
              <wp:align>left</wp:align>
            </wp:positionH>
            <wp:positionV relativeFrom="paragraph">
              <wp:posOffset>381635</wp:posOffset>
            </wp:positionV>
            <wp:extent cx="5217160" cy="7149465"/>
            <wp:effectExtent l="0" t="0" r="2540" b="0"/>
            <wp:wrapTopAndBottom/>
            <wp:docPr id="79381545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17160" cy="7149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891E0" w14:textId="47B263F0" w:rsidR="00BC6129" w:rsidRPr="00FD09D5" w:rsidRDefault="00E63D0E" w:rsidP="00FD09D5">
      <w:pPr>
        <w:jc w:val="both"/>
        <w:rPr>
          <w:rFonts w:ascii="Times New Roman" w:hAnsi="Times New Roman" w:cs="Times New Roman"/>
          <w:sz w:val="24"/>
        </w:rPr>
      </w:pPr>
      <w:r w:rsidRPr="00FD09D5">
        <w:rPr>
          <w:rFonts w:ascii="Times New Roman" w:hAnsi="Times New Roman" w:cs="Times New Roman"/>
          <w:b/>
          <w:bCs/>
          <w:sz w:val="24"/>
        </w:rPr>
        <w:t xml:space="preserve">Supplementary Figure 11. </w:t>
      </w:r>
      <w:r w:rsidR="00230551" w:rsidRPr="00230551">
        <w:rPr>
          <w:rFonts w:ascii="Times New Roman" w:hAnsi="Times New Roman" w:cs="Times New Roman" w:hint="eastAsia"/>
          <w:b/>
          <w:bCs/>
          <w:sz w:val="24"/>
        </w:rPr>
        <w:t xml:space="preserve">IGV visualization to examine identified somatic mutations. </w:t>
      </w:r>
      <w:r w:rsidR="00230551" w:rsidRPr="00230551">
        <w:rPr>
          <w:rFonts w:ascii="Times New Roman" w:hAnsi="Times New Roman" w:cs="Times New Roman" w:hint="eastAsia"/>
          <w:sz w:val="24"/>
        </w:rPr>
        <w:t>Subfigures (A) and (B) represent two different somatic mutation sites</w:t>
      </w:r>
      <w:r w:rsidR="00230551">
        <w:rPr>
          <w:rFonts w:ascii="Times New Roman" w:hAnsi="Times New Roman" w:cs="Times New Roman" w:hint="eastAsia"/>
          <w:sz w:val="24"/>
        </w:rPr>
        <w:t xml:space="preserve">. </w:t>
      </w:r>
      <w:r w:rsidR="00230551" w:rsidRPr="00FD09D5">
        <w:rPr>
          <w:rFonts w:ascii="Times New Roman" w:hAnsi="Times New Roman" w:cs="Times New Roman"/>
          <w:sz w:val="24"/>
        </w:rPr>
        <w:t>In each sub</w:t>
      </w:r>
      <w:r w:rsidR="00230551">
        <w:rPr>
          <w:rFonts w:ascii="Times New Roman" w:hAnsi="Times New Roman" w:cs="Times New Roman" w:hint="eastAsia"/>
          <w:sz w:val="24"/>
        </w:rPr>
        <w:t>figure</w:t>
      </w:r>
      <w:r w:rsidRPr="00FD09D5">
        <w:rPr>
          <w:rFonts w:ascii="Times New Roman" w:hAnsi="Times New Roman" w:cs="Times New Roman"/>
          <w:sz w:val="24"/>
        </w:rPr>
        <w:t>, the coverage of reads that match and differ from the reference genome of five PN clones is shown, along with detailed reads for one sample without somatic mutation and one sample with somatic mutation.</w:t>
      </w:r>
    </w:p>
    <w:p w14:paraId="6D47CE19" w14:textId="0F76336A" w:rsidR="00E63D0E"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69504" behindDoc="0" locked="0" layoutInCell="1" allowOverlap="1" wp14:anchorId="72319445" wp14:editId="5483AFB6">
            <wp:simplePos x="0" y="0"/>
            <wp:positionH relativeFrom="column">
              <wp:posOffset>-1456</wp:posOffset>
            </wp:positionH>
            <wp:positionV relativeFrom="paragraph">
              <wp:posOffset>12793</wp:posOffset>
            </wp:positionV>
            <wp:extent cx="5269230" cy="7108825"/>
            <wp:effectExtent l="0" t="0" r="7620" b="0"/>
            <wp:wrapTopAndBottom/>
            <wp:docPr id="5057835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9230" cy="710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0E" w:rsidRPr="00FD09D5">
        <w:rPr>
          <w:rFonts w:ascii="Times New Roman" w:hAnsi="Times New Roman" w:cs="Times New Roman"/>
          <w:b/>
          <w:bCs/>
          <w:sz w:val="24"/>
        </w:rPr>
        <w:t xml:space="preserve">Supplementary Figure 12. </w:t>
      </w:r>
      <w:r w:rsidR="00230551" w:rsidRPr="00230551">
        <w:rPr>
          <w:rFonts w:ascii="Times New Roman" w:hAnsi="Times New Roman" w:cs="Times New Roman" w:hint="eastAsia"/>
          <w:b/>
          <w:bCs/>
          <w:sz w:val="24"/>
        </w:rPr>
        <w:t xml:space="preserve">IGV visualization to examine identified somatic mutations. </w:t>
      </w:r>
      <w:r w:rsidR="00230551" w:rsidRPr="00230551">
        <w:rPr>
          <w:rFonts w:ascii="Times New Roman" w:hAnsi="Times New Roman" w:cs="Times New Roman" w:hint="eastAsia"/>
          <w:sz w:val="24"/>
        </w:rPr>
        <w:t>Subfigures (A) and (B) represent two different somatic mutation sites</w:t>
      </w:r>
      <w:r w:rsidR="00230551">
        <w:rPr>
          <w:rFonts w:ascii="Times New Roman" w:hAnsi="Times New Roman" w:cs="Times New Roman" w:hint="eastAsia"/>
          <w:sz w:val="24"/>
        </w:rPr>
        <w:t xml:space="preserve">. </w:t>
      </w:r>
      <w:r w:rsidR="00230551" w:rsidRPr="00FD09D5">
        <w:rPr>
          <w:rFonts w:ascii="Times New Roman" w:hAnsi="Times New Roman" w:cs="Times New Roman"/>
          <w:sz w:val="24"/>
        </w:rPr>
        <w:t>In each sub</w:t>
      </w:r>
      <w:r w:rsidR="00230551">
        <w:rPr>
          <w:rFonts w:ascii="Times New Roman" w:hAnsi="Times New Roman" w:cs="Times New Roman" w:hint="eastAsia"/>
          <w:sz w:val="24"/>
        </w:rPr>
        <w:t>figure</w:t>
      </w:r>
      <w:r w:rsidR="00E63D0E" w:rsidRPr="00FD09D5">
        <w:rPr>
          <w:rFonts w:ascii="Times New Roman" w:hAnsi="Times New Roman" w:cs="Times New Roman"/>
          <w:sz w:val="24"/>
        </w:rPr>
        <w:t>, the coverage of reads that match and differ from the reference genome of five PN clones is shown, along with detailed reads for one sample without somatic mutation and one sample with somatic mutation.</w:t>
      </w:r>
    </w:p>
    <w:p w14:paraId="57301516" w14:textId="77777777" w:rsidR="00BC6129" w:rsidRPr="00FD09D5" w:rsidRDefault="00BC6129" w:rsidP="00FD09D5">
      <w:pPr>
        <w:jc w:val="both"/>
        <w:rPr>
          <w:rFonts w:ascii="Times New Roman" w:hAnsi="Times New Roman" w:cs="Times New Roman"/>
          <w:sz w:val="24"/>
        </w:rPr>
      </w:pPr>
    </w:p>
    <w:p w14:paraId="1B3FA10D" w14:textId="14C4B0BE" w:rsidR="00E63D0E"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70528" behindDoc="0" locked="0" layoutInCell="1" allowOverlap="1" wp14:anchorId="2C7E6089" wp14:editId="1B4194B1">
            <wp:simplePos x="0" y="0"/>
            <wp:positionH relativeFrom="column">
              <wp:posOffset>-1456</wp:posOffset>
            </wp:positionH>
            <wp:positionV relativeFrom="paragraph">
              <wp:posOffset>94332</wp:posOffset>
            </wp:positionV>
            <wp:extent cx="5274310" cy="7145020"/>
            <wp:effectExtent l="0" t="0" r="2540" b="0"/>
            <wp:wrapTopAndBottom/>
            <wp:docPr id="18630972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714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0E" w:rsidRPr="00FD09D5">
        <w:rPr>
          <w:rFonts w:ascii="Times New Roman" w:hAnsi="Times New Roman" w:cs="Times New Roman"/>
          <w:b/>
          <w:bCs/>
          <w:sz w:val="24"/>
        </w:rPr>
        <w:t xml:space="preserve">Supplementary Figure 13. </w:t>
      </w:r>
      <w:r w:rsidR="00230551" w:rsidRPr="00230551">
        <w:rPr>
          <w:rFonts w:ascii="Times New Roman" w:hAnsi="Times New Roman" w:cs="Times New Roman" w:hint="eastAsia"/>
          <w:b/>
          <w:bCs/>
          <w:sz w:val="24"/>
        </w:rPr>
        <w:t xml:space="preserve">IGV visualization to examine identified somatic mutations. </w:t>
      </w:r>
      <w:r w:rsidR="00230551" w:rsidRPr="00230551">
        <w:rPr>
          <w:rFonts w:ascii="Times New Roman" w:hAnsi="Times New Roman" w:cs="Times New Roman" w:hint="eastAsia"/>
          <w:sz w:val="24"/>
        </w:rPr>
        <w:t>Subfigures (A) and (B) represent two different somatic mutation sites</w:t>
      </w:r>
      <w:r w:rsidR="00230551">
        <w:rPr>
          <w:rFonts w:ascii="Times New Roman" w:hAnsi="Times New Roman" w:cs="Times New Roman" w:hint="eastAsia"/>
          <w:sz w:val="24"/>
        </w:rPr>
        <w:t xml:space="preserve">. </w:t>
      </w:r>
      <w:r w:rsidR="00230551" w:rsidRPr="00FD09D5">
        <w:rPr>
          <w:rFonts w:ascii="Times New Roman" w:hAnsi="Times New Roman" w:cs="Times New Roman"/>
          <w:sz w:val="24"/>
        </w:rPr>
        <w:t>In each sub</w:t>
      </w:r>
      <w:r w:rsidR="00230551">
        <w:rPr>
          <w:rFonts w:ascii="Times New Roman" w:hAnsi="Times New Roman" w:cs="Times New Roman" w:hint="eastAsia"/>
          <w:sz w:val="24"/>
        </w:rPr>
        <w:t>figure</w:t>
      </w:r>
      <w:r w:rsidR="00E63D0E" w:rsidRPr="00FD09D5">
        <w:rPr>
          <w:rFonts w:ascii="Times New Roman" w:hAnsi="Times New Roman" w:cs="Times New Roman"/>
          <w:sz w:val="24"/>
        </w:rPr>
        <w:t>, the coverage of reads that match and differ from the reference genome of five PN clones is shown, along with detailed reads for one sample without somatic mutation and one sample with somatic mutation.</w:t>
      </w:r>
    </w:p>
    <w:p w14:paraId="2ECA1D9C" w14:textId="77777777" w:rsidR="00BC6129" w:rsidRPr="00FD09D5" w:rsidRDefault="00BC6129" w:rsidP="00FD09D5">
      <w:pPr>
        <w:jc w:val="both"/>
        <w:rPr>
          <w:rFonts w:ascii="Times New Roman" w:hAnsi="Times New Roman" w:cs="Times New Roman"/>
          <w:sz w:val="24"/>
        </w:rPr>
      </w:pPr>
    </w:p>
    <w:p w14:paraId="3CD3C905" w14:textId="266DF160" w:rsidR="00E63D0E"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71552" behindDoc="0" locked="0" layoutInCell="1" allowOverlap="1" wp14:anchorId="74ADFB2C" wp14:editId="2816585C">
            <wp:simplePos x="0" y="0"/>
            <wp:positionH relativeFrom="column">
              <wp:posOffset>-1456</wp:posOffset>
            </wp:positionH>
            <wp:positionV relativeFrom="paragraph">
              <wp:posOffset>58242</wp:posOffset>
            </wp:positionV>
            <wp:extent cx="5274310" cy="7005320"/>
            <wp:effectExtent l="0" t="0" r="2540" b="5080"/>
            <wp:wrapTopAndBottom/>
            <wp:docPr id="3800167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700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D0E" w:rsidRPr="00FD09D5">
        <w:rPr>
          <w:rFonts w:ascii="Times New Roman" w:hAnsi="Times New Roman" w:cs="Times New Roman"/>
          <w:b/>
          <w:bCs/>
          <w:sz w:val="24"/>
        </w:rPr>
        <w:t xml:space="preserve">Supplementary Figure 14. </w:t>
      </w:r>
      <w:r w:rsidR="00230551" w:rsidRPr="00230551">
        <w:rPr>
          <w:rFonts w:ascii="Times New Roman" w:hAnsi="Times New Roman" w:cs="Times New Roman" w:hint="eastAsia"/>
          <w:b/>
          <w:bCs/>
          <w:sz w:val="24"/>
        </w:rPr>
        <w:t xml:space="preserve">IGV visualization to examine identified somatic mutations. </w:t>
      </w:r>
      <w:r w:rsidR="00230551" w:rsidRPr="00230551">
        <w:rPr>
          <w:rFonts w:ascii="Times New Roman" w:hAnsi="Times New Roman" w:cs="Times New Roman" w:hint="eastAsia"/>
          <w:sz w:val="24"/>
        </w:rPr>
        <w:t>Subfigures (A) and (B) represent two different somatic mutation sites</w:t>
      </w:r>
      <w:r w:rsidR="00230551">
        <w:rPr>
          <w:rFonts w:ascii="Times New Roman" w:hAnsi="Times New Roman" w:cs="Times New Roman" w:hint="eastAsia"/>
          <w:sz w:val="24"/>
        </w:rPr>
        <w:t xml:space="preserve">. </w:t>
      </w:r>
      <w:r w:rsidR="00230551" w:rsidRPr="00FD09D5">
        <w:rPr>
          <w:rFonts w:ascii="Times New Roman" w:hAnsi="Times New Roman" w:cs="Times New Roman"/>
          <w:sz w:val="24"/>
        </w:rPr>
        <w:t>In each sub</w:t>
      </w:r>
      <w:r w:rsidR="00230551">
        <w:rPr>
          <w:rFonts w:ascii="Times New Roman" w:hAnsi="Times New Roman" w:cs="Times New Roman" w:hint="eastAsia"/>
          <w:sz w:val="24"/>
        </w:rPr>
        <w:t>figure</w:t>
      </w:r>
      <w:r w:rsidR="00E63D0E" w:rsidRPr="00FD09D5">
        <w:rPr>
          <w:rFonts w:ascii="Times New Roman" w:hAnsi="Times New Roman" w:cs="Times New Roman"/>
          <w:sz w:val="24"/>
        </w:rPr>
        <w:t>, the coverage of reads that match and differ from the reference genome of five PN clones is shown, along with detailed reads for one sample without somatic mutation and one sample with somatic mutation.</w:t>
      </w:r>
    </w:p>
    <w:p w14:paraId="40A49C14" w14:textId="3591F169" w:rsidR="0048700D" w:rsidRDefault="0048700D" w:rsidP="00FD09D5">
      <w:pPr>
        <w:jc w:val="both"/>
        <w:rPr>
          <w:rFonts w:ascii="Times New Roman" w:hAnsi="Times New Roman" w:cs="Times New Roman"/>
          <w:sz w:val="24"/>
        </w:rPr>
      </w:pPr>
      <w:r>
        <w:rPr>
          <w:rFonts w:ascii="Times New Roman" w:hAnsi="Times New Roman" w:cs="Times New Roman"/>
          <w:sz w:val="24"/>
        </w:rPr>
        <w:br w:type="page"/>
      </w:r>
    </w:p>
    <w:p w14:paraId="3AE70E61" w14:textId="77777777" w:rsidR="00BC6129" w:rsidRPr="00FD09D5" w:rsidRDefault="00BC6129" w:rsidP="00FD09D5">
      <w:pPr>
        <w:jc w:val="both"/>
        <w:rPr>
          <w:rFonts w:ascii="Times New Roman" w:hAnsi="Times New Roman" w:cs="Times New Roman"/>
          <w:sz w:val="24"/>
        </w:rPr>
      </w:pPr>
    </w:p>
    <w:p w14:paraId="7373B102" w14:textId="77777777" w:rsidR="00BC6129" w:rsidRPr="00FD09D5" w:rsidRDefault="00BC6129" w:rsidP="00FD09D5">
      <w:pPr>
        <w:jc w:val="both"/>
        <w:rPr>
          <w:rFonts w:ascii="Times New Roman" w:hAnsi="Times New Roman" w:cs="Times New Roman"/>
          <w:sz w:val="24"/>
        </w:rPr>
      </w:pPr>
    </w:p>
    <w:p w14:paraId="1520FE78" w14:textId="14D3E7F6" w:rsidR="00BC6129"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72576" behindDoc="0" locked="0" layoutInCell="1" allowOverlap="1" wp14:anchorId="3A7D1C33" wp14:editId="2ABFA2C3">
            <wp:simplePos x="0" y="0"/>
            <wp:positionH relativeFrom="column">
              <wp:posOffset>-1456</wp:posOffset>
            </wp:positionH>
            <wp:positionV relativeFrom="paragraph">
              <wp:posOffset>13303</wp:posOffset>
            </wp:positionV>
            <wp:extent cx="5269230" cy="3533775"/>
            <wp:effectExtent l="0" t="0" r="7620" b="9525"/>
            <wp:wrapTopAndBottom/>
            <wp:docPr id="65573870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9230" cy="3533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Supplementary Figure 1</w:t>
      </w:r>
      <w:r w:rsidR="00475C91">
        <w:rPr>
          <w:rFonts w:ascii="Times New Roman" w:hAnsi="Times New Roman" w:cs="Times New Roman" w:hint="eastAsia"/>
          <w:b/>
          <w:bCs/>
          <w:sz w:val="24"/>
        </w:rPr>
        <w:t>5</w:t>
      </w:r>
      <w:r w:rsidR="00851E70" w:rsidRPr="00FD09D5">
        <w:rPr>
          <w:rFonts w:ascii="Times New Roman" w:hAnsi="Times New Roman" w:cs="Times New Roman"/>
          <w:b/>
          <w:bCs/>
          <w:sz w:val="24"/>
        </w:rPr>
        <w:t>. The distribution of PN-specific SNPs across the genome.</w:t>
      </w:r>
      <w:r w:rsidR="00851E70" w:rsidRPr="00FD09D5">
        <w:rPr>
          <w:rFonts w:ascii="Times New Roman" w:hAnsi="Times New Roman" w:cs="Times New Roman"/>
          <w:sz w:val="24"/>
        </w:rPr>
        <w:t xml:space="preserve"> Blue represents fixed SNPs, and red represents putative somatic mutations.</w:t>
      </w:r>
    </w:p>
    <w:p w14:paraId="7027CCB6" w14:textId="77777777" w:rsidR="00E63D0E" w:rsidRDefault="00E63D0E" w:rsidP="00FD09D5">
      <w:pPr>
        <w:jc w:val="both"/>
        <w:rPr>
          <w:rFonts w:ascii="Times New Roman" w:hAnsi="Times New Roman" w:cs="Times New Roman"/>
          <w:sz w:val="24"/>
        </w:rPr>
      </w:pPr>
    </w:p>
    <w:p w14:paraId="7754362C" w14:textId="0FB38A36" w:rsidR="00131C28" w:rsidRDefault="007E5595" w:rsidP="00FD09D5">
      <w:pPr>
        <w:jc w:val="both"/>
        <w:rPr>
          <w:rFonts w:ascii="Times New Roman" w:hAnsi="Times New Roman" w:cs="Times New Roman"/>
          <w:sz w:val="24"/>
        </w:rPr>
      </w:pPr>
      <w:r>
        <w:rPr>
          <w:rFonts w:ascii="Times New Roman" w:hAnsi="Times New Roman" w:cs="Times New Roman"/>
          <w:sz w:val="24"/>
        </w:rPr>
        <w:br/>
      </w:r>
      <w:r>
        <w:rPr>
          <w:rFonts w:ascii="Times New Roman" w:hAnsi="Times New Roman" w:cs="Times New Roman"/>
          <w:sz w:val="24"/>
        </w:rPr>
        <w:br/>
      </w:r>
      <w:r>
        <w:rPr>
          <w:rFonts w:ascii="Times New Roman" w:hAnsi="Times New Roman" w:cs="Times New Roman"/>
          <w:sz w:val="24"/>
        </w:rPr>
        <w:br/>
      </w:r>
    </w:p>
    <w:p w14:paraId="5F31DC89" w14:textId="77777777" w:rsidR="007E5595" w:rsidRDefault="007E5595" w:rsidP="00FD09D5">
      <w:pPr>
        <w:jc w:val="both"/>
        <w:rPr>
          <w:rFonts w:ascii="Times New Roman" w:hAnsi="Times New Roman" w:cs="Times New Roman"/>
          <w:sz w:val="24"/>
        </w:rPr>
      </w:pPr>
    </w:p>
    <w:p w14:paraId="1DF117B0" w14:textId="452687BD" w:rsidR="007E5595" w:rsidRDefault="007E5595">
      <w:pPr>
        <w:widowControl/>
        <w:rPr>
          <w:rFonts w:ascii="Times New Roman" w:hAnsi="Times New Roman" w:cs="Times New Roman"/>
          <w:sz w:val="24"/>
        </w:rPr>
      </w:pPr>
      <w:r>
        <w:rPr>
          <w:rFonts w:ascii="Times New Roman" w:hAnsi="Times New Roman" w:cs="Times New Roman"/>
          <w:sz w:val="24"/>
        </w:rPr>
        <w:br w:type="page"/>
      </w:r>
    </w:p>
    <w:p w14:paraId="72323E77" w14:textId="77777777" w:rsidR="007E5595" w:rsidRPr="00FD09D5" w:rsidRDefault="007E5595" w:rsidP="00FD09D5">
      <w:pPr>
        <w:jc w:val="both"/>
        <w:rPr>
          <w:rFonts w:ascii="Times New Roman" w:hAnsi="Times New Roman" w:cs="Times New Roman"/>
          <w:sz w:val="24"/>
        </w:rPr>
      </w:pPr>
    </w:p>
    <w:p w14:paraId="302361A6" w14:textId="00BD8A96" w:rsidR="007E559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73600" behindDoc="0" locked="0" layoutInCell="1" allowOverlap="1" wp14:anchorId="3E3B2193" wp14:editId="3ADB0E3A">
            <wp:simplePos x="0" y="0"/>
            <wp:positionH relativeFrom="column">
              <wp:posOffset>-1456</wp:posOffset>
            </wp:positionH>
            <wp:positionV relativeFrom="paragraph">
              <wp:posOffset>88508</wp:posOffset>
            </wp:positionV>
            <wp:extent cx="5269230" cy="2392045"/>
            <wp:effectExtent l="0" t="0" r="7620" b="8255"/>
            <wp:wrapTopAndBottom/>
            <wp:docPr id="3736501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9230" cy="239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Supplementary Figure 1</w:t>
      </w:r>
      <w:r w:rsidR="00475C91">
        <w:rPr>
          <w:rFonts w:ascii="Times New Roman" w:hAnsi="Times New Roman" w:cs="Times New Roman" w:hint="eastAsia"/>
          <w:b/>
          <w:bCs/>
          <w:sz w:val="24"/>
        </w:rPr>
        <w:t>6</w:t>
      </w:r>
      <w:r w:rsidR="00851E70" w:rsidRPr="00FD09D5">
        <w:rPr>
          <w:rFonts w:ascii="Times New Roman" w:hAnsi="Times New Roman" w:cs="Times New Roman"/>
          <w:b/>
          <w:bCs/>
          <w:sz w:val="24"/>
        </w:rPr>
        <w:t xml:space="preserve">. Genotypes of the SNPs on the SV located on chromosome 10. </w:t>
      </w:r>
      <w:r w:rsidR="00851E70" w:rsidRPr="00FD09D5">
        <w:rPr>
          <w:rFonts w:ascii="Times New Roman" w:hAnsi="Times New Roman" w:cs="Times New Roman"/>
          <w:sz w:val="24"/>
        </w:rPr>
        <w:t>The dashed line shows the range of SV.</w:t>
      </w:r>
    </w:p>
    <w:p w14:paraId="165CC568" w14:textId="77777777" w:rsidR="007E5595" w:rsidRDefault="007E5595">
      <w:pPr>
        <w:widowControl/>
        <w:rPr>
          <w:rFonts w:ascii="Times New Roman" w:hAnsi="Times New Roman" w:cs="Times New Roman"/>
          <w:sz w:val="24"/>
        </w:rPr>
      </w:pPr>
      <w:r>
        <w:rPr>
          <w:rFonts w:ascii="Times New Roman" w:hAnsi="Times New Roman" w:cs="Times New Roman"/>
          <w:sz w:val="24"/>
        </w:rPr>
        <w:br w:type="page"/>
      </w:r>
    </w:p>
    <w:p w14:paraId="34CD173A" w14:textId="3B00DD1B" w:rsidR="0048700D" w:rsidRDefault="0048700D" w:rsidP="00FD09D5">
      <w:pPr>
        <w:jc w:val="both"/>
        <w:rPr>
          <w:rFonts w:ascii="Times New Roman" w:hAnsi="Times New Roman" w:cs="Times New Roman"/>
          <w:noProof/>
          <w:sz w:val="24"/>
        </w:rPr>
      </w:pPr>
    </w:p>
    <w:p w14:paraId="291673CF" w14:textId="37060625" w:rsidR="00BC6129"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74624" behindDoc="0" locked="0" layoutInCell="1" allowOverlap="1" wp14:anchorId="6740BD0D" wp14:editId="58556143">
            <wp:simplePos x="0" y="0"/>
            <wp:positionH relativeFrom="column">
              <wp:posOffset>-1456</wp:posOffset>
            </wp:positionH>
            <wp:positionV relativeFrom="paragraph">
              <wp:posOffset>18617</wp:posOffset>
            </wp:positionV>
            <wp:extent cx="5269230" cy="4122420"/>
            <wp:effectExtent l="0" t="0" r="7620" b="0"/>
            <wp:wrapTopAndBottom/>
            <wp:docPr id="83324446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9230" cy="4122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Supplementary Figure 1</w:t>
      </w:r>
      <w:r w:rsidR="00475C91">
        <w:rPr>
          <w:rFonts w:ascii="Times New Roman" w:hAnsi="Times New Roman" w:cs="Times New Roman" w:hint="eastAsia"/>
          <w:b/>
          <w:bCs/>
          <w:sz w:val="24"/>
        </w:rPr>
        <w:t>7</w:t>
      </w:r>
      <w:r w:rsidR="00851E70" w:rsidRPr="00FD09D5">
        <w:rPr>
          <w:rFonts w:ascii="Times New Roman" w:hAnsi="Times New Roman" w:cs="Times New Roman"/>
          <w:b/>
          <w:bCs/>
          <w:sz w:val="24"/>
        </w:rPr>
        <w:t>. The nucleotide diversity (</w:t>
      </w:r>
      <w:r w:rsidR="00851E70" w:rsidRPr="00FD134B">
        <w:rPr>
          <w:rFonts w:ascii="Times New Roman" w:hAnsi="Times New Roman" w:cs="Times New Roman"/>
          <w:b/>
          <w:bCs/>
          <w:i/>
          <w:iCs/>
          <w:sz w:val="24"/>
        </w:rPr>
        <w:t>π</w:t>
      </w:r>
      <w:r w:rsidR="00851E70" w:rsidRPr="00FD09D5">
        <w:rPr>
          <w:rFonts w:ascii="Times New Roman" w:hAnsi="Times New Roman" w:cs="Times New Roman"/>
          <w:b/>
          <w:bCs/>
          <w:sz w:val="24"/>
        </w:rPr>
        <w:t xml:space="preserve">) value for each group. </w:t>
      </w:r>
      <w:r w:rsidR="00BD2756" w:rsidRPr="00BD2756">
        <w:rPr>
          <w:rFonts w:ascii="Times New Roman" w:hAnsi="Times New Roman" w:cs="Times New Roman" w:hint="eastAsia"/>
          <w:sz w:val="24"/>
        </w:rPr>
        <w:t xml:space="preserve">The sample sizes for each group, from left to right, are as follows: </w:t>
      </w:r>
      <w:r w:rsidR="00BD2756">
        <w:rPr>
          <w:rFonts w:ascii="Times New Roman" w:hAnsi="Times New Roman" w:cs="Times New Roman" w:hint="eastAsia"/>
          <w:sz w:val="24"/>
        </w:rPr>
        <w:t>4783</w:t>
      </w:r>
      <w:r w:rsidR="00BD2756" w:rsidRPr="00BD2756">
        <w:rPr>
          <w:rFonts w:ascii="Times New Roman" w:hAnsi="Times New Roman" w:cs="Times New Roman" w:hint="eastAsia"/>
          <w:sz w:val="24"/>
        </w:rPr>
        <w:t xml:space="preserve">, </w:t>
      </w:r>
      <w:r w:rsidR="00BD2756">
        <w:rPr>
          <w:rFonts w:ascii="Times New Roman" w:hAnsi="Times New Roman" w:cs="Times New Roman" w:hint="eastAsia"/>
          <w:sz w:val="24"/>
        </w:rPr>
        <w:t>4787</w:t>
      </w:r>
      <w:r w:rsidR="00BD2756" w:rsidRPr="00BD2756">
        <w:rPr>
          <w:rFonts w:ascii="Times New Roman" w:hAnsi="Times New Roman" w:cs="Times New Roman" w:hint="eastAsia"/>
          <w:sz w:val="24"/>
        </w:rPr>
        <w:t xml:space="preserve">, </w:t>
      </w:r>
      <w:r w:rsidR="00BD2756">
        <w:rPr>
          <w:rFonts w:ascii="Times New Roman" w:hAnsi="Times New Roman" w:cs="Times New Roman" w:hint="eastAsia"/>
          <w:sz w:val="24"/>
        </w:rPr>
        <w:t>4782</w:t>
      </w:r>
      <w:r w:rsidR="00BD2756" w:rsidRPr="00BD2756">
        <w:rPr>
          <w:rFonts w:ascii="Times New Roman" w:hAnsi="Times New Roman" w:cs="Times New Roman" w:hint="eastAsia"/>
          <w:sz w:val="24"/>
        </w:rPr>
        <w:t xml:space="preserve">, </w:t>
      </w:r>
      <w:r w:rsidR="00BD2756">
        <w:rPr>
          <w:rFonts w:ascii="Times New Roman" w:hAnsi="Times New Roman" w:cs="Times New Roman" w:hint="eastAsia"/>
          <w:sz w:val="24"/>
        </w:rPr>
        <w:t>4779</w:t>
      </w:r>
      <w:r w:rsidR="00BD2756" w:rsidRPr="00BD2756">
        <w:rPr>
          <w:rFonts w:ascii="Times New Roman" w:hAnsi="Times New Roman" w:cs="Times New Roman" w:hint="eastAsia"/>
          <w:sz w:val="24"/>
        </w:rPr>
        <w:t>, 4</w:t>
      </w:r>
      <w:r w:rsidR="00BD2756">
        <w:rPr>
          <w:rFonts w:ascii="Times New Roman" w:hAnsi="Times New Roman" w:cs="Times New Roman" w:hint="eastAsia"/>
          <w:sz w:val="24"/>
        </w:rPr>
        <w:t>782</w:t>
      </w:r>
      <w:r w:rsidR="00BD2756" w:rsidRPr="00BD2756">
        <w:rPr>
          <w:rFonts w:ascii="Times New Roman" w:hAnsi="Times New Roman" w:cs="Times New Roman" w:hint="eastAsia"/>
          <w:sz w:val="24"/>
        </w:rPr>
        <w:t xml:space="preserve">, </w:t>
      </w:r>
      <w:r w:rsidR="00BD2756">
        <w:rPr>
          <w:rFonts w:ascii="Times New Roman" w:hAnsi="Times New Roman" w:cs="Times New Roman" w:hint="eastAsia"/>
          <w:sz w:val="24"/>
        </w:rPr>
        <w:t>4773</w:t>
      </w:r>
      <w:r w:rsidR="00BD2756" w:rsidRPr="00BD2756">
        <w:rPr>
          <w:rFonts w:ascii="Times New Roman" w:hAnsi="Times New Roman" w:cs="Times New Roman" w:hint="eastAsia"/>
          <w:sz w:val="24"/>
        </w:rPr>
        <w:t xml:space="preserve">, </w:t>
      </w:r>
      <w:r w:rsidR="00BD2756">
        <w:rPr>
          <w:rFonts w:ascii="Times New Roman" w:hAnsi="Times New Roman" w:cs="Times New Roman" w:hint="eastAsia"/>
          <w:sz w:val="24"/>
        </w:rPr>
        <w:t>4777</w:t>
      </w:r>
      <w:r w:rsidR="00BD2756" w:rsidRPr="00BD2756">
        <w:rPr>
          <w:rFonts w:ascii="Times New Roman" w:hAnsi="Times New Roman" w:cs="Times New Roman" w:hint="eastAsia"/>
          <w:sz w:val="24"/>
        </w:rPr>
        <w:t xml:space="preserve">, </w:t>
      </w:r>
      <w:r w:rsidR="00BD2756">
        <w:rPr>
          <w:rFonts w:ascii="Times New Roman" w:hAnsi="Times New Roman" w:cs="Times New Roman" w:hint="eastAsia"/>
          <w:sz w:val="24"/>
        </w:rPr>
        <w:t>4742</w:t>
      </w:r>
      <w:r w:rsidR="00BD2756" w:rsidRPr="00BD2756">
        <w:rPr>
          <w:rFonts w:ascii="Times New Roman" w:hAnsi="Times New Roman" w:cs="Times New Roman" w:hint="eastAsia"/>
          <w:sz w:val="24"/>
        </w:rPr>
        <w:t xml:space="preserve">, and </w:t>
      </w:r>
      <w:r w:rsidR="00BD2756">
        <w:rPr>
          <w:rFonts w:ascii="Times New Roman" w:hAnsi="Times New Roman" w:cs="Times New Roman" w:hint="eastAsia"/>
          <w:sz w:val="24"/>
        </w:rPr>
        <w:t>2027</w:t>
      </w:r>
      <w:r w:rsidR="00BD2756" w:rsidRPr="00BD2756">
        <w:rPr>
          <w:rFonts w:ascii="Times New Roman" w:hAnsi="Times New Roman" w:cs="Times New Roman" w:hint="eastAsia"/>
          <w:sz w:val="24"/>
        </w:rPr>
        <w:t xml:space="preserve">. </w:t>
      </w:r>
      <w:r w:rsidR="00FD134B" w:rsidRPr="00FD134B">
        <w:rPr>
          <w:rFonts w:ascii="Times New Roman" w:hAnsi="Times New Roman" w:cs="Times New Roman" w:hint="eastAsia"/>
          <w:sz w:val="24"/>
        </w:rPr>
        <w:t>The two-sided Least Significant Difference (LSD) test was used for statistical analysis to compare each group; groups sharing the same letter are not significantly different (</w:t>
      </w:r>
      <w:r w:rsidR="00FD134B" w:rsidRPr="00FD134B">
        <w:rPr>
          <w:rFonts w:ascii="Times New Roman" w:hAnsi="Times New Roman" w:cs="Times New Roman" w:hint="eastAsia"/>
          <w:i/>
          <w:iCs/>
          <w:sz w:val="24"/>
        </w:rPr>
        <w:t>P</w:t>
      </w:r>
      <w:r w:rsidR="00FD134B" w:rsidRPr="00FD134B">
        <w:rPr>
          <w:rFonts w:ascii="Times New Roman" w:hAnsi="Times New Roman" w:cs="Times New Roman" w:hint="eastAsia"/>
          <w:sz w:val="24"/>
        </w:rPr>
        <w:t xml:space="preserve"> &lt; 0.05).</w:t>
      </w:r>
      <w:r w:rsidR="003D4CAD">
        <w:rPr>
          <w:rFonts w:ascii="Times New Roman" w:hAnsi="Times New Roman" w:cs="Times New Roman" w:hint="eastAsia"/>
          <w:sz w:val="24"/>
        </w:rPr>
        <w:t xml:space="preserve"> </w:t>
      </w:r>
      <w:r w:rsidR="003D4CAD" w:rsidRPr="003D4CAD">
        <w:rPr>
          <w:rFonts w:ascii="Times New Roman" w:hAnsi="Times New Roman" w:cs="Times New Roman" w:hint="eastAsia"/>
          <w:sz w:val="24"/>
        </w:rPr>
        <w:t>Source data are provided as a Source Data file.</w:t>
      </w:r>
    </w:p>
    <w:p w14:paraId="1D264B0A" w14:textId="2FF32DCF" w:rsidR="0048700D" w:rsidRDefault="00BC6129" w:rsidP="00FD09D5">
      <w:pPr>
        <w:jc w:val="both"/>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75648" behindDoc="0" locked="0" layoutInCell="1" allowOverlap="1" wp14:anchorId="5FFF9CCE" wp14:editId="2DF73382">
            <wp:simplePos x="0" y="0"/>
            <wp:positionH relativeFrom="column">
              <wp:posOffset>-1456</wp:posOffset>
            </wp:positionH>
            <wp:positionV relativeFrom="paragraph">
              <wp:posOffset>64066</wp:posOffset>
            </wp:positionV>
            <wp:extent cx="5269230" cy="4225925"/>
            <wp:effectExtent l="0" t="0" r="7620" b="3175"/>
            <wp:wrapTopAndBottom/>
            <wp:docPr id="12271335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9230" cy="422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Supplementary Figure 1</w:t>
      </w:r>
      <w:r w:rsidR="00475C91">
        <w:rPr>
          <w:rFonts w:ascii="Times New Roman" w:hAnsi="Times New Roman" w:cs="Times New Roman" w:hint="eastAsia"/>
          <w:b/>
          <w:bCs/>
          <w:sz w:val="24"/>
        </w:rPr>
        <w:t>8</w:t>
      </w:r>
      <w:r w:rsidR="00851E70" w:rsidRPr="00FD09D5">
        <w:rPr>
          <w:rFonts w:ascii="Times New Roman" w:hAnsi="Times New Roman" w:cs="Times New Roman"/>
          <w:b/>
          <w:bCs/>
          <w:sz w:val="24"/>
        </w:rPr>
        <w:t>. Heterozygosity of the nine populations.</w:t>
      </w:r>
      <w:r w:rsidR="00851E70" w:rsidRPr="00FD09D5">
        <w:rPr>
          <w:rFonts w:ascii="Times New Roman" w:hAnsi="Times New Roman" w:cs="Times New Roman"/>
          <w:sz w:val="24"/>
        </w:rPr>
        <w:t xml:space="preserve"> The number of heterozygous sites in each sample was divided by the total number of SNPs to calculate the heterozygosity of each sample. </w:t>
      </w:r>
      <w:r w:rsidR="00BD2756" w:rsidRPr="00BD2756">
        <w:rPr>
          <w:rFonts w:ascii="Times New Roman" w:hAnsi="Times New Roman" w:cs="Times New Roman" w:hint="eastAsia"/>
          <w:sz w:val="24"/>
        </w:rPr>
        <w:t xml:space="preserve">The sample sizes for each group, from left to right, are as follows: 10, 10, 18, </w:t>
      </w:r>
      <w:r w:rsidR="00BD2756">
        <w:rPr>
          <w:rFonts w:ascii="Times New Roman" w:hAnsi="Times New Roman" w:cs="Times New Roman" w:hint="eastAsia"/>
          <w:sz w:val="24"/>
        </w:rPr>
        <w:t>4</w:t>
      </w:r>
      <w:r w:rsidR="00BD2756" w:rsidRPr="00BD2756">
        <w:rPr>
          <w:rFonts w:ascii="Times New Roman" w:hAnsi="Times New Roman" w:cs="Times New Roman" w:hint="eastAsia"/>
          <w:sz w:val="24"/>
        </w:rPr>
        <w:t xml:space="preserve">, </w:t>
      </w:r>
      <w:r w:rsidR="00BD2756">
        <w:rPr>
          <w:rFonts w:ascii="Times New Roman" w:hAnsi="Times New Roman" w:cs="Times New Roman" w:hint="eastAsia"/>
          <w:sz w:val="24"/>
        </w:rPr>
        <w:t>5</w:t>
      </w:r>
      <w:r w:rsidR="00BD2756" w:rsidRPr="00BD2756">
        <w:rPr>
          <w:rFonts w:ascii="Times New Roman" w:hAnsi="Times New Roman" w:cs="Times New Roman" w:hint="eastAsia"/>
          <w:sz w:val="24"/>
        </w:rPr>
        <w:t xml:space="preserve">, 10, 2, 2, and 4. </w:t>
      </w:r>
      <w:r w:rsidR="00FD134B" w:rsidRPr="00FD134B">
        <w:rPr>
          <w:rFonts w:ascii="Times New Roman" w:hAnsi="Times New Roman" w:cs="Times New Roman" w:hint="eastAsia"/>
          <w:sz w:val="24"/>
        </w:rPr>
        <w:t>The two-sided LSD test was used for statistical analysis to compare each group; groups sharing the same letter are not significantly different (</w:t>
      </w:r>
      <w:r w:rsidR="00FD134B" w:rsidRPr="00FD134B">
        <w:rPr>
          <w:rFonts w:ascii="Times New Roman" w:hAnsi="Times New Roman" w:cs="Times New Roman" w:hint="eastAsia"/>
          <w:i/>
          <w:iCs/>
          <w:sz w:val="24"/>
        </w:rPr>
        <w:t>P</w:t>
      </w:r>
      <w:r w:rsidR="00FD134B" w:rsidRPr="00FD134B">
        <w:rPr>
          <w:rFonts w:ascii="Times New Roman" w:hAnsi="Times New Roman" w:cs="Times New Roman" w:hint="eastAsia"/>
          <w:sz w:val="24"/>
        </w:rPr>
        <w:t xml:space="preserve"> &lt; 0.05).</w:t>
      </w:r>
      <w:r w:rsidR="003D4CAD">
        <w:rPr>
          <w:rFonts w:ascii="Times New Roman" w:hAnsi="Times New Roman" w:cs="Times New Roman" w:hint="eastAsia"/>
          <w:sz w:val="24"/>
        </w:rPr>
        <w:t xml:space="preserve"> </w:t>
      </w:r>
      <w:r w:rsidR="003D4CAD" w:rsidRPr="003D4CAD">
        <w:rPr>
          <w:rFonts w:ascii="Times New Roman" w:hAnsi="Times New Roman" w:cs="Times New Roman" w:hint="eastAsia"/>
          <w:sz w:val="24"/>
        </w:rPr>
        <w:t>Source data are provided as a Source Data file.</w:t>
      </w:r>
      <w:r w:rsidR="0048700D">
        <w:rPr>
          <w:rFonts w:ascii="Times New Roman" w:hAnsi="Times New Roman" w:cs="Times New Roman"/>
          <w:sz w:val="24"/>
        </w:rPr>
        <w:br w:type="page"/>
      </w:r>
    </w:p>
    <w:p w14:paraId="2D8E5C5B" w14:textId="77777777" w:rsidR="00BC6129" w:rsidRPr="00FD09D5" w:rsidRDefault="00BC6129" w:rsidP="00FD09D5">
      <w:pPr>
        <w:jc w:val="both"/>
        <w:rPr>
          <w:rFonts w:ascii="Times New Roman" w:hAnsi="Times New Roman" w:cs="Times New Roman"/>
          <w:sz w:val="24"/>
        </w:rPr>
      </w:pPr>
    </w:p>
    <w:p w14:paraId="1CFBAEE0" w14:textId="77777777" w:rsidR="00851E70" w:rsidRPr="00FD09D5" w:rsidRDefault="00851E70" w:rsidP="00FD09D5">
      <w:pPr>
        <w:jc w:val="both"/>
        <w:rPr>
          <w:rFonts w:ascii="Times New Roman" w:hAnsi="Times New Roman" w:cs="Times New Roman"/>
          <w:sz w:val="24"/>
        </w:rPr>
      </w:pPr>
    </w:p>
    <w:p w14:paraId="6CF685AE" w14:textId="139C3565" w:rsidR="007E559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76672" behindDoc="0" locked="0" layoutInCell="1" allowOverlap="1" wp14:anchorId="283E0339" wp14:editId="3D326AA6">
            <wp:simplePos x="0" y="0"/>
            <wp:positionH relativeFrom="column">
              <wp:posOffset>-1456</wp:posOffset>
            </wp:positionH>
            <wp:positionV relativeFrom="paragraph">
              <wp:posOffset>1654</wp:posOffset>
            </wp:positionV>
            <wp:extent cx="5269230" cy="3156585"/>
            <wp:effectExtent l="0" t="0" r="7620" b="5715"/>
            <wp:wrapTopAndBottom/>
            <wp:docPr id="140694800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9230" cy="3156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E70" w:rsidRPr="00FD09D5">
        <w:rPr>
          <w:rFonts w:ascii="Times New Roman" w:hAnsi="Times New Roman" w:cs="Times New Roman"/>
          <w:b/>
          <w:bCs/>
          <w:sz w:val="24"/>
        </w:rPr>
        <w:t>Supplementary Figure 1</w:t>
      </w:r>
      <w:r w:rsidR="00475C91">
        <w:rPr>
          <w:rFonts w:ascii="Times New Roman" w:hAnsi="Times New Roman" w:cs="Times New Roman" w:hint="eastAsia"/>
          <w:b/>
          <w:bCs/>
          <w:sz w:val="24"/>
        </w:rPr>
        <w:t>9</w:t>
      </w:r>
      <w:r w:rsidR="00851E70" w:rsidRPr="00FD09D5">
        <w:rPr>
          <w:rFonts w:ascii="Times New Roman" w:hAnsi="Times New Roman" w:cs="Times New Roman"/>
          <w:b/>
          <w:bCs/>
          <w:sz w:val="24"/>
        </w:rPr>
        <w:t>. The genetic burden of d SNPs unshared within each group.</w:t>
      </w:r>
      <w:r w:rsidR="00851E70" w:rsidRPr="00FD09D5">
        <w:rPr>
          <w:rFonts w:ascii="Times New Roman" w:hAnsi="Times New Roman" w:cs="Times New Roman"/>
          <w:sz w:val="24"/>
        </w:rPr>
        <w:t xml:space="preserve"> The dots indicate individuals. </w:t>
      </w:r>
      <w:r w:rsidR="004E7EA0" w:rsidRPr="004E7EA0">
        <w:rPr>
          <w:rFonts w:ascii="Times New Roman" w:hAnsi="Times New Roman" w:cs="Times New Roman" w:hint="eastAsia"/>
          <w:sz w:val="24"/>
        </w:rPr>
        <w:t xml:space="preserve">The sample sizes for each group, from left to right, are as follows: 10, 10, 18, 5, 4, 10, 2, 2, and 4. </w:t>
      </w:r>
      <w:r w:rsidR="00851E70" w:rsidRPr="00FD09D5">
        <w:rPr>
          <w:rFonts w:ascii="Times New Roman" w:hAnsi="Times New Roman" w:cs="Times New Roman"/>
          <w:sz w:val="24"/>
        </w:rPr>
        <w:t>All data are presented as mean</w:t>
      </w:r>
      <w:r w:rsidR="00FD09D5">
        <w:rPr>
          <w:rFonts w:ascii="Times New Roman" w:hAnsi="Times New Roman" w:cs="Times New Roman" w:hint="eastAsia"/>
          <w:sz w:val="24"/>
        </w:rPr>
        <w:t xml:space="preserve"> </w:t>
      </w:r>
      <w:r w:rsidR="00851E70" w:rsidRPr="00FD09D5">
        <w:rPr>
          <w:rFonts w:ascii="Times New Roman" w:hAnsi="Times New Roman" w:cs="Times New Roman"/>
          <w:sz w:val="24"/>
        </w:rPr>
        <w:t>±</w:t>
      </w:r>
      <w:r w:rsidR="00FD09D5">
        <w:rPr>
          <w:rFonts w:ascii="Times New Roman" w:hAnsi="Times New Roman" w:cs="Times New Roman" w:hint="eastAsia"/>
          <w:sz w:val="24"/>
        </w:rPr>
        <w:t xml:space="preserve"> </w:t>
      </w:r>
      <w:r w:rsidR="00851E70" w:rsidRPr="00FD09D5">
        <w:rPr>
          <w:rFonts w:ascii="Times New Roman" w:hAnsi="Times New Roman" w:cs="Times New Roman"/>
          <w:sz w:val="24"/>
        </w:rPr>
        <w:t xml:space="preserve">SD for each group. </w:t>
      </w:r>
      <w:r w:rsidR="00725C39" w:rsidRPr="00FD134B">
        <w:rPr>
          <w:rFonts w:ascii="Times New Roman" w:hAnsi="Times New Roman" w:cs="Times New Roman" w:hint="eastAsia"/>
          <w:sz w:val="24"/>
        </w:rPr>
        <w:t>The two-sided LSD test was used for statistical analysis to compare each group; groups sharing the same letter are not significantly different (</w:t>
      </w:r>
      <w:r w:rsidR="00725C39" w:rsidRPr="00FD134B">
        <w:rPr>
          <w:rFonts w:ascii="Times New Roman" w:hAnsi="Times New Roman" w:cs="Times New Roman" w:hint="eastAsia"/>
          <w:i/>
          <w:iCs/>
          <w:sz w:val="24"/>
        </w:rPr>
        <w:t>P</w:t>
      </w:r>
      <w:r w:rsidR="00725C39" w:rsidRPr="00FD134B">
        <w:rPr>
          <w:rFonts w:ascii="Times New Roman" w:hAnsi="Times New Roman" w:cs="Times New Roman" w:hint="eastAsia"/>
          <w:sz w:val="24"/>
        </w:rPr>
        <w:t xml:space="preserve"> &lt; 0.05)</w:t>
      </w:r>
      <w:r w:rsidR="00851E70" w:rsidRPr="00FD09D5">
        <w:rPr>
          <w:rFonts w:ascii="Times New Roman" w:hAnsi="Times New Roman" w:cs="Times New Roman"/>
          <w:sz w:val="24"/>
        </w:rPr>
        <w:t>.</w:t>
      </w:r>
    </w:p>
    <w:p w14:paraId="3EC7F4EA" w14:textId="77777777" w:rsidR="007E5595" w:rsidRDefault="007E5595">
      <w:pPr>
        <w:widowControl/>
        <w:rPr>
          <w:rFonts w:ascii="Times New Roman" w:hAnsi="Times New Roman" w:cs="Times New Roman"/>
          <w:sz w:val="24"/>
        </w:rPr>
      </w:pPr>
      <w:r>
        <w:rPr>
          <w:rFonts w:ascii="Times New Roman" w:hAnsi="Times New Roman" w:cs="Times New Roman"/>
          <w:sz w:val="24"/>
        </w:rPr>
        <w:br w:type="page"/>
      </w:r>
    </w:p>
    <w:p w14:paraId="0E7B4146" w14:textId="77777777" w:rsidR="00BC6129" w:rsidRDefault="00BC6129" w:rsidP="00FD09D5">
      <w:pPr>
        <w:jc w:val="both"/>
        <w:rPr>
          <w:rFonts w:ascii="Times New Roman" w:hAnsi="Times New Roman" w:cs="Times New Roman"/>
          <w:sz w:val="24"/>
        </w:rPr>
      </w:pPr>
    </w:p>
    <w:p w14:paraId="7D8E45E9" w14:textId="77777777" w:rsidR="00131C28" w:rsidRPr="00FD09D5" w:rsidRDefault="00131C28" w:rsidP="00FD09D5">
      <w:pPr>
        <w:jc w:val="both"/>
        <w:rPr>
          <w:rFonts w:ascii="Times New Roman" w:hAnsi="Times New Roman" w:cs="Times New Roman"/>
          <w:sz w:val="24"/>
        </w:rPr>
      </w:pPr>
    </w:p>
    <w:p w14:paraId="2D27EE9A" w14:textId="3C4AF71E" w:rsidR="00A14002" w:rsidRDefault="00A14002"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77696" behindDoc="0" locked="0" layoutInCell="1" allowOverlap="1" wp14:anchorId="1B1CFCFE" wp14:editId="5504ADA7">
            <wp:simplePos x="0" y="0"/>
            <wp:positionH relativeFrom="column">
              <wp:posOffset>-1456</wp:posOffset>
            </wp:positionH>
            <wp:positionV relativeFrom="paragraph">
              <wp:posOffset>54072</wp:posOffset>
            </wp:positionV>
            <wp:extent cx="5269230" cy="3063240"/>
            <wp:effectExtent l="0" t="0" r="7620" b="3810"/>
            <wp:wrapTopAndBottom/>
            <wp:docPr id="64744873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9230" cy="3063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20</w:t>
      </w:r>
      <w:r w:rsidRPr="00FD09D5">
        <w:rPr>
          <w:rFonts w:ascii="Times New Roman" w:hAnsi="Times New Roman" w:cs="Times New Roman"/>
          <w:b/>
          <w:bCs/>
          <w:sz w:val="24"/>
        </w:rPr>
        <w:t>. The genetic burden of SVs unshared within each group.</w:t>
      </w:r>
      <w:r w:rsidRPr="00FD09D5">
        <w:rPr>
          <w:rFonts w:ascii="Times New Roman" w:hAnsi="Times New Roman" w:cs="Times New Roman"/>
          <w:sz w:val="24"/>
        </w:rPr>
        <w:t xml:space="preserve"> The dots indicate individuals. </w:t>
      </w:r>
      <w:r w:rsidR="004E7EA0" w:rsidRPr="004E7EA0">
        <w:rPr>
          <w:rFonts w:ascii="Times New Roman" w:hAnsi="Times New Roman" w:cs="Times New Roman" w:hint="eastAsia"/>
          <w:sz w:val="24"/>
        </w:rPr>
        <w:t xml:space="preserve">The sample sizes for each group, from left to right, are as follows: 10, 10, 18, 5, 4, 10, 2, 2, and 4. </w:t>
      </w:r>
      <w:r w:rsidRPr="00FD09D5">
        <w:rPr>
          <w:rFonts w:ascii="Times New Roman" w:hAnsi="Times New Roman" w:cs="Times New Roman"/>
          <w:sz w:val="24"/>
        </w:rPr>
        <w:t xml:space="preserve">All data are presented as mean ± SD for each group. </w:t>
      </w:r>
      <w:r w:rsidR="00725C39" w:rsidRPr="00FD134B">
        <w:rPr>
          <w:rFonts w:ascii="Times New Roman" w:hAnsi="Times New Roman" w:cs="Times New Roman" w:hint="eastAsia"/>
          <w:sz w:val="24"/>
        </w:rPr>
        <w:t>The two-sided LSD test was used for statistical analysis to compare each group; groups sharing the same letter are not significantly different (</w:t>
      </w:r>
      <w:r w:rsidR="00725C39" w:rsidRPr="00FD134B">
        <w:rPr>
          <w:rFonts w:ascii="Times New Roman" w:hAnsi="Times New Roman" w:cs="Times New Roman" w:hint="eastAsia"/>
          <w:i/>
          <w:iCs/>
          <w:sz w:val="24"/>
        </w:rPr>
        <w:t>P</w:t>
      </w:r>
      <w:r w:rsidR="00725C39" w:rsidRPr="00FD134B">
        <w:rPr>
          <w:rFonts w:ascii="Times New Roman" w:hAnsi="Times New Roman" w:cs="Times New Roman" w:hint="eastAsia"/>
          <w:sz w:val="24"/>
        </w:rPr>
        <w:t xml:space="preserve"> &lt; 0.05)</w:t>
      </w:r>
      <w:r w:rsidRPr="00FD09D5">
        <w:rPr>
          <w:rFonts w:ascii="Times New Roman" w:hAnsi="Times New Roman" w:cs="Times New Roman"/>
          <w:sz w:val="24"/>
        </w:rPr>
        <w:t>.</w:t>
      </w:r>
    </w:p>
    <w:p w14:paraId="2F1F1ACA" w14:textId="180B8BC7" w:rsidR="007E5595" w:rsidRDefault="007E5595">
      <w:pPr>
        <w:widowControl/>
        <w:rPr>
          <w:rFonts w:ascii="Times New Roman" w:hAnsi="Times New Roman" w:cs="Times New Roman"/>
          <w:sz w:val="24"/>
        </w:rPr>
      </w:pPr>
      <w:r>
        <w:rPr>
          <w:rFonts w:ascii="Times New Roman" w:hAnsi="Times New Roman" w:cs="Times New Roman"/>
          <w:sz w:val="24"/>
        </w:rPr>
        <w:br w:type="page"/>
      </w:r>
    </w:p>
    <w:p w14:paraId="3ABDB77A" w14:textId="77777777" w:rsidR="00131C28" w:rsidRPr="00FD09D5" w:rsidRDefault="00131C28" w:rsidP="00FD09D5">
      <w:pPr>
        <w:jc w:val="both"/>
        <w:rPr>
          <w:rFonts w:ascii="Times New Roman" w:hAnsi="Times New Roman" w:cs="Times New Roman"/>
          <w:sz w:val="24"/>
        </w:rPr>
      </w:pPr>
    </w:p>
    <w:p w14:paraId="3BE14E07" w14:textId="0705F428" w:rsidR="00BC6129"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78720" behindDoc="0" locked="0" layoutInCell="1" allowOverlap="1" wp14:anchorId="08D88119" wp14:editId="27EE963A">
            <wp:simplePos x="0" y="0"/>
            <wp:positionH relativeFrom="column">
              <wp:posOffset>1318260</wp:posOffset>
            </wp:positionH>
            <wp:positionV relativeFrom="paragraph">
              <wp:posOffset>-1287780</wp:posOffset>
            </wp:positionV>
            <wp:extent cx="2712720" cy="5356860"/>
            <wp:effectExtent l="0" t="7620" r="3810" b="3810"/>
            <wp:wrapTopAndBottom/>
            <wp:docPr id="12222930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712720" cy="535686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002"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21</w:t>
      </w:r>
      <w:r w:rsidR="00A14002" w:rsidRPr="00FD09D5">
        <w:rPr>
          <w:rFonts w:ascii="Times New Roman" w:hAnsi="Times New Roman" w:cs="Times New Roman"/>
          <w:b/>
          <w:bCs/>
          <w:sz w:val="24"/>
        </w:rPr>
        <w:t>. The distribution of PN- or SG-specific markers on HE.</w:t>
      </w:r>
      <w:r w:rsidR="00A14002" w:rsidRPr="00FD09D5">
        <w:rPr>
          <w:rFonts w:ascii="Times New Roman" w:hAnsi="Times New Roman" w:cs="Times New Roman"/>
          <w:sz w:val="24"/>
        </w:rPr>
        <w:t xml:space="preserve"> The black box indicates the heterozygous region on PN40024.</w:t>
      </w:r>
    </w:p>
    <w:p w14:paraId="0CAB630F" w14:textId="77777777" w:rsidR="00BC6129" w:rsidRDefault="00BC6129" w:rsidP="00FD09D5">
      <w:pPr>
        <w:jc w:val="both"/>
        <w:rPr>
          <w:rFonts w:ascii="Times New Roman" w:hAnsi="Times New Roman" w:cs="Times New Roman"/>
          <w:sz w:val="24"/>
        </w:rPr>
      </w:pPr>
    </w:p>
    <w:p w14:paraId="4AC0739D" w14:textId="66FDF4BC" w:rsidR="007E5595" w:rsidRDefault="007E5595">
      <w:pPr>
        <w:widowControl/>
        <w:rPr>
          <w:rFonts w:ascii="Times New Roman" w:hAnsi="Times New Roman" w:cs="Times New Roman"/>
          <w:sz w:val="24"/>
        </w:rPr>
      </w:pPr>
      <w:r>
        <w:rPr>
          <w:rFonts w:ascii="Times New Roman" w:hAnsi="Times New Roman" w:cs="Times New Roman"/>
          <w:sz w:val="24"/>
        </w:rPr>
        <w:br w:type="page"/>
      </w:r>
    </w:p>
    <w:p w14:paraId="37A2B587" w14:textId="77777777" w:rsidR="00131C28" w:rsidRPr="00FD09D5" w:rsidRDefault="00131C28" w:rsidP="00FD09D5">
      <w:pPr>
        <w:jc w:val="both"/>
        <w:rPr>
          <w:rFonts w:ascii="Times New Roman" w:hAnsi="Times New Roman" w:cs="Times New Roman"/>
          <w:sz w:val="24"/>
        </w:rPr>
      </w:pPr>
    </w:p>
    <w:p w14:paraId="0214B989" w14:textId="725BB046" w:rsidR="00BC6129" w:rsidRPr="00FD09D5" w:rsidRDefault="00BC6129" w:rsidP="00FD09D5">
      <w:pPr>
        <w:jc w:val="both"/>
        <w:rPr>
          <w:rFonts w:ascii="Times New Roman" w:hAnsi="Times New Roman" w:cs="Times New Roman"/>
          <w:sz w:val="24"/>
        </w:rPr>
      </w:pPr>
      <w:r w:rsidRPr="00FD09D5">
        <w:rPr>
          <w:rFonts w:ascii="Times New Roman" w:hAnsi="Times New Roman" w:cs="Times New Roman"/>
          <w:noProof/>
          <w:sz w:val="24"/>
        </w:rPr>
        <w:drawing>
          <wp:anchor distT="0" distB="0" distL="114300" distR="114300" simplePos="0" relativeHeight="251679744" behindDoc="0" locked="0" layoutInCell="1" allowOverlap="1" wp14:anchorId="42AC5485" wp14:editId="4F543820">
            <wp:simplePos x="0" y="0"/>
            <wp:positionH relativeFrom="column">
              <wp:posOffset>1254760</wp:posOffset>
            </wp:positionH>
            <wp:positionV relativeFrom="paragraph">
              <wp:posOffset>-1170940</wp:posOffset>
            </wp:positionV>
            <wp:extent cx="2606675" cy="5114925"/>
            <wp:effectExtent l="3175" t="0" r="6350" b="6350"/>
            <wp:wrapTopAndBottom/>
            <wp:docPr id="92357776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606675" cy="5114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7975D" w14:textId="639879EF" w:rsidR="00BC6129" w:rsidRPr="00FD09D5" w:rsidRDefault="00A14002" w:rsidP="00FD09D5">
      <w:pPr>
        <w:jc w:val="both"/>
        <w:rPr>
          <w:rFonts w:ascii="Times New Roman" w:hAnsi="Times New Roman" w:cs="Times New Roman"/>
          <w:sz w:val="24"/>
        </w:rPr>
      </w:pPr>
      <w:r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22</w:t>
      </w:r>
      <w:r w:rsidRPr="00FD09D5">
        <w:rPr>
          <w:rFonts w:ascii="Times New Roman" w:hAnsi="Times New Roman" w:cs="Times New Roman"/>
          <w:b/>
          <w:bCs/>
          <w:sz w:val="24"/>
        </w:rPr>
        <w:t xml:space="preserve">. The distribution of PN- or SG-specific markers on </w:t>
      </w:r>
      <w:r w:rsidR="00FD09D5">
        <w:rPr>
          <w:rFonts w:ascii="Times New Roman" w:hAnsi="Times New Roman" w:cs="Times New Roman" w:hint="eastAsia"/>
          <w:b/>
          <w:bCs/>
          <w:sz w:val="24"/>
        </w:rPr>
        <w:t>PN40024</w:t>
      </w:r>
      <w:r w:rsidRPr="00FD09D5">
        <w:rPr>
          <w:rFonts w:ascii="Times New Roman" w:hAnsi="Times New Roman" w:cs="Times New Roman"/>
          <w:b/>
          <w:bCs/>
          <w:sz w:val="24"/>
        </w:rPr>
        <w:t>.</w:t>
      </w:r>
      <w:r w:rsidRPr="00FD09D5">
        <w:rPr>
          <w:rFonts w:ascii="Times New Roman" w:hAnsi="Times New Roman" w:cs="Times New Roman"/>
          <w:sz w:val="24"/>
        </w:rPr>
        <w:t xml:space="preserve"> The black box indicates the heterozygous region on PN40024.</w:t>
      </w:r>
    </w:p>
    <w:p w14:paraId="59AD327F" w14:textId="7F46FB32" w:rsidR="00187E29" w:rsidRDefault="00BC6129" w:rsidP="00FD09D5">
      <w:pPr>
        <w:jc w:val="both"/>
        <w:rPr>
          <w:rFonts w:ascii="Times New Roman" w:hAnsi="Times New Roman" w:cs="Times New Roman"/>
          <w:sz w:val="24"/>
        </w:rPr>
      </w:pPr>
      <w:r w:rsidRPr="00FD09D5">
        <w:rPr>
          <w:rFonts w:ascii="Times New Roman" w:hAnsi="Times New Roman" w:cs="Times New Roman"/>
          <w:noProof/>
          <w:sz w:val="24"/>
        </w:rPr>
        <w:lastRenderedPageBreak/>
        <w:drawing>
          <wp:anchor distT="0" distB="0" distL="114300" distR="114300" simplePos="0" relativeHeight="251680768" behindDoc="0" locked="0" layoutInCell="1" allowOverlap="1" wp14:anchorId="221BB2D7" wp14:editId="21B89B25">
            <wp:simplePos x="0" y="0"/>
            <wp:positionH relativeFrom="column">
              <wp:posOffset>-1456</wp:posOffset>
            </wp:positionH>
            <wp:positionV relativeFrom="paragraph">
              <wp:posOffset>58242</wp:posOffset>
            </wp:positionV>
            <wp:extent cx="5269230" cy="6416040"/>
            <wp:effectExtent l="0" t="0" r="7620" b="3810"/>
            <wp:wrapTopAndBottom/>
            <wp:docPr id="1512119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9230" cy="641604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002" w:rsidRPr="00FD09D5">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23</w:t>
      </w:r>
      <w:r w:rsidR="00A14002" w:rsidRPr="00FD09D5">
        <w:rPr>
          <w:rFonts w:ascii="Times New Roman" w:hAnsi="Times New Roman" w:cs="Times New Roman"/>
          <w:b/>
          <w:bCs/>
          <w:sz w:val="24"/>
        </w:rPr>
        <w:t>. The genotype of conserved sites on each chromosome in different cultivars.</w:t>
      </w:r>
      <w:r w:rsidR="00A14002" w:rsidRPr="00FD09D5">
        <w:rPr>
          <w:rFonts w:ascii="Times New Roman" w:hAnsi="Times New Roman" w:cs="Times New Roman"/>
          <w:sz w:val="24"/>
        </w:rPr>
        <w:t xml:space="preserve"> The light cyan lines indicate the genotype of 0/0; the red lines indicate the genotype of 0/1; the dark blue lines indicate the genotype of 1/1.</w:t>
      </w:r>
    </w:p>
    <w:p w14:paraId="611F9CE2" w14:textId="77777777" w:rsidR="00187E29" w:rsidRDefault="00187E29">
      <w:pPr>
        <w:widowControl/>
        <w:rPr>
          <w:rFonts w:ascii="Times New Roman" w:hAnsi="Times New Roman" w:cs="Times New Roman"/>
          <w:sz w:val="24"/>
        </w:rPr>
      </w:pPr>
      <w:r>
        <w:rPr>
          <w:rFonts w:ascii="Times New Roman" w:hAnsi="Times New Roman" w:cs="Times New Roman"/>
          <w:sz w:val="24"/>
        </w:rPr>
        <w:br w:type="page"/>
      </w:r>
    </w:p>
    <w:p w14:paraId="72956881" w14:textId="3ED69038" w:rsidR="00131C28" w:rsidRDefault="00100B0F" w:rsidP="00FD09D5">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81792" behindDoc="0" locked="0" layoutInCell="1" allowOverlap="1" wp14:anchorId="22598451" wp14:editId="0841388B">
            <wp:simplePos x="0" y="0"/>
            <wp:positionH relativeFrom="column">
              <wp:posOffset>-1456</wp:posOffset>
            </wp:positionH>
            <wp:positionV relativeFrom="paragraph">
              <wp:posOffset>-7924056</wp:posOffset>
            </wp:positionV>
            <wp:extent cx="5271135" cy="3949065"/>
            <wp:effectExtent l="0" t="0" r="5715" b="0"/>
            <wp:wrapTopAndBottom/>
            <wp:docPr id="93794429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1135" cy="3949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46485E" w14:textId="229429A3" w:rsidR="00131C28" w:rsidRDefault="00131C28" w:rsidP="00FD09D5">
      <w:pPr>
        <w:jc w:val="both"/>
        <w:rPr>
          <w:rFonts w:ascii="Times New Roman" w:hAnsi="Times New Roman" w:cs="Times New Roman"/>
          <w:b/>
          <w:bCs/>
          <w:sz w:val="24"/>
        </w:rPr>
      </w:pPr>
      <w:r w:rsidRPr="00131C28">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24</w:t>
      </w:r>
      <w:r w:rsidRPr="00131C28">
        <w:rPr>
          <w:rFonts w:ascii="Times New Roman" w:hAnsi="Times New Roman" w:cs="Times New Roman"/>
          <w:b/>
          <w:bCs/>
          <w:sz w:val="24"/>
        </w:rPr>
        <w:t>. The recessive burden from deleterious SNPs on HE and PN40024 genomes.</w:t>
      </w:r>
    </w:p>
    <w:p w14:paraId="2C83D428" w14:textId="77777777" w:rsidR="00131C28" w:rsidRPr="00131C28" w:rsidRDefault="00131C28" w:rsidP="00FD09D5">
      <w:pPr>
        <w:jc w:val="both"/>
        <w:rPr>
          <w:rFonts w:ascii="Times New Roman" w:hAnsi="Times New Roman" w:cs="Times New Roman"/>
          <w:b/>
          <w:bCs/>
          <w:sz w:val="24"/>
        </w:rPr>
      </w:pPr>
    </w:p>
    <w:p w14:paraId="222D2592" w14:textId="70AA8014" w:rsidR="00131C28" w:rsidRDefault="00100B0F" w:rsidP="00FD09D5">
      <w:pPr>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9D65DA7" wp14:editId="4A9E2AD0">
            <wp:extent cx="5271135" cy="3949065"/>
            <wp:effectExtent l="0" t="0" r="5715" b="0"/>
            <wp:docPr id="21045258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1135" cy="3949065"/>
                    </a:xfrm>
                    <a:prstGeom prst="rect">
                      <a:avLst/>
                    </a:prstGeom>
                    <a:noFill/>
                    <a:ln>
                      <a:noFill/>
                    </a:ln>
                  </pic:spPr>
                </pic:pic>
              </a:graphicData>
            </a:graphic>
          </wp:inline>
        </w:drawing>
      </w:r>
    </w:p>
    <w:p w14:paraId="49D95B62" w14:textId="3175F0A3" w:rsidR="00131C28" w:rsidRPr="00131C28" w:rsidRDefault="00131C28" w:rsidP="00FD09D5">
      <w:pPr>
        <w:jc w:val="both"/>
        <w:rPr>
          <w:rFonts w:ascii="Times New Roman" w:hAnsi="Times New Roman" w:cs="Times New Roman"/>
          <w:b/>
          <w:bCs/>
          <w:sz w:val="24"/>
        </w:rPr>
      </w:pPr>
      <w:r w:rsidRPr="00131C28">
        <w:rPr>
          <w:rFonts w:ascii="Times New Roman" w:hAnsi="Times New Roman" w:cs="Times New Roman"/>
          <w:b/>
          <w:bCs/>
          <w:sz w:val="24"/>
        </w:rPr>
        <w:t xml:space="preserve">Supplementary Figure </w:t>
      </w:r>
      <w:r w:rsidR="00475C91">
        <w:rPr>
          <w:rFonts w:ascii="Times New Roman" w:hAnsi="Times New Roman" w:cs="Times New Roman" w:hint="eastAsia"/>
          <w:b/>
          <w:bCs/>
          <w:sz w:val="24"/>
        </w:rPr>
        <w:t>25</w:t>
      </w:r>
      <w:r w:rsidRPr="00131C28">
        <w:rPr>
          <w:rFonts w:ascii="Times New Roman" w:hAnsi="Times New Roman" w:cs="Times New Roman"/>
          <w:b/>
          <w:bCs/>
          <w:sz w:val="24"/>
        </w:rPr>
        <w:t>. The heterozygous burden from deleterious SNPs on HE and PN40024 genomes.</w:t>
      </w:r>
    </w:p>
    <w:p w14:paraId="1DF48836" w14:textId="77777777" w:rsidR="00131C28" w:rsidRDefault="00131C28" w:rsidP="00FD09D5">
      <w:pPr>
        <w:jc w:val="both"/>
        <w:rPr>
          <w:rFonts w:ascii="Times New Roman" w:hAnsi="Times New Roman" w:cs="Times New Roman"/>
          <w:sz w:val="24"/>
        </w:rPr>
      </w:pPr>
    </w:p>
    <w:p w14:paraId="79E7EFCE" w14:textId="6AD7B60F" w:rsidR="00131C28" w:rsidRPr="00131C28" w:rsidRDefault="00100B0F" w:rsidP="00FD09D5">
      <w:pPr>
        <w:jc w:val="both"/>
        <w:rPr>
          <w:rFonts w:ascii="Times New Roman" w:hAnsi="Times New Roman" w:cs="Times New Roman"/>
          <w:b/>
          <w:bCs/>
          <w:sz w:val="24"/>
        </w:rPr>
      </w:pPr>
      <w:r>
        <w:rPr>
          <w:rFonts w:ascii="Times New Roman" w:hAnsi="Times New Roman" w:cs="Times New Roman"/>
          <w:noProof/>
          <w:sz w:val="24"/>
        </w:rPr>
        <w:lastRenderedPageBreak/>
        <w:drawing>
          <wp:anchor distT="0" distB="0" distL="114300" distR="114300" simplePos="0" relativeHeight="251682816" behindDoc="0" locked="0" layoutInCell="1" allowOverlap="1" wp14:anchorId="49BED1FC" wp14:editId="0376423C">
            <wp:simplePos x="0" y="0"/>
            <wp:positionH relativeFrom="column">
              <wp:posOffset>-1456</wp:posOffset>
            </wp:positionH>
            <wp:positionV relativeFrom="paragraph">
              <wp:posOffset>11648</wp:posOffset>
            </wp:positionV>
            <wp:extent cx="5271135" cy="3942715"/>
            <wp:effectExtent l="0" t="0" r="5715" b="635"/>
            <wp:wrapTopAndBottom/>
            <wp:docPr id="211527240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1135" cy="394271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C28" w:rsidRPr="00131C28">
        <w:rPr>
          <w:rFonts w:ascii="Times New Roman" w:hAnsi="Times New Roman" w:cs="Times New Roman"/>
          <w:b/>
          <w:bCs/>
          <w:sz w:val="24"/>
        </w:rPr>
        <w:t>Supplementary Figure 2</w:t>
      </w:r>
      <w:r w:rsidR="00475C91">
        <w:rPr>
          <w:rFonts w:ascii="Times New Roman" w:hAnsi="Times New Roman" w:cs="Times New Roman" w:hint="eastAsia"/>
          <w:b/>
          <w:bCs/>
          <w:sz w:val="24"/>
        </w:rPr>
        <w:t>6</w:t>
      </w:r>
      <w:r w:rsidR="00131C28" w:rsidRPr="00131C28">
        <w:rPr>
          <w:rFonts w:ascii="Times New Roman" w:hAnsi="Times New Roman" w:cs="Times New Roman"/>
          <w:b/>
          <w:bCs/>
          <w:sz w:val="24"/>
        </w:rPr>
        <w:t>. The additive burden from deleterious SNPs on HE and PN40024 genomes.</w:t>
      </w:r>
    </w:p>
    <w:p w14:paraId="3F8C480E" w14:textId="2172453E" w:rsidR="006E2D34" w:rsidRDefault="006E2D34" w:rsidP="00FD09D5">
      <w:pPr>
        <w:jc w:val="both"/>
        <w:rPr>
          <w:rFonts w:ascii="Times New Roman" w:hAnsi="Times New Roman" w:cs="Times New Roman"/>
          <w:sz w:val="24"/>
        </w:rPr>
      </w:pPr>
      <w:r>
        <w:rPr>
          <w:rFonts w:ascii="Times New Roman" w:hAnsi="Times New Roman" w:cs="Times New Roman"/>
          <w:sz w:val="24"/>
        </w:rPr>
        <w:br w:type="page"/>
      </w:r>
    </w:p>
    <w:p w14:paraId="37D720FC" w14:textId="77777777" w:rsidR="00131C28" w:rsidRPr="006E2D34" w:rsidRDefault="00131C28" w:rsidP="00FD09D5">
      <w:pPr>
        <w:jc w:val="both"/>
        <w:rPr>
          <w:rFonts w:ascii="Times New Roman" w:hAnsi="Times New Roman" w:cs="Times New Roman"/>
          <w:sz w:val="24"/>
        </w:rPr>
      </w:pPr>
    </w:p>
    <w:p w14:paraId="166B0A4D" w14:textId="54BA7641" w:rsidR="00131C28" w:rsidRPr="00131C28" w:rsidRDefault="00100B0F" w:rsidP="00FD09D5">
      <w:pPr>
        <w:jc w:val="both"/>
        <w:rPr>
          <w:rFonts w:ascii="Times New Roman" w:hAnsi="Times New Roman" w:cs="Times New Roman"/>
          <w:b/>
          <w:bCs/>
          <w:sz w:val="24"/>
        </w:rPr>
      </w:pPr>
      <w:r>
        <w:rPr>
          <w:rFonts w:ascii="Times New Roman" w:hAnsi="Times New Roman" w:cs="Times New Roman"/>
          <w:noProof/>
          <w:sz w:val="24"/>
        </w:rPr>
        <w:drawing>
          <wp:anchor distT="0" distB="0" distL="114300" distR="114300" simplePos="0" relativeHeight="251683840" behindDoc="0" locked="0" layoutInCell="1" allowOverlap="1" wp14:anchorId="3E79EC5A" wp14:editId="65A3B743">
            <wp:simplePos x="0" y="0"/>
            <wp:positionH relativeFrom="column">
              <wp:posOffset>-1456</wp:posOffset>
            </wp:positionH>
            <wp:positionV relativeFrom="paragraph">
              <wp:posOffset>6969</wp:posOffset>
            </wp:positionV>
            <wp:extent cx="5271135" cy="3949065"/>
            <wp:effectExtent l="0" t="0" r="5715" b="0"/>
            <wp:wrapTopAndBottom/>
            <wp:docPr id="67833780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1135" cy="394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C28" w:rsidRPr="00131C28">
        <w:rPr>
          <w:rFonts w:ascii="Times New Roman" w:hAnsi="Times New Roman" w:cs="Times New Roman"/>
          <w:b/>
          <w:bCs/>
          <w:sz w:val="24"/>
        </w:rPr>
        <w:t>Supplementary Figure 2</w:t>
      </w:r>
      <w:r w:rsidR="00475C91">
        <w:rPr>
          <w:rFonts w:ascii="Times New Roman" w:hAnsi="Times New Roman" w:cs="Times New Roman" w:hint="eastAsia"/>
          <w:b/>
          <w:bCs/>
          <w:sz w:val="24"/>
        </w:rPr>
        <w:t>7</w:t>
      </w:r>
      <w:r w:rsidR="00131C28" w:rsidRPr="00131C28">
        <w:rPr>
          <w:rFonts w:ascii="Times New Roman" w:hAnsi="Times New Roman" w:cs="Times New Roman"/>
          <w:b/>
          <w:bCs/>
          <w:sz w:val="24"/>
        </w:rPr>
        <w:t>. The recessive burden of SVs on HE and PN40024 genomes.</w:t>
      </w:r>
    </w:p>
    <w:p w14:paraId="25D6A8E1" w14:textId="77777777" w:rsidR="00131C28" w:rsidRDefault="00131C28" w:rsidP="00FD09D5">
      <w:pPr>
        <w:jc w:val="both"/>
        <w:rPr>
          <w:rFonts w:ascii="Times New Roman" w:hAnsi="Times New Roman" w:cs="Times New Roman"/>
          <w:sz w:val="24"/>
        </w:rPr>
      </w:pPr>
    </w:p>
    <w:p w14:paraId="67124EE4" w14:textId="0AE7FAA2" w:rsidR="00131C28" w:rsidRDefault="00100B0F" w:rsidP="00FD09D5">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84864" behindDoc="0" locked="0" layoutInCell="1" allowOverlap="1" wp14:anchorId="790CF3EF" wp14:editId="2AE785F4">
            <wp:simplePos x="0" y="0"/>
            <wp:positionH relativeFrom="column">
              <wp:posOffset>-1456</wp:posOffset>
            </wp:positionH>
            <wp:positionV relativeFrom="paragraph">
              <wp:posOffset>5824</wp:posOffset>
            </wp:positionV>
            <wp:extent cx="5271135" cy="3949065"/>
            <wp:effectExtent l="0" t="0" r="5715" b="0"/>
            <wp:wrapTopAndBottom/>
            <wp:docPr id="206420802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1135" cy="3949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9EA72" w14:textId="6A746113" w:rsidR="007E5595" w:rsidRDefault="00131C28" w:rsidP="00FD09D5">
      <w:pPr>
        <w:jc w:val="both"/>
        <w:rPr>
          <w:rFonts w:ascii="Times New Roman" w:hAnsi="Times New Roman" w:cs="Times New Roman"/>
          <w:b/>
          <w:bCs/>
          <w:sz w:val="24"/>
        </w:rPr>
      </w:pPr>
      <w:r w:rsidRPr="00131C28">
        <w:rPr>
          <w:rFonts w:ascii="Times New Roman" w:hAnsi="Times New Roman" w:cs="Times New Roman"/>
          <w:b/>
          <w:bCs/>
          <w:sz w:val="24"/>
        </w:rPr>
        <w:t>Supplementary Figure 2</w:t>
      </w:r>
      <w:r w:rsidR="00475C91">
        <w:rPr>
          <w:rFonts w:ascii="Times New Roman" w:hAnsi="Times New Roman" w:cs="Times New Roman" w:hint="eastAsia"/>
          <w:b/>
          <w:bCs/>
          <w:sz w:val="24"/>
        </w:rPr>
        <w:t>8</w:t>
      </w:r>
      <w:r w:rsidRPr="00131C28">
        <w:rPr>
          <w:rFonts w:ascii="Times New Roman" w:hAnsi="Times New Roman" w:cs="Times New Roman"/>
          <w:b/>
          <w:bCs/>
          <w:sz w:val="24"/>
        </w:rPr>
        <w:t>. The heterozygous burden of SVs on HE and PN40024 genomes.</w:t>
      </w:r>
    </w:p>
    <w:p w14:paraId="0DBCF750" w14:textId="77777777" w:rsidR="007E5595" w:rsidRDefault="007E5595">
      <w:pPr>
        <w:widowControl/>
        <w:rPr>
          <w:rFonts w:ascii="Times New Roman" w:hAnsi="Times New Roman" w:cs="Times New Roman"/>
          <w:b/>
          <w:bCs/>
          <w:sz w:val="24"/>
        </w:rPr>
      </w:pPr>
      <w:r>
        <w:rPr>
          <w:rFonts w:ascii="Times New Roman" w:hAnsi="Times New Roman" w:cs="Times New Roman"/>
          <w:b/>
          <w:bCs/>
          <w:sz w:val="24"/>
        </w:rPr>
        <w:br w:type="page"/>
      </w:r>
    </w:p>
    <w:p w14:paraId="36055C8B" w14:textId="77777777" w:rsidR="00131C28" w:rsidRDefault="00131C28" w:rsidP="00FD09D5">
      <w:pPr>
        <w:jc w:val="both"/>
        <w:rPr>
          <w:rFonts w:ascii="Times New Roman" w:hAnsi="Times New Roman" w:cs="Times New Roman"/>
          <w:sz w:val="24"/>
        </w:rPr>
      </w:pPr>
    </w:p>
    <w:p w14:paraId="7A761976" w14:textId="564C7B2D" w:rsidR="00131C28" w:rsidRDefault="00100B0F" w:rsidP="00FD09D5">
      <w:pPr>
        <w:jc w:val="both"/>
        <w:rPr>
          <w:rFonts w:ascii="Times New Roman" w:hAnsi="Times New Roman" w:cs="Times New Roman"/>
          <w:sz w:val="24"/>
        </w:rPr>
      </w:pPr>
      <w:r>
        <w:rPr>
          <w:rFonts w:ascii="Times New Roman" w:hAnsi="Times New Roman" w:cs="Times New Roman"/>
          <w:noProof/>
          <w:sz w:val="24"/>
        </w:rPr>
        <w:drawing>
          <wp:inline distT="0" distB="0" distL="0" distR="0" wp14:anchorId="3E3C7B36" wp14:editId="62EA3DDD">
            <wp:extent cx="5123428" cy="3838405"/>
            <wp:effectExtent l="0" t="0" r="1270" b="0"/>
            <wp:docPr id="138575326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29344" cy="3842838"/>
                    </a:xfrm>
                    <a:prstGeom prst="rect">
                      <a:avLst/>
                    </a:prstGeom>
                    <a:noFill/>
                    <a:ln>
                      <a:noFill/>
                    </a:ln>
                  </pic:spPr>
                </pic:pic>
              </a:graphicData>
            </a:graphic>
          </wp:inline>
        </w:drawing>
      </w:r>
    </w:p>
    <w:p w14:paraId="57EBBBCF" w14:textId="1FCC16A1" w:rsidR="00131C28" w:rsidRPr="00131C28" w:rsidRDefault="00131C28" w:rsidP="00FD09D5">
      <w:pPr>
        <w:jc w:val="both"/>
        <w:rPr>
          <w:rFonts w:ascii="Times New Roman" w:hAnsi="Times New Roman" w:cs="Times New Roman"/>
          <w:b/>
          <w:bCs/>
          <w:sz w:val="24"/>
        </w:rPr>
      </w:pPr>
      <w:r w:rsidRPr="00131C28">
        <w:rPr>
          <w:rFonts w:ascii="Times New Roman" w:hAnsi="Times New Roman" w:cs="Times New Roman"/>
          <w:b/>
          <w:bCs/>
          <w:sz w:val="24"/>
        </w:rPr>
        <w:t>Supplementary Figure 2</w:t>
      </w:r>
      <w:r w:rsidR="00475C91">
        <w:rPr>
          <w:rFonts w:ascii="Times New Roman" w:hAnsi="Times New Roman" w:cs="Times New Roman" w:hint="eastAsia"/>
          <w:b/>
          <w:bCs/>
          <w:sz w:val="24"/>
        </w:rPr>
        <w:t>9</w:t>
      </w:r>
      <w:r w:rsidRPr="00131C28">
        <w:rPr>
          <w:rFonts w:ascii="Times New Roman" w:hAnsi="Times New Roman" w:cs="Times New Roman"/>
          <w:b/>
          <w:bCs/>
          <w:sz w:val="24"/>
        </w:rPr>
        <w:t>. The additive burden of SVs on HE and PN40024 genomes.</w:t>
      </w:r>
    </w:p>
    <w:p w14:paraId="1340072E" w14:textId="256870A3" w:rsidR="007E5595" w:rsidRDefault="007E5595">
      <w:pPr>
        <w:widowControl/>
        <w:rPr>
          <w:rFonts w:ascii="Times New Roman" w:hAnsi="Times New Roman" w:cs="Times New Roman"/>
          <w:sz w:val="24"/>
        </w:rPr>
      </w:pPr>
      <w:r>
        <w:rPr>
          <w:rFonts w:ascii="Times New Roman" w:hAnsi="Times New Roman" w:cs="Times New Roman"/>
          <w:sz w:val="24"/>
        </w:rPr>
        <w:br w:type="page"/>
      </w:r>
    </w:p>
    <w:p w14:paraId="32B5D603" w14:textId="77777777" w:rsidR="00131C28" w:rsidRDefault="00131C28" w:rsidP="00FD09D5">
      <w:pPr>
        <w:jc w:val="both"/>
        <w:rPr>
          <w:rFonts w:ascii="Times New Roman" w:hAnsi="Times New Roman" w:cs="Times New Roman"/>
          <w:sz w:val="24"/>
        </w:rPr>
      </w:pPr>
    </w:p>
    <w:p w14:paraId="74909FD1" w14:textId="77777777" w:rsidR="00ED307D" w:rsidRDefault="00ED307D" w:rsidP="00FD09D5">
      <w:pPr>
        <w:jc w:val="both"/>
        <w:rPr>
          <w:rFonts w:ascii="Times New Roman" w:hAnsi="Times New Roman" w:cs="Times New Roman"/>
          <w:sz w:val="24"/>
        </w:rPr>
      </w:pPr>
    </w:p>
    <w:p w14:paraId="6E4DC5A4" w14:textId="14753A80" w:rsidR="00F82007" w:rsidRPr="00ED307D" w:rsidRDefault="00ED307D" w:rsidP="006E2D34">
      <w:pPr>
        <w:rPr>
          <w:rFonts w:ascii="Times New Roman" w:hAnsi="Times New Roman" w:cs="Times New Roman"/>
          <w:b/>
          <w:bCs/>
          <w:sz w:val="24"/>
        </w:rPr>
      </w:pPr>
      <w:r>
        <w:rPr>
          <w:rFonts w:ascii="Times New Roman" w:hAnsi="Times New Roman" w:cs="Times New Roman"/>
          <w:noProof/>
          <w:sz w:val="24"/>
        </w:rPr>
        <w:drawing>
          <wp:anchor distT="0" distB="0" distL="114300" distR="114300" simplePos="0" relativeHeight="251685888" behindDoc="0" locked="0" layoutInCell="1" allowOverlap="1" wp14:anchorId="4FF5C6E6" wp14:editId="65A76C15">
            <wp:simplePos x="0" y="0"/>
            <wp:positionH relativeFrom="column">
              <wp:posOffset>132501</wp:posOffset>
            </wp:positionH>
            <wp:positionV relativeFrom="paragraph">
              <wp:posOffset>59896</wp:posOffset>
            </wp:positionV>
            <wp:extent cx="5005285" cy="3837928"/>
            <wp:effectExtent l="0" t="0" r="5080" b="0"/>
            <wp:wrapTopAndBottom/>
            <wp:docPr id="61200587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05285" cy="3837928"/>
                    </a:xfrm>
                    <a:prstGeom prst="rect">
                      <a:avLst/>
                    </a:prstGeom>
                    <a:noFill/>
                    <a:ln>
                      <a:noFill/>
                    </a:ln>
                  </pic:spPr>
                </pic:pic>
              </a:graphicData>
            </a:graphic>
            <wp14:sizeRelH relativeFrom="page">
              <wp14:pctWidth>0</wp14:pctWidth>
            </wp14:sizeRelH>
            <wp14:sizeRelV relativeFrom="page">
              <wp14:pctHeight>0</wp14:pctHeight>
            </wp14:sizeRelV>
          </wp:anchor>
        </w:drawing>
      </w:r>
      <w:r w:rsidR="00F82007" w:rsidRPr="00F82007">
        <w:rPr>
          <w:rFonts w:ascii="Times New Roman" w:hAnsi="Times New Roman" w:cs="Times New Roman"/>
          <w:b/>
          <w:bCs/>
          <w:sz w:val="24"/>
        </w:rPr>
        <w:t xml:space="preserve">Supplementary Figure </w:t>
      </w:r>
      <w:r w:rsidR="00F82007">
        <w:rPr>
          <w:rFonts w:ascii="Times New Roman" w:hAnsi="Times New Roman" w:cs="Times New Roman" w:hint="eastAsia"/>
          <w:b/>
          <w:bCs/>
          <w:sz w:val="24"/>
        </w:rPr>
        <w:t>30</w:t>
      </w:r>
      <w:r w:rsidR="00F82007" w:rsidRPr="00F82007">
        <w:rPr>
          <w:rFonts w:ascii="Times New Roman" w:hAnsi="Times New Roman" w:cs="Times New Roman"/>
          <w:b/>
          <w:bCs/>
          <w:sz w:val="24"/>
        </w:rPr>
        <w:t>. The distribution of SNPs of HE in heterozygous blocks and outside of heterozygous blocks.</w:t>
      </w:r>
    </w:p>
    <w:p w14:paraId="05C96115" w14:textId="5E6A5A75" w:rsidR="001C2A43" w:rsidRDefault="00BC6129" w:rsidP="00FD09D5">
      <w:pPr>
        <w:jc w:val="both"/>
        <w:rPr>
          <w:rFonts w:ascii="Times New Roman" w:hAnsi="Times New Roman" w:cs="Times New Roman"/>
          <w:b/>
          <w:bCs/>
          <w:sz w:val="24"/>
        </w:rPr>
      </w:pPr>
      <w:r w:rsidRPr="00FD09D5">
        <w:rPr>
          <w:rFonts w:ascii="Times New Roman" w:hAnsi="Times New Roman" w:cs="Times New Roman"/>
          <w:noProof/>
          <w:sz w:val="24"/>
        </w:rPr>
        <w:lastRenderedPageBreak/>
        <w:drawing>
          <wp:anchor distT="0" distB="0" distL="114300" distR="114300" simplePos="0" relativeHeight="251686912" behindDoc="0" locked="0" layoutInCell="1" allowOverlap="1" wp14:anchorId="61E66CD3" wp14:editId="3EAAB2E1">
            <wp:simplePos x="0" y="0"/>
            <wp:positionH relativeFrom="column">
              <wp:posOffset>-1456</wp:posOffset>
            </wp:positionH>
            <wp:positionV relativeFrom="paragraph">
              <wp:posOffset>99011</wp:posOffset>
            </wp:positionV>
            <wp:extent cx="5274310" cy="7532370"/>
            <wp:effectExtent l="0" t="0" r="2540" b="0"/>
            <wp:wrapTopAndBottom/>
            <wp:docPr id="81687556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7532370"/>
                    </a:xfrm>
                    <a:prstGeom prst="rect">
                      <a:avLst/>
                    </a:prstGeom>
                    <a:noFill/>
                    <a:ln>
                      <a:noFill/>
                    </a:ln>
                  </pic:spPr>
                </pic:pic>
              </a:graphicData>
            </a:graphic>
            <wp14:sizeRelH relativeFrom="page">
              <wp14:pctWidth>0</wp14:pctWidth>
            </wp14:sizeRelH>
            <wp14:sizeRelV relativeFrom="page">
              <wp14:pctHeight>0</wp14:pctHeight>
            </wp14:sizeRelV>
          </wp:anchor>
        </w:drawing>
      </w:r>
      <w:r w:rsidR="00A14002" w:rsidRPr="00FD09D5">
        <w:rPr>
          <w:rFonts w:ascii="Times New Roman" w:hAnsi="Times New Roman" w:cs="Times New Roman"/>
          <w:b/>
          <w:bCs/>
          <w:sz w:val="24"/>
        </w:rPr>
        <w:t xml:space="preserve">Supplementary Figure </w:t>
      </w:r>
      <w:r w:rsidR="007C3018">
        <w:rPr>
          <w:rFonts w:ascii="Times New Roman" w:hAnsi="Times New Roman" w:cs="Times New Roman" w:hint="eastAsia"/>
          <w:b/>
          <w:bCs/>
          <w:sz w:val="24"/>
        </w:rPr>
        <w:t>31</w:t>
      </w:r>
      <w:r w:rsidR="00A14002" w:rsidRPr="00FD09D5">
        <w:rPr>
          <w:rFonts w:ascii="Times New Roman" w:hAnsi="Times New Roman" w:cs="Times New Roman"/>
          <w:b/>
          <w:bCs/>
          <w:sz w:val="24"/>
        </w:rPr>
        <w:t xml:space="preserve">. The distribution of </w:t>
      </w:r>
      <w:proofErr w:type="spellStart"/>
      <w:r w:rsidR="00A14002" w:rsidRPr="00FD09D5">
        <w:rPr>
          <w:rFonts w:ascii="Times New Roman" w:hAnsi="Times New Roman" w:cs="Times New Roman"/>
          <w:b/>
          <w:bCs/>
          <w:sz w:val="24"/>
        </w:rPr>
        <w:t>dSNPs</w:t>
      </w:r>
      <w:proofErr w:type="spellEnd"/>
      <w:r w:rsidR="00A14002" w:rsidRPr="00FD09D5">
        <w:rPr>
          <w:rFonts w:ascii="Times New Roman" w:hAnsi="Times New Roman" w:cs="Times New Roman"/>
          <w:b/>
          <w:bCs/>
          <w:sz w:val="24"/>
        </w:rPr>
        <w:t xml:space="preserve"> originating from PN and SG on PN40024 in the heterozygous regions of Chromosomes 2, 4, 7, 10, and 11.</w:t>
      </w:r>
      <w:r w:rsidR="001C2A43">
        <w:rPr>
          <w:rFonts w:ascii="Times New Roman" w:hAnsi="Times New Roman" w:cs="Times New Roman"/>
          <w:b/>
          <w:bCs/>
          <w:sz w:val="24"/>
        </w:rPr>
        <w:br w:type="page"/>
      </w:r>
    </w:p>
    <w:p w14:paraId="311D20B5" w14:textId="77777777" w:rsidR="00BC6129" w:rsidRPr="00FD09D5" w:rsidRDefault="00BC6129" w:rsidP="00FD09D5">
      <w:pPr>
        <w:jc w:val="both"/>
        <w:rPr>
          <w:rFonts w:ascii="Times New Roman" w:hAnsi="Times New Roman" w:cs="Times New Roman"/>
          <w:b/>
          <w:bCs/>
          <w:sz w:val="24"/>
        </w:rPr>
      </w:pPr>
    </w:p>
    <w:p w14:paraId="709A19F8" w14:textId="18B4A5EC" w:rsidR="00314CAB" w:rsidRDefault="00BC6129" w:rsidP="00FD09D5">
      <w:pPr>
        <w:jc w:val="both"/>
        <w:rPr>
          <w:rFonts w:ascii="Times New Roman" w:hAnsi="Times New Roman" w:cs="Times New Roman"/>
          <w:i/>
          <w:iCs/>
          <w:sz w:val="24"/>
        </w:rPr>
      </w:pPr>
      <w:r w:rsidRPr="00FD09D5">
        <w:rPr>
          <w:rFonts w:ascii="Times New Roman" w:hAnsi="Times New Roman" w:cs="Times New Roman"/>
          <w:noProof/>
          <w:sz w:val="24"/>
        </w:rPr>
        <w:drawing>
          <wp:anchor distT="0" distB="0" distL="114300" distR="114300" simplePos="0" relativeHeight="251687936" behindDoc="0" locked="0" layoutInCell="1" allowOverlap="1" wp14:anchorId="15614556" wp14:editId="085B12C7">
            <wp:simplePos x="0" y="0"/>
            <wp:positionH relativeFrom="column">
              <wp:posOffset>-1456</wp:posOffset>
            </wp:positionH>
            <wp:positionV relativeFrom="paragraph">
              <wp:posOffset>1145</wp:posOffset>
            </wp:positionV>
            <wp:extent cx="5269230" cy="5145405"/>
            <wp:effectExtent l="0" t="0" r="7620" b="0"/>
            <wp:wrapTopAndBottom/>
            <wp:docPr id="50870503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69230" cy="514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A14002" w:rsidRPr="00FD09D5">
        <w:rPr>
          <w:rFonts w:ascii="Times New Roman" w:hAnsi="Times New Roman" w:cs="Times New Roman"/>
          <w:b/>
          <w:bCs/>
          <w:sz w:val="24"/>
        </w:rPr>
        <w:t xml:space="preserve">Supplementary Figure </w:t>
      </w:r>
      <w:r w:rsidR="007C3018">
        <w:rPr>
          <w:rFonts w:ascii="Times New Roman" w:hAnsi="Times New Roman" w:cs="Times New Roman" w:hint="eastAsia"/>
          <w:b/>
          <w:bCs/>
          <w:sz w:val="24"/>
        </w:rPr>
        <w:t>32</w:t>
      </w:r>
      <w:r w:rsidR="00A14002" w:rsidRPr="00FD09D5">
        <w:rPr>
          <w:rFonts w:ascii="Times New Roman" w:hAnsi="Times New Roman" w:cs="Times New Roman"/>
          <w:b/>
          <w:bCs/>
          <w:sz w:val="24"/>
        </w:rPr>
        <w:t xml:space="preserve">. Phylogenetic trees of the </w:t>
      </w:r>
      <w:r w:rsidR="00A14002" w:rsidRPr="00FD09D5">
        <w:rPr>
          <w:rFonts w:ascii="Times New Roman" w:hAnsi="Times New Roman" w:cs="Times New Roman"/>
          <w:b/>
          <w:bCs/>
          <w:i/>
          <w:iCs/>
          <w:sz w:val="24"/>
        </w:rPr>
        <w:t xml:space="preserve">VI2 </w:t>
      </w:r>
      <w:r w:rsidR="00A14002" w:rsidRPr="00FD09D5">
        <w:rPr>
          <w:rFonts w:ascii="Times New Roman" w:hAnsi="Times New Roman" w:cs="Times New Roman"/>
          <w:b/>
          <w:bCs/>
          <w:sz w:val="24"/>
        </w:rPr>
        <w:t>gene.</w:t>
      </w:r>
      <w:r w:rsidR="00A14002" w:rsidRPr="00FD09D5">
        <w:rPr>
          <w:rFonts w:ascii="Times New Roman" w:hAnsi="Times New Roman" w:cs="Times New Roman"/>
          <w:sz w:val="24"/>
        </w:rPr>
        <w:t xml:space="preserve"> Genes found in grapes are represented in blue, those found and functionally validated in other plant species are in red, and unvalidated genes are in black. Abbreviations: At: </w:t>
      </w:r>
      <w:r w:rsidR="00A14002" w:rsidRPr="00FD09D5">
        <w:rPr>
          <w:rFonts w:ascii="Times New Roman" w:hAnsi="Times New Roman" w:cs="Times New Roman"/>
          <w:i/>
          <w:iCs/>
          <w:sz w:val="24"/>
        </w:rPr>
        <w:t>Arabidopsis thaliana</w:t>
      </w:r>
      <w:r w:rsidR="00A14002" w:rsidRPr="00FD09D5">
        <w:rPr>
          <w:rFonts w:ascii="Times New Roman" w:hAnsi="Times New Roman" w:cs="Times New Roman"/>
          <w:sz w:val="24"/>
        </w:rPr>
        <w:t xml:space="preserve">; GLYMA: </w:t>
      </w:r>
      <w:r w:rsidR="00A14002" w:rsidRPr="00FD09D5">
        <w:rPr>
          <w:rFonts w:ascii="Times New Roman" w:hAnsi="Times New Roman" w:cs="Times New Roman"/>
          <w:i/>
          <w:iCs/>
          <w:sz w:val="24"/>
        </w:rPr>
        <w:t>Glycine max</w:t>
      </w:r>
      <w:r w:rsidR="00A14002" w:rsidRPr="00FD09D5">
        <w:rPr>
          <w:rFonts w:ascii="Times New Roman" w:hAnsi="Times New Roman" w:cs="Times New Roman"/>
          <w:sz w:val="24"/>
        </w:rPr>
        <w:t xml:space="preserve">; </w:t>
      </w:r>
      <w:proofErr w:type="spellStart"/>
      <w:r w:rsidR="00A14002" w:rsidRPr="00FD09D5">
        <w:rPr>
          <w:rFonts w:ascii="Times New Roman" w:hAnsi="Times New Roman" w:cs="Times New Roman"/>
          <w:sz w:val="24"/>
        </w:rPr>
        <w:t>Vitvi</w:t>
      </w:r>
      <w:proofErr w:type="spellEnd"/>
      <w:r w:rsidR="00A14002" w:rsidRPr="00FD09D5">
        <w:rPr>
          <w:rFonts w:ascii="Times New Roman" w:hAnsi="Times New Roman" w:cs="Times New Roman"/>
          <w:sz w:val="24"/>
        </w:rPr>
        <w:t xml:space="preserve">: </w:t>
      </w:r>
      <w:r w:rsidR="00A14002" w:rsidRPr="00FD09D5">
        <w:rPr>
          <w:rFonts w:ascii="Times New Roman" w:hAnsi="Times New Roman" w:cs="Times New Roman"/>
          <w:i/>
          <w:iCs/>
          <w:sz w:val="24"/>
        </w:rPr>
        <w:t>Vitis vinifera</w:t>
      </w:r>
      <w:r w:rsidR="00A14002" w:rsidRPr="00FD09D5">
        <w:rPr>
          <w:rFonts w:ascii="Times New Roman" w:hAnsi="Times New Roman" w:cs="Times New Roman"/>
          <w:sz w:val="24"/>
        </w:rPr>
        <w:t xml:space="preserve">; </w:t>
      </w:r>
      <w:proofErr w:type="spellStart"/>
      <w:r w:rsidR="00A14002" w:rsidRPr="00FD09D5">
        <w:rPr>
          <w:rFonts w:ascii="Times New Roman" w:hAnsi="Times New Roman" w:cs="Times New Roman"/>
          <w:sz w:val="24"/>
        </w:rPr>
        <w:t>Solyc</w:t>
      </w:r>
      <w:proofErr w:type="spellEnd"/>
      <w:r w:rsidR="00A14002" w:rsidRPr="00FD09D5">
        <w:rPr>
          <w:rFonts w:ascii="Times New Roman" w:hAnsi="Times New Roman" w:cs="Times New Roman"/>
          <w:sz w:val="24"/>
        </w:rPr>
        <w:t xml:space="preserve">: </w:t>
      </w:r>
      <w:r w:rsidR="00A14002" w:rsidRPr="00FD09D5">
        <w:rPr>
          <w:rFonts w:ascii="Times New Roman" w:hAnsi="Times New Roman" w:cs="Times New Roman"/>
          <w:i/>
          <w:iCs/>
          <w:sz w:val="24"/>
        </w:rPr>
        <w:t xml:space="preserve">Solanum </w:t>
      </w:r>
      <w:proofErr w:type="spellStart"/>
      <w:r w:rsidR="00A14002" w:rsidRPr="00FD09D5">
        <w:rPr>
          <w:rFonts w:ascii="Times New Roman" w:hAnsi="Times New Roman" w:cs="Times New Roman"/>
          <w:i/>
          <w:iCs/>
          <w:sz w:val="24"/>
        </w:rPr>
        <w:t>lycopersicum</w:t>
      </w:r>
      <w:proofErr w:type="spellEnd"/>
      <w:r w:rsidR="00A14002" w:rsidRPr="00FD09D5">
        <w:rPr>
          <w:rFonts w:ascii="Times New Roman" w:hAnsi="Times New Roman" w:cs="Times New Roman"/>
          <w:sz w:val="24"/>
        </w:rPr>
        <w:t xml:space="preserve">; </w:t>
      </w:r>
      <w:proofErr w:type="spellStart"/>
      <w:r w:rsidR="00A14002" w:rsidRPr="00FD09D5">
        <w:rPr>
          <w:rFonts w:ascii="Times New Roman" w:hAnsi="Times New Roman" w:cs="Times New Roman"/>
          <w:sz w:val="24"/>
        </w:rPr>
        <w:t>Bna</w:t>
      </w:r>
      <w:proofErr w:type="spellEnd"/>
      <w:r w:rsidR="00A14002" w:rsidRPr="00FD09D5">
        <w:rPr>
          <w:rFonts w:ascii="Times New Roman" w:hAnsi="Times New Roman" w:cs="Times New Roman"/>
          <w:sz w:val="24"/>
        </w:rPr>
        <w:t xml:space="preserve">: </w:t>
      </w:r>
      <w:r w:rsidR="00A14002" w:rsidRPr="00FD09D5">
        <w:rPr>
          <w:rFonts w:ascii="Times New Roman" w:hAnsi="Times New Roman" w:cs="Times New Roman"/>
          <w:i/>
          <w:iCs/>
          <w:sz w:val="24"/>
        </w:rPr>
        <w:t>Brassica napus</w:t>
      </w:r>
      <w:r w:rsidR="00A14002" w:rsidRPr="00FD09D5">
        <w:rPr>
          <w:rFonts w:ascii="Times New Roman" w:hAnsi="Times New Roman" w:cs="Times New Roman"/>
          <w:sz w:val="24"/>
        </w:rPr>
        <w:t xml:space="preserve">; </w:t>
      </w:r>
      <w:proofErr w:type="spellStart"/>
      <w:r w:rsidR="00A14002" w:rsidRPr="00FD09D5">
        <w:rPr>
          <w:rFonts w:ascii="Times New Roman" w:hAnsi="Times New Roman" w:cs="Times New Roman"/>
          <w:sz w:val="24"/>
        </w:rPr>
        <w:t>Zm</w:t>
      </w:r>
      <w:proofErr w:type="spellEnd"/>
      <w:r w:rsidR="00A14002" w:rsidRPr="00FD09D5">
        <w:rPr>
          <w:rFonts w:ascii="Times New Roman" w:hAnsi="Times New Roman" w:cs="Times New Roman"/>
          <w:sz w:val="24"/>
        </w:rPr>
        <w:t xml:space="preserve">: </w:t>
      </w:r>
      <w:proofErr w:type="spellStart"/>
      <w:r w:rsidR="00A14002" w:rsidRPr="00FD09D5">
        <w:rPr>
          <w:rFonts w:ascii="Times New Roman" w:hAnsi="Times New Roman" w:cs="Times New Roman"/>
          <w:i/>
          <w:iCs/>
          <w:sz w:val="24"/>
        </w:rPr>
        <w:t>Zea</w:t>
      </w:r>
      <w:proofErr w:type="spellEnd"/>
      <w:r w:rsidR="00A14002" w:rsidRPr="00FD09D5">
        <w:rPr>
          <w:rFonts w:ascii="Times New Roman" w:hAnsi="Times New Roman" w:cs="Times New Roman"/>
          <w:i/>
          <w:iCs/>
          <w:sz w:val="24"/>
        </w:rPr>
        <w:t xml:space="preserve"> mays.</w:t>
      </w:r>
    </w:p>
    <w:p w14:paraId="654E18FD" w14:textId="77777777" w:rsidR="00314CAB" w:rsidRDefault="00314CAB">
      <w:pPr>
        <w:widowControl/>
        <w:rPr>
          <w:rFonts w:ascii="Times New Roman" w:hAnsi="Times New Roman" w:cs="Times New Roman"/>
          <w:i/>
          <w:iCs/>
          <w:sz w:val="24"/>
        </w:rPr>
      </w:pPr>
      <w:r>
        <w:rPr>
          <w:rFonts w:ascii="Times New Roman" w:hAnsi="Times New Roman" w:cs="Times New Roman"/>
          <w:i/>
          <w:iCs/>
          <w:sz w:val="24"/>
        </w:rPr>
        <w:br w:type="page"/>
      </w:r>
    </w:p>
    <w:p w14:paraId="70946886" w14:textId="0D2AC2F9" w:rsidR="009200A4" w:rsidRDefault="009200A4" w:rsidP="00314CAB">
      <w:pPr>
        <w:keepNext/>
        <w:adjustRightInd w:val="0"/>
        <w:snapToGrid w:val="0"/>
        <w:spacing w:beforeLines="50" w:before="156" w:afterLines="50" w:after="156" w:line="360" w:lineRule="auto"/>
        <w:outlineLvl w:val="0"/>
        <w:rPr>
          <w:rFonts w:ascii="Times New Roman" w:hAnsi="Times New Roman" w:cs="Times New Roman"/>
          <w:b/>
          <w:bCs/>
          <w:kern w:val="32"/>
          <w:sz w:val="24"/>
          <w14:ligatures w14:val="none"/>
        </w:rPr>
      </w:pPr>
      <w:bookmarkStart w:id="1" w:name="OLE_LINK1"/>
      <w:r w:rsidRPr="009200A4">
        <w:rPr>
          <w:rFonts w:ascii="Times New Roman" w:hAnsi="Times New Roman" w:cs="Times New Roman"/>
          <w:b/>
          <w:bCs/>
          <w:sz w:val="28"/>
          <w:szCs w:val="28"/>
        </w:rPr>
        <w:lastRenderedPageBreak/>
        <w:t xml:space="preserve">SUPPLEMENTAL </w:t>
      </w:r>
      <w:r>
        <w:rPr>
          <w:rFonts w:ascii="Times New Roman" w:hAnsi="Times New Roman" w:cs="Times New Roman" w:hint="eastAsia"/>
          <w:b/>
          <w:bCs/>
          <w:sz w:val="28"/>
          <w:szCs w:val="28"/>
        </w:rPr>
        <w:t>TABLES</w:t>
      </w:r>
    </w:p>
    <w:p w14:paraId="0FED58CD" w14:textId="67E252EE" w:rsidR="00314CAB" w:rsidRDefault="00314CAB" w:rsidP="00314CAB">
      <w:pPr>
        <w:keepNext/>
        <w:adjustRightInd w:val="0"/>
        <w:snapToGrid w:val="0"/>
        <w:spacing w:beforeLines="50" w:before="156" w:afterLines="50" w:after="156" w:line="360" w:lineRule="auto"/>
        <w:outlineLvl w:val="0"/>
        <w:rPr>
          <w:rFonts w:ascii="Times New Roman" w:eastAsia="宋体" w:hAnsi="Times New Roman" w:cs="Times New Roman"/>
          <w:b/>
          <w:bCs/>
          <w:kern w:val="32"/>
          <w:sz w:val="24"/>
          <w14:ligatures w14:val="none"/>
        </w:rPr>
      </w:pPr>
      <w:r>
        <w:rPr>
          <w:rFonts w:ascii="Times New Roman" w:eastAsia="Times New Roman" w:hAnsi="Times New Roman" w:cs="Times New Roman"/>
          <w:b/>
          <w:bCs/>
          <w:kern w:val="32"/>
          <w:sz w:val="24"/>
          <w:lang w:eastAsia="en-US"/>
          <w14:ligatures w14:val="none"/>
        </w:rPr>
        <w:t xml:space="preserve">Supplementary Table </w:t>
      </w:r>
      <w:r>
        <w:rPr>
          <w:rFonts w:ascii="Times New Roman" w:eastAsia="Times New Roman" w:hAnsi="Times New Roman" w:cs="Times New Roman" w:hint="eastAsia"/>
          <w:b/>
          <w:bCs/>
          <w:kern w:val="32"/>
          <w:sz w:val="24"/>
          <w:lang w:eastAsia="en-US"/>
          <w14:ligatures w14:val="none"/>
        </w:rPr>
        <w:t>1</w:t>
      </w:r>
      <w:r>
        <w:rPr>
          <w:rFonts w:ascii="Times New Roman" w:eastAsia="Times New Roman" w:hAnsi="Times New Roman" w:cs="Times New Roman"/>
          <w:b/>
          <w:bCs/>
          <w:kern w:val="32"/>
          <w:sz w:val="24"/>
          <w:lang w:eastAsia="en-US"/>
          <w14:ligatures w14:val="none"/>
        </w:rPr>
        <w:t xml:space="preserve">. </w:t>
      </w:r>
      <w:r>
        <w:rPr>
          <w:rFonts w:ascii="Times New Roman" w:eastAsia="宋体" w:hAnsi="Times New Roman" w:cs="Times New Roman"/>
          <w:b/>
          <w:bCs/>
          <w:kern w:val="32"/>
          <w:sz w:val="24"/>
          <w14:ligatures w14:val="none"/>
        </w:rPr>
        <w:t>Genomic features of Pinot Noir assemblies.</w:t>
      </w:r>
    </w:p>
    <w:tbl>
      <w:tblPr>
        <w:tblStyle w:val="71"/>
        <w:tblW w:w="8503" w:type="dxa"/>
        <w:tblInd w:w="135" w:type="dxa"/>
        <w:tblLook w:val="04A0" w:firstRow="1" w:lastRow="0" w:firstColumn="1" w:lastColumn="0" w:noHBand="0" w:noVBand="1"/>
      </w:tblPr>
      <w:tblGrid>
        <w:gridCol w:w="2900"/>
        <w:gridCol w:w="2624"/>
        <w:gridCol w:w="2979"/>
      </w:tblGrid>
      <w:tr w:rsidR="00314CAB" w14:paraId="1CC1DE14"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1F747243"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 xml:space="preserve">Assembly </w:t>
            </w:r>
          </w:p>
        </w:tc>
        <w:tc>
          <w:tcPr>
            <w:tcW w:w="2624" w:type="dxa"/>
            <w:tcBorders>
              <w:top w:val="single" w:sz="4" w:space="0" w:color="auto"/>
              <w:left w:val="single" w:sz="4" w:space="0" w:color="auto"/>
              <w:bottom w:val="single" w:sz="4" w:space="0" w:color="auto"/>
              <w:right w:val="single" w:sz="4" w:space="0" w:color="auto"/>
            </w:tcBorders>
            <w:noWrap/>
            <w:vAlign w:val="center"/>
          </w:tcPr>
          <w:p w14:paraId="51503A3F"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PN1</w:t>
            </w:r>
          </w:p>
        </w:tc>
        <w:tc>
          <w:tcPr>
            <w:tcW w:w="2979" w:type="dxa"/>
            <w:tcBorders>
              <w:top w:val="single" w:sz="4" w:space="0" w:color="auto"/>
              <w:left w:val="single" w:sz="4" w:space="0" w:color="auto"/>
              <w:bottom w:val="single" w:sz="4" w:space="0" w:color="auto"/>
              <w:right w:val="single" w:sz="4" w:space="0" w:color="auto"/>
            </w:tcBorders>
            <w:noWrap/>
            <w:vAlign w:val="center"/>
          </w:tcPr>
          <w:p w14:paraId="0DD76EC9"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PN2</w:t>
            </w:r>
          </w:p>
        </w:tc>
      </w:tr>
      <w:tr w:rsidR="00314CAB" w14:paraId="3E8661A7"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54715C90"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Number of contigs (gaps)</w:t>
            </w:r>
          </w:p>
        </w:tc>
        <w:tc>
          <w:tcPr>
            <w:tcW w:w="2624" w:type="dxa"/>
            <w:tcBorders>
              <w:top w:val="single" w:sz="4" w:space="0" w:color="auto"/>
              <w:left w:val="single" w:sz="4" w:space="0" w:color="auto"/>
              <w:bottom w:val="single" w:sz="4" w:space="0" w:color="auto"/>
              <w:right w:val="single" w:sz="4" w:space="0" w:color="auto"/>
            </w:tcBorders>
            <w:noWrap/>
            <w:vAlign w:val="center"/>
          </w:tcPr>
          <w:p w14:paraId="1BF8DC1A"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461</w:t>
            </w:r>
          </w:p>
        </w:tc>
        <w:tc>
          <w:tcPr>
            <w:tcW w:w="2979" w:type="dxa"/>
            <w:tcBorders>
              <w:top w:val="single" w:sz="4" w:space="0" w:color="auto"/>
              <w:left w:val="single" w:sz="4" w:space="0" w:color="auto"/>
              <w:bottom w:val="single" w:sz="4" w:space="0" w:color="auto"/>
              <w:right w:val="single" w:sz="4" w:space="0" w:color="auto"/>
            </w:tcBorders>
            <w:noWrap/>
            <w:vAlign w:val="center"/>
          </w:tcPr>
          <w:p w14:paraId="3520987A"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342</w:t>
            </w:r>
          </w:p>
        </w:tc>
      </w:tr>
      <w:tr w:rsidR="00314CAB" w14:paraId="02BE8A13"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445D1BA2"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Cumulative size (bp)</w:t>
            </w:r>
          </w:p>
        </w:tc>
        <w:tc>
          <w:tcPr>
            <w:tcW w:w="2624" w:type="dxa"/>
            <w:tcBorders>
              <w:top w:val="single" w:sz="4" w:space="0" w:color="auto"/>
              <w:left w:val="single" w:sz="4" w:space="0" w:color="auto"/>
              <w:bottom w:val="single" w:sz="4" w:space="0" w:color="auto"/>
              <w:right w:val="single" w:sz="4" w:space="0" w:color="auto"/>
            </w:tcBorders>
            <w:noWrap/>
            <w:vAlign w:val="center"/>
          </w:tcPr>
          <w:p w14:paraId="42F9F922"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520,445,349</w:t>
            </w:r>
          </w:p>
        </w:tc>
        <w:tc>
          <w:tcPr>
            <w:tcW w:w="2979" w:type="dxa"/>
            <w:tcBorders>
              <w:top w:val="single" w:sz="4" w:space="0" w:color="auto"/>
              <w:left w:val="single" w:sz="4" w:space="0" w:color="auto"/>
              <w:bottom w:val="single" w:sz="4" w:space="0" w:color="auto"/>
              <w:right w:val="single" w:sz="4" w:space="0" w:color="auto"/>
            </w:tcBorders>
            <w:noWrap/>
            <w:vAlign w:val="center"/>
          </w:tcPr>
          <w:p w14:paraId="0AD75AAE"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509,742,976</w:t>
            </w:r>
          </w:p>
        </w:tc>
      </w:tr>
      <w:tr w:rsidR="00314CAB" w14:paraId="73994C49"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62C3AB9B"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N50 (bp)</w:t>
            </w:r>
          </w:p>
        </w:tc>
        <w:tc>
          <w:tcPr>
            <w:tcW w:w="2624" w:type="dxa"/>
            <w:tcBorders>
              <w:top w:val="single" w:sz="4" w:space="0" w:color="auto"/>
              <w:left w:val="single" w:sz="4" w:space="0" w:color="auto"/>
              <w:bottom w:val="single" w:sz="4" w:space="0" w:color="auto"/>
              <w:right w:val="single" w:sz="4" w:space="0" w:color="auto"/>
            </w:tcBorders>
            <w:noWrap/>
            <w:vAlign w:val="center"/>
          </w:tcPr>
          <w:p w14:paraId="079B35B4"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23,598,695</w:t>
            </w:r>
          </w:p>
        </w:tc>
        <w:tc>
          <w:tcPr>
            <w:tcW w:w="2979" w:type="dxa"/>
            <w:tcBorders>
              <w:top w:val="single" w:sz="4" w:space="0" w:color="auto"/>
              <w:left w:val="single" w:sz="4" w:space="0" w:color="auto"/>
              <w:bottom w:val="single" w:sz="4" w:space="0" w:color="auto"/>
              <w:right w:val="single" w:sz="4" w:space="0" w:color="auto"/>
            </w:tcBorders>
            <w:noWrap/>
            <w:vAlign w:val="center"/>
          </w:tcPr>
          <w:p w14:paraId="6867DD15"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24,190,395</w:t>
            </w:r>
          </w:p>
        </w:tc>
      </w:tr>
      <w:tr w:rsidR="00314CAB" w14:paraId="77F2125F"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5B108EAB"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L50</w:t>
            </w:r>
          </w:p>
        </w:tc>
        <w:tc>
          <w:tcPr>
            <w:tcW w:w="2624" w:type="dxa"/>
            <w:tcBorders>
              <w:top w:val="single" w:sz="4" w:space="0" w:color="auto"/>
              <w:left w:val="single" w:sz="4" w:space="0" w:color="auto"/>
              <w:bottom w:val="single" w:sz="4" w:space="0" w:color="auto"/>
              <w:right w:val="single" w:sz="4" w:space="0" w:color="auto"/>
            </w:tcBorders>
            <w:noWrap/>
            <w:vAlign w:val="center"/>
          </w:tcPr>
          <w:p w14:paraId="253E239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10</w:t>
            </w:r>
          </w:p>
        </w:tc>
        <w:tc>
          <w:tcPr>
            <w:tcW w:w="2979" w:type="dxa"/>
            <w:tcBorders>
              <w:top w:val="single" w:sz="4" w:space="0" w:color="auto"/>
              <w:left w:val="single" w:sz="4" w:space="0" w:color="auto"/>
              <w:bottom w:val="single" w:sz="4" w:space="0" w:color="auto"/>
              <w:right w:val="single" w:sz="4" w:space="0" w:color="auto"/>
            </w:tcBorders>
            <w:noWrap/>
            <w:vAlign w:val="center"/>
          </w:tcPr>
          <w:p w14:paraId="5BE84027"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9</w:t>
            </w:r>
          </w:p>
        </w:tc>
      </w:tr>
      <w:tr w:rsidR="00314CAB" w14:paraId="6271F384"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1CB7D08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 xml:space="preserve">Longest contig (bp) </w:t>
            </w:r>
          </w:p>
        </w:tc>
        <w:tc>
          <w:tcPr>
            <w:tcW w:w="2624" w:type="dxa"/>
            <w:tcBorders>
              <w:top w:val="single" w:sz="4" w:space="0" w:color="auto"/>
              <w:left w:val="single" w:sz="4" w:space="0" w:color="auto"/>
              <w:bottom w:val="single" w:sz="4" w:space="0" w:color="auto"/>
              <w:right w:val="single" w:sz="4" w:space="0" w:color="auto"/>
            </w:tcBorders>
            <w:noWrap/>
            <w:vAlign w:val="center"/>
          </w:tcPr>
          <w:p w14:paraId="52C7BB5C"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36,890,491</w:t>
            </w:r>
          </w:p>
        </w:tc>
        <w:tc>
          <w:tcPr>
            <w:tcW w:w="2979" w:type="dxa"/>
            <w:tcBorders>
              <w:top w:val="single" w:sz="4" w:space="0" w:color="auto"/>
              <w:left w:val="single" w:sz="4" w:space="0" w:color="auto"/>
              <w:bottom w:val="single" w:sz="4" w:space="0" w:color="auto"/>
              <w:right w:val="single" w:sz="4" w:space="0" w:color="auto"/>
            </w:tcBorders>
            <w:noWrap/>
            <w:vAlign w:val="center"/>
          </w:tcPr>
          <w:p w14:paraId="536B9CFA"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35,700,716</w:t>
            </w:r>
          </w:p>
        </w:tc>
      </w:tr>
      <w:tr w:rsidR="00314CAB" w14:paraId="7504F0A6"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489800D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Number of chromosomes</w:t>
            </w:r>
          </w:p>
        </w:tc>
        <w:tc>
          <w:tcPr>
            <w:tcW w:w="2624" w:type="dxa"/>
            <w:tcBorders>
              <w:top w:val="single" w:sz="4" w:space="0" w:color="auto"/>
              <w:left w:val="single" w:sz="4" w:space="0" w:color="auto"/>
              <w:bottom w:val="single" w:sz="4" w:space="0" w:color="auto"/>
              <w:right w:val="single" w:sz="4" w:space="0" w:color="auto"/>
            </w:tcBorders>
            <w:noWrap/>
            <w:vAlign w:val="center"/>
          </w:tcPr>
          <w:p w14:paraId="0A653BE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19</w:t>
            </w:r>
          </w:p>
        </w:tc>
        <w:tc>
          <w:tcPr>
            <w:tcW w:w="2979" w:type="dxa"/>
            <w:tcBorders>
              <w:top w:val="single" w:sz="4" w:space="0" w:color="auto"/>
              <w:left w:val="single" w:sz="4" w:space="0" w:color="auto"/>
              <w:bottom w:val="single" w:sz="4" w:space="0" w:color="auto"/>
              <w:right w:val="single" w:sz="4" w:space="0" w:color="auto"/>
            </w:tcBorders>
            <w:noWrap/>
            <w:vAlign w:val="center"/>
          </w:tcPr>
          <w:p w14:paraId="68B7FA29"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19</w:t>
            </w:r>
          </w:p>
        </w:tc>
      </w:tr>
      <w:tr w:rsidR="00314CAB" w14:paraId="3664BF60"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599116E0"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Cumulative size (bp)</w:t>
            </w:r>
          </w:p>
        </w:tc>
        <w:tc>
          <w:tcPr>
            <w:tcW w:w="2624" w:type="dxa"/>
            <w:tcBorders>
              <w:top w:val="single" w:sz="4" w:space="0" w:color="auto"/>
              <w:left w:val="single" w:sz="4" w:space="0" w:color="auto"/>
              <w:bottom w:val="single" w:sz="4" w:space="0" w:color="auto"/>
              <w:right w:val="single" w:sz="4" w:space="0" w:color="auto"/>
            </w:tcBorders>
            <w:noWrap/>
            <w:vAlign w:val="center"/>
          </w:tcPr>
          <w:p w14:paraId="2E2771E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496,430,306</w:t>
            </w:r>
          </w:p>
        </w:tc>
        <w:tc>
          <w:tcPr>
            <w:tcW w:w="2979" w:type="dxa"/>
            <w:tcBorders>
              <w:top w:val="single" w:sz="4" w:space="0" w:color="auto"/>
              <w:left w:val="single" w:sz="4" w:space="0" w:color="auto"/>
              <w:bottom w:val="single" w:sz="4" w:space="0" w:color="auto"/>
              <w:right w:val="single" w:sz="4" w:space="0" w:color="auto"/>
            </w:tcBorders>
            <w:noWrap/>
            <w:vAlign w:val="center"/>
          </w:tcPr>
          <w:p w14:paraId="3A49A5A7"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489,778,950</w:t>
            </w:r>
          </w:p>
        </w:tc>
      </w:tr>
      <w:tr w:rsidR="00314CAB" w14:paraId="76231088"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520E9932"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N50 (bp)</w:t>
            </w:r>
          </w:p>
        </w:tc>
        <w:tc>
          <w:tcPr>
            <w:tcW w:w="2624" w:type="dxa"/>
            <w:tcBorders>
              <w:top w:val="single" w:sz="4" w:space="0" w:color="auto"/>
              <w:left w:val="single" w:sz="4" w:space="0" w:color="auto"/>
              <w:bottom w:val="single" w:sz="4" w:space="0" w:color="auto"/>
              <w:right w:val="single" w:sz="4" w:space="0" w:color="auto"/>
            </w:tcBorders>
            <w:noWrap/>
            <w:vAlign w:val="center"/>
          </w:tcPr>
          <w:p w14:paraId="1517EC6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26,294,478</w:t>
            </w:r>
          </w:p>
        </w:tc>
        <w:tc>
          <w:tcPr>
            <w:tcW w:w="2979" w:type="dxa"/>
            <w:tcBorders>
              <w:top w:val="single" w:sz="4" w:space="0" w:color="auto"/>
              <w:left w:val="single" w:sz="4" w:space="0" w:color="auto"/>
              <w:bottom w:val="single" w:sz="4" w:space="0" w:color="auto"/>
              <w:right w:val="single" w:sz="4" w:space="0" w:color="auto"/>
            </w:tcBorders>
            <w:noWrap/>
            <w:vAlign w:val="center"/>
          </w:tcPr>
          <w:p w14:paraId="51D51212"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25,184,442</w:t>
            </w:r>
          </w:p>
        </w:tc>
      </w:tr>
      <w:tr w:rsidR="00314CAB" w14:paraId="4098FC42"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3A3E2300"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L50</w:t>
            </w:r>
          </w:p>
        </w:tc>
        <w:tc>
          <w:tcPr>
            <w:tcW w:w="2624" w:type="dxa"/>
            <w:tcBorders>
              <w:top w:val="single" w:sz="4" w:space="0" w:color="auto"/>
              <w:left w:val="single" w:sz="4" w:space="0" w:color="auto"/>
              <w:bottom w:val="single" w:sz="4" w:space="0" w:color="auto"/>
              <w:right w:val="single" w:sz="4" w:space="0" w:color="auto"/>
            </w:tcBorders>
            <w:noWrap/>
            <w:vAlign w:val="center"/>
          </w:tcPr>
          <w:p w14:paraId="7CD1788F"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9</w:t>
            </w:r>
          </w:p>
        </w:tc>
        <w:tc>
          <w:tcPr>
            <w:tcW w:w="2979" w:type="dxa"/>
            <w:tcBorders>
              <w:top w:val="single" w:sz="4" w:space="0" w:color="auto"/>
              <w:left w:val="single" w:sz="4" w:space="0" w:color="auto"/>
              <w:bottom w:val="single" w:sz="4" w:space="0" w:color="auto"/>
              <w:right w:val="single" w:sz="4" w:space="0" w:color="auto"/>
            </w:tcBorders>
            <w:noWrap/>
            <w:vAlign w:val="center"/>
          </w:tcPr>
          <w:p w14:paraId="0B0B03AF"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9</w:t>
            </w:r>
          </w:p>
        </w:tc>
      </w:tr>
      <w:tr w:rsidR="00314CAB" w14:paraId="7CAA59EF"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481245D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Longest (bp)</w:t>
            </w:r>
          </w:p>
        </w:tc>
        <w:tc>
          <w:tcPr>
            <w:tcW w:w="2624" w:type="dxa"/>
            <w:tcBorders>
              <w:top w:val="single" w:sz="4" w:space="0" w:color="auto"/>
              <w:left w:val="single" w:sz="4" w:space="0" w:color="auto"/>
              <w:bottom w:val="single" w:sz="4" w:space="0" w:color="auto"/>
              <w:right w:val="single" w:sz="4" w:space="0" w:color="auto"/>
            </w:tcBorders>
            <w:noWrap/>
            <w:vAlign w:val="center"/>
          </w:tcPr>
          <w:p w14:paraId="000E4F75"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36,890,491</w:t>
            </w:r>
          </w:p>
        </w:tc>
        <w:tc>
          <w:tcPr>
            <w:tcW w:w="2979" w:type="dxa"/>
            <w:tcBorders>
              <w:top w:val="single" w:sz="4" w:space="0" w:color="auto"/>
              <w:left w:val="single" w:sz="4" w:space="0" w:color="auto"/>
              <w:bottom w:val="single" w:sz="4" w:space="0" w:color="auto"/>
              <w:right w:val="single" w:sz="4" w:space="0" w:color="auto"/>
            </w:tcBorders>
            <w:noWrap/>
            <w:vAlign w:val="center"/>
          </w:tcPr>
          <w:p w14:paraId="400AE2C4"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37,419,935</w:t>
            </w:r>
          </w:p>
        </w:tc>
      </w:tr>
      <w:tr w:rsidR="00314CAB" w14:paraId="17B9F288"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2E492069"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Complete BUSCO</w:t>
            </w:r>
            <w:r>
              <w:rPr>
                <w:rFonts w:eastAsia="等线" w:hint="eastAsia"/>
                <w:color w:val="000000"/>
                <w:sz w:val="24"/>
                <w:szCs w:val="24"/>
              </w:rPr>
              <w:t xml:space="preserve"> </w:t>
            </w:r>
            <w:r>
              <w:rPr>
                <w:rFonts w:eastAsia="等线"/>
                <w:color w:val="000000"/>
                <w:sz w:val="24"/>
                <w:szCs w:val="24"/>
              </w:rPr>
              <w:t>(N = 1,614)</w:t>
            </w:r>
          </w:p>
        </w:tc>
        <w:tc>
          <w:tcPr>
            <w:tcW w:w="2624" w:type="dxa"/>
            <w:tcBorders>
              <w:top w:val="single" w:sz="4" w:space="0" w:color="auto"/>
              <w:left w:val="single" w:sz="4" w:space="0" w:color="auto"/>
              <w:bottom w:val="single" w:sz="4" w:space="0" w:color="auto"/>
              <w:right w:val="single" w:sz="4" w:space="0" w:color="auto"/>
            </w:tcBorders>
            <w:noWrap/>
            <w:vAlign w:val="center"/>
          </w:tcPr>
          <w:p w14:paraId="466D15EA"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1,587</w:t>
            </w:r>
            <w:r>
              <w:rPr>
                <w:rFonts w:ascii="等线" w:eastAsia="等线" w:hAnsi="等线"/>
                <w:color w:val="000000"/>
                <w:sz w:val="24"/>
                <w:szCs w:val="24"/>
              </w:rPr>
              <w:t>（</w:t>
            </w:r>
            <w:r>
              <w:rPr>
                <w:rFonts w:eastAsia="等线"/>
                <w:color w:val="000000"/>
                <w:sz w:val="24"/>
                <w:szCs w:val="24"/>
              </w:rPr>
              <w:t>98.3%</w:t>
            </w:r>
            <w:r>
              <w:rPr>
                <w:rFonts w:ascii="等线" w:eastAsia="等线" w:hAnsi="等线"/>
                <w:color w:val="000000"/>
                <w:sz w:val="24"/>
                <w:szCs w:val="24"/>
              </w:rPr>
              <w:t>）</w:t>
            </w:r>
          </w:p>
        </w:tc>
        <w:tc>
          <w:tcPr>
            <w:tcW w:w="2979" w:type="dxa"/>
            <w:tcBorders>
              <w:top w:val="single" w:sz="4" w:space="0" w:color="auto"/>
              <w:left w:val="single" w:sz="4" w:space="0" w:color="auto"/>
              <w:bottom w:val="single" w:sz="4" w:space="0" w:color="auto"/>
              <w:right w:val="single" w:sz="4" w:space="0" w:color="auto"/>
            </w:tcBorders>
            <w:noWrap/>
            <w:vAlign w:val="center"/>
          </w:tcPr>
          <w:p w14:paraId="61EE8D92"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1,588</w:t>
            </w:r>
            <w:r>
              <w:rPr>
                <w:rFonts w:ascii="等线" w:eastAsia="等线" w:hAnsi="等线"/>
                <w:color w:val="000000"/>
                <w:sz w:val="24"/>
                <w:szCs w:val="24"/>
              </w:rPr>
              <w:t>（</w:t>
            </w:r>
            <w:r>
              <w:rPr>
                <w:rFonts w:eastAsia="等线"/>
                <w:color w:val="000000"/>
                <w:sz w:val="24"/>
                <w:szCs w:val="24"/>
              </w:rPr>
              <w:t>98.4%</w:t>
            </w:r>
            <w:r>
              <w:rPr>
                <w:rFonts w:ascii="等线" w:eastAsia="等线" w:hAnsi="等线"/>
                <w:color w:val="000000"/>
                <w:sz w:val="24"/>
                <w:szCs w:val="24"/>
              </w:rPr>
              <w:t>）</w:t>
            </w:r>
          </w:p>
        </w:tc>
      </w:tr>
      <w:tr w:rsidR="00314CAB" w14:paraId="5D94CBBF"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539A12BD"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 xml:space="preserve">Telomeres </w:t>
            </w:r>
          </w:p>
        </w:tc>
        <w:tc>
          <w:tcPr>
            <w:tcW w:w="2624" w:type="dxa"/>
            <w:tcBorders>
              <w:top w:val="single" w:sz="4" w:space="0" w:color="auto"/>
              <w:left w:val="single" w:sz="4" w:space="0" w:color="auto"/>
              <w:bottom w:val="single" w:sz="4" w:space="0" w:color="auto"/>
              <w:right w:val="single" w:sz="4" w:space="0" w:color="auto"/>
            </w:tcBorders>
            <w:noWrap/>
            <w:vAlign w:val="center"/>
          </w:tcPr>
          <w:p w14:paraId="58CDB380"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35/38</w:t>
            </w:r>
          </w:p>
        </w:tc>
        <w:tc>
          <w:tcPr>
            <w:tcW w:w="2979" w:type="dxa"/>
            <w:tcBorders>
              <w:top w:val="single" w:sz="4" w:space="0" w:color="auto"/>
              <w:left w:val="single" w:sz="4" w:space="0" w:color="auto"/>
              <w:bottom w:val="single" w:sz="4" w:space="0" w:color="auto"/>
              <w:right w:val="single" w:sz="4" w:space="0" w:color="auto"/>
            </w:tcBorders>
            <w:noWrap/>
            <w:vAlign w:val="center"/>
          </w:tcPr>
          <w:p w14:paraId="666C2358"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35/38</w:t>
            </w:r>
          </w:p>
        </w:tc>
      </w:tr>
      <w:tr w:rsidR="00314CAB" w14:paraId="1173D4B8"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305943FE"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Centromere</w:t>
            </w:r>
          </w:p>
        </w:tc>
        <w:tc>
          <w:tcPr>
            <w:tcW w:w="2624" w:type="dxa"/>
            <w:tcBorders>
              <w:top w:val="single" w:sz="4" w:space="0" w:color="auto"/>
              <w:left w:val="single" w:sz="4" w:space="0" w:color="auto"/>
              <w:bottom w:val="single" w:sz="4" w:space="0" w:color="auto"/>
              <w:right w:val="single" w:sz="4" w:space="0" w:color="auto"/>
            </w:tcBorders>
            <w:noWrap/>
            <w:vAlign w:val="center"/>
          </w:tcPr>
          <w:p w14:paraId="6B922670"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19/19</w:t>
            </w:r>
          </w:p>
        </w:tc>
        <w:tc>
          <w:tcPr>
            <w:tcW w:w="2979" w:type="dxa"/>
            <w:tcBorders>
              <w:top w:val="single" w:sz="4" w:space="0" w:color="auto"/>
              <w:left w:val="single" w:sz="4" w:space="0" w:color="auto"/>
              <w:bottom w:val="single" w:sz="4" w:space="0" w:color="auto"/>
              <w:right w:val="single" w:sz="4" w:space="0" w:color="auto"/>
            </w:tcBorders>
            <w:noWrap/>
            <w:vAlign w:val="center"/>
          </w:tcPr>
          <w:p w14:paraId="60D9753F"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19/19</w:t>
            </w:r>
          </w:p>
        </w:tc>
      </w:tr>
      <w:tr w:rsidR="00314CAB" w14:paraId="567A6BD4"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23B460BA"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The number of gene</w:t>
            </w:r>
          </w:p>
        </w:tc>
        <w:tc>
          <w:tcPr>
            <w:tcW w:w="2624" w:type="dxa"/>
            <w:tcBorders>
              <w:top w:val="single" w:sz="4" w:space="0" w:color="auto"/>
              <w:left w:val="single" w:sz="4" w:space="0" w:color="auto"/>
              <w:bottom w:val="single" w:sz="4" w:space="0" w:color="auto"/>
              <w:right w:val="single" w:sz="4" w:space="0" w:color="auto"/>
            </w:tcBorders>
            <w:noWrap/>
            <w:vAlign w:val="center"/>
          </w:tcPr>
          <w:p w14:paraId="59EF76CB" w14:textId="56C52EF6" w:rsidR="00314CAB" w:rsidRDefault="00314CAB" w:rsidP="004D1B0A">
            <w:pPr>
              <w:widowControl/>
              <w:adjustRightInd w:val="0"/>
              <w:snapToGrid w:val="0"/>
              <w:spacing w:beforeLines="50" w:before="156" w:afterLines="50" w:after="156" w:line="360" w:lineRule="auto"/>
              <w:rPr>
                <w:rFonts w:eastAsia="等线" w:hint="eastAsia"/>
                <w:color w:val="000000"/>
                <w:sz w:val="24"/>
                <w:szCs w:val="24"/>
              </w:rPr>
            </w:pPr>
            <w:r>
              <w:rPr>
                <w:rFonts w:eastAsia="等线"/>
                <w:color w:val="000000"/>
                <w:sz w:val="24"/>
                <w:szCs w:val="24"/>
              </w:rPr>
              <w:t>37,03</w:t>
            </w:r>
            <w:r w:rsidR="003B6683">
              <w:rPr>
                <w:rFonts w:eastAsia="等线" w:hint="eastAsia"/>
                <w:color w:val="000000"/>
                <w:sz w:val="24"/>
                <w:szCs w:val="24"/>
              </w:rPr>
              <w:t>8</w:t>
            </w:r>
          </w:p>
        </w:tc>
        <w:tc>
          <w:tcPr>
            <w:tcW w:w="2979" w:type="dxa"/>
            <w:tcBorders>
              <w:top w:val="single" w:sz="4" w:space="0" w:color="auto"/>
              <w:left w:val="single" w:sz="4" w:space="0" w:color="auto"/>
              <w:bottom w:val="single" w:sz="4" w:space="0" w:color="auto"/>
              <w:right w:val="single" w:sz="4" w:space="0" w:color="auto"/>
            </w:tcBorders>
            <w:noWrap/>
            <w:vAlign w:val="center"/>
          </w:tcPr>
          <w:p w14:paraId="52AD1E90"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37,350</w:t>
            </w:r>
          </w:p>
        </w:tc>
      </w:tr>
      <w:tr w:rsidR="00314CAB" w14:paraId="60F88C23" w14:textId="77777777" w:rsidTr="004D1B0A">
        <w:trPr>
          <w:trHeight w:val="312"/>
        </w:trPr>
        <w:tc>
          <w:tcPr>
            <w:tcW w:w="2900" w:type="dxa"/>
            <w:tcBorders>
              <w:top w:val="single" w:sz="4" w:space="0" w:color="auto"/>
              <w:left w:val="single" w:sz="4" w:space="0" w:color="auto"/>
              <w:bottom w:val="single" w:sz="4" w:space="0" w:color="auto"/>
              <w:right w:val="single" w:sz="4" w:space="0" w:color="auto"/>
            </w:tcBorders>
            <w:noWrap/>
            <w:vAlign w:val="center"/>
          </w:tcPr>
          <w:p w14:paraId="318784F9"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Repeat content (%)</w:t>
            </w:r>
          </w:p>
        </w:tc>
        <w:tc>
          <w:tcPr>
            <w:tcW w:w="2624" w:type="dxa"/>
            <w:tcBorders>
              <w:top w:val="single" w:sz="4" w:space="0" w:color="auto"/>
              <w:left w:val="single" w:sz="4" w:space="0" w:color="auto"/>
              <w:bottom w:val="single" w:sz="4" w:space="0" w:color="auto"/>
              <w:right w:val="single" w:sz="4" w:space="0" w:color="auto"/>
            </w:tcBorders>
            <w:noWrap/>
            <w:vAlign w:val="center"/>
          </w:tcPr>
          <w:p w14:paraId="37051FF2"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66.64%</w:t>
            </w:r>
          </w:p>
        </w:tc>
        <w:tc>
          <w:tcPr>
            <w:tcW w:w="2979" w:type="dxa"/>
            <w:tcBorders>
              <w:top w:val="single" w:sz="4" w:space="0" w:color="auto"/>
              <w:left w:val="single" w:sz="4" w:space="0" w:color="auto"/>
              <w:bottom w:val="single" w:sz="4" w:space="0" w:color="auto"/>
              <w:right w:val="single" w:sz="4" w:space="0" w:color="auto"/>
            </w:tcBorders>
            <w:noWrap/>
            <w:vAlign w:val="center"/>
          </w:tcPr>
          <w:p w14:paraId="5AA7586F" w14:textId="77777777" w:rsidR="00314CAB" w:rsidRDefault="00314CAB" w:rsidP="004D1B0A">
            <w:pPr>
              <w:widowControl/>
              <w:adjustRightInd w:val="0"/>
              <w:snapToGrid w:val="0"/>
              <w:spacing w:beforeLines="50" w:before="156" w:afterLines="50" w:after="156" w:line="360" w:lineRule="auto"/>
              <w:rPr>
                <w:rFonts w:eastAsia="等线"/>
                <w:color w:val="000000"/>
                <w:sz w:val="24"/>
                <w:szCs w:val="24"/>
              </w:rPr>
            </w:pPr>
            <w:r>
              <w:rPr>
                <w:rFonts w:eastAsia="等线"/>
                <w:color w:val="000000"/>
                <w:sz w:val="24"/>
                <w:szCs w:val="24"/>
              </w:rPr>
              <w:t>66.21%</w:t>
            </w:r>
          </w:p>
        </w:tc>
      </w:tr>
    </w:tbl>
    <w:p w14:paraId="3A25178C" w14:textId="77777777" w:rsidR="00314CAB" w:rsidRPr="009200A4" w:rsidRDefault="00314CAB" w:rsidP="00314CAB">
      <w:pPr>
        <w:keepNext/>
        <w:widowControl/>
        <w:adjustRightInd w:val="0"/>
        <w:snapToGrid w:val="0"/>
        <w:spacing w:beforeLines="50" w:before="156" w:afterLines="50" w:after="156" w:line="360" w:lineRule="auto"/>
        <w:outlineLvl w:val="0"/>
        <w:rPr>
          <w:rFonts w:ascii="Times New Roman" w:hAnsi="Times New Roman" w:cs="Times New Roman"/>
          <w:b/>
          <w:bCs/>
          <w:kern w:val="32"/>
          <w:sz w:val="24"/>
          <w14:ligatures w14:val="none"/>
        </w:rPr>
      </w:pPr>
    </w:p>
    <w:p w14:paraId="2BCA914F" w14:textId="3C8685F3" w:rsidR="00314CAB" w:rsidRDefault="00314CAB" w:rsidP="009200A4">
      <w:pPr>
        <w:widowControl/>
        <w:rPr>
          <w:rFonts w:ascii="Times New Roman" w:hAnsi="Times New Roman" w:cs="Times New Roman"/>
          <w:b/>
          <w:bCs/>
          <w:kern w:val="32"/>
          <w:sz w:val="24"/>
          <w14:ligatures w14:val="none"/>
        </w:rPr>
      </w:pPr>
      <w:r>
        <w:rPr>
          <w:rFonts w:ascii="Times New Roman" w:eastAsia="Times New Roman" w:hAnsi="Times New Roman" w:cs="Times New Roman"/>
          <w:b/>
          <w:bCs/>
          <w:kern w:val="32"/>
          <w:sz w:val="24"/>
          <w:lang w:eastAsia="en-US"/>
          <w14:ligatures w14:val="none"/>
        </w:rPr>
        <w:br w:type="page"/>
      </w:r>
      <w:r w:rsidRPr="005E6DE1">
        <w:rPr>
          <w:rFonts w:ascii="Times New Roman" w:eastAsia="Times New Roman" w:hAnsi="Times New Roman" w:cs="Times New Roman"/>
          <w:b/>
          <w:bCs/>
          <w:kern w:val="32"/>
          <w:sz w:val="24"/>
          <w:lang w:eastAsia="en-US"/>
          <w14:ligatures w14:val="none"/>
        </w:rPr>
        <w:lastRenderedPageBreak/>
        <w:t>Supplementary Table 2. Primers used for the verification of inversions on Chr19</w:t>
      </w:r>
      <w:r>
        <w:rPr>
          <w:rFonts w:ascii="Times New Roman" w:hAnsi="Times New Roman" w:cs="Times New Roman" w:hint="eastAsia"/>
          <w:b/>
          <w:bCs/>
          <w:kern w:val="32"/>
          <w:sz w:val="24"/>
          <w14:ligatures w14:val="none"/>
        </w:rPr>
        <w:t>.</w:t>
      </w:r>
    </w:p>
    <w:tbl>
      <w:tblPr>
        <w:tblStyle w:val="11"/>
        <w:tblW w:w="0" w:type="auto"/>
        <w:tblLook w:val="04A0" w:firstRow="1" w:lastRow="0" w:firstColumn="1" w:lastColumn="0" w:noHBand="0" w:noVBand="1"/>
      </w:tblPr>
      <w:tblGrid>
        <w:gridCol w:w="1536"/>
        <w:gridCol w:w="2367"/>
        <w:gridCol w:w="2367"/>
        <w:gridCol w:w="2026"/>
      </w:tblGrid>
      <w:tr w:rsidR="00314CAB" w14:paraId="79088224" w14:textId="77777777" w:rsidTr="004D1B0A">
        <w:trPr>
          <w:trHeight w:val="850"/>
        </w:trPr>
        <w:tc>
          <w:tcPr>
            <w:tcW w:w="2263" w:type="dxa"/>
            <w:noWrap/>
            <w:vAlign w:val="center"/>
          </w:tcPr>
          <w:p w14:paraId="15354112"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Combination</w:t>
            </w:r>
          </w:p>
        </w:tc>
        <w:tc>
          <w:tcPr>
            <w:tcW w:w="1548" w:type="dxa"/>
            <w:noWrap/>
            <w:vAlign w:val="center"/>
          </w:tcPr>
          <w:p w14:paraId="370DF9F3"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Forward primer</w:t>
            </w:r>
          </w:p>
        </w:tc>
        <w:tc>
          <w:tcPr>
            <w:tcW w:w="0" w:type="auto"/>
            <w:noWrap/>
            <w:vAlign w:val="center"/>
          </w:tcPr>
          <w:p w14:paraId="2E3AB1C6"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Reverse primer</w:t>
            </w:r>
          </w:p>
        </w:tc>
        <w:tc>
          <w:tcPr>
            <w:tcW w:w="0" w:type="auto"/>
            <w:noWrap/>
            <w:vAlign w:val="center"/>
          </w:tcPr>
          <w:p w14:paraId="1CC2D23F"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Expected product length</w:t>
            </w:r>
            <w:r>
              <w:rPr>
                <w:rFonts w:ascii="Times New Roman" w:eastAsia="宋体" w:hAnsi="Times New Roman" w:cs="Times New Roman" w:hint="eastAsia"/>
                <w:color w:val="000000"/>
                <w:sz w:val="24"/>
                <w:szCs w:val="24"/>
              </w:rPr>
              <w:t xml:space="preserve"> </w:t>
            </w:r>
            <w:r>
              <w:rPr>
                <w:rFonts w:ascii="Times New Roman" w:eastAsia="宋体" w:hAnsi="Times New Roman" w:cs="Times New Roman"/>
                <w:color w:val="000000"/>
                <w:sz w:val="24"/>
                <w:szCs w:val="24"/>
              </w:rPr>
              <w:t>(bp)</w:t>
            </w:r>
          </w:p>
        </w:tc>
      </w:tr>
      <w:tr w:rsidR="00314CAB" w14:paraId="6B7FCC8D" w14:textId="77777777" w:rsidTr="004D1B0A">
        <w:trPr>
          <w:trHeight w:val="850"/>
        </w:trPr>
        <w:tc>
          <w:tcPr>
            <w:tcW w:w="2263" w:type="dxa"/>
            <w:noWrap/>
            <w:vAlign w:val="center"/>
          </w:tcPr>
          <w:p w14:paraId="56759550"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p1/p2</w:t>
            </w:r>
          </w:p>
        </w:tc>
        <w:tc>
          <w:tcPr>
            <w:tcW w:w="1548" w:type="dxa"/>
            <w:noWrap/>
            <w:vAlign w:val="center"/>
          </w:tcPr>
          <w:p w14:paraId="77EE102D"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TCCGACTATGTGAAAGGCCC</w:t>
            </w:r>
          </w:p>
        </w:tc>
        <w:tc>
          <w:tcPr>
            <w:tcW w:w="0" w:type="auto"/>
            <w:noWrap/>
            <w:vAlign w:val="center"/>
          </w:tcPr>
          <w:p w14:paraId="02EF80B1"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CGGGTTTGTCACCTGCTTTG</w:t>
            </w:r>
          </w:p>
        </w:tc>
        <w:tc>
          <w:tcPr>
            <w:tcW w:w="0" w:type="auto"/>
            <w:noWrap/>
            <w:vAlign w:val="center"/>
          </w:tcPr>
          <w:p w14:paraId="3928C0F8"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425</w:t>
            </w:r>
          </w:p>
        </w:tc>
      </w:tr>
      <w:tr w:rsidR="00314CAB" w14:paraId="0AD1F189" w14:textId="77777777" w:rsidTr="004D1B0A">
        <w:trPr>
          <w:trHeight w:val="850"/>
        </w:trPr>
        <w:tc>
          <w:tcPr>
            <w:tcW w:w="2263" w:type="dxa"/>
            <w:noWrap/>
            <w:vAlign w:val="center"/>
          </w:tcPr>
          <w:p w14:paraId="20D721A1"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p3/p4</w:t>
            </w:r>
          </w:p>
        </w:tc>
        <w:tc>
          <w:tcPr>
            <w:tcW w:w="1548" w:type="dxa"/>
            <w:noWrap/>
            <w:vAlign w:val="center"/>
          </w:tcPr>
          <w:p w14:paraId="7831E03F"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CCGGCGTAAAATCTGAGAAG</w:t>
            </w:r>
          </w:p>
        </w:tc>
        <w:tc>
          <w:tcPr>
            <w:tcW w:w="0" w:type="auto"/>
            <w:noWrap/>
            <w:vAlign w:val="center"/>
          </w:tcPr>
          <w:p w14:paraId="2C74CB05"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TCAAGGTGGCTCACAAGTG</w:t>
            </w:r>
          </w:p>
        </w:tc>
        <w:tc>
          <w:tcPr>
            <w:tcW w:w="0" w:type="auto"/>
            <w:noWrap/>
            <w:vAlign w:val="center"/>
          </w:tcPr>
          <w:p w14:paraId="179D5BA8"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1044</w:t>
            </w:r>
          </w:p>
        </w:tc>
      </w:tr>
      <w:tr w:rsidR="00314CAB" w14:paraId="7CBF36D4" w14:textId="77777777" w:rsidTr="004D1B0A">
        <w:trPr>
          <w:trHeight w:val="850"/>
        </w:trPr>
        <w:tc>
          <w:tcPr>
            <w:tcW w:w="2263" w:type="dxa"/>
            <w:noWrap/>
            <w:vAlign w:val="center"/>
          </w:tcPr>
          <w:p w14:paraId="332BBC68"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p1/p5</w:t>
            </w:r>
          </w:p>
        </w:tc>
        <w:tc>
          <w:tcPr>
            <w:tcW w:w="1548" w:type="dxa"/>
            <w:noWrap/>
            <w:vAlign w:val="center"/>
          </w:tcPr>
          <w:p w14:paraId="2FE7BEFE"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TCCGACTATGTGAAAGGCCC</w:t>
            </w:r>
          </w:p>
        </w:tc>
        <w:tc>
          <w:tcPr>
            <w:tcW w:w="0" w:type="auto"/>
            <w:noWrap/>
            <w:vAlign w:val="center"/>
          </w:tcPr>
          <w:p w14:paraId="6896EE9D"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CCTATGCATAAGCCGTGGGT</w:t>
            </w:r>
          </w:p>
        </w:tc>
        <w:tc>
          <w:tcPr>
            <w:tcW w:w="0" w:type="auto"/>
            <w:noWrap/>
            <w:vAlign w:val="center"/>
          </w:tcPr>
          <w:p w14:paraId="014CDCCC"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670</w:t>
            </w:r>
          </w:p>
        </w:tc>
      </w:tr>
      <w:tr w:rsidR="00314CAB" w14:paraId="54998F9F" w14:textId="77777777" w:rsidTr="004D1B0A">
        <w:trPr>
          <w:trHeight w:val="850"/>
        </w:trPr>
        <w:tc>
          <w:tcPr>
            <w:tcW w:w="2263" w:type="dxa"/>
            <w:noWrap/>
            <w:vAlign w:val="center"/>
          </w:tcPr>
          <w:p w14:paraId="4EA7501D"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p6/p3</w:t>
            </w:r>
          </w:p>
        </w:tc>
        <w:tc>
          <w:tcPr>
            <w:tcW w:w="1548" w:type="dxa"/>
            <w:noWrap/>
            <w:vAlign w:val="center"/>
          </w:tcPr>
          <w:p w14:paraId="03B93989"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TGTCTCTCACTTCTCCCTCT</w:t>
            </w:r>
          </w:p>
        </w:tc>
        <w:tc>
          <w:tcPr>
            <w:tcW w:w="0" w:type="auto"/>
            <w:noWrap/>
            <w:vAlign w:val="center"/>
          </w:tcPr>
          <w:p w14:paraId="73E0FDCE"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CCGGCGTAAAATCTGAGAAG</w:t>
            </w:r>
          </w:p>
        </w:tc>
        <w:tc>
          <w:tcPr>
            <w:tcW w:w="0" w:type="auto"/>
            <w:noWrap/>
            <w:vAlign w:val="center"/>
          </w:tcPr>
          <w:p w14:paraId="1975BB27"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1359</w:t>
            </w:r>
          </w:p>
        </w:tc>
      </w:tr>
      <w:tr w:rsidR="00314CAB" w14:paraId="5682D990" w14:textId="77777777" w:rsidTr="004D1B0A">
        <w:trPr>
          <w:trHeight w:val="850"/>
        </w:trPr>
        <w:tc>
          <w:tcPr>
            <w:tcW w:w="2263" w:type="dxa"/>
            <w:noWrap/>
            <w:vAlign w:val="center"/>
          </w:tcPr>
          <w:p w14:paraId="2227B967"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p2/p7</w:t>
            </w:r>
          </w:p>
        </w:tc>
        <w:tc>
          <w:tcPr>
            <w:tcW w:w="1548" w:type="dxa"/>
            <w:noWrap/>
            <w:vAlign w:val="center"/>
          </w:tcPr>
          <w:p w14:paraId="69007ACF"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CGGGTTTGTCACCTGCTTTG</w:t>
            </w:r>
          </w:p>
        </w:tc>
        <w:tc>
          <w:tcPr>
            <w:tcW w:w="0" w:type="auto"/>
            <w:noWrap/>
            <w:vAlign w:val="center"/>
          </w:tcPr>
          <w:p w14:paraId="52744199"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CCCGACATGTCCTCATATGG</w:t>
            </w:r>
          </w:p>
        </w:tc>
        <w:tc>
          <w:tcPr>
            <w:tcW w:w="0" w:type="auto"/>
            <w:noWrap/>
            <w:vAlign w:val="center"/>
          </w:tcPr>
          <w:p w14:paraId="510561B9"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369</w:t>
            </w:r>
          </w:p>
        </w:tc>
      </w:tr>
      <w:tr w:rsidR="00314CAB" w14:paraId="64229F18" w14:textId="77777777" w:rsidTr="004D1B0A">
        <w:trPr>
          <w:trHeight w:val="850"/>
        </w:trPr>
        <w:tc>
          <w:tcPr>
            <w:tcW w:w="2263" w:type="dxa"/>
            <w:noWrap/>
            <w:vAlign w:val="center"/>
          </w:tcPr>
          <w:p w14:paraId="74E13D9B"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p8/p4</w:t>
            </w:r>
          </w:p>
        </w:tc>
        <w:tc>
          <w:tcPr>
            <w:tcW w:w="1548" w:type="dxa"/>
            <w:noWrap/>
            <w:vAlign w:val="center"/>
          </w:tcPr>
          <w:p w14:paraId="00054A6A"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TCAACCGGTTCAGCACTATG</w:t>
            </w:r>
          </w:p>
        </w:tc>
        <w:tc>
          <w:tcPr>
            <w:tcW w:w="0" w:type="auto"/>
            <w:noWrap/>
            <w:vAlign w:val="center"/>
          </w:tcPr>
          <w:p w14:paraId="66047595"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TCAAGGTGGCTCACAAGTG</w:t>
            </w:r>
          </w:p>
        </w:tc>
        <w:tc>
          <w:tcPr>
            <w:tcW w:w="0" w:type="auto"/>
            <w:noWrap/>
            <w:vAlign w:val="center"/>
          </w:tcPr>
          <w:p w14:paraId="541FD45C" w14:textId="77777777" w:rsidR="00314CAB" w:rsidRDefault="00314CAB" w:rsidP="004D1B0A">
            <w:pPr>
              <w:widowControl/>
              <w:jc w:val="center"/>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285</w:t>
            </w:r>
          </w:p>
        </w:tc>
      </w:tr>
    </w:tbl>
    <w:p w14:paraId="1F3E351C" w14:textId="77777777" w:rsidR="00314CAB" w:rsidRDefault="00314CAB" w:rsidP="00314CAB">
      <w:pPr>
        <w:keepNext/>
        <w:widowControl/>
        <w:adjustRightInd w:val="0"/>
        <w:snapToGrid w:val="0"/>
        <w:spacing w:beforeLines="50" w:before="156" w:afterLines="50" w:after="156" w:line="360" w:lineRule="auto"/>
        <w:outlineLvl w:val="0"/>
        <w:rPr>
          <w:rFonts w:ascii="Times New Roman" w:hAnsi="Times New Roman" w:cs="Times New Roman"/>
          <w:b/>
          <w:bCs/>
          <w:kern w:val="32"/>
          <w:sz w:val="24"/>
          <w14:ligatures w14:val="none"/>
        </w:rPr>
      </w:pPr>
    </w:p>
    <w:p w14:paraId="30884166" w14:textId="77777777" w:rsidR="00314CAB" w:rsidRDefault="00314CAB" w:rsidP="00314CAB">
      <w:pPr>
        <w:widowControl/>
        <w:rPr>
          <w:rFonts w:ascii="Times New Roman" w:hAnsi="Times New Roman" w:cs="Times New Roman"/>
          <w:b/>
          <w:bCs/>
          <w:kern w:val="32"/>
          <w:sz w:val="24"/>
          <w14:ligatures w14:val="none"/>
        </w:rPr>
      </w:pPr>
      <w:r>
        <w:rPr>
          <w:rFonts w:ascii="Times New Roman" w:hAnsi="Times New Roman" w:cs="Times New Roman"/>
          <w:b/>
          <w:bCs/>
          <w:kern w:val="32"/>
          <w:sz w:val="24"/>
          <w14:ligatures w14:val="none"/>
        </w:rPr>
        <w:br w:type="page"/>
      </w:r>
    </w:p>
    <w:p w14:paraId="7641B1CE" w14:textId="77777777" w:rsidR="00314CAB" w:rsidRDefault="00314CAB" w:rsidP="00314CAB">
      <w:pPr>
        <w:keepNext/>
        <w:widowControl/>
        <w:adjustRightInd w:val="0"/>
        <w:snapToGrid w:val="0"/>
        <w:spacing w:beforeLines="50" w:before="156" w:afterLines="50" w:after="156" w:line="360" w:lineRule="auto"/>
        <w:outlineLvl w:val="0"/>
        <w:rPr>
          <w:rFonts w:ascii="Times New Roman" w:eastAsia="Times New Roman" w:hAnsi="Times New Roman" w:cs="Times New Roman"/>
          <w:kern w:val="32"/>
          <w:sz w:val="24"/>
          <w:lang w:eastAsia="en-US"/>
          <w14:ligatures w14:val="none"/>
        </w:rPr>
      </w:pPr>
      <w:r>
        <w:rPr>
          <w:rFonts w:ascii="Times New Roman" w:eastAsia="Times New Roman" w:hAnsi="Times New Roman" w:cs="Times New Roman"/>
          <w:b/>
          <w:bCs/>
          <w:kern w:val="32"/>
          <w:sz w:val="24"/>
          <w:lang w:eastAsia="en-US"/>
          <w14:ligatures w14:val="none"/>
        </w:rPr>
        <w:lastRenderedPageBreak/>
        <w:t xml:space="preserve">Supplementary Table </w:t>
      </w:r>
      <w:r>
        <w:rPr>
          <w:rFonts w:ascii="Times New Roman" w:hAnsi="Times New Roman" w:cs="Times New Roman" w:hint="eastAsia"/>
          <w:b/>
          <w:bCs/>
          <w:kern w:val="32"/>
          <w:sz w:val="24"/>
          <w14:ligatures w14:val="none"/>
        </w:rPr>
        <w:t>3</w:t>
      </w:r>
      <w:r>
        <w:rPr>
          <w:rFonts w:ascii="Times New Roman" w:eastAsia="Times New Roman" w:hAnsi="Times New Roman" w:cs="Times New Roman"/>
          <w:b/>
          <w:bCs/>
          <w:kern w:val="32"/>
          <w:sz w:val="24"/>
          <w:lang w:eastAsia="en-US"/>
          <w14:ligatures w14:val="none"/>
        </w:rPr>
        <w:t xml:space="preserve">. The number of SV </w:t>
      </w:r>
      <w:r>
        <w:rPr>
          <w:rFonts w:ascii="Times New Roman" w:hAnsi="Times New Roman" w:cs="Times New Roman" w:hint="eastAsia"/>
          <w:b/>
          <w:bCs/>
          <w:kern w:val="32"/>
          <w:sz w:val="24"/>
          <w14:ligatures w14:val="none"/>
        </w:rPr>
        <w:t xml:space="preserve">types </w:t>
      </w:r>
      <w:r>
        <w:rPr>
          <w:rFonts w:ascii="Times New Roman" w:eastAsia="Times New Roman" w:hAnsi="Times New Roman" w:cs="Times New Roman"/>
          <w:b/>
          <w:bCs/>
          <w:kern w:val="32"/>
          <w:sz w:val="24"/>
          <w:lang w:eastAsia="en-US"/>
          <w14:ligatures w14:val="none"/>
        </w:rPr>
        <w:t>specific to PN and the number associated with TE.</w:t>
      </w:r>
    </w:p>
    <w:tbl>
      <w:tblPr>
        <w:tblStyle w:val="21"/>
        <w:tblpPr w:leftFromText="180" w:rightFromText="180" w:vertAnchor="text" w:tblpY="21"/>
        <w:tblW w:w="0" w:type="auto"/>
        <w:tblLook w:val="04A0" w:firstRow="1" w:lastRow="0" w:firstColumn="1" w:lastColumn="0" w:noHBand="0" w:noVBand="1"/>
      </w:tblPr>
      <w:tblGrid>
        <w:gridCol w:w="1838"/>
        <w:gridCol w:w="1276"/>
        <w:gridCol w:w="1417"/>
        <w:gridCol w:w="1276"/>
        <w:gridCol w:w="1276"/>
        <w:gridCol w:w="1213"/>
      </w:tblGrid>
      <w:tr w:rsidR="00314CAB" w14:paraId="569C885A" w14:textId="77777777" w:rsidTr="004D1B0A">
        <w:trPr>
          <w:trHeight w:val="323"/>
        </w:trPr>
        <w:tc>
          <w:tcPr>
            <w:tcW w:w="1838" w:type="dxa"/>
            <w:noWrap/>
            <w:vAlign w:val="center"/>
          </w:tcPr>
          <w:p w14:paraId="514F1E2D" w14:textId="77777777" w:rsidR="00314CAB" w:rsidRPr="005E6DE1"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p>
        </w:tc>
        <w:tc>
          <w:tcPr>
            <w:tcW w:w="1276" w:type="dxa"/>
            <w:noWrap/>
            <w:vAlign w:val="center"/>
          </w:tcPr>
          <w:p w14:paraId="63458561"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DEL</w:t>
            </w:r>
          </w:p>
        </w:tc>
        <w:tc>
          <w:tcPr>
            <w:tcW w:w="1417" w:type="dxa"/>
            <w:noWrap/>
            <w:vAlign w:val="center"/>
          </w:tcPr>
          <w:p w14:paraId="7D1ABCB1"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BND</w:t>
            </w:r>
          </w:p>
        </w:tc>
        <w:tc>
          <w:tcPr>
            <w:tcW w:w="1276" w:type="dxa"/>
            <w:noWrap/>
            <w:vAlign w:val="center"/>
          </w:tcPr>
          <w:p w14:paraId="05C5C612"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DUP</w:t>
            </w:r>
          </w:p>
        </w:tc>
        <w:tc>
          <w:tcPr>
            <w:tcW w:w="1276" w:type="dxa"/>
            <w:noWrap/>
            <w:vAlign w:val="center"/>
          </w:tcPr>
          <w:p w14:paraId="0F4C4615"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INV</w:t>
            </w:r>
          </w:p>
        </w:tc>
        <w:tc>
          <w:tcPr>
            <w:tcW w:w="1213" w:type="dxa"/>
            <w:vAlign w:val="center"/>
          </w:tcPr>
          <w:p w14:paraId="7C29472D"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All</w:t>
            </w:r>
          </w:p>
        </w:tc>
      </w:tr>
      <w:tr w:rsidR="00314CAB" w14:paraId="68D3EA5B" w14:textId="77777777" w:rsidTr="004D1B0A">
        <w:trPr>
          <w:trHeight w:val="323"/>
        </w:trPr>
        <w:tc>
          <w:tcPr>
            <w:tcW w:w="1838" w:type="dxa"/>
            <w:noWrap/>
            <w:vAlign w:val="center"/>
          </w:tcPr>
          <w:p w14:paraId="4E27BA0A"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All</w:t>
            </w:r>
          </w:p>
        </w:tc>
        <w:tc>
          <w:tcPr>
            <w:tcW w:w="1276" w:type="dxa"/>
            <w:noWrap/>
            <w:vAlign w:val="center"/>
          </w:tcPr>
          <w:p w14:paraId="6518E733"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361</w:t>
            </w:r>
          </w:p>
        </w:tc>
        <w:tc>
          <w:tcPr>
            <w:tcW w:w="1417" w:type="dxa"/>
            <w:noWrap/>
            <w:vAlign w:val="center"/>
          </w:tcPr>
          <w:p w14:paraId="076A7A01"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178</w:t>
            </w:r>
          </w:p>
        </w:tc>
        <w:tc>
          <w:tcPr>
            <w:tcW w:w="1276" w:type="dxa"/>
            <w:noWrap/>
            <w:vAlign w:val="center"/>
          </w:tcPr>
          <w:p w14:paraId="1AD7301D"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55</w:t>
            </w:r>
          </w:p>
        </w:tc>
        <w:tc>
          <w:tcPr>
            <w:tcW w:w="1276" w:type="dxa"/>
            <w:noWrap/>
            <w:vAlign w:val="center"/>
          </w:tcPr>
          <w:p w14:paraId="4C5D8168"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1213" w:type="dxa"/>
            <w:vAlign w:val="center"/>
          </w:tcPr>
          <w:p w14:paraId="3A3A4773"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605</w:t>
            </w:r>
          </w:p>
        </w:tc>
      </w:tr>
      <w:tr w:rsidR="00314CAB" w14:paraId="10982C60" w14:textId="77777777" w:rsidTr="004D1B0A">
        <w:trPr>
          <w:trHeight w:val="323"/>
        </w:trPr>
        <w:tc>
          <w:tcPr>
            <w:tcW w:w="1838" w:type="dxa"/>
            <w:noWrap/>
            <w:vAlign w:val="center"/>
          </w:tcPr>
          <w:p w14:paraId="24D28E43"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Relate to TE</w:t>
            </w:r>
          </w:p>
        </w:tc>
        <w:tc>
          <w:tcPr>
            <w:tcW w:w="1276" w:type="dxa"/>
            <w:noWrap/>
            <w:vAlign w:val="center"/>
          </w:tcPr>
          <w:p w14:paraId="3CA854B7"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348</w:t>
            </w:r>
          </w:p>
        </w:tc>
        <w:tc>
          <w:tcPr>
            <w:tcW w:w="1417" w:type="dxa"/>
            <w:noWrap/>
            <w:vAlign w:val="center"/>
          </w:tcPr>
          <w:p w14:paraId="20C6C90C"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117</w:t>
            </w:r>
          </w:p>
        </w:tc>
        <w:tc>
          <w:tcPr>
            <w:tcW w:w="1276" w:type="dxa"/>
            <w:noWrap/>
            <w:vAlign w:val="center"/>
          </w:tcPr>
          <w:p w14:paraId="051B9FAA"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53</w:t>
            </w:r>
          </w:p>
        </w:tc>
        <w:tc>
          <w:tcPr>
            <w:tcW w:w="1276" w:type="dxa"/>
            <w:noWrap/>
            <w:vAlign w:val="center"/>
          </w:tcPr>
          <w:p w14:paraId="0FC8E91E"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1213" w:type="dxa"/>
            <w:vAlign w:val="center"/>
          </w:tcPr>
          <w:p w14:paraId="29A3EBC2"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529</w:t>
            </w:r>
          </w:p>
        </w:tc>
      </w:tr>
    </w:tbl>
    <w:p w14:paraId="38EB0983" w14:textId="77777777" w:rsidR="00314CAB" w:rsidRDefault="00314CAB" w:rsidP="00314CAB">
      <w:pPr>
        <w:rPr>
          <w:rFonts w:ascii="Times New Roman" w:eastAsia="Times New Roman" w:hAnsi="Times New Roman" w:cs="Times New Roman"/>
          <w:b/>
          <w:bCs/>
          <w:kern w:val="32"/>
          <w:sz w:val="24"/>
          <w:lang w:eastAsia="en-US"/>
          <w14:ligatures w14:val="none"/>
        </w:rPr>
      </w:pPr>
      <w:r>
        <w:rPr>
          <w:rFonts w:ascii="Times New Roman" w:eastAsia="Times New Roman" w:hAnsi="Times New Roman" w:cs="Times New Roman"/>
          <w:b/>
          <w:bCs/>
          <w:kern w:val="32"/>
          <w:sz w:val="24"/>
          <w:lang w:eastAsia="en-US"/>
          <w14:ligatures w14:val="none"/>
        </w:rPr>
        <w:br w:type="page"/>
      </w:r>
    </w:p>
    <w:p w14:paraId="2BD8A7A1" w14:textId="77777777" w:rsidR="00314CAB" w:rsidRDefault="00314CAB" w:rsidP="00314CAB">
      <w:pPr>
        <w:keepNext/>
        <w:widowControl/>
        <w:adjustRightInd w:val="0"/>
        <w:snapToGrid w:val="0"/>
        <w:spacing w:beforeLines="50" w:before="156" w:afterLines="50" w:after="156" w:line="360" w:lineRule="auto"/>
        <w:outlineLvl w:val="0"/>
        <w:rPr>
          <w:rFonts w:ascii="Times New Roman" w:eastAsia="Times New Roman" w:hAnsi="Times New Roman" w:cs="Times New Roman"/>
          <w:b/>
          <w:bCs/>
          <w:kern w:val="32"/>
          <w:sz w:val="24"/>
          <w:lang w:eastAsia="en-US"/>
          <w14:ligatures w14:val="none"/>
        </w:rPr>
      </w:pPr>
      <w:r>
        <w:rPr>
          <w:rFonts w:ascii="Times New Roman" w:eastAsia="Times New Roman" w:hAnsi="Times New Roman" w:cs="Times New Roman"/>
          <w:b/>
          <w:bCs/>
          <w:kern w:val="32"/>
          <w:sz w:val="24"/>
          <w:lang w:eastAsia="en-US"/>
          <w14:ligatures w14:val="none"/>
        </w:rPr>
        <w:lastRenderedPageBreak/>
        <w:t xml:space="preserve">Supplementary Table </w:t>
      </w:r>
      <w:r>
        <w:rPr>
          <w:rFonts w:ascii="Times New Roman" w:hAnsi="Times New Roman" w:cs="Times New Roman" w:hint="eastAsia"/>
          <w:b/>
          <w:bCs/>
          <w:kern w:val="32"/>
          <w:sz w:val="24"/>
          <w14:ligatures w14:val="none"/>
        </w:rPr>
        <w:t>4</w:t>
      </w:r>
      <w:r>
        <w:rPr>
          <w:rFonts w:ascii="Times New Roman" w:eastAsia="Times New Roman" w:hAnsi="Times New Roman" w:cs="Times New Roman"/>
          <w:b/>
          <w:bCs/>
          <w:kern w:val="32"/>
          <w:sz w:val="24"/>
          <w:lang w:eastAsia="en-US"/>
          <w14:ligatures w14:val="none"/>
        </w:rPr>
        <w:t>. The range of heterozygous blocks.</w:t>
      </w:r>
    </w:p>
    <w:tbl>
      <w:tblPr>
        <w:tblStyle w:val="51"/>
        <w:tblpPr w:leftFromText="180" w:rightFromText="180" w:vertAnchor="text" w:horzAnchor="page" w:tblpX="1902" w:tblpY="374"/>
        <w:tblW w:w="0" w:type="auto"/>
        <w:tblLayout w:type="fixed"/>
        <w:tblLook w:val="04A0" w:firstRow="1" w:lastRow="0" w:firstColumn="1" w:lastColumn="0" w:noHBand="0" w:noVBand="1"/>
      </w:tblPr>
      <w:tblGrid>
        <w:gridCol w:w="1590"/>
        <w:gridCol w:w="873"/>
        <w:gridCol w:w="1023"/>
        <w:gridCol w:w="995"/>
        <w:gridCol w:w="996"/>
        <w:gridCol w:w="984"/>
        <w:gridCol w:w="1080"/>
      </w:tblGrid>
      <w:tr w:rsidR="00314CAB" w14:paraId="227A520B" w14:textId="77777777" w:rsidTr="004D1B0A">
        <w:trPr>
          <w:trHeight w:val="276"/>
        </w:trPr>
        <w:tc>
          <w:tcPr>
            <w:tcW w:w="1590" w:type="dxa"/>
            <w:noWrap/>
            <w:vAlign w:val="center"/>
          </w:tcPr>
          <w:p w14:paraId="31A39871"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Chromosome</w:t>
            </w:r>
          </w:p>
        </w:tc>
        <w:tc>
          <w:tcPr>
            <w:tcW w:w="873" w:type="dxa"/>
            <w:noWrap/>
            <w:vAlign w:val="center"/>
          </w:tcPr>
          <w:p w14:paraId="6C1BEF6E"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2</w:t>
            </w:r>
          </w:p>
        </w:tc>
        <w:tc>
          <w:tcPr>
            <w:tcW w:w="1023" w:type="dxa"/>
            <w:noWrap/>
            <w:vAlign w:val="center"/>
          </w:tcPr>
          <w:p w14:paraId="06BD3AA3"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4</w:t>
            </w:r>
          </w:p>
        </w:tc>
        <w:tc>
          <w:tcPr>
            <w:tcW w:w="995" w:type="dxa"/>
            <w:noWrap/>
            <w:vAlign w:val="center"/>
          </w:tcPr>
          <w:p w14:paraId="247F3371"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7</w:t>
            </w:r>
          </w:p>
        </w:tc>
        <w:tc>
          <w:tcPr>
            <w:tcW w:w="996" w:type="dxa"/>
            <w:noWrap/>
            <w:vAlign w:val="center"/>
          </w:tcPr>
          <w:p w14:paraId="3EE540AE"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10</w:t>
            </w:r>
          </w:p>
        </w:tc>
        <w:tc>
          <w:tcPr>
            <w:tcW w:w="984" w:type="dxa"/>
            <w:noWrap/>
            <w:vAlign w:val="center"/>
          </w:tcPr>
          <w:p w14:paraId="7BEF29C0"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11</w:t>
            </w:r>
          </w:p>
        </w:tc>
        <w:tc>
          <w:tcPr>
            <w:tcW w:w="1080" w:type="dxa"/>
            <w:noWrap/>
            <w:vAlign w:val="center"/>
          </w:tcPr>
          <w:p w14:paraId="2121A316"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16</w:t>
            </w:r>
          </w:p>
        </w:tc>
      </w:tr>
      <w:tr w:rsidR="00314CAB" w14:paraId="381E9B7F" w14:textId="77777777" w:rsidTr="004D1B0A">
        <w:trPr>
          <w:trHeight w:val="276"/>
        </w:trPr>
        <w:tc>
          <w:tcPr>
            <w:tcW w:w="1590" w:type="dxa"/>
            <w:noWrap/>
            <w:vAlign w:val="center"/>
          </w:tcPr>
          <w:p w14:paraId="49AA3BAC"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Start</w:t>
            </w:r>
            <w:r>
              <w:rPr>
                <w:rFonts w:ascii="Times New Roman" w:eastAsia="宋体" w:hAnsi="Times New Roman" w:cs="Times New Roman" w:hint="eastAsia"/>
                <w:sz w:val="24"/>
                <w:szCs w:val="24"/>
              </w:rPr>
              <w:t xml:space="preserve"> (bp)</w:t>
            </w:r>
          </w:p>
        </w:tc>
        <w:tc>
          <w:tcPr>
            <w:tcW w:w="873" w:type="dxa"/>
            <w:noWrap/>
            <w:vAlign w:val="center"/>
          </w:tcPr>
          <w:p w14:paraId="22C020DC"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4,270,039</w:t>
            </w:r>
          </w:p>
        </w:tc>
        <w:tc>
          <w:tcPr>
            <w:tcW w:w="1023" w:type="dxa"/>
            <w:noWrap/>
            <w:vAlign w:val="center"/>
          </w:tcPr>
          <w:p w14:paraId="3FB95690"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21,770,2</w:t>
            </w:r>
            <w:r>
              <w:rPr>
                <w:rFonts w:ascii="Times New Roman" w:eastAsia="宋体" w:hAnsi="Times New Roman" w:cs="Times New Roman" w:hint="eastAsia"/>
                <w:sz w:val="24"/>
                <w:szCs w:val="24"/>
              </w:rPr>
              <w:t>66</w:t>
            </w:r>
          </w:p>
        </w:tc>
        <w:tc>
          <w:tcPr>
            <w:tcW w:w="995" w:type="dxa"/>
            <w:noWrap/>
            <w:vAlign w:val="center"/>
          </w:tcPr>
          <w:p w14:paraId="443AA675"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15,31</w:t>
            </w:r>
            <w:r>
              <w:rPr>
                <w:rFonts w:ascii="Times New Roman" w:eastAsia="宋体" w:hAnsi="Times New Roman" w:cs="Times New Roman" w:hint="eastAsia"/>
                <w:sz w:val="24"/>
                <w:szCs w:val="24"/>
              </w:rPr>
              <w:t>5</w:t>
            </w:r>
            <w:r>
              <w:rPr>
                <w:rFonts w:ascii="Times New Roman" w:eastAsia="宋体" w:hAnsi="Times New Roman" w:cs="Times New Roman"/>
                <w:sz w:val="24"/>
                <w:szCs w:val="24"/>
              </w:rPr>
              <w:t>,</w:t>
            </w:r>
            <w:r>
              <w:rPr>
                <w:rFonts w:ascii="Times New Roman" w:eastAsia="宋体" w:hAnsi="Times New Roman" w:cs="Times New Roman" w:hint="eastAsia"/>
                <w:sz w:val="24"/>
                <w:szCs w:val="24"/>
              </w:rPr>
              <w:t>086</w:t>
            </w:r>
          </w:p>
        </w:tc>
        <w:tc>
          <w:tcPr>
            <w:tcW w:w="996" w:type="dxa"/>
            <w:noWrap/>
            <w:vAlign w:val="center"/>
          </w:tcPr>
          <w:p w14:paraId="1910AFAC"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678</w:t>
            </w:r>
            <w:r>
              <w:rPr>
                <w:rFonts w:ascii="Times New Roman" w:eastAsia="宋体" w:hAnsi="Times New Roman" w:cs="Times New Roman"/>
                <w:sz w:val="24"/>
                <w:szCs w:val="24"/>
              </w:rPr>
              <w:t>,</w:t>
            </w:r>
            <w:r>
              <w:rPr>
                <w:rFonts w:ascii="Times New Roman" w:eastAsia="宋体" w:hAnsi="Times New Roman" w:cs="Times New Roman" w:hint="eastAsia"/>
                <w:sz w:val="24"/>
                <w:szCs w:val="24"/>
              </w:rPr>
              <w:t>0</w:t>
            </w:r>
            <w:r>
              <w:rPr>
                <w:rFonts w:ascii="Times New Roman" w:eastAsia="宋体" w:hAnsi="Times New Roman" w:cs="Times New Roman"/>
                <w:sz w:val="24"/>
                <w:szCs w:val="24"/>
              </w:rPr>
              <w:t>3</w:t>
            </w:r>
            <w:r>
              <w:rPr>
                <w:rFonts w:ascii="Times New Roman" w:eastAsia="宋体" w:hAnsi="Times New Roman" w:cs="Times New Roman" w:hint="eastAsia"/>
                <w:sz w:val="24"/>
                <w:szCs w:val="24"/>
              </w:rPr>
              <w:t>0</w:t>
            </w:r>
          </w:p>
        </w:tc>
        <w:tc>
          <w:tcPr>
            <w:tcW w:w="984" w:type="dxa"/>
            <w:noWrap/>
            <w:vAlign w:val="center"/>
          </w:tcPr>
          <w:p w14:paraId="303012CE"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r>
              <w:rPr>
                <w:rFonts w:ascii="Times New Roman" w:eastAsia="宋体" w:hAnsi="Times New Roman" w:cs="Times New Roman"/>
                <w:sz w:val="24"/>
                <w:szCs w:val="24"/>
              </w:rPr>
              <w:t>,</w:t>
            </w:r>
            <w:r>
              <w:rPr>
                <w:rFonts w:ascii="Times New Roman" w:eastAsia="宋体" w:hAnsi="Times New Roman" w:cs="Times New Roman" w:hint="eastAsia"/>
                <w:sz w:val="24"/>
                <w:szCs w:val="24"/>
              </w:rPr>
              <w:t>950</w:t>
            </w:r>
            <w:r>
              <w:rPr>
                <w:rFonts w:ascii="Times New Roman" w:eastAsia="宋体" w:hAnsi="Times New Roman" w:cs="Times New Roman"/>
                <w:sz w:val="24"/>
                <w:szCs w:val="24"/>
              </w:rPr>
              <w:t>,</w:t>
            </w:r>
            <w:r>
              <w:rPr>
                <w:rFonts w:ascii="Times New Roman" w:eastAsia="宋体" w:hAnsi="Times New Roman" w:cs="Times New Roman" w:hint="eastAsia"/>
                <w:sz w:val="24"/>
                <w:szCs w:val="24"/>
              </w:rPr>
              <w:t>463</w:t>
            </w:r>
          </w:p>
        </w:tc>
        <w:tc>
          <w:tcPr>
            <w:tcW w:w="1080" w:type="dxa"/>
            <w:noWrap/>
            <w:vAlign w:val="center"/>
          </w:tcPr>
          <w:p w14:paraId="3F4E40F4"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12,99</w:t>
            </w:r>
            <w:r>
              <w:rPr>
                <w:rFonts w:ascii="Times New Roman" w:eastAsia="宋体" w:hAnsi="Times New Roman" w:cs="Times New Roman" w:hint="eastAsia"/>
                <w:sz w:val="24"/>
                <w:szCs w:val="24"/>
              </w:rPr>
              <w:t>7</w:t>
            </w:r>
            <w:r>
              <w:rPr>
                <w:rFonts w:ascii="Times New Roman" w:eastAsia="宋体" w:hAnsi="Times New Roman" w:cs="Times New Roman"/>
                <w:sz w:val="24"/>
                <w:szCs w:val="24"/>
              </w:rPr>
              <w:t>,</w:t>
            </w:r>
            <w:r>
              <w:rPr>
                <w:rFonts w:ascii="Times New Roman" w:eastAsia="宋体" w:hAnsi="Times New Roman" w:cs="Times New Roman" w:hint="eastAsia"/>
                <w:sz w:val="24"/>
                <w:szCs w:val="24"/>
              </w:rPr>
              <w:t>81</w:t>
            </w:r>
            <w:r>
              <w:rPr>
                <w:rFonts w:ascii="Times New Roman" w:eastAsia="宋体" w:hAnsi="Times New Roman" w:cs="Times New Roman"/>
                <w:sz w:val="24"/>
                <w:szCs w:val="24"/>
              </w:rPr>
              <w:t>5</w:t>
            </w:r>
          </w:p>
        </w:tc>
      </w:tr>
      <w:tr w:rsidR="00314CAB" w14:paraId="3A5B3C37" w14:textId="77777777" w:rsidTr="004D1B0A">
        <w:trPr>
          <w:trHeight w:val="276"/>
        </w:trPr>
        <w:tc>
          <w:tcPr>
            <w:tcW w:w="1590" w:type="dxa"/>
            <w:noWrap/>
            <w:vAlign w:val="center"/>
          </w:tcPr>
          <w:p w14:paraId="09401C39"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End</w:t>
            </w:r>
            <w:r>
              <w:rPr>
                <w:rFonts w:ascii="Times New Roman" w:eastAsia="宋体" w:hAnsi="Times New Roman" w:cs="Times New Roman" w:hint="eastAsia"/>
                <w:sz w:val="24"/>
                <w:szCs w:val="24"/>
              </w:rPr>
              <w:t xml:space="preserve"> (bp)</w:t>
            </w:r>
          </w:p>
        </w:tc>
        <w:tc>
          <w:tcPr>
            <w:tcW w:w="873" w:type="dxa"/>
            <w:noWrap/>
            <w:vAlign w:val="center"/>
          </w:tcPr>
          <w:p w14:paraId="7B877C50"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sidRPr="005F25C7">
              <w:rPr>
                <w:rFonts w:ascii="Times New Roman" w:eastAsia="宋体" w:hAnsi="Times New Roman" w:cs="Times New Roman"/>
                <w:sz w:val="24"/>
                <w:szCs w:val="24"/>
              </w:rPr>
              <w:t>7</w:t>
            </w:r>
            <w:r>
              <w:rPr>
                <w:rFonts w:ascii="Times New Roman" w:eastAsia="宋体" w:hAnsi="Times New Roman" w:cs="Times New Roman" w:hint="eastAsia"/>
                <w:sz w:val="24"/>
                <w:szCs w:val="24"/>
              </w:rPr>
              <w:t>,</w:t>
            </w:r>
            <w:r w:rsidRPr="005F25C7">
              <w:rPr>
                <w:rFonts w:ascii="Times New Roman" w:eastAsia="宋体" w:hAnsi="Times New Roman" w:cs="Times New Roman"/>
                <w:sz w:val="24"/>
                <w:szCs w:val="24"/>
              </w:rPr>
              <w:t>167</w:t>
            </w:r>
            <w:r>
              <w:rPr>
                <w:rFonts w:ascii="Times New Roman" w:eastAsia="宋体" w:hAnsi="Times New Roman" w:cs="Times New Roman" w:hint="eastAsia"/>
                <w:sz w:val="24"/>
                <w:szCs w:val="24"/>
              </w:rPr>
              <w:t>,</w:t>
            </w:r>
            <w:r w:rsidRPr="005F25C7">
              <w:rPr>
                <w:rFonts w:ascii="Times New Roman" w:eastAsia="宋体" w:hAnsi="Times New Roman" w:cs="Times New Roman"/>
                <w:sz w:val="24"/>
                <w:szCs w:val="24"/>
              </w:rPr>
              <w:t>418</w:t>
            </w:r>
          </w:p>
        </w:tc>
        <w:tc>
          <w:tcPr>
            <w:tcW w:w="1023" w:type="dxa"/>
            <w:noWrap/>
            <w:vAlign w:val="center"/>
          </w:tcPr>
          <w:p w14:paraId="17B8FF74"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22,821,760</w:t>
            </w:r>
          </w:p>
        </w:tc>
        <w:tc>
          <w:tcPr>
            <w:tcW w:w="995" w:type="dxa"/>
            <w:noWrap/>
            <w:vAlign w:val="center"/>
          </w:tcPr>
          <w:p w14:paraId="2F2CB851"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26,110,944</w:t>
            </w:r>
          </w:p>
        </w:tc>
        <w:tc>
          <w:tcPr>
            <w:tcW w:w="996" w:type="dxa"/>
            <w:noWrap/>
            <w:vAlign w:val="center"/>
          </w:tcPr>
          <w:p w14:paraId="61A7D796"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6,437,427</w:t>
            </w:r>
          </w:p>
        </w:tc>
        <w:tc>
          <w:tcPr>
            <w:tcW w:w="984" w:type="dxa"/>
            <w:noWrap/>
            <w:vAlign w:val="center"/>
          </w:tcPr>
          <w:p w14:paraId="7F067F5D"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7,731,974</w:t>
            </w:r>
          </w:p>
        </w:tc>
        <w:tc>
          <w:tcPr>
            <w:tcW w:w="1080" w:type="dxa"/>
            <w:noWrap/>
            <w:vAlign w:val="center"/>
          </w:tcPr>
          <w:p w14:paraId="375105E0" w14:textId="77777777" w:rsidR="00314CAB" w:rsidRDefault="00314CAB" w:rsidP="004D1B0A">
            <w:pPr>
              <w:widowControl/>
              <w:adjustRightInd w:val="0"/>
              <w:snapToGrid w:val="0"/>
              <w:spacing w:beforeLines="50" w:before="156" w:afterLines="50" w:after="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13,</w:t>
            </w:r>
            <w:r>
              <w:rPr>
                <w:rFonts w:ascii="Times New Roman" w:eastAsia="宋体" w:hAnsi="Times New Roman" w:cs="Times New Roman" w:hint="eastAsia"/>
                <w:sz w:val="24"/>
                <w:szCs w:val="24"/>
              </w:rPr>
              <w:t>655</w:t>
            </w:r>
            <w:r>
              <w:rPr>
                <w:rFonts w:ascii="Times New Roman" w:eastAsia="宋体" w:hAnsi="Times New Roman" w:cs="Times New Roman"/>
                <w:sz w:val="24"/>
                <w:szCs w:val="24"/>
              </w:rPr>
              <w:t>,</w:t>
            </w:r>
            <w:r>
              <w:rPr>
                <w:rFonts w:ascii="Times New Roman" w:eastAsia="宋体" w:hAnsi="Times New Roman" w:cs="Times New Roman" w:hint="eastAsia"/>
                <w:sz w:val="24"/>
                <w:szCs w:val="24"/>
              </w:rPr>
              <w:t>5</w:t>
            </w:r>
            <w:r>
              <w:rPr>
                <w:rFonts w:ascii="Times New Roman" w:eastAsia="宋体" w:hAnsi="Times New Roman" w:cs="Times New Roman"/>
                <w:sz w:val="24"/>
                <w:szCs w:val="24"/>
              </w:rPr>
              <w:t>10</w:t>
            </w:r>
          </w:p>
        </w:tc>
      </w:tr>
    </w:tbl>
    <w:p w14:paraId="5921DBA7" w14:textId="77777777" w:rsidR="00314CAB" w:rsidRDefault="00314CAB" w:rsidP="00314CAB">
      <w:pPr>
        <w:keepNext/>
        <w:widowControl/>
        <w:adjustRightInd w:val="0"/>
        <w:snapToGrid w:val="0"/>
        <w:spacing w:beforeLines="50" w:before="156" w:afterLines="50" w:after="156" w:line="360" w:lineRule="auto"/>
        <w:outlineLvl w:val="0"/>
        <w:rPr>
          <w:rFonts w:ascii="Times New Roman" w:eastAsia="Times New Roman" w:hAnsi="Times New Roman" w:cs="Times New Roman"/>
          <w:b/>
          <w:bCs/>
          <w:kern w:val="32"/>
          <w:sz w:val="24"/>
          <w:lang w:eastAsia="en-US"/>
          <w14:ligatures w14:val="none"/>
        </w:rPr>
      </w:pPr>
    </w:p>
    <w:bookmarkEnd w:id="1"/>
    <w:p w14:paraId="02F46F10" w14:textId="77777777" w:rsidR="00314CAB" w:rsidRPr="00FE79BB" w:rsidRDefault="00314CAB" w:rsidP="00314CAB">
      <w:pPr>
        <w:rPr>
          <w:rFonts w:ascii="Times New Roman" w:hAnsi="Times New Roman" w:cs="Times New Roman"/>
          <w:b/>
          <w:bCs/>
          <w:kern w:val="32"/>
          <w:sz w:val="24"/>
          <w14:ligatures w14:val="none"/>
        </w:rPr>
      </w:pPr>
    </w:p>
    <w:p w14:paraId="310144AE" w14:textId="77777777" w:rsidR="00A14002" w:rsidRPr="00314CAB" w:rsidRDefault="00A14002" w:rsidP="00FD09D5">
      <w:pPr>
        <w:jc w:val="both"/>
        <w:rPr>
          <w:rFonts w:ascii="Times New Roman" w:hAnsi="Times New Roman" w:cs="Times New Roman"/>
          <w:sz w:val="24"/>
        </w:rPr>
      </w:pPr>
    </w:p>
    <w:sectPr w:rsidR="00A14002" w:rsidRPr="00314C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675C" w14:textId="77777777" w:rsidR="00677582" w:rsidRDefault="00677582" w:rsidP="00E25E68">
      <w:pPr>
        <w:spacing w:after="0" w:line="240" w:lineRule="auto"/>
      </w:pPr>
      <w:r>
        <w:separator/>
      </w:r>
    </w:p>
  </w:endnote>
  <w:endnote w:type="continuationSeparator" w:id="0">
    <w:p w14:paraId="2AEC5258" w14:textId="77777777" w:rsidR="00677582" w:rsidRDefault="00677582" w:rsidP="00E25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9458A" w14:textId="77777777" w:rsidR="00677582" w:rsidRDefault="00677582" w:rsidP="00E25E68">
      <w:pPr>
        <w:spacing w:after="0" w:line="240" w:lineRule="auto"/>
      </w:pPr>
      <w:r>
        <w:separator/>
      </w:r>
    </w:p>
  </w:footnote>
  <w:footnote w:type="continuationSeparator" w:id="0">
    <w:p w14:paraId="50E415BB" w14:textId="77777777" w:rsidR="00677582" w:rsidRDefault="00677582" w:rsidP="00E25E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zMjeyNLQwNDY3NDFS0lEKTi0uzszPAykwrAUAn9qK0SwAAAA="/>
  </w:docVars>
  <w:rsids>
    <w:rsidRoot w:val="00BC6129"/>
    <w:rsid w:val="000A26E6"/>
    <w:rsid w:val="00100B0F"/>
    <w:rsid w:val="00131C28"/>
    <w:rsid w:val="00187E29"/>
    <w:rsid w:val="001A6AB9"/>
    <w:rsid w:val="001C2A43"/>
    <w:rsid w:val="001D35F8"/>
    <w:rsid w:val="001D36BB"/>
    <w:rsid w:val="00230551"/>
    <w:rsid w:val="002D29B1"/>
    <w:rsid w:val="00314CAB"/>
    <w:rsid w:val="003268EC"/>
    <w:rsid w:val="003B1A26"/>
    <w:rsid w:val="003B6683"/>
    <w:rsid w:val="003C016F"/>
    <w:rsid w:val="003D4CAD"/>
    <w:rsid w:val="00475C91"/>
    <w:rsid w:val="0048700D"/>
    <w:rsid w:val="004979C0"/>
    <w:rsid w:val="004B72D9"/>
    <w:rsid w:val="004E7EA0"/>
    <w:rsid w:val="00547613"/>
    <w:rsid w:val="00563BA4"/>
    <w:rsid w:val="005C097C"/>
    <w:rsid w:val="00677582"/>
    <w:rsid w:val="006E2D34"/>
    <w:rsid w:val="006F62C3"/>
    <w:rsid w:val="00725C39"/>
    <w:rsid w:val="007C3018"/>
    <w:rsid w:val="007E5595"/>
    <w:rsid w:val="00804799"/>
    <w:rsid w:val="00806357"/>
    <w:rsid w:val="00851E70"/>
    <w:rsid w:val="008B237C"/>
    <w:rsid w:val="009200A4"/>
    <w:rsid w:val="0092577B"/>
    <w:rsid w:val="009766F5"/>
    <w:rsid w:val="009A7FD2"/>
    <w:rsid w:val="009F65E9"/>
    <w:rsid w:val="00A002F0"/>
    <w:rsid w:val="00A123AA"/>
    <w:rsid w:val="00A14002"/>
    <w:rsid w:val="00A873C9"/>
    <w:rsid w:val="00AC481F"/>
    <w:rsid w:val="00BC6129"/>
    <w:rsid w:val="00BD2756"/>
    <w:rsid w:val="00CA40E5"/>
    <w:rsid w:val="00DB75D0"/>
    <w:rsid w:val="00DE3A64"/>
    <w:rsid w:val="00DF51AC"/>
    <w:rsid w:val="00E03D47"/>
    <w:rsid w:val="00E044C9"/>
    <w:rsid w:val="00E25E68"/>
    <w:rsid w:val="00E63D0E"/>
    <w:rsid w:val="00ED307D"/>
    <w:rsid w:val="00F82007"/>
    <w:rsid w:val="00FA7564"/>
    <w:rsid w:val="00FD09D5"/>
    <w:rsid w:val="00FD1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73122"/>
  <w15:chartTrackingRefBased/>
  <w15:docId w15:val="{1CB2C75B-FBCD-4F64-AC58-DB1077F1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C612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C612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C612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C6129"/>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C6129"/>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C6129"/>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C612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C612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C612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C612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C612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C612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C6129"/>
    <w:rPr>
      <w:rFonts w:cstheme="majorBidi"/>
      <w:color w:val="2F5496" w:themeColor="accent1" w:themeShade="BF"/>
      <w:sz w:val="28"/>
      <w:szCs w:val="28"/>
    </w:rPr>
  </w:style>
  <w:style w:type="character" w:customStyle="1" w:styleId="50">
    <w:name w:val="标题 5 字符"/>
    <w:basedOn w:val="a0"/>
    <w:link w:val="5"/>
    <w:uiPriority w:val="9"/>
    <w:semiHidden/>
    <w:rsid w:val="00BC6129"/>
    <w:rPr>
      <w:rFonts w:cstheme="majorBidi"/>
      <w:color w:val="2F5496" w:themeColor="accent1" w:themeShade="BF"/>
      <w:sz w:val="24"/>
    </w:rPr>
  </w:style>
  <w:style w:type="character" w:customStyle="1" w:styleId="60">
    <w:name w:val="标题 6 字符"/>
    <w:basedOn w:val="a0"/>
    <w:link w:val="6"/>
    <w:uiPriority w:val="9"/>
    <w:semiHidden/>
    <w:rsid w:val="00BC6129"/>
    <w:rPr>
      <w:rFonts w:cstheme="majorBidi"/>
      <w:b/>
      <w:bCs/>
      <w:color w:val="2F5496" w:themeColor="accent1" w:themeShade="BF"/>
    </w:rPr>
  </w:style>
  <w:style w:type="character" w:customStyle="1" w:styleId="70">
    <w:name w:val="标题 7 字符"/>
    <w:basedOn w:val="a0"/>
    <w:link w:val="7"/>
    <w:uiPriority w:val="9"/>
    <w:semiHidden/>
    <w:rsid w:val="00BC6129"/>
    <w:rPr>
      <w:rFonts w:cstheme="majorBidi"/>
      <w:b/>
      <w:bCs/>
      <w:color w:val="595959" w:themeColor="text1" w:themeTint="A6"/>
    </w:rPr>
  </w:style>
  <w:style w:type="character" w:customStyle="1" w:styleId="80">
    <w:name w:val="标题 8 字符"/>
    <w:basedOn w:val="a0"/>
    <w:link w:val="8"/>
    <w:uiPriority w:val="9"/>
    <w:semiHidden/>
    <w:rsid w:val="00BC6129"/>
    <w:rPr>
      <w:rFonts w:cstheme="majorBidi"/>
      <w:color w:val="595959" w:themeColor="text1" w:themeTint="A6"/>
    </w:rPr>
  </w:style>
  <w:style w:type="character" w:customStyle="1" w:styleId="90">
    <w:name w:val="标题 9 字符"/>
    <w:basedOn w:val="a0"/>
    <w:link w:val="9"/>
    <w:uiPriority w:val="9"/>
    <w:semiHidden/>
    <w:rsid w:val="00BC6129"/>
    <w:rPr>
      <w:rFonts w:eastAsiaTheme="majorEastAsia" w:cstheme="majorBidi"/>
      <w:color w:val="595959" w:themeColor="text1" w:themeTint="A6"/>
    </w:rPr>
  </w:style>
  <w:style w:type="paragraph" w:styleId="a3">
    <w:name w:val="Title"/>
    <w:basedOn w:val="a"/>
    <w:next w:val="a"/>
    <w:link w:val="a4"/>
    <w:uiPriority w:val="10"/>
    <w:qFormat/>
    <w:rsid w:val="00BC612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C61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12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C61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6129"/>
    <w:pPr>
      <w:spacing w:before="160"/>
      <w:jc w:val="center"/>
    </w:pPr>
    <w:rPr>
      <w:i/>
      <w:iCs/>
      <w:color w:val="404040" w:themeColor="text1" w:themeTint="BF"/>
    </w:rPr>
  </w:style>
  <w:style w:type="character" w:customStyle="1" w:styleId="a8">
    <w:name w:val="引用 字符"/>
    <w:basedOn w:val="a0"/>
    <w:link w:val="a7"/>
    <w:uiPriority w:val="29"/>
    <w:rsid w:val="00BC6129"/>
    <w:rPr>
      <w:i/>
      <w:iCs/>
      <w:color w:val="404040" w:themeColor="text1" w:themeTint="BF"/>
    </w:rPr>
  </w:style>
  <w:style w:type="paragraph" w:styleId="a9">
    <w:name w:val="List Paragraph"/>
    <w:basedOn w:val="a"/>
    <w:uiPriority w:val="34"/>
    <w:qFormat/>
    <w:rsid w:val="00BC6129"/>
    <w:pPr>
      <w:ind w:left="720"/>
      <w:contextualSpacing/>
    </w:pPr>
  </w:style>
  <w:style w:type="character" w:styleId="aa">
    <w:name w:val="Intense Emphasis"/>
    <w:basedOn w:val="a0"/>
    <w:uiPriority w:val="21"/>
    <w:qFormat/>
    <w:rsid w:val="00BC6129"/>
    <w:rPr>
      <w:i/>
      <w:iCs/>
      <w:color w:val="2F5496" w:themeColor="accent1" w:themeShade="BF"/>
    </w:rPr>
  </w:style>
  <w:style w:type="paragraph" w:styleId="ab">
    <w:name w:val="Intense Quote"/>
    <w:basedOn w:val="a"/>
    <w:next w:val="a"/>
    <w:link w:val="ac"/>
    <w:uiPriority w:val="30"/>
    <w:qFormat/>
    <w:rsid w:val="00BC61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C6129"/>
    <w:rPr>
      <w:i/>
      <w:iCs/>
      <w:color w:val="2F5496" w:themeColor="accent1" w:themeShade="BF"/>
    </w:rPr>
  </w:style>
  <w:style w:type="character" w:styleId="ad">
    <w:name w:val="Intense Reference"/>
    <w:basedOn w:val="a0"/>
    <w:uiPriority w:val="32"/>
    <w:qFormat/>
    <w:rsid w:val="00BC6129"/>
    <w:rPr>
      <w:b/>
      <w:bCs/>
      <w:smallCaps/>
      <w:color w:val="2F5496" w:themeColor="accent1" w:themeShade="BF"/>
      <w:spacing w:val="5"/>
    </w:rPr>
  </w:style>
  <w:style w:type="paragraph" w:styleId="ae">
    <w:name w:val="header"/>
    <w:basedOn w:val="a"/>
    <w:link w:val="af"/>
    <w:uiPriority w:val="99"/>
    <w:unhideWhenUsed/>
    <w:rsid w:val="00E25E6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25E68"/>
    <w:rPr>
      <w:sz w:val="18"/>
      <w:szCs w:val="18"/>
    </w:rPr>
  </w:style>
  <w:style w:type="paragraph" w:styleId="af0">
    <w:name w:val="footer"/>
    <w:basedOn w:val="a"/>
    <w:link w:val="af1"/>
    <w:uiPriority w:val="99"/>
    <w:unhideWhenUsed/>
    <w:rsid w:val="00E25E6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25E68"/>
    <w:rPr>
      <w:sz w:val="18"/>
      <w:szCs w:val="18"/>
    </w:rPr>
  </w:style>
  <w:style w:type="table" w:customStyle="1" w:styleId="11">
    <w:name w:val="网格型1"/>
    <w:basedOn w:val="a1"/>
    <w:autoRedefine/>
    <w:qFormat/>
    <w:rsid w:val="00314CAB"/>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autoRedefine/>
    <w:qFormat/>
    <w:rsid w:val="00314CAB"/>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autoRedefine/>
    <w:qFormat/>
    <w:rsid w:val="00314CAB"/>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
    <w:basedOn w:val="a1"/>
    <w:autoRedefine/>
    <w:uiPriority w:val="99"/>
    <w:qFormat/>
    <w:rsid w:val="00314CAB"/>
    <w:pPr>
      <w:spacing w:after="0" w:line="240" w:lineRule="auto"/>
    </w:pPr>
    <w:rPr>
      <w:rFonts w:ascii="Times New Roman" w:eastAsia="Times New Roman" w:hAnsi="Times New Roman" w:cs="Times New Roman"/>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1421</Words>
  <Characters>8101</Characters>
  <Application>Microsoft Office Word</Application>
  <DocSecurity>0</DocSecurity>
  <Lines>67</Lines>
  <Paragraphs>19</Paragraphs>
  <ScaleCrop>false</ScaleCrop>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小丫 史</dc:creator>
  <cp:keywords/>
  <dc:description/>
  <cp:lastModifiedBy>Hua Xiao</cp:lastModifiedBy>
  <cp:revision>2</cp:revision>
  <dcterms:created xsi:type="dcterms:W3CDTF">2025-02-10T03:09:00Z</dcterms:created>
  <dcterms:modified xsi:type="dcterms:W3CDTF">2025-02-10T03:09:00Z</dcterms:modified>
</cp:coreProperties>
</file>