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2C92608C" w:rsidR="0040204E" w:rsidRDefault="0040204E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 w:rsidR="009A6CCB" w:rsidRPr="009A6CCB">
        <w:t xml:space="preserve"> </w:t>
      </w:r>
      <w:r w:rsidR="009A6CCB" w:rsidRPr="009A6CCB">
        <w:rPr>
          <w:color w:val="000000"/>
          <w:sz w:val="24"/>
          <w:szCs w:val="24"/>
        </w:rPr>
        <w:t>Tab 1-m6 A modifications sites. Tab 2-m6 A modifications genes. (Related to Fig. 5g, 5h, 6e~h, 7a~b, and Supplementary Fig9a, 9d).</w:t>
      </w:r>
    </w:p>
    <w:p w14:paraId="31AE4F5A" w14:textId="7777777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F727ECA" w14:textId="736548EF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2</w:t>
      </w:r>
    </w:p>
    <w:p w14:paraId="2676F269" w14:textId="53FAFB70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>
        <w:rPr>
          <w:color w:val="000000"/>
          <w:sz w:val="24"/>
          <w:szCs w:val="24"/>
        </w:rPr>
        <w:t xml:space="preserve"> </w:t>
      </w:r>
      <w:r w:rsidRPr="009A6CCB">
        <w:rPr>
          <w:color w:val="000000"/>
          <w:sz w:val="24"/>
          <w:szCs w:val="24"/>
        </w:rPr>
        <w:t>ALS risk genes with m6 A-modified. (Related to Fig. 5h and Fig. 6g).</w:t>
      </w:r>
    </w:p>
    <w:p w14:paraId="7CF0DD9B" w14:textId="7777777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8066166" w14:textId="53BDE3A4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3</w:t>
      </w:r>
    </w:p>
    <w:p w14:paraId="07D3722E" w14:textId="42C53B45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 w:rsidRPr="009A6CCB">
        <w:t xml:space="preserve"> </w:t>
      </w:r>
      <w:r w:rsidRPr="009A6CCB">
        <w:rPr>
          <w:color w:val="000000"/>
          <w:sz w:val="24"/>
          <w:szCs w:val="24"/>
        </w:rPr>
        <w:t>The predicted m6 A stoichiometry ratio from m6 Anet and Epinano in Tardbp (Tab 1) and Atp13a2 (Tab 2). (Related to Fig. 5i and 5j).</w:t>
      </w:r>
    </w:p>
    <w:p w14:paraId="43596862" w14:textId="7777777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AB4748D" w14:textId="421119D8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4</w:t>
      </w:r>
    </w:p>
    <w:p w14:paraId="47E801B1" w14:textId="030E283C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tabs>
          <w:tab w:val="left" w:pos="1690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 w:rsidRPr="009A6CCB">
        <w:t xml:space="preserve"> </w:t>
      </w:r>
      <w:r w:rsidRPr="009A6CCB">
        <w:rPr>
          <w:color w:val="000000"/>
          <w:sz w:val="24"/>
          <w:szCs w:val="24"/>
        </w:rPr>
        <w:t>Differentially expressed genes (DEGs) within distinct types of cholinergic neurons. P-values are from two-sided bimodal likelihoodratio tests followed by Bonferroni corrections</w:t>
      </w:r>
    </w:p>
    <w:p w14:paraId="288ED600" w14:textId="7777777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34F876D" w14:textId="75D2877A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5</w:t>
      </w:r>
    </w:p>
    <w:p w14:paraId="7D0B521C" w14:textId="1D59C916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 w:rsidRPr="009A6CCB">
        <w:t xml:space="preserve"> </w:t>
      </w:r>
      <w:r w:rsidRPr="009A6CCB">
        <w:rPr>
          <w:color w:val="000000"/>
          <w:sz w:val="24"/>
          <w:szCs w:val="24"/>
        </w:rPr>
        <w:t>Linked genes of differentially accessible peaks identified from ArchR “peak-to-gene links” analysis in Tab 1: skeletal motor neurons, Tab 2: visceral motor neurons, and Tab 3: cholinergic interneurons. Tab 4: summarizes whether these linked genes are differentially expressed genes (DEGs) and/or m6 A-modified, while Tab 5 summarizes the number of differentially accessible peaks with linked genes in each cell type.</w:t>
      </w:r>
    </w:p>
    <w:p w14:paraId="4B219B4C" w14:textId="7777777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9959F9B" w14:textId="730A822E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6</w:t>
      </w:r>
    </w:p>
    <w:p w14:paraId="3644D469" w14:textId="593F2D0C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</w:t>
      </w:r>
      <w:r w:rsidRPr="009A6CCB">
        <w:t xml:space="preserve"> </w:t>
      </w:r>
      <w:r w:rsidRPr="009A6CCB">
        <w:rPr>
          <w:color w:val="000000"/>
          <w:sz w:val="24"/>
          <w:szCs w:val="24"/>
        </w:rPr>
        <w:t>The qPCR and cloning primer list were used in this study</w:t>
      </w:r>
      <w:r>
        <w:rPr>
          <w:color w:val="000000"/>
          <w:sz w:val="24"/>
          <w:szCs w:val="24"/>
        </w:rPr>
        <w:t>.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3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Movie 1</w:t>
      </w:r>
    </w:p>
    <w:p w14:paraId="7D8C2A5F" w14:textId="77777777" w:rsidR="009A6CCB" w:rsidRPr="009A6CCB" w:rsidRDefault="0040204E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9A6CCB" w:rsidRPr="009A6CCB">
        <w:rPr>
          <w:i/>
          <w:iCs/>
          <w:color w:val="000000"/>
          <w:sz w:val="24"/>
          <w:szCs w:val="24"/>
        </w:rPr>
        <w:t>Olig2-Cre; Mettl14floxed</w:t>
      </w:r>
      <w:r w:rsidR="009A6CCB" w:rsidRPr="009A6CCB">
        <w:rPr>
          <w:color w:val="000000"/>
          <w:sz w:val="24"/>
          <w:szCs w:val="24"/>
        </w:rPr>
        <w:t xml:space="preserve"> mice exhibited a shivering</w:t>
      </w:r>
    </w:p>
    <w:p w14:paraId="00000004" w14:textId="683208A0" w:rsidR="008258D4" w:rsidRDefault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9A6CCB">
        <w:rPr>
          <w:color w:val="000000"/>
          <w:sz w:val="24"/>
          <w:szCs w:val="24"/>
        </w:rPr>
        <w:t>phenotype.</w:t>
      </w:r>
    </w:p>
    <w:p w14:paraId="5530C759" w14:textId="77777777" w:rsidR="009A6CCB" w:rsidRDefault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7497C11" w14:textId="7912B167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2</w:t>
      </w:r>
    </w:p>
    <w:p w14:paraId="19296A60" w14:textId="3930B2CD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A6CCB">
        <w:rPr>
          <w:color w:val="000000"/>
          <w:sz w:val="24"/>
          <w:szCs w:val="24"/>
        </w:rPr>
        <w:t xml:space="preserve">Muscle weakness, one of the major pathological manifestations observed for ALS patients in </w:t>
      </w:r>
      <w:r w:rsidRPr="009A6CCB">
        <w:rPr>
          <w:i/>
          <w:iCs/>
          <w:color w:val="000000"/>
          <w:sz w:val="24"/>
          <w:szCs w:val="24"/>
        </w:rPr>
        <w:t>ChAT-Cre; Mettl14floxed</w:t>
      </w:r>
      <w:r w:rsidRPr="009A6CCB">
        <w:rPr>
          <w:color w:val="000000"/>
          <w:sz w:val="24"/>
          <w:szCs w:val="24"/>
        </w:rPr>
        <w:t xml:space="preserve"> mice.</w:t>
      </w:r>
    </w:p>
    <w:p w14:paraId="3732EA0B" w14:textId="77777777" w:rsidR="009A6CCB" w:rsidRDefault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DF3A100" w14:textId="0307D589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3</w:t>
      </w:r>
    </w:p>
    <w:p w14:paraId="56743053" w14:textId="534CBAFE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A6CCB">
        <w:rPr>
          <w:color w:val="000000"/>
          <w:sz w:val="24"/>
          <w:szCs w:val="24"/>
        </w:rPr>
        <w:t xml:space="preserve">Kinematic analysis revealed that whereas the spinal interneuron circuit remained largely intact, but motor outputs were interrupted in the </w:t>
      </w:r>
      <w:r w:rsidRPr="009A6CCB">
        <w:rPr>
          <w:i/>
          <w:iCs/>
          <w:color w:val="000000"/>
          <w:sz w:val="24"/>
          <w:szCs w:val="24"/>
        </w:rPr>
        <w:t>ChAT-Cre; Mettl14floxed</w:t>
      </w:r>
      <w:r w:rsidRPr="009A6CCB">
        <w:rPr>
          <w:color w:val="000000"/>
          <w:sz w:val="24"/>
          <w:szCs w:val="24"/>
        </w:rPr>
        <w:t xml:space="preserve"> mice.</w:t>
      </w:r>
    </w:p>
    <w:p w14:paraId="6579D52A" w14:textId="77777777" w:rsidR="009A6CCB" w:rsidRDefault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246DD93" w14:textId="75CA43B8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4</w:t>
      </w:r>
    </w:p>
    <w:p w14:paraId="23AF4990" w14:textId="770CE2EA" w:rsidR="009A6CCB" w:rsidRDefault="009A6CCB" w:rsidP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A6CCB">
        <w:rPr>
          <w:color w:val="000000"/>
          <w:sz w:val="24"/>
          <w:szCs w:val="24"/>
        </w:rPr>
        <w:t xml:space="preserve">Amelioration of Symptoms in </w:t>
      </w:r>
      <w:r w:rsidRPr="009A6CCB">
        <w:rPr>
          <w:i/>
          <w:iCs/>
          <w:color w:val="000000"/>
          <w:sz w:val="24"/>
          <w:szCs w:val="24"/>
        </w:rPr>
        <w:t>SOD1G93A</w:t>
      </w:r>
      <w:r w:rsidRPr="009A6CCB">
        <w:rPr>
          <w:color w:val="000000"/>
          <w:sz w:val="24"/>
          <w:szCs w:val="24"/>
        </w:rPr>
        <w:t>; scAAV9- sh</w:t>
      </w:r>
      <w:r w:rsidRPr="009A6CCB">
        <w:rPr>
          <w:i/>
          <w:iCs/>
          <w:color w:val="000000"/>
          <w:sz w:val="24"/>
          <w:szCs w:val="24"/>
        </w:rPr>
        <w:t>Fto</w:t>
      </w:r>
      <w:r w:rsidRPr="009A6CCB">
        <w:rPr>
          <w:color w:val="000000"/>
          <w:sz w:val="24"/>
          <w:szCs w:val="24"/>
        </w:rPr>
        <w:t xml:space="preserve"> mice. Related to Fig.10. The SOD1G93A mouse displayed motor deficit, whereas the </w:t>
      </w:r>
      <w:r w:rsidRPr="009A6CCB">
        <w:rPr>
          <w:i/>
          <w:iCs/>
          <w:color w:val="000000"/>
          <w:sz w:val="24"/>
          <w:szCs w:val="24"/>
        </w:rPr>
        <w:t>SOD1</w:t>
      </w:r>
      <w:r w:rsidRPr="009A6CCB">
        <w:rPr>
          <w:color w:val="000000"/>
          <w:sz w:val="24"/>
          <w:szCs w:val="24"/>
        </w:rPr>
        <w:t>G93A; scAAV9-sh</w:t>
      </w:r>
      <w:r w:rsidRPr="009A6CCB">
        <w:rPr>
          <w:i/>
          <w:iCs/>
          <w:color w:val="000000"/>
          <w:sz w:val="24"/>
          <w:szCs w:val="24"/>
        </w:rPr>
        <w:t>Fto</w:t>
      </w:r>
      <w:r w:rsidRPr="009A6CCB">
        <w:rPr>
          <w:color w:val="000000"/>
          <w:sz w:val="24"/>
          <w:szCs w:val="24"/>
        </w:rPr>
        <w:t xml:space="preserve"> mouse manifested normal appearance and locomotive ability.</w:t>
      </w:r>
    </w:p>
    <w:p w14:paraId="2F51DAE2" w14:textId="77777777" w:rsidR="009A6CCB" w:rsidRDefault="009A6C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5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A" w14:textId="14F5F589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197D9D"/>
    <w:rsid w:val="002D20C1"/>
    <w:rsid w:val="0040204E"/>
    <w:rsid w:val="008258D4"/>
    <w:rsid w:val="009A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0208F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1758</Characters>
  <Application>Microsoft Office Word</Application>
  <DocSecurity>0</DocSecurity>
  <Lines>14</Lines>
  <Paragraphs>4</Paragraphs>
  <ScaleCrop>false</ScaleCrop>
  <Company>Springer-SBM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2025-03-20T14:57:00Z</dcterms:modified>
</cp:coreProperties>
</file>