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heading=h.plvub4iydc3z" w:id="0"/>
      <w:bookmarkEnd w:id="0"/>
      <w:r w:rsidDel="00000000" w:rsidR="00000000" w:rsidRPr="00000000">
        <w:rPr>
          <w:rtl w:val="0"/>
        </w:rPr>
        <w:t xml:space="preserve">Supplementary Figures</w:t>
      </w:r>
    </w:p>
    <w:p w:rsidR="00000000" w:rsidDel="00000000" w:rsidP="00000000" w:rsidRDefault="00000000" w:rsidRPr="00000000" w14:paraId="00000002">
      <w:pPr>
        <w:spacing w:after="200" w:lineRule="auto"/>
        <w:jc w:val="left"/>
        <w:rPr>
          <w:rFonts w:ascii="Arial" w:cs="Arial" w:eastAsia="Arial" w:hAnsi="Arial"/>
          <w:b w:val="1"/>
        </w:rPr>
      </w:pPr>
      <w:r w:rsidDel="00000000" w:rsidR="00000000" w:rsidRPr="00000000">
        <w:rPr>
          <w:rFonts w:ascii="Arial" w:cs="Arial" w:eastAsia="Arial" w:hAnsi="Arial"/>
          <w:b w:val="1"/>
        </w:rPr>
        <w:drawing>
          <wp:inline distB="114300" distT="114300" distL="114300" distR="114300">
            <wp:extent cx="5943600" cy="6781800"/>
            <wp:effectExtent b="0" l="0" r="0" t="0"/>
            <wp:docPr id="49"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943600" cy="67818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4"/>
        <w:spacing w:after="200" w:lineRule="auto"/>
        <w:rPr>
          <w:i w:val="1"/>
        </w:rPr>
      </w:pPr>
      <w:bookmarkStart w:colFirst="0" w:colLast="0" w:name="_heading=h.cee1zpf4az7p" w:id="1"/>
      <w:bookmarkEnd w:id="1"/>
      <w:r w:rsidDel="00000000" w:rsidR="00000000" w:rsidRPr="00000000">
        <w:rPr>
          <w:rtl w:val="0"/>
        </w:rPr>
        <w:t xml:space="preserve">Supplementary Figure 1  Kinase coverage and performance in perturbation-based benchmark.</w:t>
      </w:r>
      <w:r w:rsidDel="00000000" w:rsidR="00000000" w:rsidRPr="00000000">
        <w:rPr>
          <w:i w:val="1"/>
          <w:rtl w:val="0"/>
        </w:rPr>
        <w:t xml:space="preserve"> </w:t>
      </w:r>
    </w:p>
    <w:p w:rsidR="00000000" w:rsidDel="00000000" w:rsidP="00000000" w:rsidRDefault="00000000" w:rsidRPr="00000000" w14:paraId="00000004">
      <w:pPr>
        <w:spacing w:after="200" w:lineRule="auto"/>
        <w:rPr>
          <w:rFonts w:ascii="Arial" w:cs="Arial" w:eastAsia="Arial" w:hAnsi="Arial"/>
          <w:i w:val="1"/>
          <w:sz w:val="20"/>
          <w:szCs w:val="20"/>
        </w:rPr>
      </w:pPr>
      <w:r w:rsidDel="00000000" w:rsidR="00000000" w:rsidRPr="00000000">
        <w:rPr>
          <w:rFonts w:ascii="Arial" w:cs="Arial" w:eastAsia="Arial" w:hAnsi="Arial"/>
          <w:b w:val="1"/>
          <w:i w:val="1"/>
          <w:sz w:val="20"/>
          <w:szCs w:val="20"/>
          <w:rtl w:val="0"/>
        </w:rPr>
        <w:t xml:space="preserve">a </w:t>
      </w:r>
      <w:r w:rsidDel="00000000" w:rsidR="00000000" w:rsidRPr="00000000">
        <w:rPr>
          <w:rFonts w:ascii="Arial" w:cs="Arial" w:eastAsia="Arial" w:hAnsi="Arial"/>
          <w:i w:val="1"/>
          <w:sz w:val="20"/>
          <w:szCs w:val="20"/>
          <w:rtl w:val="0"/>
        </w:rPr>
        <w:t xml:space="preserve">Number of perturbations for each kinase across all perturbations experiments of Hernandez-Armenta et al., Hijazi et al. and a collection of Tyrosine perturbations. Perturbations associated with an increase in activity (up-regulation) are colored in blue and perturbations associated with a decrease in activity (down-regulation) are colored in orange. </w:t>
      </w:r>
      <w:r w:rsidDel="00000000" w:rsidR="00000000" w:rsidRPr="00000000">
        <w:rPr>
          <w:rFonts w:ascii="Arial" w:cs="Arial" w:eastAsia="Arial" w:hAnsi="Arial"/>
          <w:b w:val="1"/>
          <w:i w:val="1"/>
          <w:sz w:val="20"/>
          <w:szCs w:val="20"/>
          <w:rtl w:val="0"/>
        </w:rPr>
        <w:t xml:space="preserve">b </w:t>
      </w:r>
      <w:r w:rsidDel="00000000" w:rsidR="00000000" w:rsidRPr="00000000">
        <w:rPr>
          <w:rFonts w:ascii="Arial" w:cs="Arial" w:eastAsia="Arial" w:hAnsi="Arial"/>
          <w:i w:val="1"/>
          <w:sz w:val="20"/>
          <w:szCs w:val="20"/>
          <w:rtl w:val="0"/>
        </w:rPr>
        <w:t xml:space="preserve">Number of perturbations for each kinase as presented in </w:t>
      </w:r>
      <w:r w:rsidDel="00000000" w:rsidR="00000000" w:rsidRPr="00000000">
        <w:rPr>
          <w:rFonts w:ascii="Arial" w:cs="Arial" w:eastAsia="Arial" w:hAnsi="Arial"/>
          <w:b w:val="1"/>
          <w:i w:val="1"/>
          <w:sz w:val="20"/>
          <w:szCs w:val="20"/>
          <w:rtl w:val="0"/>
        </w:rPr>
        <w:t xml:space="preserve">a</w:t>
      </w:r>
      <w:r w:rsidDel="00000000" w:rsidR="00000000" w:rsidRPr="00000000">
        <w:rPr>
          <w:rFonts w:ascii="Arial" w:cs="Arial" w:eastAsia="Arial" w:hAnsi="Arial"/>
          <w:i w:val="1"/>
          <w:sz w:val="20"/>
          <w:szCs w:val="20"/>
          <w:rtl w:val="0"/>
        </w:rPr>
        <w:t xml:space="preserve"> filtered for experiments where at least 5 annotated targets of the perturbed kinase, according to PhosphoSitePlus, were measured in the experiment. </w:t>
      </w:r>
      <w:r w:rsidDel="00000000" w:rsidR="00000000" w:rsidRPr="00000000">
        <w:rPr>
          <w:rFonts w:ascii="Arial" w:cs="Arial" w:eastAsia="Arial" w:hAnsi="Arial"/>
          <w:b w:val="1"/>
          <w:i w:val="1"/>
          <w:sz w:val="20"/>
          <w:szCs w:val="20"/>
          <w:rtl w:val="0"/>
        </w:rPr>
        <w:t xml:space="preserve">c </w:t>
      </w:r>
      <w:r w:rsidDel="00000000" w:rsidR="00000000" w:rsidRPr="00000000">
        <w:rPr>
          <w:rFonts w:ascii="Arial" w:cs="Arial" w:eastAsia="Arial" w:hAnsi="Arial"/>
          <w:i w:val="1"/>
          <w:sz w:val="20"/>
          <w:szCs w:val="20"/>
          <w:rtl w:val="0"/>
        </w:rPr>
        <w:t xml:space="preserve">Performance of the perturbations experiment in Hijazi et al. considering either manually curated targets or targets identified through DiscoverX. The AUROC calculation was repeated a thousand times, with randomly selecting a subset of the negative classes with the same size as the positive class (n=1,000). For the boxplots, the central line depicts the median, the box hinges represent the 25th to 75th percentiles, and the whiskers extend up to 1.5 times the interquartile range above and below the box hinges. Outliers are depicted as individual hollow points beyond the whiskers.</w:t>
      </w:r>
    </w:p>
    <w:p w:rsidR="00000000" w:rsidDel="00000000" w:rsidP="00000000" w:rsidRDefault="00000000" w:rsidRPr="00000000" w14:paraId="00000005">
      <w:pPr>
        <w:spacing w:after="20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06">
      <w:pPr>
        <w:spacing w:after="20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7">
      <w:pPr>
        <w:spacing w:after="20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8">
      <w:pPr>
        <w:spacing w:after="20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9">
      <w:pPr>
        <w:spacing w:after="20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A">
      <w:pPr>
        <w:spacing w:after="20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B">
      <w:pPr>
        <w:spacing w:after="20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C">
      <w:pPr>
        <w:spacing w:after="200" w:lineRule="auto"/>
        <w:jc w:val="center"/>
        <w:rPr>
          <w:rFonts w:ascii="Arial" w:cs="Arial" w:eastAsia="Arial" w:hAnsi="Arial"/>
          <w:b w:val="1"/>
        </w:rPr>
      </w:pPr>
      <w:r w:rsidDel="00000000" w:rsidR="00000000" w:rsidRPr="00000000">
        <w:rPr>
          <w:rFonts w:ascii="Arial" w:cs="Arial" w:eastAsia="Arial" w:hAnsi="Arial"/>
          <w:b w:val="1"/>
        </w:rPr>
        <w:drawing>
          <wp:inline distB="114300" distT="114300" distL="114300" distR="114300">
            <wp:extent cx="5943600" cy="3822700"/>
            <wp:effectExtent b="0" l="0" r="0" t="0"/>
            <wp:docPr id="51" name="image1.png"/>
            <a:graphic>
              <a:graphicData uri="http://schemas.openxmlformats.org/drawingml/2006/picture">
                <pic:pic>
                  <pic:nvPicPr>
                    <pic:cNvPr id="0" name="image1.png"/>
                    <pic:cNvPicPr preferRelativeResize="0"/>
                  </pic:nvPicPr>
                  <pic:blipFill>
                    <a:blip r:embed="rId8"/>
                    <a:srcRect b="0" l="45" r="44" t="0"/>
                    <a:stretch>
                      <a:fillRect/>
                    </a:stretch>
                  </pic:blipFill>
                  <pic:spPr>
                    <a:xfrm>
                      <a:off x="0" y="0"/>
                      <a:ext cx="59436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Style w:val="Heading4"/>
        <w:spacing w:after="200" w:lineRule="auto"/>
        <w:rPr>
          <w:i w:val="1"/>
        </w:rPr>
      </w:pPr>
      <w:bookmarkStart w:colFirst="0" w:colLast="0" w:name="_heading=h.4w2ske89e52y" w:id="2"/>
      <w:bookmarkEnd w:id="2"/>
      <w:r w:rsidDel="00000000" w:rsidR="00000000" w:rsidRPr="00000000">
        <w:rPr>
          <w:rtl w:val="0"/>
        </w:rPr>
        <w:t xml:space="preserve">Supplementary Figure 2  Comparison of kinase activity inference performance across kinase classes and perturbation status.</w:t>
      </w:r>
      <w:r w:rsidDel="00000000" w:rsidR="00000000" w:rsidRPr="00000000">
        <w:rPr>
          <w:i w:val="1"/>
          <w:rtl w:val="0"/>
        </w:rPr>
        <w:t xml:space="preserve"> </w:t>
      </w:r>
    </w:p>
    <w:p w:rsidR="00000000" w:rsidDel="00000000" w:rsidP="00000000" w:rsidRDefault="00000000" w:rsidRPr="00000000" w14:paraId="0000000E">
      <w:pPr>
        <w:spacing w:after="200" w:lineRule="auto"/>
        <w:rPr>
          <w:rFonts w:ascii="Arial" w:cs="Arial" w:eastAsia="Arial" w:hAnsi="Arial"/>
          <w:i w:val="1"/>
          <w:sz w:val="20"/>
          <w:szCs w:val="20"/>
        </w:rPr>
      </w:pPr>
      <w:r w:rsidDel="00000000" w:rsidR="00000000" w:rsidRPr="00000000">
        <w:rPr>
          <w:rFonts w:ascii="Arial" w:cs="Arial" w:eastAsia="Arial" w:hAnsi="Arial"/>
          <w:b w:val="1"/>
          <w:i w:val="1"/>
          <w:sz w:val="20"/>
          <w:szCs w:val="20"/>
          <w:rtl w:val="0"/>
        </w:rPr>
        <w:t xml:space="preserve">a-b </w:t>
      </w:r>
      <w:r w:rsidDel="00000000" w:rsidR="00000000" w:rsidRPr="00000000">
        <w:rPr>
          <w:rFonts w:ascii="Arial" w:cs="Arial" w:eastAsia="Arial" w:hAnsi="Arial"/>
          <w:i w:val="1"/>
          <w:sz w:val="20"/>
          <w:szCs w:val="20"/>
          <w:rtl w:val="0"/>
        </w:rPr>
        <w:t xml:space="preserve">Evaluation of kinase activity inference methods using the scaled rank of the perturbed kinase activity for </w:t>
      </w:r>
      <w:r w:rsidDel="00000000" w:rsidR="00000000" w:rsidRPr="00000000">
        <w:rPr>
          <w:rFonts w:ascii="Arial" w:cs="Arial" w:eastAsia="Arial" w:hAnsi="Arial"/>
          <w:b w:val="1"/>
          <w:i w:val="1"/>
          <w:sz w:val="20"/>
          <w:szCs w:val="20"/>
          <w:rtl w:val="0"/>
        </w:rPr>
        <w:t xml:space="preserve">a</w:t>
      </w:r>
      <w:r w:rsidDel="00000000" w:rsidR="00000000" w:rsidRPr="00000000">
        <w:rPr>
          <w:rFonts w:ascii="Arial" w:cs="Arial" w:eastAsia="Arial" w:hAnsi="Arial"/>
          <w:i w:val="1"/>
          <w:sz w:val="20"/>
          <w:szCs w:val="20"/>
          <w:rtl w:val="0"/>
        </w:rPr>
        <w:t xml:space="preserve"> Serine/Threonine (n=31) and </w:t>
      </w:r>
      <w:r w:rsidDel="00000000" w:rsidR="00000000" w:rsidRPr="00000000">
        <w:rPr>
          <w:rFonts w:ascii="Arial" w:cs="Arial" w:eastAsia="Arial" w:hAnsi="Arial"/>
          <w:b w:val="1"/>
          <w:i w:val="1"/>
          <w:sz w:val="20"/>
          <w:szCs w:val="20"/>
          <w:rtl w:val="0"/>
        </w:rPr>
        <w:t xml:space="preserve">b</w:t>
      </w:r>
      <w:r w:rsidDel="00000000" w:rsidR="00000000" w:rsidRPr="00000000">
        <w:rPr>
          <w:rFonts w:ascii="Arial" w:cs="Arial" w:eastAsia="Arial" w:hAnsi="Arial"/>
          <w:i w:val="1"/>
          <w:sz w:val="20"/>
          <w:szCs w:val="20"/>
          <w:rtl w:val="0"/>
        </w:rPr>
        <w:t xml:space="preserve"> Tyrosine kinases (n=5). </w:t>
      </w:r>
      <w:r w:rsidDel="00000000" w:rsidR="00000000" w:rsidRPr="00000000">
        <w:rPr>
          <w:rFonts w:ascii="Arial" w:cs="Arial" w:eastAsia="Arial" w:hAnsi="Arial"/>
          <w:b w:val="1"/>
          <w:i w:val="1"/>
          <w:sz w:val="20"/>
          <w:szCs w:val="20"/>
          <w:rtl w:val="0"/>
        </w:rPr>
        <w:t xml:space="preserve">c </w:t>
      </w:r>
      <w:r w:rsidDel="00000000" w:rsidR="00000000" w:rsidRPr="00000000">
        <w:rPr>
          <w:rFonts w:ascii="Arial" w:cs="Arial" w:eastAsia="Arial" w:hAnsi="Arial"/>
          <w:i w:val="1"/>
          <w:sz w:val="20"/>
          <w:szCs w:val="20"/>
          <w:rtl w:val="0"/>
        </w:rPr>
        <w:t xml:space="preserve">Average scaled rank of kinases from the evaluation set depending on whether they were perturbed or not perturbed in an experiment. Tyrosine kinases are marked by an underline. For the activity estimation the z-score in combination with PhosphoSitePlus was used. For the boxplots, the central line depicts the median, the box hinges represent the 25th to 75th percentiles, and the whiskers extend up to 1.5 times the interquartile range above and below the box hinges. Outliers are depicted as individual hollow points beyond the whiskers.</w:t>
      </w:r>
    </w:p>
    <w:p w:rsidR="00000000" w:rsidDel="00000000" w:rsidP="00000000" w:rsidRDefault="00000000" w:rsidRPr="00000000" w14:paraId="0000000F">
      <w:pPr>
        <w:spacing w:after="20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0">
      <w:pPr>
        <w:spacing w:after="200" w:lineRule="auto"/>
        <w:rPr>
          <w:rFonts w:ascii="Arial" w:cs="Arial" w:eastAsia="Arial" w:hAnsi="Arial"/>
          <w:i w:val="1"/>
          <w:sz w:val="20"/>
          <w:szCs w:val="20"/>
        </w:rPr>
      </w:pPr>
      <w:r w:rsidDel="00000000" w:rsidR="00000000" w:rsidRPr="00000000">
        <w:rPr>
          <w:rFonts w:ascii="Arial" w:cs="Arial" w:eastAsia="Arial" w:hAnsi="Arial"/>
          <w:i w:val="1"/>
          <w:sz w:val="20"/>
          <w:szCs w:val="20"/>
        </w:rPr>
        <w:drawing>
          <wp:inline distB="114300" distT="114300" distL="114300" distR="114300">
            <wp:extent cx="5943600" cy="7518400"/>
            <wp:effectExtent b="0" l="0" r="0" t="0"/>
            <wp:docPr id="50"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943600" cy="75184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Style w:val="Heading4"/>
        <w:spacing w:after="200" w:lineRule="auto"/>
        <w:rPr>
          <w:i w:val="1"/>
        </w:rPr>
      </w:pPr>
      <w:bookmarkStart w:colFirst="0" w:colLast="0" w:name="_heading=h.ey82zygdij6f" w:id="3"/>
      <w:bookmarkEnd w:id="3"/>
      <w:r w:rsidDel="00000000" w:rsidR="00000000" w:rsidRPr="00000000">
        <w:rPr>
          <w:rtl w:val="0"/>
        </w:rPr>
        <w:t xml:space="preserve">Supplementary Figure 3  Tumor-based gold standard set exploration</w:t>
      </w:r>
      <w:r w:rsidDel="00000000" w:rsidR="00000000" w:rsidRPr="00000000">
        <w:rPr>
          <w:rtl w:val="0"/>
        </w:rPr>
      </w:r>
    </w:p>
    <w:p w:rsidR="00000000" w:rsidDel="00000000" w:rsidP="00000000" w:rsidRDefault="00000000" w:rsidRPr="00000000" w14:paraId="00000012">
      <w:pPr>
        <w:spacing w:after="200" w:lineRule="auto"/>
        <w:rPr>
          <w:rFonts w:ascii="Arial" w:cs="Arial" w:eastAsia="Arial" w:hAnsi="Arial"/>
          <w:i w:val="1"/>
          <w:sz w:val="20"/>
          <w:szCs w:val="20"/>
        </w:rPr>
      </w:pPr>
      <w:r w:rsidDel="00000000" w:rsidR="00000000" w:rsidRPr="00000000">
        <w:rPr>
          <w:rFonts w:ascii="Arial" w:cs="Arial" w:eastAsia="Arial" w:hAnsi="Arial"/>
          <w:b w:val="1"/>
          <w:i w:val="1"/>
          <w:sz w:val="20"/>
          <w:szCs w:val="20"/>
          <w:rtl w:val="0"/>
        </w:rPr>
        <w:t xml:space="preserve">a </w:t>
      </w:r>
      <w:r w:rsidDel="00000000" w:rsidR="00000000" w:rsidRPr="00000000">
        <w:rPr>
          <w:rFonts w:ascii="Arial" w:cs="Arial" w:eastAsia="Arial" w:hAnsi="Arial"/>
          <w:i w:val="1"/>
          <w:sz w:val="20"/>
          <w:szCs w:val="20"/>
          <w:rtl w:val="0"/>
        </w:rPr>
        <w:t xml:space="preserve">Distributions of Pearson correlation values between phosphosites and host proteins for each of the ten cancer types profiled by CPTAC. </w:t>
      </w:r>
      <w:r w:rsidDel="00000000" w:rsidR="00000000" w:rsidRPr="00000000">
        <w:rPr>
          <w:rFonts w:ascii="Arial" w:cs="Arial" w:eastAsia="Arial" w:hAnsi="Arial"/>
          <w:b w:val="1"/>
          <w:i w:val="1"/>
          <w:sz w:val="20"/>
          <w:szCs w:val="20"/>
          <w:rtl w:val="0"/>
        </w:rPr>
        <w:t xml:space="preserve">b</w:t>
      </w:r>
      <w:r w:rsidDel="00000000" w:rsidR="00000000" w:rsidRPr="00000000">
        <w:rPr>
          <w:rFonts w:ascii="Arial" w:cs="Arial" w:eastAsia="Arial" w:hAnsi="Arial"/>
          <w:i w:val="1"/>
          <w:sz w:val="20"/>
          <w:szCs w:val="20"/>
          <w:rtl w:val="0"/>
        </w:rPr>
        <w:t xml:space="preserve"> Sample AUROCs for an alternative gold standard set established using the top and bottom 2.5% of protein levels. </w:t>
      </w:r>
      <w:r w:rsidDel="00000000" w:rsidR="00000000" w:rsidRPr="00000000">
        <w:rPr>
          <w:rFonts w:ascii="Arial" w:cs="Arial" w:eastAsia="Arial" w:hAnsi="Arial"/>
          <w:b w:val="1"/>
          <w:i w:val="1"/>
          <w:sz w:val="20"/>
          <w:szCs w:val="20"/>
          <w:rtl w:val="0"/>
        </w:rPr>
        <w:t xml:space="preserve">c</w:t>
      </w:r>
      <w:r w:rsidDel="00000000" w:rsidR="00000000" w:rsidRPr="00000000">
        <w:rPr>
          <w:rFonts w:ascii="Arial" w:cs="Arial" w:eastAsia="Arial" w:hAnsi="Arial"/>
          <w:i w:val="1"/>
          <w:sz w:val="20"/>
          <w:szCs w:val="20"/>
          <w:rtl w:val="0"/>
        </w:rPr>
        <w:t xml:space="preserve"> Sample AUROCs for an alternative gold standard set established using the top and bottom 10% of protein levels. </w:t>
      </w:r>
      <w:r w:rsidDel="00000000" w:rsidR="00000000" w:rsidRPr="00000000">
        <w:rPr>
          <w:rFonts w:ascii="Arial" w:cs="Arial" w:eastAsia="Arial" w:hAnsi="Arial"/>
          <w:b w:val="1"/>
          <w:i w:val="1"/>
          <w:sz w:val="20"/>
          <w:szCs w:val="20"/>
          <w:rtl w:val="0"/>
        </w:rPr>
        <w:t xml:space="preserve">d</w:t>
      </w:r>
      <w:r w:rsidDel="00000000" w:rsidR="00000000" w:rsidRPr="00000000">
        <w:rPr>
          <w:rFonts w:ascii="Arial" w:cs="Arial" w:eastAsia="Arial" w:hAnsi="Arial"/>
          <w:i w:val="1"/>
          <w:sz w:val="20"/>
          <w:szCs w:val="20"/>
          <w:rtl w:val="0"/>
        </w:rPr>
        <w:t xml:space="preserve"> 787 potential activating sites on 270 kinases were identified from a combination of manual curation of the literature and of regulatory sites from PhosphoSitePlus. </w:t>
      </w:r>
      <w:r w:rsidDel="00000000" w:rsidR="00000000" w:rsidRPr="00000000">
        <w:rPr>
          <w:rFonts w:ascii="Arial" w:cs="Arial" w:eastAsia="Arial" w:hAnsi="Arial"/>
          <w:b w:val="1"/>
          <w:i w:val="1"/>
          <w:sz w:val="20"/>
          <w:szCs w:val="20"/>
          <w:rtl w:val="0"/>
        </w:rPr>
        <w:t xml:space="preserve">e</w:t>
      </w:r>
      <w:r w:rsidDel="00000000" w:rsidR="00000000" w:rsidRPr="00000000">
        <w:rPr>
          <w:rFonts w:ascii="Arial" w:cs="Arial" w:eastAsia="Arial" w:hAnsi="Arial"/>
          <w:i w:val="1"/>
          <w:sz w:val="20"/>
          <w:szCs w:val="20"/>
          <w:rtl w:val="0"/>
        </w:rPr>
        <w:t xml:space="preserve"> Sample AUROCs for an alternative gold standard set established using the top and bottom 2.5% of the levels of activating sites on kinases. </w:t>
      </w:r>
      <w:r w:rsidDel="00000000" w:rsidR="00000000" w:rsidRPr="00000000">
        <w:rPr>
          <w:rFonts w:ascii="Arial" w:cs="Arial" w:eastAsia="Arial" w:hAnsi="Arial"/>
          <w:b w:val="1"/>
          <w:i w:val="1"/>
          <w:sz w:val="20"/>
          <w:szCs w:val="20"/>
          <w:rtl w:val="0"/>
        </w:rPr>
        <w:t xml:space="preserve">f</w:t>
      </w:r>
      <w:r w:rsidDel="00000000" w:rsidR="00000000" w:rsidRPr="00000000">
        <w:rPr>
          <w:rFonts w:ascii="Arial" w:cs="Arial" w:eastAsia="Arial" w:hAnsi="Arial"/>
          <w:i w:val="1"/>
          <w:sz w:val="20"/>
          <w:szCs w:val="20"/>
          <w:rtl w:val="0"/>
        </w:rPr>
        <w:t xml:space="preserve"> Sample AUROCs for an alternative gold standard set established using the top and bottom 10% of the levels of activating sites on kinases. For </w:t>
      </w:r>
      <w:r w:rsidDel="00000000" w:rsidR="00000000" w:rsidRPr="00000000">
        <w:rPr>
          <w:rFonts w:ascii="Arial" w:cs="Arial" w:eastAsia="Arial" w:hAnsi="Arial"/>
          <w:b w:val="1"/>
          <w:i w:val="1"/>
          <w:sz w:val="20"/>
          <w:szCs w:val="20"/>
          <w:rtl w:val="0"/>
        </w:rPr>
        <w:t xml:space="preserve">b-f</w:t>
      </w:r>
      <w:r w:rsidDel="00000000" w:rsidR="00000000" w:rsidRPr="00000000">
        <w:rPr>
          <w:rFonts w:ascii="Arial" w:cs="Arial" w:eastAsia="Arial" w:hAnsi="Arial"/>
          <w:i w:val="1"/>
          <w:sz w:val="20"/>
          <w:szCs w:val="20"/>
          <w:rtl w:val="0"/>
        </w:rPr>
        <w:t xml:space="preserve"> boxplots show the distributions of AUROC scores from benchmarking analysis applied to a thousand random samples of 80% of the GS set (n=1,000). </w:t>
      </w:r>
      <w:r w:rsidDel="00000000" w:rsidR="00000000" w:rsidRPr="00000000">
        <w:rPr>
          <w:rFonts w:ascii="Arial" w:cs="Arial" w:eastAsia="Arial" w:hAnsi="Arial"/>
          <w:b w:val="1"/>
          <w:i w:val="1"/>
          <w:sz w:val="20"/>
          <w:szCs w:val="20"/>
          <w:rtl w:val="0"/>
        </w:rPr>
        <w:t xml:space="preserve">g</w:t>
      </w:r>
      <w:r w:rsidDel="00000000" w:rsidR="00000000" w:rsidRPr="00000000">
        <w:rPr>
          <w:rFonts w:ascii="Arial" w:cs="Arial" w:eastAsia="Arial" w:hAnsi="Arial"/>
          <w:i w:val="1"/>
          <w:sz w:val="20"/>
          <w:szCs w:val="20"/>
          <w:rtl w:val="0"/>
        </w:rPr>
        <w:t xml:space="preserve"> Pearson correlations for pairs of proteins that contain sites that are common targets of the same kinase (blue) vs. correlations for pairs of proteins that contain targets from different kinase groups. For the boxplots, the central line depicts the median, the box hinges represent the 25th to 75th percentiles, and the whiskers extend up to 1.5 times the interquartile range above and below the box hinges. Outliers are depicted as individual hollow points beyond the whiskers.</w:t>
      </w:r>
    </w:p>
    <w:p w:rsidR="00000000" w:rsidDel="00000000" w:rsidP="00000000" w:rsidRDefault="00000000" w:rsidRPr="00000000" w14:paraId="00000013">
      <w:pPr>
        <w:spacing w:after="20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4">
      <w:pPr>
        <w:spacing w:after="20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5">
      <w:pPr>
        <w:spacing w:after="20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6">
      <w:pPr>
        <w:spacing w:after="20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7">
      <w:pPr>
        <w:spacing w:after="20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8">
      <w:pPr>
        <w:spacing w:after="200" w:lineRule="auto"/>
        <w:rPr>
          <w:rFonts w:ascii="Arial" w:cs="Arial" w:eastAsia="Arial" w:hAnsi="Arial"/>
          <w:i w:val="1"/>
          <w:sz w:val="20"/>
          <w:szCs w:val="20"/>
        </w:rPr>
      </w:pPr>
      <w:r w:rsidDel="00000000" w:rsidR="00000000" w:rsidRPr="00000000">
        <w:rPr>
          <w:rFonts w:ascii="Arial" w:cs="Arial" w:eastAsia="Arial" w:hAnsi="Arial"/>
          <w:i w:val="1"/>
          <w:sz w:val="20"/>
          <w:szCs w:val="20"/>
        </w:rPr>
        <w:drawing>
          <wp:inline distB="114300" distT="114300" distL="114300" distR="114300">
            <wp:extent cx="5943600" cy="4483100"/>
            <wp:effectExtent b="0" l="0" r="0" t="0"/>
            <wp:docPr id="53"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5943600" cy="44831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pStyle w:val="Heading4"/>
        <w:spacing w:after="200" w:lineRule="auto"/>
        <w:rPr>
          <w:i w:val="1"/>
        </w:rPr>
      </w:pPr>
      <w:bookmarkStart w:colFirst="0" w:colLast="0" w:name="_heading=h.jnj7y0hkyehq" w:id="4"/>
      <w:bookmarkEnd w:id="4"/>
      <w:r w:rsidDel="00000000" w:rsidR="00000000" w:rsidRPr="00000000">
        <w:rPr>
          <w:rtl w:val="0"/>
        </w:rPr>
        <w:t xml:space="preserve">Supplementary Figure 4  Gold standard set overview for the tumor-based benchmark.</w:t>
      </w:r>
      <w:r w:rsidDel="00000000" w:rsidR="00000000" w:rsidRPr="00000000">
        <w:rPr>
          <w:i w:val="1"/>
          <w:rtl w:val="0"/>
        </w:rPr>
        <w:t xml:space="preserve"> </w:t>
      </w:r>
    </w:p>
    <w:p w:rsidR="00000000" w:rsidDel="00000000" w:rsidP="00000000" w:rsidRDefault="00000000" w:rsidRPr="00000000" w14:paraId="0000001A">
      <w:pPr>
        <w:spacing w:after="200" w:lineRule="auto"/>
        <w:rPr>
          <w:rFonts w:ascii="Arial" w:cs="Arial" w:eastAsia="Arial" w:hAnsi="Arial"/>
          <w:i w:val="1"/>
          <w:sz w:val="20"/>
          <w:szCs w:val="20"/>
        </w:rPr>
      </w:pPr>
      <w:r w:rsidDel="00000000" w:rsidR="00000000" w:rsidRPr="00000000">
        <w:rPr>
          <w:rFonts w:ascii="Arial" w:cs="Arial" w:eastAsia="Arial" w:hAnsi="Arial"/>
          <w:b w:val="1"/>
          <w:i w:val="1"/>
          <w:sz w:val="20"/>
          <w:szCs w:val="20"/>
          <w:rtl w:val="0"/>
        </w:rPr>
        <w:t xml:space="preserve">a-b </w:t>
      </w:r>
      <w:r w:rsidDel="00000000" w:rsidR="00000000" w:rsidRPr="00000000">
        <w:rPr>
          <w:rFonts w:ascii="Arial" w:cs="Arial" w:eastAsia="Arial" w:hAnsi="Arial"/>
          <w:i w:val="1"/>
          <w:sz w:val="20"/>
          <w:szCs w:val="20"/>
          <w:rtl w:val="0"/>
        </w:rPr>
        <w:t xml:space="preserve">Number of unique </w:t>
      </w:r>
      <w:r w:rsidDel="00000000" w:rsidR="00000000" w:rsidRPr="00000000">
        <w:rPr>
          <w:rFonts w:ascii="Arial" w:cs="Arial" w:eastAsia="Arial" w:hAnsi="Arial"/>
          <w:b w:val="1"/>
          <w:i w:val="1"/>
          <w:sz w:val="20"/>
          <w:szCs w:val="20"/>
          <w:rtl w:val="0"/>
        </w:rPr>
        <w:t xml:space="preserve">a</w:t>
      </w:r>
      <w:r w:rsidDel="00000000" w:rsidR="00000000" w:rsidRPr="00000000">
        <w:rPr>
          <w:rFonts w:ascii="Arial" w:cs="Arial" w:eastAsia="Arial" w:hAnsi="Arial"/>
          <w:i w:val="1"/>
          <w:sz w:val="20"/>
          <w:szCs w:val="20"/>
          <w:rtl w:val="0"/>
        </w:rPr>
        <w:t xml:space="preserve"> kinase-patient pairs and </w:t>
      </w:r>
      <w:r w:rsidDel="00000000" w:rsidR="00000000" w:rsidRPr="00000000">
        <w:rPr>
          <w:rFonts w:ascii="Arial" w:cs="Arial" w:eastAsia="Arial" w:hAnsi="Arial"/>
          <w:b w:val="1"/>
          <w:i w:val="1"/>
          <w:sz w:val="20"/>
          <w:szCs w:val="20"/>
          <w:rtl w:val="0"/>
        </w:rPr>
        <w:t xml:space="preserve">b</w:t>
      </w:r>
      <w:r w:rsidDel="00000000" w:rsidR="00000000" w:rsidRPr="00000000">
        <w:rPr>
          <w:rFonts w:ascii="Arial" w:cs="Arial" w:eastAsia="Arial" w:hAnsi="Arial"/>
          <w:i w:val="1"/>
          <w:sz w:val="20"/>
          <w:szCs w:val="20"/>
          <w:rtl w:val="0"/>
        </w:rPr>
        <w:t xml:space="preserve"> kinases for the protein- and activating site-based tumor benchmark approach. </w:t>
      </w:r>
      <w:r w:rsidDel="00000000" w:rsidR="00000000" w:rsidRPr="00000000">
        <w:rPr>
          <w:rFonts w:ascii="Arial" w:cs="Arial" w:eastAsia="Arial" w:hAnsi="Arial"/>
          <w:b w:val="1"/>
          <w:i w:val="1"/>
          <w:sz w:val="20"/>
          <w:szCs w:val="20"/>
          <w:rtl w:val="0"/>
        </w:rPr>
        <w:t xml:space="preserve">c-d </w:t>
      </w:r>
      <w:r w:rsidDel="00000000" w:rsidR="00000000" w:rsidRPr="00000000">
        <w:rPr>
          <w:rFonts w:ascii="Arial" w:cs="Arial" w:eastAsia="Arial" w:hAnsi="Arial"/>
          <w:i w:val="1"/>
          <w:sz w:val="20"/>
          <w:szCs w:val="20"/>
          <w:rtl w:val="0"/>
        </w:rPr>
        <w:t xml:space="preserve">Top 30 kinases for the c protein-based and d activating site-based benchmark according to the number of kinase-patient pairs. Kinases with an expected high activity (positive) or low activity (negative) in the patient are coloured in blue and orange, respectively.</w:t>
      </w:r>
    </w:p>
    <w:p w:rsidR="00000000" w:rsidDel="00000000" w:rsidP="00000000" w:rsidRDefault="00000000" w:rsidRPr="00000000" w14:paraId="0000001B">
      <w:pPr>
        <w:spacing w:after="200" w:lineRule="auto"/>
        <w:rPr>
          <w:rFonts w:ascii="Arial" w:cs="Arial" w:eastAsia="Arial" w:hAnsi="Arial"/>
          <w:b w:val="1"/>
          <w:sz w:val="20"/>
          <w:szCs w:val="20"/>
        </w:rPr>
      </w:pPr>
      <w:r w:rsidDel="00000000" w:rsidR="00000000" w:rsidRPr="00000000">
        <w:rPr>
          <w:rFonts w:ascii="Arial" w:cs="Arial" w:eastAsia="Arial" w:hAnsi="Arial"/>
          <w:b w:val="1"/>
        </w:rPr>
        <w:drawing>
          <wp:inline distB="114300" distT="114300" distL="114300" distR="114300">
            <wp:extent cx="5943600" cy="6121400"/>
            <wp:effectExtent b="0" l="0" r="0" t="0"/>
            <wp:docPr id="52"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43600" cy="61214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Style w:val="Heading4"/>
        <w:spacing w:after="0" w:lineRule="auto"/>
        <w:rPr>
          <w:i w:val="1"/>
        </w:rPr>
      </w:pPr>
      <w:bookmarkStart w:colFirst="0" w:colLast="0" w:name="_heading=h.gjdgxs" w:id="5"/>
      <w:bookmarkEnd w:id="5"/>
      <w:r w:rsidDel="00000000" w:rsidR="00000000" w:rsidRPr="00000000">
        <w:rPr>
          <w:rtl w:val="0"/>
        </w:rPr>
        <w:t xml:space="preserve">Supplementary Figure 5  Kinase coverage and regulon size across resources.</w:t>
      </w:r>
      <w:r w:rsidDel="00000000" w:rsidR="00000000" w:rsidRPr="00000000">
        <w:rPr>
          <w:i w:val="1"/>
          <w:rtl w:val="0"/>
        </w:rPr>
        <w:t xml:space="preserve"> </w:t>
      </w:r>
    </w:p>
    <w:p w:rsidR="00000000" w:rsidDel="00000000" w:rsidP="00000000" w:rsidRDefault="00000000" w:rsidRPr="00000000" w14:paraId="0000001D">
      <w:pPr>
        <w:spacing w:after="200" w:lineRule="auto"/>
        <w:rPr>
          <w:rFonts w:ascii="Arial" w:cs="Arial" w:eastAsia="Arial" w:hAnsi="Arial"/>
          <w:i w:val="1"/>
          <w:sz w:val="20"/>
          <w:szCs w:val="20"/>
        </w:rPr>
      </w:pPr>
      <w:r w:rsidDel="00000000" w:rsidR="00000000" w:rsidRPr="00000000">
        <w:rPr>
          <w:rFonts w:ascii="Arial" w:cs="Arial" w:eastAsia="Arial" w:hAnsi="Arial"/>
          <w:b w:val="1"/>
          <w:i w:val="1"/>
          <w:sz w:val="20"/>
          <w:szCs w:val="20"/>
          <w:rtl w:val="0"/>
        </w:rPr>
        <w:t xml:space="preserve">a </w:t>
      </w:r>
      <w:r w:rsidDel="00000000" w:rsidR="00000000" w:rsidRPr="00000000">
        <w:rPr>
          <w:rFonts w:ascii="Arial" w:cs="Arial" w:eastAsia="Arial" w:hAnsi="Arial"/>
          <w:i w:val="1"/>
          <w:sz w:val="20"/>
          <w:szCs w:val="20"/>
          <w:rtl w:val="0"/>
        </w:rPr>
        <w:t xml:space="preserve">UpSet plot visualizing the kinase intersections across kinase-substrate libraries. </w:t>
      </w:r>
      <w:r w:rsidDel="00000000" w:rsidR="00000000" w:rsidRPr="00000000">
        <w:rPr>
          <w:rFonts w:ascii="Arial" w:cs="Arial" w:eastAsia="Arial" w:hAnsi="Arial"/>
          <w:b w:val="1"/>
          <w:i w:val="1"/>
          <w:sz w:val="20"/>
          <w:szCs w:val="20"/>
          <w:rtl w:val="0"/>
        </w:rPr>
        <w:t xml:space="preserve">b</w:t>
      </w:r>
      <w:r w:rsidDel="00000000" w:rsidR="00000000" w:rsidRPr="00000000">
        <w:rPr>
          <w:rFonts w:ascii="Arial" w:cs="Arial" w:eastAsia="Arial" w:hAnsi="Arial"/>
          <w:i w:val="1"/>
          <w:sz w:val="20"/>
          <w:szCs w:val="20"/>
          <w:rtl w:val="0"/>
        </w:rPr>
        <w:t xml:space="preserve"> Number of kinases covered in each resource, divided according to the different kinase classes (Serine/threonine, histidine, tyrosine or dual-specificity). </w:t>
      </w:r>
      <w:r w:rsidDel="00000000" w:rsidR="00000000" w:rsidRPr="00000000">
        <w:rPr>
          <w:rFonts w:ascii="Arial" w:cs="Arial" w:eastAsia="Arial" w:hAnsi="Arial"/>
          <w:b w:val="1"/>
          <w:i w:val="1"/>
          <w:sz w:val="20"/>
          <w:szCs w:val="20"/>
          <w:rtl w:val="0"/>
        </w:rPr>
        <w:t xml:space="preserve">c</w:t>
      </w:r>
      <w:r w:rsidDel="00000000" w:rsidR="00000000" w:rsidRPr="00000000">
        <w:rPr>
          <w:rFonts w:ascii="Arial" w:cs="Arial" w:eastAsia="Arial" w:hAnsi="Arial"/>
          <w:i w:val="1"/>
          <w:sz w:val="20"/>
          <w:szCs w:val="20"/>
          <w:rtl w:val="0"/>
        </w:rPr>
        <w:t xml:space="preserve"> UpSet plot visualizing the kinase-substrate interaction intersections across kinase-substrate libraries. </w:t>
      </w:r>
      <w:r w:rsidDel="00000000" w:rsidR="00000000" w:rsidRPr="00000000">
        <w:rPr>
          <w:rFonts w:ascii="Arial" w:cs="Arial" w:eastAsia="Arial" w:hAnsi="Arial"/>
          <w:b w:val="1"/>
          <w:i w:val="1"/>
          <w:sz w:val="20"/>
          <w:szCs w:val="20"/>
          <w:rtl w:val="0"/>
        </w:rPr>
        <w:t xml:space="preserve">d</w:t>
      </w:r>
      <w:r w:rsidDel="00000000" w:rsidR="00000000" w:rsidRPr="00000000">
        <w:rPr>
          <w:rFonts w:ascii="Arial" w:cs="Arial" w:eastAsia="Arial" w:hAnsi="Arial"/>
          <w:i w:val="1"/>
          <w:sz w:val="20"/>
          <w:szCs w:val="20"/>
          <w:rtl w:val="0"/>
        </w:rPr>
        <w:t xml:space="preserve"> Regulon size, denoting the number of downstream phosphorylation sites, attributed to each kinase in every resource. </w:t>
      </w:r>
      <w:r w:rsidDel="00000000" w:rsidR="00000000" w:rsidRPr="00000000">
        <w:rPr>
          <w:rFonts w:ascii="Arial" w:cs="Arial" w:eastAsia="Arial" w:hAnsi="Arial"/>
          <w:b w:val="1"/>
          <w:i w:val="1"/>
          <w:sz w:val="20"/>
          <w:szCs w:val="20"/>
          <w:rtl w:val="0"/>
        </w:rPr>
        <w:t xml:space="preserve">e</w:t>
      </w:r>
      <w:r w:rsidDel="00000000" w:rsidR="00000000" w:rsidRPr="00000000">
        <w:rPr>
          <w:rFonts w:ascii="Arial" w:cs="Arial" w:eastAsia="Arial" w:hAnsi="Arial"/>
          <w:i w:val="1"/>
          <w:sz w:val="20"/>
          <w:szCs w:val="20"/>
          <w:rtl w:val="0"/>
        </w:rPr>
        <w:t xml:space="preserve"> Mean Jaccard index of kinase regulons between kinase-substrate libraries. For all shared kinases between two libraries, Jaccard indices of their targets were calculated and averaged.</w:t>
      </w:r>
    </w:p>
    <w:p w:rsidR="00000000" w:rsidDel="00000000" w:rsidP="00000000" w:rsidRDefault="00000000" w:rsidRPr="00000000" w14:paraId="0000001E">
      <w:pPr>
        <w:spacing w:after="200" w:lineRule="auto"/>
        <w:rPr>
          <w:rFonts w:ascii="Arial" w:cs="Arial" w:eastAsia="Arial" w:hAnsi="Arial"/>
          <w:i w:val="1"/>
          <w:sz w:val="20"/>
          <w:szCs w:val="20"/>
        </w:rPr>
      </w:pPr>
      <w:r w:rsidDel="00000000" w:rsidR="00000000" w:rsidRPr="00000000">
        <w:rPr>
          <w:rFonts w:ascii="Arial" w:cs="Arial" w:eastAsia="Arial" w:hAnsi="Arial"/>
          <w:i w:val="1"/>
          <w:sz w:val="20"/>
          <w:szCs w:val="20"/>
        </w:rPr>
        <w:drawing>
          <wp:inline distB="114300" distT="114300" distL="114300" distR="114300">
            <wp:extent cx="5943600" cy="6604000"/>
            <wp:effectExtent b="0" l="0" r="0" t="0"/>
            <wp:docPr id="55"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5943600" cy="66040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4"/>
        <w:rPr/>
      </w:pPr>
      <w:bookmarkStart w:colFirst="0" w:colLast="0" w:name="_heading=h.x1k5wyvkrmxn" w:id="6"/>
      <w:bookmarkEnd w:id="6"/>
      <w:r w:rsidDel="00000000" w:rsidR="00000000" w:rsidRPr="00000000">
        <w:rPr>
          <w:rtl w:val="0"/>
        </w:rPr>
        <w:t xml:space="preserve">Supplementary Figure 6  Kinase-substrate library bias. </w:t>
      </w:r>
    </w:p>
    <w:p w:rsidR="00000000" w:rsidDel="00000000" w:rsidP="00000000" w:rsidRDefault="00000000" w:rsidRPr="00000000" w14:paraId="00000020">
      <w:pPr>
        <w:spacing w:after="200" w:lineRule="auto"/>
        <w:rPr>
          <w:rFonts w:ascii="Arial" w:cs="Arial" w:eastAsia="Arial" w:hAnsi="Arial"/>
          <w:b w:val="1"/>
        </w:rPr>
      </w:pPr>
      <w:r w:rsidDel="00000000" w:rsidR="00000000" w:rsidRPr="00000000">
        <w:rPr>
          <w:rFonts w:ascii="Arial" w:cs="Arial" w:eastAsia="Arial" w:hAnsi="Arial"/>
          <w:b w:val="1"/>
          <w:i w:val="1"/>
          <w:sz w:val="20"/>
          <w:szCs w:val="20"/>
          <w:rtl w:val="0"/>
        </w:rPr>
        <w:t xml:space="preserve">a</w:t>
      </w:r>
      <w:r w:rsidDel="00000000" w:rsidR="00000000" w:rsidRPr="00000000">
        <w:rPr>
          <w:rFonts w:ascii="Arial" w:cs="Arial" w:eastAsia="Arial" w:hAnsi="Arial"/>
          <w:i w:val="1"/>
          <w:sz w:val="20"/>
          <w:szCs w:val="20"/>
          <w:rtl w:val="0"/>
        </w:rPr>
        <w:t xml:space="preserve"> Heatmap of kinase class enrichment scores (rows) based on kinases with a relatively higher number of targets across different kinase-substrate databases (columns). Each kinase’s target count is normalized and transformed into z-scores, which are then used to compute enrichment scores using a univariate linear model.  </w:t>
      </w:r>
      <w:r w:rsidDel="00000000" w:rsidR="00000000" w:rsidRPr="00000000">
        <w:rPr>
          <w:rFonts w:ascii="Arial" w:cs="Arial" w:eastAsia="Arial" w:hAnsi="Arial"/>
          <w:b w:val="1"/>
          <w:i w:val="1"/>
          <w:sz w:val="20"/>
          <w:szCs w:val="20"/>
          <w:rtl w:val="0"/>
        </w:rPr>
        <w:t xml:space="preserve">b</w:t>
      </w:r>
      <w:r w:rsidDel="00000000" w:rsidR="00000000" w:rsidRPr="00000000">
        <w:rPr>
          <w:rFonts w:ascii="Arial" w:cs="Arial" w:eastAsia="Arial" w:hAnsi="Arial"/>
          <w:i w:val="1"/>
          <w:sz w:val="20"/>
          <w:szCs w:val="20"/>
          <w:rtl w:val="0"/>
        </w:rPr>
        <w:t xml:space="preserve"> Heatmap of pathway enrichment scores (rows) based on kinases with a relatively higher number of targets in different databases (columns). Normalized kinase target data is processed to compute enrichment scores using an univariate linear model. </w:t>
      </w:r>
      <w:r w:rsidDel="00000000" w:rsidR="00000000" w:rsidRPr="00000000">
        <w:rPr>
          <w:rFonts w:ascii="Arial" w:cs="Arial" w:eastAsia="Arial" w:hAnsi="Arial"/>
          <w:b w:val="1"/>
          <w:i w:val="1"/>
          <w:sz w:val="20"/>
          <w:szCs w:val="20"/>
          <w:rtl w:val="0"/>
        </w:rPr>
        <w:t xml:space="preserve">c</w:t>
      </w:r>
      <w:r w:rsidDel="00000000" w:rsidR="00000000" w:rsidRPr="00000000">
        <w:rPr>
          <w:rFonts w:ascii="Arial" w:cs="Arial" w:eastAsia="Arial" w:hAnsi="Arial"/>
          <w:i w:val="1"/>
          <w:sz w:val="20"/>
          <w:szCs w:val="20"/>
          <w:rtl w:val="0"/>
        </w:rPr>
        <w:t xml:space="preserve"> Heatmap of pathway enrichment scores (rows) based on substrates targeted by a relatively higher number of upstream kinases across databases (columns). Normalized substrate data is used to compute enrichment scores with a univariate linear model.</w:t>
      </w:r>
      <w:r w:rsidDel="00000000" w:rsidR="00000000" w:rsidRPr="00000000">
        <w:br w:type="page"/>
      </w:r>
      <w:r w:rsidDel="00000000" w:rsidR="00000000" w:rsidRPr="00000000">
        <w:rPr>
          <w:rtl w:val="0"/>
        </w:rPr>
      </w:r>
    </w:p>
    <w:p w:rsidR="00000000" w:rsidDel="00000000" w:rsidP="00000000" w:rsidRDefault="00000000" w:rsidRPr="00000000" w14:paraId="00000021">
      <w:pPr>
        <w:spacing w:after="200" w:lineRule="auto"/>
        <w:rPr>
          <w:rFonts w:ascii="Arial" w:cs="Arial" w:eastAsia="Arial" w:hAnsi="Arial"/>
          <w:b w:val="1"/>
        </w:rPr>
      </w:pPr>
      <w:r w:rsidDel="00000000" w:rsidR="00000000" w:rsidRPr="00000000">
        <w:rPr>
          <w:rFonts w:ascii="Arial" w:cs="Arial" w:eastAsia="Arial" w:hAnsi="Arial"/>
          <w:b w:val="1"/>
        </w:rPr>
        <w:drawing>
          <wp:inline distB="114300" distT="114300" distL="114300" distR="114300">
            <wp:extent cx="5943600" cy="7937500"/>
            <wp:effectExtent b="0" l="0" r="0" t="0"/>
            <wp:docPr id="54"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5943600" cy="79375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Style w:val="Heading4"/>
        <w:rPr>
          <w:rFonts w:ascii="Arial" w:cs="Arial" w:eastAsia="Arial" w:hAnsi="Arial"/>
        </w:rPr>
      </w:pPr>
      <w:bookmarkStart w:colFirst="0" w:colLast="0" w:name="_heading=h.30j0zll" w:id="7"/>
      <w:bookmarkEnd w:id="7"/>
      <w:r w:rsidDel="00000000" w:rsidR="00000000" w:rsidRPr="00000000">
        <w:rPr>
          <w:rtl w:val="0"/>
        </w:rPr>
        <w:t xml:space="preserve">Supplementary Figure 7  Comparison of kinase activity inference scores. </w:t>
      </w:r>
      <w:r w:rsidDel="00000000" w:rsidR="00000000" w:rsidRPr="00000000">
        <w:rPr>
          <w:rtl w:val="0"/>
        </w:rPr>
      </w:r>
    </w:p>
    <w:p w:rsidR="00000000" w:rsidDel="00000000" w:rsidP="00000000" w:rsidRDefault="00000000" w:rsidRPr="00000000" w14:paraId="00000023">
      <w:pPr>
        <w:widowControl w:val="0"/>
        <w:spacing w:after="200" w:lineRule="auto"/>
        <w:jc w:val="both"/>
        <w:rPr>
          <w:rFonts w:ascii="Arial" w:cs="Arial" w:eastAsia="Arial" w:hAnsi="Arial"/>
        </w:rPr>
      </w:pPr>
      <w:r w:rsidDel="00000000" w:rsidR="00000000" w:rsidRPr="00000000">
        <w:rPr>
          <w:rFonts w:ascii="Arial" w:cs="Arial" w:eastAsia="Arial" w:hAnsi="Arial"/>
          <w:b w:val="1"/>
          <w:i w:val="1"/>
          <w:sz w:val="20"/>
          <w:szCs w:val="20"/>
          <w:rtl w:val="0"/>
        </w:rPr>
        <w:t xml:space="preserve">a</w:t>
      </w:r>
      <w:r w:rsidDel="00000000" w:rsidR="00000000" w:rsidRPr="00000000">
        <w:rPr>
          <w:rFonts w:ascii="Arial" w:cs="Arial" w:eastAsia="Arial" w:hAnsi="Arial"/>
          <w:i w:val="1"/>
          <w:sz w:val="20"/>
          <w:szCs w:val="20"/>
          <w:rtl w:val="0"/>
        </w:rPr>
        <w:t xml:space="preserve"> Comparison of computational methods for kinase activity inference. Based on the inferred activity scores, Pearson and Spearman correlation as well as the Jaccard index of the top 10 up- and down regulated kinases was calculated between computational methods for each kinase-substrate library and averaged across libraries. </w:t>
      </w:r>
      <w:r w:rsidDel="00000000" w:rsidR="00000000" w:rsidRPr="00000000">
        <w:rPr>
          <w:rFonts w:ascii="Arial" w:cs="Arial" w:eastAsia="Arial" w:hAnsi="Arial"/>
          <w:b w:val="1"/>
          <w:i w:val="1"/>
          <w:sz w:val="20"/>
          <w:szCs w:val="20"/>
          <w:rtl w:val="0"/>
        </w:rPr>
        <w:t xml:space="preserve">b</w:t>
      </w:r>
      <w:r w:rsidDel="00000000" w:rsidR="00000000" w:rsidRPr="00000000">
        <w:rPr>
          <w:rFonts w:ascii="Arial" w:cs="Arial" w:eastAsia="Arial" w:hAnsi="Arial"/>
          <w:i w:val="1"/>
          <w:sz w:val="20"/>
          <w:szCs w:val="20"/>
          <w:rtl w:val="0"/>
        </w:rPr>
        <w:t xml:space="preserve"> Comparison of kinase-substrate libraries for kinase activity inference. Based on the activity scores, Pearson and Spearman correlation as well as the Jaccard index of the top 10 up- and down regulated kinases was calculated between kinase-substrate libraries for each computational method and averaged computational methods.</w:t>
      </w:r>
      <w:r w:rsidDel="00000000" w:rsidR="00000000" w:rsidRPr="00000000">
        <w:rPr>
          <w:rtl w:val="0"/>
        </w:rPr>
      </w:r>
    </w:p>
    <w:p w:rsidR="00000000" w:rsidDel="00000000" w:rsidP="00000000" w:rsidRDefault="00000000" w:rsidRPr="00000000" w14:paraId="00000024">
      <w:pPr>
        <w:spacing w:after="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5">
      <w:pPr>
        <w:spacing w:after="200" w:lineRule="auto"/>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5203299" cy="8418195"/>
            <wp:effectExtent b="0" l="0" r="0" t="0"/>
            <wp:docPr id="57"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203299" cy="8418195"/>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Style w:val="Heading4"/>
        <w:rPr/>
      </w:pPr>
      <w:bookmarkStart w:colFirst="0" w:colLast="0" w:name="_heading=h.o2lxscj6z4f7" w:id="8"/>
      <w:bookmarkEnd w:id="8"/>
      <w:r w:rsidDel="00000000" w:rsidR="00000000" w:rsidRPr="00000000">
        <w:rPr>
          <w:rtl w:val="0"/>
        </w:rPr>
        <w:t xml:space="preserve">Supplementary Figure 8  Comprehensive evaluation of kinase activity inference. </w:t>
      </w:r>
    </w:p>
    <w:p w:rsidR="00000000" w:rsidDel="00000000" w:rsidP="00000000" w:rsidRDefault="00000000" w:rsidRPr="00000000" w14:paraId="00000027">
      <w:pPr>
        <w:widowControl w:val="0"/>
        <w:spacing w:after="200" w:lineRule="auto"/>
        <w:jc w:val="both"/>
        <w:rPr>
          <w:rFonts w:ascii="Arial" w:cs="Arial" w:eastAsia="Arial" w:hAnsi="Arial"/>
          <w:i w:val="1"/>
          <w:sz w:val="20"/>
          <w:szCs w:val="20"/>
        </w:rPr>
      </w:pPr>
      <w:r w:rsidDel="00000000" w:rsidR="00000000" w:rsidRPr="00000000">
        <w:rPr>
          <w:rFonts w:ascii="Arial" w:cs="Arial" w:eastAsia="Arial" w:hAnsi="Arial"/>
          <w:b w:val="1"/>
          <w:i w:val="1"/>
          <w:sz w:val="20"/>
          <w:szCs w:val="20"/>
          <w:rtl w:val="0"/>
        </w:rPr>
        <w:t xml:space="preserve">a-c </w:t>
      </w:r>
      <w:r w:rsidDel="00000000" w:rsidR="00000000" w:rsidRPr="00000000">
        <w:rPr>
          <w:rFonts w:ascii="Arial" w:cs="Arial" w:eastAsia="Arial" w:hAnsi="Arial"/>
          <w:i w:val="1"/>
          <w:sz w:val="20"/>
          <w:szCs w:val="20"/>
          <w:rtl w:val="0"/>
        </w:rPr>
        <w:t xml:space="preserve">Predictive performance of methods for kinase activity inference in identifying perturbed kinases from phosphoproteomics data. Median AUROC for each kinase-substrate library - computational algorithm prediction using a </w:t>
      </w:r>
      <w:r w:rsidDel="00000000" w:rsidR="00000000" w:rsidRPr="00000000">
        <w:rPr>
          <w:rFonts w:ascii="Arial" w:cs="Arial" w:eastAsia="Arial" w:hAnsi="Arial"/>
          <w:b w:val="1"/>
          <w:i w:val="1"/>
          <w:sz w:val="20"/>
          <w:szCs w:val="20"/>
          <w:rtl w:val="0"/>
        </w:rPr>
        <w:t xml:space="preserve">a </w:t>
      </w:r>
      <w:r w:rsidDel="00000000" w:rsidR="00000000" w:rsidRPr="00000000">
        <w:rPr>
          <w:rFonts w:ascii="Arial" w:cs="Arial" w:eastAsia="Arial" w:hAnsi="Arial"/>
          <w:i w:val="1"/>
          <w:sz w:val="20"/>
          <w:szCs w:val="20"/>
          <w:rtl w:val="0"/>
        </w:rPr>
        <w:t xml:space="preserve">perturbation-based, </w:t>
      </w:r>
      <w:r w:rsidDel="00000000" w:rsidR="00000000" w:rsidRPr="00000000">
        <w:rPr>
          <w:rFonts w:ascii="Arial" w:cs="Arial" w:eastAsia="Arial" w:hAnsi="Arial"/>
          <w:b w:val="1"/>
          <w:i w:val="1"/>
          <w:sz w:val="20"/>
          <w:szCs w:val="20"/>
          <w:rtl w:val="0"/>
        </w:rPr>
        <w:t xml:space="preserve">b </w:t>
      </w:r>
      <w:r w:rsidDel="00000000" w:rsidR="00000000" w:rsidRPr="00000000">
        <w:rPr>
          <w:rFonts w:ascii="Arial" w:cs="Arial" w:eastAsia="Arial" w:hAnsi="Arial"/>
          <w:i w:val="1"/>
          <w:sz w:val="20"/>
          <w:szCs w:val="20"/>
          <w:rtl w:val="0"/>
        </w:rPr>
        <w:t xml:space="preserve">activating site-based, or </w:t>
      </w:r>
      <w:r w:rsidDel="00000000" w:rsidR="00000000" w:rsidRPr="00000000">
        <w:rPr>
          <w:rFonts w:ascii="Arial" w:cs="Arial" w:eastAsia="Arial" w:hAnsi="Arial"/>
          <w:b w:val="1"/>
          <w:i w:val="1"/>
          <w:sz w:val="20"/>
          <w:szCs w:val="20"/>
          <w:rtl w:val="0"/>
        </w:rPr>
        <w:t xml:space="preserve">c </w:t>
      </w:r>
      <w:r w:rsidDel="00000000" w:rsidR="00000000" w:rsidRPr="00000000">
        <w:rPr>
          <w:rFonts w:ascii="Arial" w:cs="Arial" w:eastAsia="Arial" w:hAnsi="Arial"/>
          <w:i w:val="1"/>
          <w:sz w:val="20"/>
          <w:szCs w:val="20"/>
          <w:rtl w:val="0"/>
        </w:rPr>
        <w:t xml:space="preserve">protein-based evaluation approach. Hierarchical clustering was used on both libraries and methods.</w:t>
      </w:r>
    </w:p>
    <w:p w:rsidR="00000000" w:rsidDel="00000000" w:rsidP="00000000" w:rsidRDefault="00000000" w:rsidRPr="00000000" w14:paraId="00000028">
      <w:pPr>
        <w:widowControl w:val="0"/>
        <w:spacing w:after="200" w:lineRule="auto"/>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29">
      <w:pPr>
        <w:widowControl w:val="0"/>
        <w:spacing w:after="200" w:lineRule="auto"/>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2A">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2B">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2C">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2D">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2E">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2F">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0">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1">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2">
      <w:pPr>
        <w:widowControl w:val="0"/>
        <w:spacing w:after="200" w:lineRule="auto"/>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3">
      <w:pPr>
        <w:widowControl w:val="0"/>
        <w:spacing w:after="200" w:lineRule="auto"/>
        <w:jc w:val="center"/>
        <w:rPr>
          <w:rFonts w:ascii="Arial" w:cs="Arial" w:eastAsia="Arial" w:hAnsi="Arial"/>
          <w:i w:val="1"/>
          <w:sz w:val="20"/>
          <w:szCs w:val="20"/>
        </w:rPr>
      </w:pPr>
      <w:r w:rsidDel="00000000" w:rsidR="00000000" w:rsidRPr="00000000">
        <w:rPr>
          <w:rFonts w:ascii="Arial" w:cs="Arial" w:eastAsia="Arial" w:hAnsi="Arial"/>
          <w:i w:val="1"/>
          <w:sz w:val="20"/>
          <w:szCs w:val="20"/>
        </w:rPr>
        <w:drawing>
          <wp:inline distB="114300" distT="114300" distL="114300" distR="114300">
            <wp:extent cx="4972036" cy="3195638"/>
            <wp:effectExtent b="0" l="0" r="0" t="0"/>
            <wp:docPr id="56" name="image2.png"/>
            <a:graphic>
              <a:graphicData uri="http://schemas.openxmlformats.org/drawingml/2006/picture">
                <pic:pic>
                  <pic:nvPicPr>
                    <pic:cNvPr id="0" name="image2.png"/>
                    <pic:cNvPicPr preferRelativeResize="0"/>
                  </pic:nvPicPr>
                  <pic:blipFill>
                    <a:blip r:embed="rId15"/>
                    <a:srcRect b="114" l="0" r="0" t="114"/>
                    <a:stretch>
                      <a:fillRect/>
                    </a:stretch>
                  </pic:blipFill>
                  <pic:spPr>
                    <a:xfrm>
                      <a:off x="0" y="0"/>
                      <a:ext cx="4972036" cy="3195638"/>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Style w:val="Heading4"/>
        <w:rPr/>
      </w:pPr>
      <w:bookmarkStart w:colFirst="0" w:colLast="0" w:name="_heading=h.hvx8tsuyccwk" w:id="9"/>
      <w:bookmarkEnd w:id="9"/>
      <w:r w:rsidDel="00000000" w:rsidR="00000000" w:rsidRPr="00000000">
        <w:rPr>
          <w:rtl w:val="0"/>
        </w:rPr>
        <w:t xml:space="preserve">Supplementary Figure 9  Kinase-substrate library performance for same set of kinases. </w:t>
      </w:r>
    </w:p>
    <w:p w:rsidR="00000000" w:rsidDel="00000000" w:rsidP="00000000" w:rsidRDefault="00000000" w:rsidRPr="00000000" w14:paraId="00000035">
      <w:pPr>
        <w:widowControl w:val="0"/>
        <w:spacing w:after="200" w:lineRule="auto"/>
        <w:jc w:val="both"/>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Predictive performance of kinase-substrate libraries for kinase activity inference in identifying deregulated kinases from phosphoproteomics data using the perturbation-, activating site- and protein-based benchmarking approaches. For all libraries the z-score was used to infer kinase activities and only kinases inferred by all libraries were considered. The AUROC calculation was repeated a thousand times, with randomly selecting a subset of the negative classes with the same size as the positive class (n=1,000). For the boxplots, the central line depicts the median, the box hinges represent the 25th to 75th percentiles, and the whiskers extend up to 1.5 times the interquartile range above and below the box hinges. Outliers are depicted as individual hollow points beyond the whiskers.</w:t>
      </w:r>
    </w:p>
    <w:p w:rsidR="00000000" w:rsidDel="00000000" w:rsidP="00000000" w:rsidRDefault="00000000" w:rsidRPr="00000000" w14:paraId="00000036">
      <w:pPr>
        <w:widowControl w:val="0"/>
        <w:spacing w:after="200" w:lineRule="auto"/>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7">
      <w:pPr>
        <w:widowControl w:val="0"/>
        <w:spacing w:after="200" w:lineRule="auto"/>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8">
      <w:pPr>
        <w:widowControl w:val="0"/>
        <w:spacing w:after="200" w:lineRule="auto"/>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9">
      <w:pPr>
        <w:widowControl w:val="0"/>
        <w:spacing w:after="200" w:lineRule="auto"/>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3A">
      <w:pPr>
        <w:widowControl w:val="0"/>
        <w:spacing w:after="200" w:lineRule="auto"/>
        <w:jc w:val="both"/>
        <w:rPr>
          <w:rFonts w:ascii="Arial" w:cs="Arial" w:eastAsia="Arial" w:hAnsi="Arial"/>
          <w:b w:val="1"/>
          <w:sz w:val="20"/>
          <w:szCs w:val="20"/>
        </w:rPr>
      </w:pPr>
      <w:r w:rsidDel="00000000" w:rsidR="00000000" w:rsidRPr="00000000">
        <w:rPr>
          <w:rFonts w:ascii="Arial" w:cs="Arial" w:eastAsia="Arial" w:hAnsi="Arial"/>
          <w:i w:val="1"/>
          <w:sz w:val="20"/>
          <w:szCs w:val="20"/>
        </w:rPr>
        <w:drawing>
          <wp:inline distB="114300" distT="114300" distL="114300" distR="114300">
            <wp:extent cx="5943600" cy="2514600"/>
            <wp:effectExtent b="0" l="0" r="0" t="0"/>
            <wp:docPr id="58" name="image3.png"/>
            <a:graphic>
              <a:graphicData uri="http://schemas.openxmlformats.org/drawingml/2006/picture">
                <pic:pic>
                  <pic:nvPicPr>
                    <pic:cNvPr id="0" name="image3.png"/>
                    <pic:cNvPicPr preferRelativeResize="0"/>
                  </pic:nvPicPr>
                  <pic:blipFill>
                    <a:blip r:embed="rId16"/>
                    <a:srcRect b="88" l="0" r="0" t="87"/>
                    <a:stretch>
                      <a:fillRect/>
                    </a:stretch>
                  </pic:blipFill>
                  <pic:spPr>
                    <a:xfrm>
                      <a:off x="0" y="0"/>
                      <a:ext cx="5943600" cy="2514600"/>
                    </a:xfrm>
                    <a:prstGeom prst="rect"/>
                    <a:ln/>
                  </pic:spPr>
                </pic:pic>
              </a:graphicData>
            </a:graphic>
          </wp:inline>
        </w:drawing>
      </w:r>
      <w:r w:rsidDel="00000000" w:rsidR="00000000" w:rsidRPr="00000000">
        <w:rPr>
          <w:rFonts w:ascii="Arial" w:cs="Arial" w:eastAsia="Arial" w:hAnsi="Arial"/>
          <w:b w:val="1"/>
          <w:sz w:val="20"/>
          <w:szCs w:val="20"/>
          <w:rtl w:val="0"/>
        </w:rPr>
        <w:t xml:space="preserve">Supplementary Figure 10  Kinase-substrate library performance for different kinase classes. </w:t>
      </w:r>
    </w:p>
    <w:p w:rsidR="00000000" w:rsidDel="00000000" w:rsidP="00000000" w:rsidRDefault="00000000" w:rsidRPr="00000000" w14:paraId="0000003B">
      <w:pPr>
        <w:widowControl w:val="0"/>
        <w:spacing w:after="200" w:lineRule="auto"/>
        <w:jc w:val="both"/>
        <w:rPr>
          <w:rFonts w:ascii="Arial" w:cs="Arial" w:eastAsia="Arial" w:hAnsi="Arial"/>
          <w:i w:val="1"/>
          <w:sz w:val="20"/>
          <w:szCs w:val="20"/>
        </w:rPr>
      </w:pPr>
      <w:r w:rsidDel="00000000" w:rsidR="00000000" w:rsidRPr="00000000">
        <w:rPr>
          <w:rFonts w:ascii="Arial" w:cs="Arial" w:eastAsia="Arial" w:hAnsi="Arial"/>
          <w:b w:val="1"/>
          <w:i w:val="1"/>
          <w:sz w:val="20"/>
          <w:szCs w:val="20"/>
          <w:rtl w:val="0"/>
        </w:rPr>
        <w:t xml:space="preserve">a-b</w:t>
      </w:r>
      <w:r w:rsidDel="00000000" w:rsidR="00000000" w:rsidRPr="00000000">
        <w:rPr>
          <w:rFonts w:ascii="Arial" w:cs="Arial" w:eastAsia="Arial" w:hAnsi="Arial"/>
          <w:i w:val="1"/>
          <w:sz w:val="20"/>
          <w:szCs w:val="20"/>
          <w:rtl w:val="0"/>
        </w:rPr>
        <w:t xml:space="preserve"> Predictive performance of kinase-substrate libraries for kinase activity inference in identifying deregulated kinases from phosphoproteomics data for </w:t>
      </w:r>
      <w:r w:rsidDel="00000000" w:rsidR="00000000" w:rsidRPr="00000000">
        <w:rPr>
          <w:rFonts w:ascii="Arial" w:cs="Arial" w:eastAsia="Arial" w:hAnsi="Arial"/>
          <w:b w:val="1"/>
          <w:i w:val="1"/>
          <w:sz w:val="20"/>
          <w:szCs w:val="20"/>
          <w:rtl w:val="0"/>
        </w:rPr>
        <w:t xml:space="preserve">a </w:t>
      </w:r>
      <w:r w:rsidDel="00000000" w:rsidR="00000000" w:rsidRPr="00000000">
        <w:rPr>
          <w:rFonts w:ascii="Arial" w:cs="Arial" w:eastAsia="Arial" w:hAnsi="Arial"/>
          <w:i w:val="1"/>
          <w:sz w:val="20"/>
          <w:szCs w:val="20"/>
          <w:rtl w:val="0"/>
        </w:rPr>
        <w:t xml:space="preserve">Serine/Threonine (n depicted in barplot) and </w:t>
      </w:r>
      <w:r w:rsidDel="00000000" w:rsidR="00000000" w:rsidRPr="00000000">
        <w:rPr>
          <w:rFonts w:ascii="Arial" w:cs="Arial" w:eastAsia="Arial" w:hAnsi="Arial"/>
          <w:b w:val="1"/>
          <w:i w:val="1"/>
          <w:sz w:val="20"/>
          <w:szCs w:val="20"/>
          <w:rtl w:val="0"/>
        </w:rPr>
        <w:t xml:space="preserve">b</w:t>
      </w:r>
      <w:r w:rsidDel="00000000" w:rsidR="00000000" w:rsidRPr="00000000">
        <w:rPr>
          <w:rFonts w:ascii="Arial" w:cs="Arial" w:eastAsia="Arial" w:hAnsi="Arial"/>
          <w:i w:val="1"/>
          <w:sz w:val="20"/>
          <w:szCs w:val="20"/>
          <w:rtl w:val="0"/>
        </w:rPr>
        <w:t xml:space="preserve"> Tyrosine kinases (n depicted in barplot). For all libraries the z-score was used to infer kinase activities and the scaled rank of the perturbed kinase was calculated for each experiment. For the boxplots, the central line depicts the median, the box hinges represent the 25th to 75th percentiles, and the whiskers extend up to 1.5 times the interquartile range above and below the box hinges. Outliers are depicted as individual hollow points beyond the whiskers.</w:t>
      </w:r>
    </w:p>
    <w:p w:rsidR="00000000" w:rsidDel="00000000" w:rsidP="00000000" w:rsidRDefault="00000000" w:rsidRPr="00000000" w14:paraId="0000003C">
      <w:pPr>
        <w:widowControl w:val="0"/>
        <w:spacing w:after="200" w:lineRule="auto"/>
        <w:jc w:val="both"/>
        <w:rPr>
          <w:rFonts w:ascii="Arial" w:cs="Arial" w:eastAsia="Arial" w:hAnsi="Arial"/>
          <w:i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D">
      <w:pPr>
        <w:widowControl w:val="0"/>
        <w:spacing w:after="200" w:lineRule="auto"/>
        <w:jc w:val="both"/>
        <w:rPr/>
      </w:pPr>
      <w:r w:rsidDel="00000000" w:rsidR="00000000" w:rsidRPr="00000000">
        <w:rPr>
          <w:i w:val="1"/>
          <w:sz w:val="20"/>
          <w:szCs w:val="20"/>
        </w:rPr>
        <w:drawing>
          <wp:inline distB="114300" distT="114300" distL="114300" distR="114300">
            <wp:extent cx="5943600" cy="7518400"/>
            <wp:effectExtent b="0" l="0" r="0" t="0"/>
            <wp:docPr id="59"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5943600" cy="75184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Style w:val="Heading4"/>
        <w:rPr/>
      </w:pPr>
      <w:bookmarkStart w:colFirst="0" w:colLast="0" w:name="_heading=h.16yrcj4pxutt" w:id="10"/>
      <w:bookmarkEnd w:id="10"/>
      <w:r w:rsidDel="00000000" w:rsidR="00000000" w:rsidRPr="00000000">
        <w:rPr>
          <w:rtl w:val="0"/>
        </w:rPr>
        <w:t xml:space="preserve">Supplementary Figure 11  Evaluation of kinase-substrate predictions. </w:t>
      </w:r>
    </w:p>
    <w:p w:rsidR="00000000" w:rsidDel="00000000" w:rsidP="00000000" w:rsidRDefault="00000000" w:rsidRPr="00000000" w14:paraId="0000003F">
      <w:pPr>
        <w:widowControl w:val="0"/>
        <w:spacing w:after="200" w:lineRule="auto"/>
        <w:jc w:val="both"/>
        <w:rPr>
          <w:rFonts w:ascii="Helvetica Neue" w:cs="Helvetica Neue" w:eastAsia="Helvetica Neue" w:hAnsi="Helvetica Neue"/>
          <w:i w:val="1"/>
          <w:sz w:val="20"/>
          <w:szCs w:val="20"/>
        </w:rPr>
      </w:pPr>
      <w:r w:rsidDel="00000000" w:rsidR="00000000" w:rsidRPr="00000000">
        <w:rPr>
          <w:rFonts w:ascii="Arial" w:cs="Arial" w:eastAsia="Arial" w:hAnsi="Arial"/>
          <w:b w:val="1"/>
          <w:i w:val="1"/>
          <w:sz w:val="20"/>
          <w:szCs w:val="20"/>
          <w:rtl w:val="0"/>
        </w:rPr>
        <w:t xml:space="preserve">a-c</w:t>
      </w:r>
      <w:r w:rsidDel="00000000" w:rsidR="00000000" w:rsidRPr="00000000">
        <w:rPr>
          <w:rFonts w:ascii="Arial" w:cs="Arial" w:eastAsia="Arial" w:hAnsi="Arial"/>
          <w:i w:val="1"/>
          <w:sz w:val="20"/>
          <w:szCs w:val="20"/>
          <w:rtl w:val="0"/>
        </w:rPr>
        <w:t xml:space="preserve"> Predictive performance of various</w:t>
      </w:r>
      <w:r w:rsidDel="00000000" w:rsidR="00000000" w:rsidRPr="00000000">
        <w:rPr>
          <w:rFonts w:ascii="Helvetica Neue" w:cs="Helvetica Neue" w:eastAsia="Helvetica Neue" w:hAnsi="Helvetica Neue"/>
          <w:i w:val="1"/>
          <w:sz w:val="20"/>
          <w:szCs w:val="20"/>
          <w:rtl w:val="0"/>
        </w:rPr>
        <w:t xml:space="preserve"> methods for kinase activity inference using a combination of curated kinase-substrate interactions in combination with predicted targets from the Kinase Library or Phosformer using the </w:t>
      </w:r>
      <w:r w:rsidDel="00000000" w:rsidR="00000000" w:rsidRPr="00000000">
        <w:rPr>
          <w:rFonts w:ascii="Arial" w:cs="Arial" w:eastAsia="Arial" w:hAnsi="Arial"/>
          <w:b w:val="1"/>
          <w:i w:val="1"/>
          <w:sz w:val="20"/>
          <w:szCs w:val="20"/>
          <w:rtl w:val="0"/>
        </w:rPr>
        <w:t xml:space="preserve">a</w:t>
      </w:r>
      <w:r w:rsidDel="00000000" w:rsidR="00000000" w:rsidRPr="00000000">
        <w:rPr>
          <w:rFonts w:ascii="Helvetica Neue" w:cs="Helvetica Neue" w:eastAsia="Helvetica Neue" w:hAnsi="Helvetica Neue"/>
          <w:i w:val="1"/>
          <w:sz w:val="20"/>
          <w:szCs w:val="20"/>
          <w:rtl w:val="0"/>
        </w:rPr>
        <w:t xml:space="preserve"> perturbation-based benchmark approach, </w:t>
      </w:r>
      <w:r w:rsidDel="00000000" w:rsidR="00000000" w:rsidRPr="00000000">
        <w:rPr>
          <w:rFonts w:ascii="Arial" w:cs="Arial" w:eastAsia="Arial" w:hAnsi="Arial"/>
          <w:b w:val="1"/>
          <w:i w:val="1"/>
          <w:sz w:val="20"/>
          <w:szCs w:val="20"/>
          <w:rtl w:val="0"/>
        </w:rPr>
        <w:t xml:space="preserve">b</w:t>
      </w:r>
      <w:r w:rsidDel="00000000" w:rsidR="00000000" w:rsidRPr="00000000">
        <w:rPr>
          <w:rFonts w:ascii="Helvetica Neue" w:cs="Helvetica Neue" w:eastAsia="Helvetica Neue" w:hAnsi="Helvetica Neue"/>
          <w:i w:val="1"/>
          <w:sz w:val="20"/>
          <w:szCs w:val="20"/>
          <w:rtl w:val="0"/>
        </w:rPr>
        <w:t xml:space="preserve"> activating site-based benchmark approach and </w:t>
      </w:r>
      <w:r w:rsidDel="00000000" w:rsidR="00000000" w:rsidRPr="00000000">
        <w:rPr>
          <w:rFonts w:ascii="Arial" w:cs="Arial" w:eastAsia="Arial" w:hAnsi="Arial"/>
          <w:b w:val="1"/>
          <w:i w:val="1"/>
          <w:sz w:val="20"/>
          <w:szCs w:val="20"/>
          <w:rtl w:val="0"/>
        </w:rPr>
        <w:t xml:space="preserve">c</w:t>
      </w:r>
      <w:r w:rsidDel="00000000" w:rsidR="00000000" w:rsidRPr="00000000">
        <w:rPr>
          <w:rFonts w:ascii="Helvetica Neue" w:cs="Helvetica Neue" w:eastAsia="Helvetica Neue" w:hAnsi="Helvetica Neue"/>
          <w:i w:val="1"/>
          <w:sz w:val="20"/>
          <w:szCs w:val="20"/>
          <w:rtl w:val="0"/>
        </w:rPr>
        <w:t xml:space="preserve"> protein-based benchmark approach. The performance was evaluated for all possible kinases (left) or the same subset of kinases across libraries (right). </w:t>
      </w:r>
      <w:r w:rsidDel="00000000" w:rsidR="00000000" w:rsidRPr="00000000">
        <w:rPr>
          <w:rFonts w:ascii="Arial" w:cs="Arial" w:eastAsia="Arial" w:hAnsi="Arial"/>
          <w:i w:val="1"/>
          <w:sz w:val="20"/>
          <w:szCs w:val="20"/>
          <w:rtl w:val="0"/>
        </w:rPr>
        <w:t xml:space="preserve">The AUROC calculation was repeated a thousand times, with randomly selecting a subset of the negative classes with the same size as the positive class (n=1,000). For the boxplots, the central line depicts the median, the box hinges represent the 25th to 75th percentiles, and the whiskers extend up to 1.5 times the interquartile range above and below the box hinges. Outliers are depicted as individual hollow points beyond the whiskers.</w:t>
      </w:r>
      <w:r w:rsidDel="00000000" w:rsidR="00000000" w:rsidRPr="00000000">
        <w:rPr>
          <w:rtl w:val="0"/>
        </w:rPr>
      </w:r>
    </w:p>
    <w:p w:rsidR="00000000" w:rsidDel="00000000" w:rsidP="00000000" w:rsidRDefault="00000000" w:rsidRPr="00000000" w14:paraId="00000040">
      <w:pPr>
        <w:widowControl w:val="0"/>
        <w:spacing w:after="200" w:lineRule="auto"/>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41">
      <w:pPr>
        <w:pStyle w:val="Heading4"/>
        <w:rPr>
          <w:b w:val="0"/>
          <w:i w:val="1"/>
        </w:rPr>
      </w:pPr>
      <w:bookmarkStart w:colFirst="0" w:colLast="0" w:name="_heading=h.4sj3lyoq33fs" w:id="11"/>
      <w:bookmarkEnd w:id="11"/>
      <w:r w:rsidDel="00000000" w:rsidR="00000000" w:rsidRPr="00000000">
        <w:rPr>
          <w:rtl w:val="0"/>
        </w:rPr>
      </w:r>
    </w:p>
    <w:p w:rsidR="00000000" w:rsidDel="00000000" w:rsidP="00000000" w:rsidRDefault="00000000" w:rsidRPr="00000000" w14:paraId="00000042">
      <w:pPr>
        <w:pStyle w:val="Heading4"/>
        <w:rPr>
          <w:sz w:val="22"/>
          <w:szCs w:val="22"/>
        </w:rPr>
      </w:pPr>
      <w:bookmarkStart w:colFirst="0" w:colLast="0" w:name="_heading=h.xsgvbl2259vt" w:id="12"/>
      <w:bookmarkEnd w:id="12"/>
      <w:r w:rsidDel="00000000" w:rsidR="00000000" w:rsidRPr="00000000">
        <w:rPr>
          <w:rtl w:val="0"/>
        </w:rPr>
      </w:r>
    </w:p>
    <w:p w:rsidR="00000000" w:rsidDel="00000000" w:rsidP="00000000" w:rsidRDefault="00000000" w:rsidRPr="00000000" w14:paraId="00000043">
      <w:pPr>
        <w:pStyle w:val="Heading4"/>
        <w:rPr>
          <w:sz w:val="22"/>
          <w:szCs w:val="22"/>
        </w:rPr>
      </w:pPr>
      <w:bookmarkStart w:colFirst="0" w:colLast="0" w:name="_heading=h.eyq0ljid39lo" w:id="13"/>
      <w:bookmarkEnd w:id="13"/>
      <w:r w:rsidDel="00000000" w:rsidR="00000000" w:rsidRPr="00000000">
        <w:rPr>
          <w:rtl w:val="0"/>
        </w:rPr>
      </w:r>
    </w:p>
    <w:p w:rsidR="00000000" w:rsidDel="00000000" w:rsidP="00000000" w:rsidRDefault="00000000" w:rsidRPr="00000000" w14:paraId="00000044">
      <w:pPr>
        <w:pStyle w:val="Heading4"/>
        <w:rPr>
          <w:sz w:val="24"/>
          <w:szCs w:val="24"/>
        </w:rPr>
      </w:pPr>
      <w:bookmarkStart w:colFirst="0" w:colLast="0" w:name="_heading=h.ew8m0yahbvcc" w:id="14"/>
      <w:bookmarkEnd w:id="14"/>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2"/>
        <w:rPr/>
      </w:pPr>
      <w:bookmarkStart w:colFirst="0" w:colLast="0" w:name="_heading=h.knjuf8ovbfal" w:id="15"/>
      <w:bookmarkEnd w:id="15"/>
      <w:r w:rsidDel="00000000" w:rsidR="00000000" w:rsidRPr="00000000">
        <w:rPr>
          <w:rtl w:val="0"/>
        </w:rPr>
        <w:t xml:space="preserve">Supplementary Tables</w:t>
      </w:r>
    </w:p>
    <w:p w:rsidR="00000000" w:rsidDel="00000000" w:rsidP="00000000" w:rsidRDefault="00000000" w:rsidRPr="00000000" w14:paraId="00000046">
      <w:pPr>
        <w:pStyle w:val="Heading4"/>
        <w:rPr/>
      </w:pPr>
      <w:bookmarkStart w:colFirst="0" w:colLast="0" w:name="_heading=h.nir4kp6t649z" w:id="16"/>
      <w:bookmarkEnd w:id="16"/>
      <w:r w:rsidDel="00000000" w:rsidR="00000000" w:rsidRPr="00000000">
        <w:rPr>
          <w:rtl w:val="0"/>
        </w:rPr>
        <w:t xml:space="preserve">Supplementary Table 1  Manual curated list of kinases affected by each drug.</w:t>
      </w:r>
    </w:p>
    <w:tbl>
      <w:tblPr>
        <w:tblStyle w:val="Table1"/>
        <w:tblW w:w="93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10"/>
        <w:gridCol w:w="1170"/>
        <w:gridCol w:w="6435"/>
        <w:gridCol w:w="975"/>
        <w:tblGridChange w:id="0">
          <w:tblGrid>
            <w:gridCol w:w="810"/>
            <w:gridCol w:w="1170"/>
            <w:gridCol w:w="6435"/>
            <w:gridCol w:w="97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4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cell line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48">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drug</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49">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target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4A">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drug type</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4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GDC0941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ABL1;MTOR;PIK3C2G;PIK3CA;PIK3CB;PIK3CD;PIK3CG;PIKFYVE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4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HS173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PIK3C2B;PIK3C2G;PIK3C3;PIK3CA;PIK3CB;PIK3CD;PIK3CG;PLK1;RPS6KA5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5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CX4945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BMPR2;CDK7;CLK1;CLK2;CLK3;CLK4;CSNK2A1;CSNK2A2;DAPK1;DAPK2;DAPK3;DYRK1A;DYRK1B;DYRK2;EIF2AK4;GRK1;GRK7;HIPK1;HIPK2;HIPK3;HIPK4;ICK;MAP2K5;MAP3K15;MAP3K19;MAPK15;MAST1;NEK10;PHKG2;PI4KB;PIKFYVE;PIM1;PIM3;RPS6KA1;RPS6KA2;RPS6KA6;STK17A;STK17B;STK38;TAOK1;TBK1;TYK2;ULK2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5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Go6983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AKT3;CDK7;CLK1;CLK2;CLK4;DMPK;DYRK1A;GSK3A;GSK3B;HIPK3;MAP2K2;MAP3K3;PIM1;PIM3;PRKCD;PRKCE;PRKCH;PRKCQ;PRKD3;RPS6KA3;RPS6KA6;RPS6KB1;SLK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5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AAK1;BMP2K;BMPR1B;BUB1;CDK16;CDK2;CDK3;CDK4;CDK7;CSNK1D;CSNK1E;CSNK2A2;GSK3A;GSK3B;ICK;IRAK3;JAK1;JAK2;JAK3;LRRK2;MAP2K3;MAP2K4;MAP3K14;MAP3K19;MAP3K7;MAPK10;MAPK15;MAPK8;MAPK9;NEK10;PIK3C3;PIK3CG;PIP4K2C;PIP5K1A;PIP5K1C;RIOK1;RIOK2;RIOK3;STK16;STK17A;TGFBR2;TYK2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5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PF3758309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KT3;AXL;BLK;CAMK1D;CAMK2A;CAMK2G;CAMK4;CDK7;CHEK1;CHEK2;CLK1;CLK2;CLK3;CLK4;DAPK1;DAPK2;DAPK3;DCLK1;DCLK2;DCLK3;FGFR1;FGR;FYN;GRK1;GRK7;HCK;LATS2;MAP2K3;MAP3K3;MAP4K1;MAPK12;MAPK15;MARK1;MARK2;MARK3;MARK4;MELK;MERTK;NTRK1;NTRK2;NTRK3;NUAK1;NUAK2;PAK1;PAK4;PAK6;PAK7;PHKG1;PHKG2;PKN1;PRKAA1;PRKAA2;PRKACA;PRKACB;PRKCD;PRKCE;PRKCQ;PRKD1;PRKD3;PRKG1;PRKX;RPS6KA1;RPS6KA2;RPS6KA3;RPS6KA4;RPS6KA6;SBK1;SIK1;SRC;STK16;STK25;STK3;STK33;STK38;STK38L;TBK1;TLK2;ULK1;ULK2;ULK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6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Trametinib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MAP2K1;MAP2K2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6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AZD1480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LK;AURKA;AURKC;BLK;CAMK4;CDC2L2;CDK18;CSK;DCLK1;DCLK2;DCLK3;FER;FGFR1;FGFR2;FGFR3;FLT1;FLT3;FLT4;GRK1;GRK7;HCK;JAK1;JAK2;JAK3;LTK;MAP3K2;MAP3K3;MAP4K1;MAP4K3;MERTK;NTRK1;NTRK2;NTRK3;NUAK1;NUAK2;PAK7;PLK4;PTK2;PTK2B;RET;ROS1;RPS6KA5;SLK;SRC;STK10;STK16;STK3;STK35;STK38L;STK4;SgK110;TEC;TNK2;TY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6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AZD5363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AKT1;AKT2;AKT3;CLK2;JAK2;JAK3;LATS2;MAP2K2;MAP2K3;MAP3K10;MAP3K19;MAPK12;PIK3C2G;PIK3CD;PRKACA;PRKACB;PRKG1;PRKG2;PRKX;ROCK1;ROCK2;RPS6KB1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6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GSK2334470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CLK4;MAPK12;PDPK1;PRKCH;STK17A;STK17B;STK4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7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LY2090314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AAK1;BMP2K;CDK14;CDK16;EPHA8;EPHB3;GSK3A;GSK3B;MAPK15;PIP4K2B;PIP5K1A;RIOK1;RIOK3;SRPK1;SRPK3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7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AZD8055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EIF2AK2;GRK4;LATS2;MAPK10;MAPK12;MAPKAPK2;MKNK2;MTOR;NEK2;PDGFRA;PIK3CA;PIK3CD;SRPK3;TTK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7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GDC0994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HIPK4;KIAA0999;MAP2K3;MAP2K4;MAP3K19;MAPK1;MAPK15;MAPK3;MAPK8;SRPK2;TAOK1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7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JNKIN8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CAMK2D;DYRK2;KIT;MAPK10;MAPK8;MAPK9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8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LY2584702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CDK19;FGFR1;MAP2K4;MAP3K19;PRKCD;RPS6KA6;RPS6KB1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8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AZD3759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EGFR;EPHA6;ERBB2;MAP3K14;MAP3K19;MAST1;SLK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8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LY2835219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CAMK1;CAMK2A;CAMK2B;CAMK2D;CAMK2G;CAMKK1;CAMKK2;CDK16;CDK17;CDK4;CDK7;CDK9;CDKL2;CDKL3;CDKL5;CIT;CLK1;CLK2;CLK4;CSNK2A1;CSNK2A2;DAPK2;DAPK3;DCLK3;DMPK;DYRK1A;DYRK1B;DYRK2;EIF2AK4;ERN1;GSG2;GSK3A;GSK3B;HIPK1;HIPK2;HIPK3;ICK;IRAK1;JAK3;KIAA0999;MAP2K3;MAP2K4;MAP3K15;MAP3K19;MAP3K7;MAPK10;MAPK12;MAPK15;MAPK8;MAPK9;MAST1;MATK;MET;MINK1;NEK10;PAK2;PHKG2;PIK3C3;PIKFYVE;PIM1;PIM2;PIM3;PIP4K2C;PKN2;PRKCE;ROCK1;ROCK2;RPS6KA4;SGK1;SGK2;SGK3;STK16;STK17A;TAOK1;TAOK2;TAOK3;TT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8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MP470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CSNK1G3;LATS2;MAPK15;TRPM6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9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GF109203X</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CLK1;CLK2;CLK4;DMPK;DYRK1A;FGFR1;FLT3;GRK7;GSK3A;GSK3B;HIPK2;ICK;JAK3;MAP3K2;MAPK12;MAPK15;PAK2;PDGFRA;PIM1;PIM3;PRKCD;PRKCE;PRKCH;PRKCQ;PRKG2;RPS6KA2;RPS6KA3;RPS6KA6;RPS6KB1;SLK;STK10;STK16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9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HL60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Go6976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AAK1;BMP2K;DSTYK;EPHA1;FLT3;HIPK2;HIPK3;JAK1;JAK2;JAK3;LATS2;MAP2K3;MAP2K4;MAP3K10;MAP3K15;MAP3K19;MAP3K4;MAP4K2;MAPK12;MAPK15;MELK;MINK1;MKNK2;MST4;MYO3B;NTRK1;NTRK2;NTRK3;PDPK1;PIM3;PIP5K1A;PKN2;PRKD3;RIOK1;SRPK1;STK3;STK4;TNIK;TYK2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9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GDC0941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ABL1;MTOR;PIK3C2G;PIK3CA;PIK3CB;PIK3CD;PIK3CG;PIKFYVE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9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HS173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PIK3C2B;PIK3C2G;PIK3C3;PIK3CA;PIK3CB;PIK3CD;PIK3CG;PLK1;RPS6KA5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A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CX4945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BMPR2;CDK7;CLK1;CLK2;CLK3;CLK4;CSNK2A1;CSNK2A2;DAPK1;DAPK2;DAPK3;DYRK1A;DYRK1B;DYRK2;EIF2AK4;GRK1;GRK7;HIPK1;HIPK2;HIPK3;HIPK4;ICK;MAP2K5;MAP3K15;MAP3K19;MAPK15;MAST1;NEK10;PHKG2;PI4KB;PIKFYVE;PIM1;PIM3;RPS6KA1;RPS6KA2;RPS6KA6;STK17A;STK17B;STK38;TAOK1;TBK1;TYK2;ULK2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A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Go6983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AKT3;CDK7;CLK1;CLK2;CLK4;DMPK;DYRK1A;GSK3A;GSK3B;HIPK3;MAP2K2;MAP3K3;PIM1;PIM3;PRKCD;PRKCE;PRKCH;PRKCQ;PRKD3;RPS6KA3;RPS6KA6;RPS6KB1;SLK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A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AAK1;BMP2K;BMPR1B;BUB1;CDK16;CDK2;CDK3;CDK4;CDK7;CSNK1D;CSNK1E;CSNK2A2;GSK3A;GSK3B;ICK;IRAK3;JAK1;JAK2;JAK3;LRRK2;MAP2K3;MAP2K4;MAP3K14;MAP3K19;MAP3K7;MAPK10;MAPK15;MAPK8;MAPK9;NEK10;PIK3C3;PIK3CG;PIP4K2C;PIP5K1A;PIP5K1C;RIOK1;RIOK2;RIOK3;STK16;STK17A;TGFBR2;TYK2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A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PF3758309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KT3;AXL;BLK;CAMK1D;CAMK2A;CAMK2G;CAMK4;CDK7;CHEK1;CHEK2;CLK1;CLK2;CLK3;CLK4;DAPK1;DAPK2;DAPK3;DCLK1;DCLK2;DCLK3;FGFR1;FGR;FYN;GRK1;GRK7;HCK;LATS2;MAP2K3;MAP3K3;MAP4K1;MAPK12;MAPK15;MARK1;MARK2;MARK3;MARK4;MELK;MERTK;NTRK1;NTRK2;NTRK3;NUAK1;NUAK2;PAK1;PAK4;PAK6;PAK7;PHKG1;PHKG2;PKN1;PRKAA1;PRKAA2;PRKACA;PRKACB;PRKCD;PRKCE;PRKCQ;PRKD1;PRKD3;PRKG1;PRKX;RPS6KA1;RPS6KA2;RPS6KA3;RPS6KA4;RPS6KA6;SBK1;SIK1;SRC;STK16;STK25;STK3;STK33;STK38;STK38L;TBK1;TLK2;ULK1;ULK2;ULK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B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Trametinib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MAP2K1;MAP2K2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B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AZD1480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LK;AURKA;AURKC;BLK;CAMK4;CDC2L2;CDK18;CSK;DCLK1;DCLK2;DCLK3;FER;FGFR1;FGFR2;FGFR3;FLT1;FLT3;FLT4;GRK1;GRK7;HCK;JAK1;JAK2;JAK3;LTK;MAP3K2;MAP3K3;MAP4K1;MAP4K3;MERTK;NTRK1;NTRK2;NTRK3;NUAK1;NUAK2;PAK7;PLK4;PTK2;PTK2B;RET;ROS1;RPS6KA5;SLK;SRC;STK10;STK16;STK3;STK35;STK38L;STK4;SgK110;TEC;TNK2;TY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B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AZD5363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AKT1;AKT2;AKT3;CLK2;JAK2;JAK3;LATS2;MAP2K2;MAP2K3;MAP3K10;MAP3K19;MAPK12;PIK3C2G;PIK3CD;PRKACA;PRKACB;PRKG1;PRKG2;PRKX;ROCK1;ROCK2;RPS6KB1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B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GSK2334470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CLK4;MAPK12;PDPK1;PRKCH;STK17A;STK17B;STK4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C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LY2090314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AAK1;BMP2K;CDK14;CDK16;EPHA8;EPHB3;GSK3A;GSK3B;MAPK15;PIP4K2B;PIP5K1A;RIOK1;RIOK3;SRPK1;SRPK3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C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AZD8055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EIF2AK2;GRK4;LATS2;MAPK10;MAPK12;MAPKAPK2;MKNK2;MTOR;NEK2;PDGFRA;PIK3CA;PIK3CD;SRPK3;TTK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C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GDC0994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HIPK4;KIAA0999;MAP2K3;MAP2K4;MAP3K19;MAPK1;MAPK15;MAPK3;MAPK8;SRPK2;TAOK1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C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JNKIN8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CAMK2D;DYRK2;KIT;MAPK10;MAPK8;MAPK9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D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LY2584702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CDK19;FGFR1;MAP2K4;MAP3K19;PRKCD;RPS6KA6;RPS6KB1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D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AZD3759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EGFR;EPHA6;ERBB2;MAP3K14;MAP3K19;MAST1;SLK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DB">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C">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LY2835219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D">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CAMK1;CAMK2A;CAMK2B;CAMK2D;CAMK2G;CAMKK1;CAMKK2;CDK16;CDK17;CDK4;CDK7;CDK9;CDKL2;CDKL3;CDKL5;CIT;CLK1;CLK2;CLK4;CSNK2A1;CSNK2A2;DAPK2;DAPK3;DCLK3;DMPK;DYRK1A;DYRK1B;DYRK2;EIF2AK4;ERN1;GSG2;GSK3A;GSK3B;HIPK1;HIPK2;HIPK3;ICK;IRAK1;JAK3;KIAA0999;MAP2K3;MAP2K4;MAP3K15;MAP3K19;MAP3K7;MAPK10;MAPK12;MAPK15;MAPK8;MAPK9;MAST1;MATK;MET;MINK1;NEK10;PAK2;PHKG2;PIK3C3;PIKFYVE;PIM1;PIM2;PIM3;PIP4K2C;PKN2;PRKCE;ROCK1;ROCK2;RPS6KA4;SGK1;SGK2;SGK3;STK16;STK17A;TAOK1;TAOK2;TAOK3;TT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E">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DF">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0">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MP470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1">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CSNK1G3;LATS2;MAPK15;TRPM6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2">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E3">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4">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GF109203X</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5">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CLK1;CLK2;CLK4;DMPK;DYRK1A;FGFR1;FLT3;GRK7;GSK3A;GSK3B;HIPK2;ICK;JAK3;MAP3K2;MAPK12;MAPK15;PAK2;PDGFRA;PIM1;PIM3;PRKCD;PRKCE;PRKCH;PRKCQ;PRKG2;RPS6KA2;RPS6KA3;RPS6KA6;RPS6KB1;SLK;STK10;STK16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6">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E7">
            <w:pPr>
              <w:rPr>
                <w:rFonts w:ascii="Helvetica Neue" w:cs="Helvetica Neue" w:eastAsia="Helvetica Neue" w:hAnsi="Helvetica Neue"/>
                <w:b w:val="1"/>
                <w:sz w:val="17"/>
                <w:szCs w:val="17"/>
              </w:rPr>
            </w:pPr>
            <w:r w:rsidDel="00000000" w:rsidR="00000000" w:rsidRPr="00000000">
              <w:rPr>
                <w:rFonts w:ascii="Helvetica Neue" w:cs="Helvetica Neue" w:eastAsia="Helvetica Neue" w:hAnsi="Helvetica Neue"/>
                <w:b w:val="1"/>
                <w:sz w:val="17"/>
                <w:szCs w:val="17"/>
                <w:rtl w:val="0"/>
              </w:rPr>
              <w:t xml:space="preserve">MCF7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8">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Go6976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9">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AAK1;BMP2K;DSTYK;EPHA1;FLT3;HIPK2;HIPK3;JAK1;JAK2;JAK3;LATS2;MAP2K3;MAP2K4;MAP3K10;MAP3K15;MAP3K19;MAP3K4;MAP4K2;MAPK12;MAPK15;MELK;MINK1;MKNK2;MST4;MYO3B;NTRK1;NTRK2;NTRK3;PDPK1;PIM3;PIP5K1A;PKN2;PRKD3;RIOK1;SRPK1;STK3;STK4;TNIK;TYK2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A">
            <w:pPr>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inhibitor</w:t>
            </w:r>
          </w:p>
        </w:tc>
      </w:tr>
    </w:tbl>
    <w:p w:rsidR="00000000" w:rsidDel="00000000" w:rsidP="00000000" w:rsidRDefault="00000000" w:rsidRPr="00000000" w14:paraId="000000EB">
      <w:pPr>
        <w:rPr>
          <w:sz w:val="24"/>
          <w:szCs w:val="24"/>
        </w:rPr>
      </w:pPr>
      <w:r w:rsidDel="00000000" w:rsidR="00000000" w:rsidRPr="00000000">
        <w:rPr>
          <w:rtl w:val="0"/>
        </w:rPr>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pStyle w:val="Heading4"/>
        <w:rPr>
          <w:b w:val="0"/>
        </w:rPr>
      </w:pPr>
      <w:bookmarkStart w:colFirst="0" w:colLast="0" w:name="_heading=h.bygnrnu1fvce" w:id="17"/>
      <w:bookmarkEnd w:id="17"/>
      <w:r w:rsidDel="00000000" w:rsidR="00000000" w:rsidRPr="00000000">
        <w:rPr>
          <w:sz w:val="20"/>
          <w:szCs w:val="20"/>
          <w:rtl w:val="0"/>
        </w:rPr>
        <w:t xml:space="preserve">Supplementary Table 2  </w:t>
      </w:r>
      <w:r w:rsidDel="00000000" w:rsidR="00000000" w:rsidRPr="00000000">
        <w:rPr>
          <w:rtl w:val="0"/>
        </w:rPr>
        <w:t xml:space="preserve">Comparison performance of computational methods</w:t>
      </w:r>
      <w:r w:rsidDel="00000000" w:rsidR="00000000" w:rsidRPr="00000000">
        <w:rPr>
          <w:sz w:val="20"/>
          <w:szCs w:val="20"/>
          <w:rtl w:val="0"/>
        </w:rPr>
        <w:t xml:space="preserve">. </w:t>
      </w:r>
      <w:r w:rsidDel="00000000" w:rsidR="00000000" w:rsidRPr="00000000">
        <w:rPr>
          <w:rtl w:val="0"/>
        </w:rPr>
        <w:br w:type="textWrapping"/>
      </w:r>
      <w:r w:rsidDel="00000000" w:rsidR="00000000" w:rsidRPr="00000000">
        <w:rPr>
          <w:b w:val="0"/>
          <w:sz w:val="20"/>
          <w:szCs w:val="20"/>
          <w:rtl w:val="0"/>
        </w:rPr>
        <w:t xml:space="preserve">Computational methods were compared across kinase-substrate libraries (n</w:t>
      </w:r>
      <w:r w:rsidDel="00000000" w:rsidR="00000000" w:rsidRPr="00000000">
        <w:rPr>
          <w:b w:val="0"/>
          <w:rtl w:val="0"/>
        </w:rPr>
        <w:t xml:space="preserve">=6) using an </w:t>
      </w:r>
      <w:r w:rsidDel="00000000" w:rsidR="00000000" w:rsidRPr="00000000">
        <w:rPr>
          <w:b w:val="0"/>
          <w:sz w:val="20"/>
          <w:szCs w:val="20"/>
          <w:rtl w:val="0"/>
        </w:rPr>
        <w:t xml:space="preserve">unpaired two-tailed Wilcoxon Test </w:t>
      </w:r>
      <w:r w:rsidDel="00000000" w:rsidR="00000000" w:rsidRPr="00000000">
        <w:rPr>
          <w:b w:val="0"/>
          <w:rtl w:val="0"/>
        </w:rPr>
        <w:t xml:space="preserve">which was </w:t>
      </w:r>
      <w:r w:rsidDel="00000000" w:rsidR="00000000" w:rsidRPr="00000000">
        <w:rPr>
          <w:b w:val="0"/>
          <w:sz w:val="20"/>
          <w:szCs w:val="20"/>
          <w:rtl w:val="0"/>
        </w:rPr>
        <w:t xml:space="preserve">adjusted for multiple testing using Benjamini Hochberg.</w:t>
      </w:r>
      <w:r w:rsidDel="00000000" w:rsidR="00000000" w:rsidRPr="00000000">
        <w:rPr>
          <w:rtl w:val="0"/>
        </w:rPr>
      </w:r>
    </w:p>
    <w:tbl>
      <w:tblPr>
        <w:tblStyle w:val="Table2"/>
        <w:tblW w:w="84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1320"/>
        <w:gridCol w:w="1320"/>
        <w:gridCol w:w="1680"/>
        <w:gridCol w:w="1680"/>
        <w:gridCol w:w="780"/>
        <w:tblGridChange w:id="0">
          <w:tblGrid>
            <w:gridCol w:w="1635"/>
            <w:gridCol w:w="1320"/>
            <w:gridCol w:w="1320"/>
            <w:gridCol w:w="1680"/>
            <w:gridCol w:w="1680"/>
            <w:gridCol w:w="78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E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evaluation approach</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E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Comp. method 1</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Comp. method 2</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p-value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adj. p-value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F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wilcoxon</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F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F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0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0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0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1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1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1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2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2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3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3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3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4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4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4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5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5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6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6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6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7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7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7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0.03843352160659853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8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8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9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9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9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A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A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A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B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B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C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C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C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D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D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D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E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E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F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F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0.09116161616161617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1F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0.09116161616161617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0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0.12174361132694468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0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0.12174361132694468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0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1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1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2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2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0.1896805380411938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2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3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3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3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4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4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5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5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5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0.470119166547738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6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0.6352709790209791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6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0.7103729603729605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0.8326124632942816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6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0.9193830958071466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7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0.9193830958071466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7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0.986202938475666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8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0.986202938475666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8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0.986202938475666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8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0.986202938475666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9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9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9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A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A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B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B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0.986202938475666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B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0.986202938475666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C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0.986202938475666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C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0.9193830958071466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C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0.9193830958071466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D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0.7314929079634963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D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0.6352709790209791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E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0.5483721833721834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E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0.5483721833721834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E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0.5483721833721834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F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0.470119166547738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F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2F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0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0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1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0.39535608070090833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1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1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2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2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2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3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3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4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0.34417635061017415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4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0.30368354763516053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4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0.24201442189247072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5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0.1896805380411938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5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0.1896805380411938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5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0.1896805380411938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6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0.1896805380411938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6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7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7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7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8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0.15013796744565977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8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0.12174361132694468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8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0.09116161616161617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9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0.09116161616161617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9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0.09116161616161617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A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0.09116161616161617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A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0.09116161616161617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A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B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B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B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C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0.0697665429808287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C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D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D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D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E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E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E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F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3F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3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0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0.05318417537518662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0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0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1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1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1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2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2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3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3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3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4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4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0.04573325225499138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4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0.03843352160659853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5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0.03843352160659853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5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0.00233100233100233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0.0085866514437943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6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6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6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7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7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7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0.00438277000777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8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8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9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9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9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A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A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A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B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B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C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C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C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D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D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D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E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E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F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0.00269708923555077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F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0.03005328005328005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4F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4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0.03005328005328005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0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0.03005328005328005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0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0.03005328005328005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0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0.03005328005328005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1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0.00407925407925407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0.07363053613053613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1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0.00407925407925407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0.07363053613053613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2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2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2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3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3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3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4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4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5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5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5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6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6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6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7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7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8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8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8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9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9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9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A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A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B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B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B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C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C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C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D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D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E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E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E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F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F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5F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5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0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0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1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1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1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2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2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2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3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3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4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4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4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5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5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5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6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6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7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7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0.4607167832167833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7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0.534128750037841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8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0.534128750037841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8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0.6951454342758692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8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0.6951454342758692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9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0.7103729603729605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0.7818434106543863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9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0.9628608570916264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A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A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A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0.9628608570916264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B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0.9628608570916264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B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0.9628608570916264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B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0.8803789644698737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C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0.7103729603729605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0.7818434106543863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C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0.7103729603729605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0.7818434106543863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D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0.6951454342758692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D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0.6951454342758692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D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0.6951454342758692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E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0.6189819795589028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E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0.6189819795589028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E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0.534128750037841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F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0.534128750037841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6F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0.4607167832167833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0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0.4607167832167833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0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0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1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1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1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2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0.3899770864056578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2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0.3416641144743334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3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0.3416641144743334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3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0.3416641144743334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3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0.3416641144743334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4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0.3416641144743334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4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0.3416641144743334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4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5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5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6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6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6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7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0.28745618249435045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7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7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8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8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9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9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0.24806478243978247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9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A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A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A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B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B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C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C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C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D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D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D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0.20847770847770852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E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E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F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F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7F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0.18687385309725735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0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0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0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1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0.07284382284382285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0.1643538752913753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1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2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2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2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0.14076426024955438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3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3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0.11788140020898642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3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4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4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5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5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5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6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6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6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7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7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8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8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8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9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9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9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A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A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B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B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B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C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C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C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D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D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E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0.09466783216783216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E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0.00233100233100233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0.05259324009324009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E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0.03005328005328005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F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5.8275058275058e-4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0.03005328005328005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F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0.00233100233100233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8F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0.00233100233100233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0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0.00233100233100233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0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0.00233100233100233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1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0.00233100233100233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1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0.00407925407925407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1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2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2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2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3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3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4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4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4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5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5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5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6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6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7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7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0.09659982874268588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7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8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8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8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9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0.14956202651515152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9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0.14956202651515152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A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A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A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B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B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B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C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C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D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D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D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E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E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E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F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9F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0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0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0.47377381571596455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0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0.47377381571596455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1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1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1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2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2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3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3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3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4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4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4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5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5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6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6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6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7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7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7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0.9743921248412268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8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0.9743921248412268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8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0.9743921248412268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9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9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9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A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A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0.9743921248412268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A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0.9743921248412268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B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0.9015151515151516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0.9743921248412268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B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0.902251733773473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C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0.902251733773473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C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0.902251733773473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C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0.8047785547785549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0.902251733773473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D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0.7103729603729605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0.8167026710020343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D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D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E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0.6200466200466201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0.7174257366565061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E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F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F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AF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0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0.534965034965035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0.6524404649404649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0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0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1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1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0.45571095571095577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0.5875416250416251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2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2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2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3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3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0.3828671328671329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0.5315962883270576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3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0.31759906759906764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0.47377381571596455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4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4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5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5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5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6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6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6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7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0.25932400932400934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0.3966778278218957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7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8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8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8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9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9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0.20862470862470864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0.3586358086358087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9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A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A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B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B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B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C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C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C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0.16491841491841494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0.31334498834498836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D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D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E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E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E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F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0.12820512820512822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0.2690816935002982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F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BF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0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0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1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1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1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0.09731934731934733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0.23113344988344992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2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0.14956202651515152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2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0.14956202651515152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2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0.05303030303030303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0.14956202651515152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3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3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4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4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4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5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0.03787878787878788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0.1158834103749358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5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Fisher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0.09659982874268588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5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0.02622377622377622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0.09659982874268588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6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6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7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MWU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7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7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UQ</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8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VIPER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8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8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9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9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A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A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A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B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B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norm 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B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ulm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0.01748251748251748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C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C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KARP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0.01107226107226107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D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fgsea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D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lm RoKAI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D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E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median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E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mlm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E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X² test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0.00699300699300699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CF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 targets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z-score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0.00116550116550116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0.06859987838248707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r>
    </w:tbl>
    <w:p w:rsidR="00000000" w:rsidDel="00000000" w:rsidP="00000000" w:rsidRDefault="00000000" w:rsidRPr="00000000" w14:paraId="00000CFA">
      <w:pPr>
        <w:rPr>
          <w:sz w:val="26"/>
          <w:szCs w:val="26"/>
        </w:rPr>
      </w:pPr>
      <w:r w:rsidDel="00000000" w:rsidR="00000000" w:rsidRPr="00000000">
        <w:rPr>
          <w:rtl w:val="0"/>
        </w:rPr>
      </w:r>
    </w:p>
    <w:p w:rsidR="00000000" w:rsidDel="00000000" w:rsidP="00000000" w:rsidRDefault="00000000" w:rsidRPr="00000000" w14:paraId="00000CFB">
      <w:pPr>
        <w:pStyle w:val="Heading4"/>
        <w:rPr>
          <w:b w:val="0"/>
          <w:sz w:val="20"/>
          <w:szCs w:val="20"/>
        </w:rPr>
      </w:pPr>
      <w:bookmarkStart w:colFirst="0" w:colLast="0" w:name="_heading=h.6us5iejm73ym" w:id="18"/>
      <w:bookmarkEnd w:id="18"/>
      <w:r w:rsidDel="00000000" w:rsidR="00000000" w:rsidRPr="00000000">
        <w:rPr>
          <w:sz w:val="20"/>
          <w:szCs w:val="20"/>
          <w:rtl w:val="0"/>
        </w:rPr>
        <w:t xml:space="preserve">Supplementary Table </w:t>
      </w:r>
      <w:r w:rsidDel="00000000" w:rsidR="00000000" w:rsidRPr="00000000">
        <w:rPr>
          <w:rtl w:val="0"/>
        </w:rPr>
        <w:t xml:space="preserve">3</w:t>
      </w:r>
      <w:r w:rsidDel="00000000" w:rsidR="00000000" w:rsidRPr="00000000">
        <w:rPr>
          <w:sz w:val="20"/>
          <w:szCs w:val="20"/>
          <w:rtl w:val="0"/>
        </w:rPr>
        <w:t xml:space="preserve">  Comparison performance of </w:t>
      </w:r>
      <w:r w:rsidDel="00000000" w:rsidR="00000000" w:rsidRPr="00000000">
        <w:rPr>
          <w:rtl w:val="0"/>
        </w:rPr>
        <w:t xml:space="preserve">kinase-substrate libraries</w:t>
      </w:r>
      <w:r w:rsidDel="00000000" w:rsidR="00000000" w:rsidRPr="00000000">
        <w:rPr>
          <w:sz w:val="20"/>
          <w:szCs w:val="20"/>
          <w:rtl w:val="0"/>
        </w:rPr>
        <w:t xml:space="preserve">. </w:t>
        <w:br w:type="textWrapping"/>
      </w:r>
      <w:r w:rsidDel="00000000" w:rsidR="00000000" w:rsidRPr="00000000">
        <w:rPr>
          <w:b w:val="0"/>
          <w:rtl w:val="0"/>
        </w:rPr>
        <w:t xml:space="preserve">Kinase-substrate libraries </w:t>
      </w:r>
      <w:r w:rsidDel="00000000" w:rsidR="00000000" w:rsidRPr="00000000">
        <w:rPr>
          <w:b w:val="0"/>
          <w:sz w:val="20"/>
          <w:szCs w:val="20"/>
          <w:rtl w:val="0"/>
        </w:rPr>
        <w:t xml:space="preserve">were compared across</w:t>
      </w:r>
      <w:r w:rsidDel="00000000" w:rsidR="00000000" w:rsidRPr="00000000">
        <w:rPr>
          <w:b w:val="0"/>
          <w:rtl w:val="0"/>
        </w:rPr>
        <w:t xml:space="preserve"> computational methods</w:t>
      </w:r>
      <w:r w:rsidDel="00000000" w:rsidR="00000000" w:rsidRPr="00000000">
        <w:rPr>
          <w:b w:val="0"/>
          <w:sz w:val="20"/>
          <w:szCs w:val="20"/>
          <w:rtl w:val="0"/>
        </w:rPr>
        <w:t xml:space="preserve"> (n=</w:t>
      </w:r>
      <w:r w:rsidDel="00000000" w:rsidR="00000000" w:rsidRPr="00000000">
        <w:rPr>
          <w:b w:val="0"/>
          <w:rtl w:val="0"/>
        </w:rPr>
        <w:t xml:space="preserve">18</w:t>
      </w:r>
      <w:r w:rsidDel="00000000" w:rsidR="00000000" w:rsidRPr="00000000">
        <w:rPr>
          <w:b w:val="0"/>
          <w:sz w:val="20"/>
          <w:szCs w:val="20"/>
          <w:rtl w:val="0"/>
        </w:rPr>
        <w:t xml:space="preserve">) using an unpaired two-tailed Wilcoxon Test which was adjusted for multiple testing using Benjamini Hochberg.</w:t>
      </w:r>
    </w:p>
    <w:p w:rsidR="00000000" w:rsidDel="00000000" w:rsidP="00000000" w:rsidRDefault="00000000" w:rsidRPr="00000000" w14:paraId="00000CFC">
      <w:pPr>
        <w:rPr/>
      </w:pPr>
      <w:r w:rsidDel="00000000" w:rsidR="00000000" w:rsidRPr="00000000">
        <w:rPr>
          <w:rtl w:val="0"/>
        </w:rPr>
      </w:r>
    </w:p>
    <w:tbl>
      <w:tblPr>
        <w:tblStyle w:val="Table3"/>
        <w:tblW w:w="8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1290"/>
        <w:gridCol w:w="1275"/>
        <w:gridCol w:w="1905"/>
        <w:gridCol w:w="1815"/>
        <w:gridCol w:w="780"/>
        <w:tblGridChange w:id="0">
          <w:tblGrid>
            <w:gridCol w:w="1635"/>
            <w:gridCol w:w="1290"/>
            <w:gridCol w:w="1275"/>
            <w:gridCol w:w="1905"/>
            <w:gridCol w:w="1815"/>
            <w:gridCol w:w="78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CF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evaluation approach</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CF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Library 1</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CF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Library 2</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D0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p-value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D0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adj. p-value</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D0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wilcoxon</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0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2.3507454851205724e-9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0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2.3507454851205724e-9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0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2.3507454851205724e-9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1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4.407647784601073e-10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3.526118227680859e-9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323</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1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2.6445886707606438e-9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1.6925367492868122e-8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320</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2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2.137709175531521e-8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1.1401115602834777e-7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2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3.0633152102977464e-8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1.400372667564684e-7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2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2.015617331898071e-6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8.062469327592284e-6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3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9.100470380865835e-6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2.735237033198409e-5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3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9.100470380865835e-6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2.735237033198409e-5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3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1.1111900447368536e-5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2.735237033198409e-5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4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1.1111900447368536e-5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2.735237033198409e-5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4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1.1111900447368536e-5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2.735237033198409e-5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5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0.00464485570810167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0.01061681304708954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5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0.00640223292318297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0.01365809690279035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5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0.11820145204887468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0.19907612976652575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6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0.1610068266420226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0.25761092262723617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6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0.1916374156978133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0.29201891915857264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6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0.22623256647203924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0.31475835335240243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7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0.27878391256601975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0.3717118834213596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7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0.5010105942993488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0.6166284237530447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8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0.5417964849515796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0.6421291673500202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8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0.5627774303265758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0.6431742060875152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8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0.2930927409974813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0.37515870847677607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9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0.2142498020938597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0.31163607577288677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9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0.0265980933639634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0.04728549931371271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9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0.0265980933639634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0.04728549931371271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A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activating site-based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0.0106300757852062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0.0212601515704124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82</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A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1.4104472910723435e-9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B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1.4104472910723435e-9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B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1.4104472910723435e-9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B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1.4104472910723435e-9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C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1.4104472910723435e-9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C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4.407647784601073e-10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2.3507454851205724e-9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C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1.5426767246103755e-9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6.170706898441503e-9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D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1.5426767246103755e-9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6.170706898441503e-9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D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2.6445886707606438e-9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7.6933488603946e-9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E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2.6445886707606438e-9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7.6933488603946e-9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E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2.6445886707606438e-9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7.6933488603946e-9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E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3.0633152102977464e-8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8.16884056079399e-8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F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2.8706348873939103e-5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6.56145117118608e-5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F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3.794991354013201e-4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7.143513136966026e-4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DF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0.8390690626948557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0.9944522224531622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0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0.9626264785275432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0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0.7192694751338857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0.885254738626321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1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0.6730014746997764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0.8614418876157138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1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0.3550448798267503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0.47339317310233375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1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0.32312622402445057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0.44956692038184426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2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0.3078733287866242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0.4478157509623625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2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0.2515766913139025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0.3833549581926133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2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0.2142498020938597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0.34279968335017547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3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0.15164410849059184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0.25540060377362833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3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0.00184857629615726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0.00328635785983512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4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4.8918278937395014e-5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9.783655787479004e-5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4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4.8918278937395014e-5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9.783655787479004e-5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4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perturbation-based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2.389231596359781e-5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5.881185467962538e-5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5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1.0074623507659596e-9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5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1.0074623507659596e-9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5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1.0074623507659596e-9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6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1.0074623507659596e-9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6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1.0074623507659596e-9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7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1.0074623507659596e-9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7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2.2038238923005366e-10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1.0074623507659596e-9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324</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7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4.407647784601073e-10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1.7630591138404295e-9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8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8.815295569202146e-10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2.820894582144687e-9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8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8.815295569202146e-10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2.820894582144687e-9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8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2.137709175531521e-8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5.700557801417389e-8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9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2.137709175531521e-8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5.700557801417389e-8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9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1.1111900447368536e-5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2.735237033198409e-5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291</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A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1.1274520612381392e-4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2.1222627035070857e-4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A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0.0020855909443025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0.00370771723431556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A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0.00871402964096855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0.01467626044794703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B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0.01289933275154586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0.02063893240247338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B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0.01418212332327431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0.02161085458784657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B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0.0907075699466431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0.1319382835587536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C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0.5841331044397761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0.6923059015582531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C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0.6730014746997764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0.7691445425140302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D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0.5627774303265758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0.6923059015582531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D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0.2930927409974813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0.37515870847677607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D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0.13413949608001985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0.17885266144002646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E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0.09705913695854208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0.13503879924666723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E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9.58850718181579e-5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1.917701436363158e-4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45</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E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5.8110648774569784e-5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1.2396938405241553e-4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EF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protein-based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4.1072004733637414e-5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9.38788679625998e-5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40</w:t>
            </w:r>
          </w:p>
        </w:tc>
      </w:tr>
    </w:tbl>
    <w:p w:rsidR="00000000" w:rsidDel="00000000" w:rsidP="00000000" w:rsidRDefault="00000000" w:rsidRPr="00000000" w14:paraId="00000EFB">
      <w:pPr>
        <w:pStyle w:val="Heading4"/>
        <w:rPr/>
      </w:pPr>
      <w:bookmarkStart w:colFirst="0" w:colLast="0" w:name="_heading=h.tzgc05m3nny0" w:id="19"/>
      <w:bookmarkEnd w:id="19"/>
      <w:r w:rsidDel="00000000" w:rsidR="00000000" w:rsidRPr="00000000">
        <w:rPr>
          <w:rtl w:val="0"/>
        </w:rPr>
      </w:r>
    </w:p>
    <w:p w:rsidR="00000000" w:rsidDel="00000000" w:rsidP="00000000" w:rsidRDefault="00000000" w:rsidRPr="00000000" w14:paraId="00000EFC">
      <w:pPr>
        <w:pStyle w:val="Heading4"/>
        <w:rPr/>
      </w:pPr>
      <w:bookmarkStart w:colFirst="0" w:colLast="0" w:name="_heading=h.vxrzfh2o38w9" w:id="20"/>
      <w:bookmarkEnd w:id="20"/>
      <w:r w:rsidDel="00000000" w:rsidR="00000000" w:rsidRPr="00000000">
        <w:br w:type="page"/>
      </w:r>
      <w:r w:rsidDel="00000000" w:rsidR="00000000" w:rsidRPr="00000000">
        <w:rPr>
          <w:rtl w:val="0"/>
        </w:rPr>
      </w:r>
    </w:p>
    <w:p w:rsidR="00000000" w:rsidDel="00000000" w:rsidP="00000000" w:rsidRDefault="00000000" w:rsidRPr="00000000" w14:paraId="00000EFD">
      <w:pPr>
        <w:pStyle w:val="Heading4"/>
        <w:rPr/>
      </w:pPr>
      <w:bookmarkStart w:colFirst="0" w:colLast="0" w:name="_heading=h.c49fktqmuz5b" w:id="21"/>
      <w:bookmarkEnd w:id="21"/>
      <w:r w:rsidDel="00000000" w:rsidR="00000000" w:rsidRPr="00000000">
        <w:rPr>
          <w:rtl w:val="0"/>
        </w:rPr>
        <w:t xml:space="preserve">Supplementary Table 4  Overview kinases included in each benchmarking approach across kinase-substrate libraries. </w:t>
      </w:r>
    </w:p>
    <w:tbl>
      <w:tblPr>
        <w:tblStyle w:val="Table4"/>
        <w:tblW w:w="83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890"/>
        <w:gridCol w:w="1695"/>
        <w:gridCol w:w="1275"/>
        <w:gridCol w:w="1665"/>
        <w:tblGridChange w:id="0">
          <w:tblGrid>
            <w:gridCol w:w="1830"/>
            <w:gridCol w:w="1890"/>
            <w:gridCol w:w="1695"/>
            <w:gridCol w:w="1275"/>
            <w:gridCol w:w="166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EF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kinase-substrate library</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EF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unique kinases in GS set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F0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unique pairs in GS set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F0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kinase class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F0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benchmark approach</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0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0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0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1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1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490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1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2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2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2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3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3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3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3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4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4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4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5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5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5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6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6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6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7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perturbation-based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7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7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8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8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8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8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9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9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9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A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A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A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B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B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B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C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C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C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D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D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D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D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E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E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protein-based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E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F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F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curated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FF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0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0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GPS gold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0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1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16">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iKiP-DB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1B">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20">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25">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NetworKIN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2A">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2F">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34">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OmniPath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39">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3E">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43">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PhosphoSitePlus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7">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48">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C">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4D">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1">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52">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PTMsigDB</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6">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57">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8">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9">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A">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Serine/Threonine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B">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5C">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D">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E">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F">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Tyrosine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0">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1061">
            <w:pPr>
              <w:rPr>
                <w:rFonts w:ascii="Helvetica Neue" w:cs="Helvetica Neue" w:eastAsia="Helvetica Neue" w:hAnsi="Helvetica Neue"/>
                <w:b w:val="1"/>
                <w:sz w:val="15"/>
                <w:szCs w:val="15"/>
              </w:rPr>
            </w:pPr>
            <w:r w:rsidDel="00000000" w:rsidR="00000000" w:rsidRPr="00000000">
              <w:rPr>
                <w:rFonts w:ascii="Helvetica Neue" w:cs="Helvetica Neue" w:eastAsia="Helvetica Neue" w:hAnsi="Helvetica Neue"/>
                <w:b w:val="1"/>
                <w:sz w:val="15"/>
                <w:szCs w:val="15"/>
                <w:rtl w:val="0"/>
              </w:rPr>
              <w:t xml:space="preserve">shuffled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2">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3">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4">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Dual-specificity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5">
            <w:pPr>
              <w:rPr>
                <w:rFonts w:ascii="Helvetica Neue" w:cs="Helvetica Neue" w:eastAsia="Helvetica Neue" w:hAnsi="Helvetica Neue"/>
                <w:sz w:val="15"/>
                <w:szCs w:val="15"/>
              </w:rPr>
            </w:pPr>
            <w:r w:rsidDel="00000000" w:rsidR="00000000" w:rsidRPr="00000000">
              <w:rPr>
                <w:rFonts w:ascii="Helvetica Neue" w:cs="Helvetica Neue" w:eastAsia="Helvetica Neue" w:hAnsi="Helvetica Neue"/>
                <w:sz w:val="15"/>
                <w:szCs w:val="15"/>
                <w:rtl w:val="0"/>
              </w:rPr>
              <w:t xml:space="preserve">activating site-based</w:t>
            </w:r>
          </w:p>
        </w:tc>
      </w:tr>
    </w:tbl>
    <w:p w:rsidR="00000000" w:rsidDel="00000000" w:rsidP="00000000" w:rsidRDefault="00000000" w:rsidRPr="00000000" w14:paraId="00001066">
      <w:pPr>
        <w:rPr/>
      </w:pPr>
      <w:r w:rsidDel="00000000" w:rsidR="00000000" w:rsidRPr="00000000">
        <w:rPr>
          <w:rtl w:val="0"/>
        </w:rPr>
      </w:r>
    </w:p>
    <w:p w:rsidR="00000000" w:rsidDel="00000000" w:rsidP="00000000" w:rsidRDefault="00000000" w:rsidRPr="00000000" w14:paraId="00001067">
      <w:pPr>
        <w:rPr/>
      </w:pPr>
      <w:r w:rsidDel="00000000" w:rsidR="00000000" w:rsidRPr="00000000">
        <w:br w:type="page"/>
      </w:r>
      <w:r w:rsidDel="00000000" w:rsidR="00000000" w:rsidRPr="00000000">
        <w:rPr>
          <w:rtl w:val="0"/>
        </w:rPr>
      </w:r>
    </w:p>
    <w:p w:rsidR="00000000" w:rsidDel="00000000" w:rsidP="00000000" w:rsidRDefault="00000000" w:rsidRPr="00000000" w14:paraId="00001068">
      <w:pPr>
        <w:pStyle w:val="Heading2"/>
        <w:rPr>
          <w:sz w:val="22"/>
          <w:szCs w:val="22"/>
        </w:rPr>
      </w:pPr>
      <w:bookmarkStart w:colFirst="0" w:colLast="0" w:name="_heading=h.gyuiod8u7okv" w:id="22"/>
      <w:bookmarkEnd w:id="22"/>
      <w:r w:rsidDel="00000000" w:rsidR="00000000" w:rsidRPr="00000000">
        <w:rPr>
          <w:rtl w:val="0"/>
        </w:rPr>
        <w:t xml:space="preserve">Supplementary Notes</w:t>
      </w:r>
      <w:r w:rsidDel="00000000" w:rsidR="00000000" w:rsidRPr="00000000">
        <w:rPr>
          <w:rtl w:val="0"/>
        </w:rPr>
      </w:r>
    </w:p>
    <w:p w:rsidR="00000000" w:rsidDel="00000000" w:rsidP="00000000" w:rsidRDefault="00000000" w:rsidRPr="00000000" w14:paraId="00001069">
      <w:pPr>
        <w:pStyle w:val="Heading4"/>
        <w:rPr>
          <w:sz w:val="22"/>
          <w:szCs w:val="22"/>
        </w:rPr>
      </w:pPr>
      <w:bookmarkStart w:colFirst="0" w:colLast="0" w:name="_heading=h.5elxfbgjgrc0" w:id="23"/>
      <w:bookmarkEnd w:id="23"/>
      <w:r w:rsidDel="00000000" w:rsidR="00000000" w:rsidRPr="00000000">
        <w:rPr>
          <w:sz w:val="22"/>
          <w:szCs w:val="22"/>
          <w:rtl w:val="0"/>
        </w:rPr>
        <w:t xml:space="preserve">Supplementary Note 1  Kinase-substrate library comparison</w:t>
      </w:r>
    </w:p>
    <w:p w:rsidR="00000000" w:rsidDel="00000000" w:rsidP="00000000" w:rsidRDefault="00000000" w:rsidRPr="00000000" w14:paraId="0000106A">
      <w:pPr>
        <w:ind w:firstLine="708.6614173228347"/>
        <w:rPr>
          <w:rFonts w:ascii="Arial" w:cs="Arial" w:eastAsia="Arial" w:hAnsi="Arial"/>
        </w:rPr>
      </w:pPr>
      <w:r w:rsidDel="00000000" w:rsidR="00000000" w:rsidRPr="00000000">
        <w:rPr>
          <w:rFonts w:ascii="Arial" w:cs="Arial" w:eastAsia="Arial" w:hAnsi="Arial"/>
          <w:rtl w:val="0"/>
        </w:rPr>
        <w:t xml:space="preserve">We compared the coverage of kinases and kinase-substrate interactions across PhosphoSitePlus, PTMsigDB, GPS gold, OmniPath, iKiP-DB, NetworKIN and the curated combination. From these resources, OmniPath has the highest coverage of kinases and includes 47 kinases not present in any of the other resources (Supplementary Fig. 4a). These kinases mainly originate from interactions reported by MIMP and PhosphoNetworks. iKiP-DB, PhosphoSitePlus, NetworKIN and GPS gold also report interactions for 11, 7, 2 and 1 unique kinases, respectively. 86.2% of all kinases are covered by at least two of the analyzed resources. In general, all databases cover both serine/threonine and tyrosine kinases as well as kinases with dual-specificity (Supplementary Fig. 4b). A lower overlap of kinase-substrate interactions than of kinase coverage was observed between the resources, with only 21.7% of interactions being shared between at least two resources. iKiP-DB and NetworKIN had the lowest overlap with the other resources and reported 26,327 and 19,524 unique kinase-substrate interactions, respectively. OmniPath, PhosphoSitePlus, PTMsigDB and GPS gold contained 11,148, 341, 277 and 544 unique kinase-substrate interactions, respectively (Supplementary Fig. 4c). In general, the manually curated resources, PhosphoSitePlus, PTMsigDB, GPS gold and OmniPath all have a median number of targets between 8.5 and 18 for all kinases. In contrast, NetworKIN and iKiP-DB, have a much larger median number of predicted targets across kinases of 64 and 69, respectively (Supplementary Fig. 4d). We also compared the overlap of targets for each kinase between the resources by calculating the mean Jaccard index of all shared kinases between two resources. We observed higher Jaccard indices between the curated resources, namely PTMsigDB, GPS gold and PhosphoSitePlus. This can be linked to the fact that both PTMsigDB and GPS gold incorporate sites from PhosphoSitePlus. Additionally, with a mean Jaccard index of 0.34, OmniPath shows some overlap with PTMsigDB, GPS gold and PhosphoSitePlus. iKiP-DB and NetworKIN, on the other hand, showed low overlap with any other resource with a highest mean Jaccard index of 0.03 (Supplementary Fig. 4e). Lastly, we compared whether certain resources were biased toward specific kinase classes or pathways (Supplementary Fig. 5 a-c). We observe that atypical kinases are enriched in PhosphositePlus and PTMSigDB, while tyrosine kinases are enriched in iKiP-DB and NetworKIN. Furthermore, while pathways like hypoxia are especially enriched in PhosphositePlus, others like the MTOR pathway are less covered in iKiP-DB at the level of kinases. Nonetheless, gene sets like MYC targets are especially well represented in terms of substrates in iKiP-DB, while mitotic spindle substrates are more characterized in NetworKIN.</w:t>
      </w:r>
    </w:p>
    <w:p w:rsidR="00000000" w:rsidDel="00000000" w:rsidP="00000000" w:rsidRDefault="00000000" w:rsidRPr="00000000" w14:paraId="0000106B">
      <w:pPr>
        <w:pStyle w:val="Heading4"/>
        <w:rPr/>
      </w:pPr>
      <w:bookmarkStart w:colFirst="0" w:colLast="0" w:name="_heading=h.xvcxbgjld6g3" w:id="24"/>
      <w:bookmarkEnd w:id="24"/>
      <w:r w:rsidDel="00000000" w:rsidR="00000000" w:rsidRPr="00000000">
        <w:rPr>
          <w:sz w:val="22"/>
          <w:szCs w:val="22"/>
          <w:rtl w:val="0"/>
        </w:rPr>
        <w:t xml:space="preserve">Supplementary Note 2  Comparison of kinase activity inference scores</w:t>
      </w:r>
      <w:r w:rsidDel="00000000" w:rsidR="00000000" w:rsidRPr="00000000">
        <w:rPr>
          <w:rtl w:val="0"/>
        </w:rPr>
      </w:r>
    </w:p>
    <w:p w:rsidR="00000000" w:rsidDel="00000000" w:rsidP="00000000" w:rsidRDefault="00000000" w:rsidRPr="00000000" w14:paraId="0000106C">
      <w:pPr>
        <w:ind w:firstLine="708.6614173228347"/>
        <w:rPr>
          <w:rFonts w:ascii="Arial" w:cs="Arial" w:eastAsia="Arial" w:hAnsi="Arial"/>
        </w:rPr>
      </w:pPr>
      <w:r w:rsidDel="00000000" w:rsidR="00000000" w:rsidRPr="00000000">
        <w:rPr>
          <w:rFonts w:ascii="Arial" w:cs="Arial" w:eastAsia="Arial" w:hAnsi="Arial"/>
          <w:rtl w:val="0"/>
        </w:rPr>
        <w:t xml:space="preserve">We compared the inferred activity scores between the different computational methods and prior knowledge resources by evaluating mean Pearson correlation coefficients, mean Spearman correlation coefficients and the Jaccard index of the top up- and down-regulated kinases. Among the computational methods, most showed strong agreement, with a Pearson and Spearman correlation above 0.77 and 0.82, respectively, in 80% of cases. When comparing the overlap of the top 10 down- or up-regulated kinases the average Jaccard index between methods was 0.42, meaning around 6 kinases were shared between methods. The lowest concordance was observed for activity scores inferred using the KARP score (Pearson: -0.14 - 0.03, Spearman: -0.05 - 0.26, Jaccard: 0.23 - 0.46) (Supplementary Fig. 6a). For the kinase-substrate libraries, we found the highest Pearson and Spearman correlation of over 0.88 and 0.84, respectively, between PTMsigDB, GPS gold, PhosphoSitePlus and the curated combination. However, NetworKIN and iKiP-DB exhibited Pearson correlations below 0.43 when compared to any of the other kinase-substrate libraries, which may be expected given that the poor overlap between substrates from these databases and the other databases. Additionally, kinase-substrate libraries had an average Jaccard index of 0.29 across methods, meaning only around 4 of the top scoring kinases overlapped (Supplementary Fig. 6b). </w:t>
      </w:r>
      <w:r w:rsidDel="00000000" w:rsidR="00000000" w:rsidRPr="00000000">
        <w:rPr>
          <w:rtl w:val="0"/>
        </w:rPr>
      </w:r>
    </w:p>
    <w:p w:rsidR="00000000" w:rsidDel="00000000" w:rsidP="00000000" w:rsidRDefault="00000000" w:rsidRPr="00000000" w14:paraId="0000106D">
      <w:pPr>
        <w:rPr/>
      </w:pPr>
      <w:r w:rsidDel="00000000" w:rsidR="00000000" w:rsidRPr="00000000">
        <w:rPr>
          <w:rtl w:val="0"/>
        </w:rPr>
      </w:r>
    </w:p>
    <w:p w:rsidR="00000000" w:rsidDel="00000000" w:rsidP="00000000" w:rsidRDefault="00000000" w:rsidRPr="00000000" w14:paraId="0000106E">
      <w:pPr>
        <w:rPr/>
      </w:pPr>
      <w:r w:rsidDel="00000000" w:rsidR="00000000" w:rsidRPr="00000000">
        <w:rPr>
          <w:rtl w:val="0"/>
        </w:rPr>
      </w:r>
    </w:p>
    <w:p w:rsidR="00000000" w:rsidDel="00000000" w:rsidP="00000000" w:rsidRDefault="00000000" w:rsidRPr="00000000" w14:paraId="0000106F">
      <w:pPr>
        <w:rPr/>
      </w:pPr>
      <w:r w:rsidDel="00000000" w:rsidR="00000000" w:rsidRPr="00000000">
        <w:rPr>
          <w:rtl w:val="0"/>
        </w:rPr>
      </w:r>
    </w:p>
    <w:p w:rsidR="00000000" w:rsidDel="00000000" w:rsidP="00000000" w:rsidRDefault="00000000" w:rsidRPr="00000000" w14:paraId="00001070">
      <w:pPr>
        <w:rPr/>
      </w:pPr>
      <w:r w:rsidDel="00000000" w:rsidR="00000000" w:rsidRPr="00000000">
        <w:rPr>
          <w:rtl w:val="0"/>
        </w:rPr>
      </w:r>
    </w:p>
    <w:p w:rsidR="00000000" w:rsidDel="00000000" w:rsidP="00000000" w:rsidRDefault="00000000" w:rsidRPr="00000000" w14:paraId="00001071">
      <w:pPr>
        <w:rPr/>
      </w:pPr>
      <w:r w:rsidDel="00000000" w:rsidR="00000000" w:rsidRPr="00000000">
        <w:rPr>
          <w:rtl w:val="0"/>
        </w:rPr>
      </w:r>
    </w:p>
    <w:p w:rsidR="00000000" w:rsidDel="00000000" w:rsidP="00000000" w:rsidRDefault="00000000" w:rsidRPr="00000000" w14:paraId="00001072">
      <w:pPr>
        <w:widowControl w:val="0"/>
        <w:spacing w:after="200" w:lineRule="auto"/>
        <w:jc w:val="both"/>
        <w:rPr>
          <w:rFonts w:ascii="Helvetica Neue" w:cs="Helvetica Neue" w:eastAsia="Helvetica Neue" w:hAnsi="Helvetica Neue"/>
          <w:i w:val="1"/>
          <w:sz w:val="20"/>
          <w:szCs w:val="20"/>
        </w:rPr>
      </w:pPr>
      <w:r w:rsidDel="00000000" w:rsidR="00000000" w:rsidRPr="00000000">
        <w:rPr>
          <w:rtl w:val="0"/>
        </w:rPr>
      </w:r>
    </w:p>
    <w:p w:rsidR="00000000" w:rsidDel="00000000" w:rsidP="00000000" w:rsidRDefault="00000000" w:rsidRPr="00000000" w14:paraId="00001073">
      <w:pPr>
        <w:pStyle w:val="Heading4"/>
        <w:rPr>
          <w:rFonts w:ascii="Helvetica Neue" w:cs="Helvetica Neue" w:eastAsia="Helvetica Neue" w:hAnsi="Helvetica Neue"/>
          <w:i w:val="1"/>
          <w:sz w:val="20"/>
          <w:szCs w:val="20"/>
        </w:rPr>
      </w:pPr>
      <w:bookmarkStart w:colFirst="0" w:colLast="0" w:name="_heading=h.1t3h5sf" w:id="25"/>
      <w:bookmarkEnd w:id="25"/>
      <w:r w:rsidDel="00000000" w:rsidR="00000000" w:rsidRPr="00000000">
        <w:rPr>
          <w:rtl w:val="0"/>
        </w:rPr>
      </w:r>
    </w:p>
    <w:sectPr>
      <w:headerReference r:id="rId18" w:type="default"/>
      <w:headerReference r:id="rId19" w:type="first"/>
      <w:footerReference r:id="rId20" w:type="default"/>
      <w:footerReference r:id="rId21" w:type="firs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Baskerville">
    <w:embedRegular w:fontKey="{00000000-0000-0000-0000-000000000000}" r:id="rId1" w:subsetted="0"/>
    <w:embedBold w:fontKey="{00000000-0000-0000-0000-000000000000}" r:id="rId2" w:subsetted="0"/>
    <w:embedItalic w:fontKey="{00000000-0000-0000-0000-000000000000}" r:id="rId3" w:subsetted="0"/>
  </w:font>
  <w:font w:name="Helvetica Neue">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76">
    <w:pPr>
      <w:jc w:val="right"/>
      <w:rPr>
        <w:rFonts w:ascii="Arial" w:cs="Arial" w:eastAsia="Arial" w:hAnsi="Arial"/>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77">
    <w:pPr>
      <w:rPr>
        <w:rFonts w:ascii="Arial" w:cs="Arial" w:eastAsia="Arial" w:hAnsi="Arial"/>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74">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7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360" w:lineRule="auto"/>
      <w:jc w:val="left"/>
    </w:pPr>
    <w:rPr>
      <w:rFonts w:ascii="Libre Baskerville" w:cs="Libre Baskerville" w:eastAsia="Libre Baskerville" w:hAnsi="Libre Baskerville"/>
      <w:b w:val="1"/>
      <w:sz w:val="24"/>
      <w:szCs w:val="24"/>
    </w:rPr>
  </w:style>
  <w:style w:type="paragraph" w:styleId="Heading2">
    <w:name w:val="heading 2"/>
    <w:basedOn w:val="Normal"/>
    <w:next w:val="Normal"/>
    <w:pPr>
      <w:keepNext w:val="1"/>
      <w:keepLines w:val="1"/>
      <w:spacing w:after="120" w:lineRule="auto"/>
    </w:pPr>
    <w:rPr>
      <w:rFonts w:ascii="Arial" w:cs="Arial" w:eastAsia="Arial" w:hAnsi="Arial"/>
      <w:b w:val="1"/>
      <w:sz w:val="24"/>
      <w:szCs w:val="24"/>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rFonts w:ascii="Arial" w:cs="Arial" w:eastAsia="Arial" w:hAnsi="Arial"/>
      <w:b w:val="1"/>
      <w:sz w:val="20"/>
      <w:szCs w:val="20"/>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jc w:val="left"/>
    </w:pPr>
    <w:rPr>
      <w:rFonts w:ascii="Libre Baskerville" w:cs="Libre Baskerville" w:eastAsia="Libre Baskerville" w:hAnsi="Libre Baskerville"/>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360" w:lineRule="auto"/>
      <w:jc w:val="left"/>
    </w:pPr>
    <w:rPr>
      <w:rFonts w:ascii="Libre Baskerville" w:cs="Libre Baskerville" w:eastAsia="Libre Baskerville" w:hAnsi="Libre Baskerville"/>
      <w:b w:val="1"/>
      <w:sz w:val="24"/>
      <w:szCs w:val="24"/>
    </w:rPr>
  </w:style>
  <w:style w:type="paragraph" w:styleId="Heading2">
    <w:name w:val="heading 2"/>
    <w:basedOn w:val="Normal"/>
    <w:next w:val="Normal"/>
    <w:pPr>
      <w:keepNext w:val="1"/>
      <w:keepLines w:val="1"/>
      <w:pageBreakBefore w:val="0"/>
      <w:spacing w:after="120" w:before="360" w:lineRule="auto"/>
    </w:pPr>
    <w:rPr>
      <w:b w:val="1"/>
      <w:sz w:val="24"/>
      <w:szCs w:val="24"/>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rFonts w:ascii="Arial" w:cs="Arial" w:eastAsia="Arial" w:hAnsi="Arial"/>
      <w:b w:val="1"/>
      <w:sz w:val="20"/>
      <w:szCs w:val="20"/>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jc w:val="left"/>
    </w:pPr>
    <w:rPr>
      <w:rFonts w:ascii="Libre Baskerville" w:cs="Libre Baskerville" w:eastAsia="Libre Baskerville" w:hAnsi="Libre Baskerville"/>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360" w:lineRule="auto"/>
      <w:jc w:val="left"/>
    </w:pPr>
    <w:rPr>
      <w:rFonts w:ascii="Libre Baskerville" w:cs="Libre Baskerville" w:eastAsia="Libre Baskerville" w:hAnsi="Libre Baskerville"/>
      <w:b w:val="1"/>
      <w:sz w:val="24"/>
      <w:szCs w:val="24"/>
    </w:rPr>
  </w:style>
  <w:style w:type="paragraph" w:styleId="Heading2">
    <w:name w:val="heading 2"/>
    <w:basedOn w:val="Normal"/>
    <w:next w:val="Normal"/>
    <w:pPr>
      <w:keepNext w:val="1"/>
      <w:keepLines w:val="1"/>
      <w:pageBreakBefore w:val="0"/>
      <w:spacing w:after="120" w:before="360" w:lineRule="auto"/>
    </w:pPr>
    <w:rPr>
      <w:b w:val="1"/>
      <w:sz w:val="24"/>
      <w:szCs w:val="24"/>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rFonts w:ascii="Arial" w:cs="Arial" w:eastAsia="Arial" w:hAnsi="Arial"/>
      <w:b w:val="1"/>
      <w:sz w:val="20"/>
      <w:szCs w:val="20"/>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jc w:val="left"/>
    </w:pPr>
    <w:rPr>
      <w:rFonts w:ascii="Libre Baskerville" w:cs="Libre Baskerville" w:eastAsia="Libre Baskerville" w:hAnsi="Libre Baskerville"/>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360" w:lineRule="auto"/>
      <w:jc w:val="left"/>
    </w:pPr>
    <w:rPr>
      <w:rFonts w:ascii="Libre Baskerville" w:cs="Libre Baskerville" w:eastAsia="Libre Baskerville" w:hAnsi="Libre Baskerville"/>
      <w:b w:val="1"/>
      <w:sz w:val="24"/>
      <w:szCs w:val="24"/>
    </w:rPr>
  </w:style>
  <w:style w:type="paragraph" w:styleId="Heading2">
    <w:name w:val="heading 2"/>
    <w:basedOn w:val="Normal"/>
    <w:next w:val="Normal"/>
    <w:pPr>
      <w:keepNext w:val="1"/>
      <w:keepLines w:val="1"/>
      <w:pageBreakBefore w:val="0"/>
      <w:spacing w:after="120" w:before="360" w:lineRule="auto"/>
    </w:pPr>
    <w:rPr>
      <w:b w:val="1"/>
      <w:sz w:val="24"/>
      <w:szCs w:val="24"/>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rFonts w:ascii="Arial" w:cs="Arial" w:eastAsia="Arial" w:hAnsi="Arial"/>
      <w:b w:val="1"/>
      <w:sz w:val="20"/>
      <w:szCs w:val="20"/>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jc w:val="left"/>
    </w:pPr>
    <w:rPr>
      <w:rFonts w:ascii="Libre Baskerville" w:cs="Libre Baskerville" w:eastAsia="Libre Baskerville" w:hAnsi="Libre Baskerville"/>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360" w:lineRule="auto"/>
      <w:jc w:val="left"/>
    </w:pPr>
    <w:rPr>
      <w:rFonts w:ascii="Libre Baskerville" w:cs="Libre Baskerville" w:eastAsia="Libre Baskerville" w:hAnsi="Libre Baskerville"/>
      <w:b w:val="1"/>
      <w:sz w:val="24"/>
      <w:szCs w:val="24"/>
    </w:rPr>
  </w:style>
  <w:style w:type="paragraph" w:styleId="Heading2">
    <w:name w:val="heading 2"/>
    <w:basedOn w:val="Normal"/>
    <w:next w:val="Normal"/>
    <w:pPr>
      <w:keepNext w:val="1"/>
      <w:keepLines w:val="1"/>
      <w:pageBreakBefore w:val="0"/>
      <w:spacing w:after="120" w:before="360" w:lineRule="auto"/>
    </w:pPr>
    <w:rPr>
      <w:b w:val="1"/>
      <w:sz w:val="24"/>
      <w:szCs w:val="24"/>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rFonts w:ascii="Arial" w:cs="Arial" w:eastAsia="Arial" w:hAnsi="Arial"/>
      <w:b w:val="1"/>
      <w:sz w:val="20"/>
      <w:szCs w:val="20"/>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jc w:val="left"/>
    </w:pPr>
    <w:rPr>
      <w:rFonts w:ascii="Libre Baskerville" w:cs="Libre Baskerville" w:eastAsia="Libre Baskerville" w:hAnsi="Libre Baskerville"/>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360" w:lineRule="auto"/>
      <w:jc w:val="left"/>
    </w:pPr>
    <w:rPr>
      <w:rFonts w:ascii="Libre Baskerville" w:cs="Libre Baskerville" w:eastAsia="Libre Baskerville" w:hAnsi="Libre Baskerville"/>
      <w:b w:val="1"/>
      <w:sz w:val="24"/>
      <w:szCs w:val="24"/>
    </w:rPr>
  </w:style>
  <w:style w:type="paragraph" w:styleId="Heading2">
    <w:name w:val="heading 2"/>
    <w:basedOn w:val="Normal"/>
    <w:next w:val="Normal"/>
    <w:pPr>
      <w:keepNext w:val="1"/>
      <w:keepLines w:val="1"/>
      <w:pageBreakBefore w:val="0"/>
      <w:spacing w:after="120" w:before="360" w:lineRule="auto"/>
    </w:pPr>
    <w:rPr>
      <w:b w:val="1"/>
      <w:sz w:val="24"/>
      <w:szCs w:val="24"/>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rFonts w:ascii="Arial" w:cs="Arial" w:eastAsia="Arial" w:hAnsi="Arial"/>
      <w:b w:val="1"/>
      <w:sz w:val="20"/>
      <w:szCs w:val="20"/>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jc w:val="left"/>
    </w:pPr>
    <w:rPr>
      <w:rFonts w:ascii="Libre Baskerville" w:cs="Libre Baskerville" w:eastAsia="Libre Baskerville" w:hAnsi="Libre Baskerville"/>
      <w:b w:val="1"/>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4.png"/><Relationship Id="rId10" Type="http://schemas.openxmlformats.org/officeDocument/2006/relationships/image" Target="media/image9.png"/><Relationship Id="rId21" Type="http://schemas.openxmlformats.org/officeDocument/2006/relationships/footer" Target="footer2.xml"/><Relationship Id="rId13" Type="http://schemas.openxmlformats.org/officeDocument/2006/relationships/image" Target="media/image8.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2.png"/><Relationship Id="rId14" Type="http://schemas.openxmlformats.org/officeDocument/2006/relationships/image" Target="media/image6.png"/><Relationship Id="rId17" Type="http://schemas.openxmlformats.org/officeDocument/2006/relationships/image" Target="media/image10.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5.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HelveticaNeue-regular.ttf"/><Relationship Id="rId5" Type="http://schemas.openxmlformats.org/officeDocument/2006/relationships/font" Target="fonts/HelveticaNeue-bold.ttf"/><Relationship Id="rId6" Type="http://schemas.openxmlformats.org/officeDocument/2006/relationships/font" Target="fonts/HelveticaNeue-italic.ttf"/><Relationship Id="rId7"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RvEtjhtIjZ5ckPnlYcgszjA==">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