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before="20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Data 1. Results of categorical enrichment analysis. </w:t>
      </w:r>
      <w:r w:rsidDel="00000000" w:rsidR="00000000" w:rsidRPr="00000000">
        <w:rPr>
          <w:sz w:val="20"/>
          <w:szCs w:val="20"/>
          <w:rtl w:val="0"/>
        </w:rPr>
        <w:t xml:space="preserve">P-values are FDR-corrected and significant at -log10(0.05) = 1.3 (all, excluding lncRNA exon category). Two-sided Mann-Whitney test was conducted on ranks of elements in a given category vs ranks of scramble negative controls. N = number of tiles overlapping a category.</w:t>
      </w:r>
    </w:p>
    <w:p w:rsidR="00000000" w:rsidDel="00000000" w:rsidP="00000000" w:rsidRDefault="00000000" w:rsidRPr="00000000" w14:paraId="00000002">
      <w:pPr>
        <w:spacing w:before="20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Data 2. Raw results of HOMER run. Known motifs. </w:t>
      </w:r>
      <w:r w:rsidDel="00000000" w:rsidR="00000000" w:rsidRPr="00000000">
        <w:rPr>
          <w:sz w:val="20"/>
          <w:szCs w:val="20"/>
          <w:rtl w:val="0"/>
        </w:rPr>
        <w:t xml:space="preserve">Motif enrichment p-value is from a binomial test.</w:t>
      </w:r>
    </w:p>
    <w:p w:rsidR="00000000" w:rsidDel="00000000" w:rsidP="00000000" w:rsidRDefault="00000000" w:rsidRPr="00000000" w14:paraId="00000003">
      <w:pPr>
        <w:spacing w:before="20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Data 3. Raw results of HOMER run. De novo motifs. </w:t>
      </w:r>
      <w:r w:rsidDel="00000000" w:rsidR="00000000" w:rsidRPr="00000000">
        <w:rPr>
          <w:sz w:val="20"/>
          <w:szCs w:val="20"/>
          <w:rtl w:val="0"/>
        </w:rPr>
        <w:t xml:space="preserve">Motif enrichment p-value is from a binomial test.</w:t>
      </w:r>
    </w:p>
    <w:p w:rsidR="00000000" w:rsidDel="00000000" w:rsidP="00000000" w:rsidRDefault="00000000" w:rsidRPr="00000000" w14:paraId="00000004">
      <w:pPr>
        <w:spacing w:before="20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Data 4. Results of epigenomic enrichment analysis. </w:t>
      </w:r>
      <w:r w:rsidDel="00000000" w:rsidR="00000000" w:rsidRPr="00000000">
        <w:rPr>
          <w:sz w:val="20"/>
          <w:szCs w:val="20"/>
          <w:rtl w:val="0"/>
        </w:rPr>
        <w:t xml:space="preserve">Median_difference_5k is median MPRA activity difference between top 5,000 by epigenomic signal and remaining enhancer tiles. Rank_5k is median_difference_5k ranked.</w:t>
      </w:r>
    </w:p>
    <w:p w:rsidR="00000000" w:rsidDel="00000000" w:rsidP="00000000" w:rsidRDefault="00000000" w:rsidRPr="00000000" w14:paraId="00000005">
      <w:pPr>
        <w:spacing w:before="20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Data 5. Significant GWAS variants. </w:t>
      </w:r>
      <w:r w:rsidDel="00000000" w:rsidR="00000000" w:rsidRPr="00000000">
        <w:rPr>
          <w:sz w:val="20"/>
          <w:szCs w:val="20"/>
          <w:rtl w:val="0"/>
        </w:rPr>
        <w:t xml:space="preserve">Probability that an element overlapping the variant is neural-positive in vivo is the maximum probability obtained by applying the neural model from Figure 3 to the reference tile and reference tile with the variant. Putative neuronal target genes were identified by nearest gene method (MAU2, SEMA6D, SPAG16, TFAP2B and TFAP2D) or using Activity-By-Contact (ABC) model trained on WTC11 neurons or prenatal week 18 prefrontal cortex neurons (CTNDD1, GRIN2A).</w:t>
      </w:r>
    </w:p>
    <w:p w:rsidR="00000000" w:rsidDel="00000000" w:rsidP="00000000" w:rsidRDefault="00000000" w:rsidRPr="00000000" w14:paraId="00000006">
      <w:pPr>
        <w:spacing w:before="20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Data 6. Sources for data and software used in this study.</w:t>
      </w:r>
    </w:p>
    <w:p w:rsidR="00000000" w:rsidDel="00000000" w:rsidP="00000000" w:rsidRDefault="00000000" w:rsidRPr="00000000" w14:paraId="00000007">
      <w:pPr>
        <w:spacing w:before="20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Supplementary Data 7. Number of peaks/tiles covered in the final library.</w:t>
      </w:r>
      <w:r w:rsidDel="00000000" w:rsidR="00000000" w:rsidRPr="00000000">
        <w:rPr>
          <w:sz w:val="20"/>
          <w:szCs w:val="20"/>
          <w:rtl w:val="0"/>
        </w:rPr>
        <w:t xml:space="preserve"> Numbers are not mutually exclusive.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