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502A40E3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383358" w:rsidRPr="00383358">
        <w:rPr>
          <w:color w:val="000000"/>
          <w:sz w:val="24"/>
          <w:szCs w:val="24"/>
        </w:rPr>
        <w:t>All datasets evaluated in the benchmarking</w:t>
      </w:r>
      <w:r w:rsidR="00383358">
        <w:rPr>
          <w:color w:val="000000"/>
          <w:sz w:val="24"/>
          <w:szCs w:val="24"/>
        </w:rPr>
        <w:t>.</w:t>
      </w:r>
    </w:p>
    <w:p w14:paraId="36E87927" w14:textId="77777777" w:rsidR="00383358" w:rsidRDefault="00383358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57EB312" w14:textId="66D312B5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</w:p>
    <w:p w14:paraId="48A896C0" w14:textId="1752B055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383358">
        <w:rPr>
          <w:color w:val="000000"/>
          <w:sz w:val="24"/>
          <w:szCs w:val="24"/>
        </w:rPr>
        <w:t>Karyograms of all tested human cancer datasets, measured with droplet-based scRNAseq.</w:t>
      </w:r>
    </w:p>
    <w:p w14:paraId="3C92C43A" w14:textId="77777777" w:rsidR="00383358" w:rsidRDefault="00383358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DF8FD9F" w14:textId="36234D02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3</w:t>
      </w:r>
    </w:p>
    <w:p w14:paraId="2426837F" w14:textId="0DD9996E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383358">
        <w:rPr>
          <w:color w:val="000000"/>
          <w:sz w:val="24"/>
          <w:szCs w:val="24"/>
        </w:rPr>
        <w:t>Karyograms of the HCT116 dataset per cell, for the scWGS and scRNA-seq results, split by method.</w:t>
      </w:r>
    </w:p>
    <w:p w14:paraId="13BE7E1E" w14:textId="77777777" w:rsidR="00383358" w:rsidRDefault="00383358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080990D" w14:textId="59F670A6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4</w:t>
      </w:r>
    </w:p>
    <w:p w14:paraId="207C7113" w14:textId="69F481CE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383358">
        <w:rPr>
          <w:color w:val="000000"/>
          <w:sz w:val="24"/>
          <w:szCs w:val="24"/>
        </w:rPr>
        <w:t>Karyograms of the A375 dataset per cell, for the scWGS and scRNA-seq results, split by method.</w:t>
      </w:r>
    </w:p>
    <w:p w14:paraId="3C1303AB" w14:textId="77777777" w:rsidR="00383358" w:rsidRDefault="00383358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79387D62" w14:textId="280C18E9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5</w:t>
      </w:r>
    </w:p>
    <w:p w14:paraId="072F0AB9" w14:textId="009CF92C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383358">
        <w:rPr>
          <w:color w:val="000000"/>
          <w:sz w:val="24"/>
          <w:szCs w:val="24"/>
        </w:rPr>
        <w:t>Karyograms of the ALL1 dataset per cell, for the scWGS and scRNA-seq results, split by method.</w:t>
      </w:r>
    </w:p>
    <w:p w14:paraId="70E4164D" w14:textId="77777777" w:rsidR="00383358" w:rsidRDefault="00383358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17F2B64" w14:textId="13C2FA3C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6</w:t>
      </w:r>
    </w:p>
    <w:p w14:paraId="66B097B5" w14:textId="14D89136" w:rsidR="00383358" w:rsidRDefault="00383358" w:rsidP="003833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383358">
        <w:rPr>
          <w:color w:val="000000"/>
          <w:sz w:val="24"/>
          <w:szCs w:val="24"/>
        </w:rPr>
        <w:t>Karyograms of the ALL2 dataset per cell, for the scWGS and scRNA-seq results, split by method.</w:t>
      </w:r>
    </w:p>
    <w:p w14:paraId="4B1E390B" w14:textId="77777777" w:rsidR="00383358" w:rsidRDefault="00383358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A" w14:textId="48F5269E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2D20C1"/>
    <w:rsid w:val="00383358"/>
    <w:rsid w:val="0040204E"/>
    <w:rsid w:val="008258D4"/>
    <w:rsid w:val="00AE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6634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>Springer-SBM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2025-06-26T15:58:00Z</dcterms:modified>
</cp:coreProperties>
</file>