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41AC9">
      <w:pPr>
        <w:spacing w:line="360" w:lineRule="auto"/>
        <w:jc w:val="center"/>
        <w:rPr>
          <w:rFonts w:hint="eastAsia" w:ascii="Times New Roman Bold" w:hAnsi="Times New Roman Bold" w:eastAsia="宋体" w:cs="Times New Roman Bold"/>
          <w:b/>
          <w:bCs/>
          <w:color w:val="auto"/>
          <w:sz w:val="24"/>
          <w:highlight w:val="none"/>
        </w:rPr>
      </w:pPr>
      <w:r>
        <w:rPr>
          <w:rFonts w:ascii="Times New Roman Bold" w:hAnsi="Times New Roman Bold" w:eastAsia="宋体" w:cs="Times New Roman Bold"/>
          <w:b/>
          <w:bCs/>
          <w:color w:val="auto"/>
          <w:sz w:val="24"/>
          <w:highlight w:val="none"/>
        </w:rPr>
        <w:t>Shared Genetic Architecture Contribute</w:t>
      </w:r>
      <w:r>
        <w:rPr>
          <w:rFonts w:hint="default" w:ascii="Times New Roman Bold" w:hAnsi="Times New Roman Bold" w:eastAsia="宋体" w:cs="Times New Roman Bold"/>
          <w:b/>
          <w:bCs/>
          <w:color w:val="auto"/>
          <w:sz w:val="24"/>
          <w:highlight w:val="none"/>
        </w:rPr>
        <w:t>s</w:t>
      </w:r>
      <w:r>
        <w:rPr>
          <w:rFonts w:ascii="Times New Roman Bold" w:hAnsi="Times New Roman Bold" w:eastAsia="宋体" w:cs="Times New Roman Bold"/>
          <w:b/>
          <w:bCs/>
          <w:color w:val="auto"/>
          <w:sz w:val="24"/>
          <w:highlight w:val="none"/>
        </w:rPr>
        <w:t xml:space="preserve"> to Risk of</w:t>
      </w:r>
      <w:r>
        <w:rPr>
          <w:rFonts w:hint="default" w:ascii="Times New Roman Bold" w:hAnsi="Times New Roman Bold" w:eastAsia="宋体" w:cs="Times New Roman Bold"/>
          <w:b/>
          <w:bCs/>
          <w:color w:val="auto"/>
          <w:sz w:val="24"/>
          <w:highlight w:val="none"/>
        </w:rPr>
        <w:t xml:space="preserve"> </w:t>
      </w:r>
      <w:r>
        <w:rPr>
          <w:rFonts w:hint="eastAsia" w:ascii="Times New Roman Bold" w:hAnsi="Times New Roman Bold" w:eastAsia="宋体" w:cs="Times New Roman Bold"/>
          <w:b/>
          <w:bCs/>
          <w:color w:val="auto"/>
          <w:sz w:val="24"/>
          <w:highlight w:val="none"/>
        </w:rPr>
        <w:t>M</w:t>
      </w:r>
      <w:r>
        <w:rPr>
          <w:rFonts w:ascii="Times New Roman Bold" w:hAnsi="Times New Roman Bold" w:eastAsia="宋体" w:cs="Times New Roman Bold"/>
          <w:b/>
          <w:bCs/>
          <w:color w:val="auto"/>
          <w:sz w:val="24"/>
          <w:highlight w:val="none"/>
        </w:rPr>
        <w:t>ajor Cardiovascular Diseases</w:t>
      </w:r>
    </w:p>
    <w:p w14:paraId="277E0675">
      <w:pPr>
        <w:numPr>
          <w:ilvl w:val="255"/>
          <w:numId w:val="0"/>
        </w:numPr>
        <w:spacing w:line="360" w:lineRule="auto"/>
        <w:rPr>
          <w:rFonts w:ascii="Times New Roman" w:hAnsi="Times New Roman" w:cs="Times New Roman"/>
          <w:color w:val="auto"/>
          <w:sz w:val="21"/>
          <w:szCs w:val="21"/>
          <w:highlight w:val="none"/>
          <w:vertAlign w:val="superscript"/>
        </w:rPr>
      </w:pPr>
      <w:r>
        <w:rPr>
          <w:rFonts w:ascii="Times New Roman" w:hAnsi="Times New Roman" w:cs="Times New Roman"/>
          <w:color w:val="auto"/>
          <w:sz w:val="21"/>
          <w:szCs w:val="21"/>
          <w:highlight w:val="none"/>
        </w:rPr>
        <w:t>Jun Qiao</w:t>
      </w:r>
      <w:r>
        <w:rPr>
          <w:rFonts w:ascii="Times New Roman" w:hAnsi="Times New Roman" w:cs="Times New Roman"/>
          <w:color w:val="auto"/>
          <w:sz w:val="21"/>
          <w:szCs w:val="21"/>
          <w:highlight w:val="none"/>
          <w:vertAlign w:val="superscript"/>
        </w:rPr>
        <w:t>1</w:t>
      </w:r>
      <w:r>
        <w:rPr>
          <w:rFonts w:hint="default" w:ascii="Times New Roman" w:hAnsi="Times New Roman" w:cs="Times New Roman"/>
          <w:color w:val="auto"/>
          <w:sz w:val="21"/>
          <w:szCs w:val="21"/>
          <w:highlight w:val="none"/>
          <w:vertAlign w:val="superscript"/>
          <w:lang w:val="en-US"/>
        </w:rPr>
        <w:t>,2</w:t>
      </w:r>
      <w:r>
        <w:rPr>
          <w:rFonts w:ascii="Times New Roman" w:hAnsi="Times New Roman" w:cs="Times New Roman"/>
          <w:color w:val="auto"/>
          <w:sz w:val="21"/>
          <w:szCs w:val="21"/>
          <w:highlight w:val="none"/>
        </w:rPr>
        <w:t>, Lei Jiang</w:t>
      </w:r>
      <w:r>
        <w:rPr>
          <w:rFonts w:hint="default" w:ascii="Times New Roman" w:hAnsi="Times New Roman" w:cs="Times New Roman"/>
          <w:color w:val="auto"/>
          <w:sz w:val="21"/>
          <w:szCs w:val="21"/>
          <w:highlight w:val="none"/>
          <w:vertAlign w:val="superscript"/>
          <w:lang w:val="en-US"/>
        </w:rPr>
        <w:t>3</w:t>
      </w:r>
      <w:r>
        <w:rPr>
          <w:rFonts w:hint="eastAsia" w:ascii="Times New Roman" w:hAnsi="Times New Roman" w:cs="Times New Roman"/>
          <w:color w:val="auto"/>
          <w:sz w:val="21"/>
          <w:szCs w:val="21"/>
          <w:highlight w:val="none"/>
          <w:vertAlign w:val="superscript"/>
        </w:rPr>
        <w:t>✉</w:t>
      </w:r>
      <w:r>
        <w:rPr>
          <w:rFonts w:hint="default" w:ascii="Times New Roman" w:hAnsi="Times New Roman" w:cs="Times New Roman"/>
          <w:color w:val="auto"/>
          <w:sz w:val="21"/>
          <w:szCs w:val="21"/>
          <w:highlight w:val="none"/>
          <w:vertAlign w:val="baseline"/>
          <w:lang w:val="en-US"/>
        </w:rPr>
        <w:t>,</w:t>
      </w:r>
      <w:r>
        <w:rPr>
          <w:rFonts w:hint="default" w:ascii="Times New Roman" w:hAnsi="Times New Roman" w:cs="Times New Roman"/>
          <w:color w:val="auto"/>
          <w:sz w:val="21"/>
          <w:szCs w:val="21"/>
          <w:highlight w:val="none"/>
          <w:vertAlign w:val="superscript"/>
          <w:lang w:val="en-US"/>
        </w:rPr>
        <w:t xml:space="preserve"> </w:t>
      </w:r>
      <w:r>
        <w:rPr>
          <w:rFonts w:ascii="Times New Roman" w:hAnsi="Times New Roman" w:cs="Times New Roman"/>
          <w:color w:val="auto"/>
          <w:sz w:val="21"/>
          <w:szCs w:val="21"/>
          <w:highlight w:val="none"/>
        </w:rPr>
        <w:t>Liuyang Cai</w:t>
      </w:r>
      <w:r>
        <w:rPr>
          <w:rFonts w:ascii="Times New Roman" w:hAnsi="Times New Roman" w:cs="Times New Roman"/>
          <w:color w:val="auto"/>
          <w:sz w:val="21"/>
          <w:szCs w:val="21"/>
          <w:highlight w:val="none"/>
          <w:vertAlign w:val="superscript"/>
          <w:lang w:eastAsia="zh-Hans"/>
        </w:rPr>
        <w:t>1</w:t>
      </w:r>
      <w:r>
        <w:rPr>
          <w:rFonts w:hint="default" w:ascii="Times New Roman" w:hAnsi="Times New Roman" w:cs="Times New Roman"/>
          <w:color w:val="auto"/>
          <w:sz w:val="21"/>
          <w:szCs w:val="21"/>
          <w:highlight w:val="none"/>
          <w:vertAlign w:val="superscript"/>
          <w:lang w:val="en-US" w:eastAsia="zh-Hans"/>
        </w:rPr>
        <w:t>,2</w:t>
      </w:r>
      <w:r>
        <w:rPr>
          <w:rFonts w:ascii="Times New Roman" w:hAnsi="Times New Roman" w:cs="Times New Roman"/>
          <w:color w:val="auto"/>
          <w:sz w:val="21"/>
          <w:szCs w:val="21"/>
          <w:highlight w:val="none"/>
          <w:lang w:eastAsia="zh-Hans"/>
        </w:rPr>
        <w:t>, Minjing Chang</w:t>
      </w:r>
      <w:r>
        <w:rPr>
          <w:rFonts w:hint="default" w:ascii="Times New Roman" w:hAnsi="Times New Roman" w:cs="Times New Roman"/>
          <w:color w:val="auto"/>
          <w:sz w:val="21"/>
          <w:szCs w:val="21"/>
          <w:highlight w:val="none"/>
          <w:vertAlign w:val="superscript"/>
          <w:lang w:val="en-US" w:eastAsia="zh-Hans"/>
        </w:rPr>
        <w:t>4</w:t>
      </w:r>
      <w:r>
        <w:rPr>
          <w:rFonts w:ascii="Times New Roman" w:hAnsi="Times New Roman" w:cs="Times New Roman"/>
          <w:color w:val="auto"/>
          <w:sz w:val="21"/>
          <w:szCs w:val="21"/>
          <w:highlight w:val="none"/>
          <w:lang w:eastAsia="zh-Hans"/>
        </w:rPr>
        <w:t xml:space="preserve">, </w:t>
      </w:r>
      <w:r>
        <w:rPr>
          <w:rFonts w:ascii="Times New Roman" w:hAnsi="Times New Roman" w:cs="Times New Roman"/>
          <w:color w:val="auto"/>
          <w:sz w:val="21"/>
          <w:szCs w:val="21"/>
          <w:highlight w:val="none"/>
        </w:rPr>
        <w:t>Can Wang</w:t>
      </w:r>
      <w:r>
        <w:rPr>
          <w:rFonts w:hint="default" w:ascii="Times New Roman" w:hAnsi="Times New Roman" w:cs="Times New Roman"/>
          <w:color w:val="auto"/>
          <w:sz w:val="21"/>
          <w:szCs w:val="21"/>
          <w:highlight w:val="none"/>
          <w:vertAlign w:val="superscript"/>
          <w:lang w:val="en-US"/>
        </w:rPr>
        <w:t>5</w:t>
      </w:r>
      <w:r>
        <w:rPr>
          <w:rFonts w:ascii="Times New Roman" w:hAnsi="Times New Roman" w:cs="Times New Roman"/>
          <w:color w:val="auto"/>
          <w:sz w:val="21"/>
          <w:szCs w:val="21"/>
          <w:highlight w:val="none"/>
        </w:rPr>
        <w:t xml:space="preserve">, </w:t>
      </w:r>
      <w:r>
        <w:rPr>
          <w:rFonts w:ascii="Times New Roman" w:hAnsi="Times New Roman" w:cs="Times New Roman"/>
          <w:color w:val="auto"/>
          <w:sz w:val="21"/>
          <w:szCs w:val="21"/>
          <w:highlight w:val="none"/>
          <w:lang w:eastAsia="zh-Hans"/>
        </w:rPr>
        <w:t>Rong Zhao</w:t>
      </w:r>
      <w:r>
        <w:rPr>
          <w:rFonts w:hint="default" w:ascii="Times New Roman" w:hAnsi="Times New Roman" w:cs="Times New Roman"/>
          <w:color w:val="auto"/>
          <w:sz w:val="21"/>
          <w:szCs w:val="21"/>
          <w:highlight w:val="none"/>
          <w:vertAlign w:val="superscript"/>
          <w:lang w:val="en-US" w:eastAsia="zh-Hans"/>
        </w:rPr>
        <w:t>6</w:t>
      </w:r>
      <w:r>
        <w:rPr>
          <w:rFonts w:ascii="Times New Roman" w:hAnsi="Times New Roman" w:cs="Times New Roman"/>
          <w:color w:val="auto"/>
          <w:sz w:val="21"/>
          <w:szCs w:val="21"/>
          <w:highlight w:val="none"/>
          <w:lang w:eastAsia="zh-Hans"/>
        </w:rPr>
        <w:t>, Shan Song</w:t>
      </w:r>
      <w:r>
        <w:rPr>
          <w:rFonts w:hint="default" w:ascii="Times New Roman" w:hAnsi="Times New Roman" w:cs="Times New Roman"/>
          <w:color w:val="auto"/>
          <w:sz w:val="21"/>
          <w:szCs w:val="21"/>
          <w:highlight w:val="none"/>
          <w:vertAlign w:val="superscript"/>
          <w:lang w:val="en-US" w:eastAsia="zh-Hans"/>
        </w:rPr>
        <w:t>7</w:t>
      </w:r>
      <w:r>
        <w:rPr>
          <w:rFonts w:ascii="Times New Roman" w:hAnsi="Times New Roman" w:cs="Times New Roman"/>
          <w:color w:val="auto"/>
          <w:sz w:val="21"/>
          <w:szCs w:val="21"/>
          <w:highlight w:val="none"/>
          <w:lang w:eastAsia="zh-Hans"/>
        </w:rPr>
        <w:t xml:space="preserve">, </w:t>
      </w:r>
      <w:r>
        <w:rPr>
          <w:rFonts w:hint="default" w:ascii="Times New Roman" w:hAnsi="Times New Roman" w:cs="Times New Roman"/>
          <w:color w:val="auto"/>
          <w:sz w:val="21"/>
          <w:szCs w:val="21"/>
          <w:highlight w:val="none"/>
          <w:lang w:eastAsia="zh-Hans"/>
        </w:rPr>
        <w:t>Yuhui Zhao</w:t>
      </w:r>
      <w:r>
        <w:rPr>
          <w:rFonts w:hint="default" w:ascii="Times New Roman" w:hAnsi="Times New Roman" w:cs="Times New Roman"/>
          <w:color w:val="auto"/>
          <w:sz w:val="21"/>
          <w:szCs w:val="21"/>
          <w:highlight w:val="none"/>
          <w:vertAlign w:val="superscript"/>
          <w:lang w:val="en-US" w:eastAsia="zh-Hans"/>
        </w:rPr>
        <w:t>8</w:t>
      </w:r>
      <w:r>
        <w:rPr>
          <w:rFonts w:hint="default" w:ascii="Times New Roman" w:hAnsi="Times New Roman" w:cs="Times New Roman"/>
          <w:color w:val="auto"/>
          <w:sz w:val="21"/>
          <w:szCs w:val="21"/>
          <w:highlight w:val="none"/>
          <w:lang w:eastAsia="zh-Hans"/>
        </w:rPr>
        <w:t>, Miaoran Chen</w:t>
      </w:r>
      <w:r>
        <w:rPr>
          <w:rFonts w:hint="default" w:ascii="Times New Roman" w:hAnsi="Times New Roman" w:cs="Times New Roman"/>
          <w:color w:val="auto"/>
          <w:sz w:val="21"/>
          <w:szCs w:val="21"/>
          <w:highlight w:val="none"/>
          <w:vertAlign w:val="superscript"/>
          <w:lang w:val="en-US" w:eastAsia="zh-Hans"/>
        </w:rPr>
        <w:t>8</w:t>
      </w:r>
      <w:r>
        <w:rPr>
          <w:rFonts w:hint="default" w:ascii="Times New Roman" w:hAnsi="Times New Roman" w:cs="Times New Roman"/>
          <w:color w:val="auto"/>
          <w:sz w:val="21"/>
          <w:szCs w:val="21"/>
          <w:highlight w:val="none"/>
          <w:lang w:eastAsia="zh-Hans"/>
        </w:rPr>
        <w:t xml:space="preserve">, </w:t>
      </w:r>
      <w:r>
        <w:rPr>
          <w:rFonts w:hint="eastAsia" w:ascii="Times New Roman" w:hAnsi="Times New Roman" w:cs="Times New Roman"/>
          <w:color w:val="auto"/>
          <w:sz w:val="21"/>
          <w:szCs w:val="21"/>
          <w:highlight w:val="none"/>
          <w:vertAlign w:val="baseline"/>
          <w:lang w:val="en-US" w:eastAsia="zh-CN"/>
        </w:rPr>
        <w:t>Shifang Ding</w:t>
      </w:r>
      <w:r>
        <w:rPr>
          <w:rFonts w:hint="default" w:ascii="Times New Roman" w:hAnsi="Times New Roman" w:cs="Times New Roman"/>
          <w:color w:val="auto"/>
          <w:sz w:val="21"/>
          <w:szCs w:val="21"/>
          <w:highlight w:val="none"/>
          <w:vertAlign w:val="superscript"/>
          <w:lang w:val="en-US" w:eastAsia="zh-CN"/>
        </w:rPr>
        <w:t>9,10</w:t>
      </w:r>
      <w:r>
        <w:rPr>
          <w:rFonts w:hint="eastAsia" w:ascii="Times New Roman" w:hAnsi="Times New Roman" w:cs="Times New Roman"/>
          <w:color w:val="auto"/>
          <w:sz w:val="21"/>
          <w:szCs w:val="21"/>
          <w:highlight w:val="none"/>
          <w:vertAlign w:val="baseline"/>
          <w:lang w:val="en-US" w:eastAsia="zh-CN"/>
        </w:rPr>
        <w:t xml:space="preserve">, </w:t>
      </w:r>
      <w:r>
        <w:rPr>
          <w:rFonts w:ascii="Times New Roman" w:hAnsi="Times New Roman" w:cs="Times New Roman"/>
          <w:color w:val="auto"/>
          <w:sz w:val="21"/>
          <w:szCs w:val="21"/>
          <w:highlight w:val="none"/>
        </w:rPr>
        <w:t>Ning Tan</w:t>
      </w:r>
      <w:r>
        <w:rPr>
          <w:rFonts w:hint="default" w:ascii="Times New Roman" w:hAnsi="Times New Roman" w:cs="Times New Roman"/>
          <w:color w:val="auto"/>
          <w:sz w:val="21"/>
          <w:szCs w:val="21"/>
          <w:highlight w:val="none"/>
          <w:vertAlign w:val="superscript"/>
          <w:lang w:val="en-US"/>
        </w:rPr>
        <w:t>3</w:t>
      </w:r>
      <w:r>
        <w:rPr>
          <w:rFonts w:ascii="Times New Roman" w:hAnsi="Times New Roman" w:cs="Times New Roman"/>
          <w:color w:val="auto"/>
          <w:sz w:val="21"/>
          <w:szCs w:val="21"/>
          <w:highlight w:val="none"/>
        </w:rPr>
        <w:t>, Pengcheng He</w:t>
      </w:r>
      <w:r>
        <w:rPr>
          <w:rFonts w:hint="default" w:ascii="Times New Roman" w:hAnsi="Times New Roman" w:cs="Times New Roman"/>
          <w:color w:val="auto"/>
          <w:sz w:val="21"/>
          <w:szCs w:val="21"/>
          <w:highlight w:val="none"/>
          <w:vertAlign w:val="superscript"/>
          <w:lang w:val="en-US"/>
        </w:rPr>
        <w:t>3</w:t>
      </w:r>
      <w:r>
        <w:rPr>
          <w:rFonts w:ascii="Times New Roman" w:hAnsi="Times New Roman" w:cs="Times New Roman"/>
          <w:color w:val="auto"/>
          <w:sz w:val="21"/>
          <w:szCs w:val="21"/>
          <w:highlight w:val="none"/>
        </w:rPr>
        <w:t>,</w:t>
      </w:r>
      <w:r>
        <w:rPr>
          <w:rFonts w:ascii="Times New Roman" w:hAnsi="Times New Roman" w:cs="Times New Roman"/>
          <w:color w:val="auto"/>
          <w:sz w:val="21"/>
          <w:szCs w:val="21"/>
          <w:highlight w:val="none"/>
          <w:vertAlign w:val="superscript"/>
        </w:rPr>
        <w:t xml:space="preserve"> </w:t>
      </w:r>
      <w:r>
        <w:rPr>
          <w:rFonts w:hint="eastAsia" w:ascii="Times New Roman" w:hAnsi="Times New Roman" w:cs="Times New Roman"/>
          <w:color w:val="auto"/>
          <w:sz w:val="21"/>
          <w:szCs w:val="21"/>
          <w:highlight w:val="none"/>
          <w:vertAlign w:val="baseline"/>
        </w:rPr>
        <w:t>Sakthivel Sadayappan</w:t>
      </w:r>
      <w:r>
        <w:rPr>
          <w:rFonts w:hint="default" w:ascii="Times New Roman" w:hAnsi="Times New Roman" w:cs="Times New Roman"/>
          <w:color w:val="auto"/>
          <w:sz w:val="21"/>
          <w:szCs w:val="21"/>
          <w:highlight w:val="none"/>
          <w:vertAlign w:val="superscript"/>
          <w:lang w:val="en-US" w:eastAsia="zh-CN"/>
        </w:rPr>
        <w:t>11</w:t>
      </w:r>
      <w:r>
        <w:rPr>
          <w:rFonts w:hint="default" w:ascii="Times New Roman" w:hAnsi="Times New Roman" w:cs="Times New Roman"/>
          <w:color w:val="auto"/>
          <w:sz w:val="21"/>
          <w:szCs w:val="21"/>
          <w:highlight w:val="none"/>
          <w:vertAlign w:val="baseline"/>
        </w:rPr>
        <w:t>,</w:t>
      </w:r>
      <w:r>
        <w:rPr>
          <w:rFonts w:hint="eastAsia" w:ascii="Times New Roman" w:hAnsi="Times New Roman" w:cs="Times New Roman"/>
          <w:color w:val="auto"/>
          <w:sz w:val="21"/>
          <w:szCs w:val="21"/>
          <w:highlight w:val="none"/>
          <w:vertAlign w:val="superscript"/>
          <w:lang w:val="en-US" w:eastAsia="zh-CN"/>
        </w:rPr>
        <w:t xml:space="preserve"> </w:t>
      </w:r>
      <w:r>
        <w:rPr>
          <w:rFonts w:hint="eastAsia" w:ascii="Times New Roman" w:hAnsi="Times New Roman" w:cs="Times New Roman"/>
          <w:color w:val="auto"/>
          <w:sz w:val="21"/>
          <w:szCs w:val="21"/>
          <w:vertAlign w:val="baseline"/>
          <w:lang w:val="en-US" w:eastAsia="zh-CN"/>
        </w:rPr>
        <w:t>Jinguo</w:t>
      </w:r>
      <w:r>
        <w:rPr>
          <w:rFonts w:hint="default" w:ascii="Times New Roman" w:hAnsi="Times New Roman" w:cs="Times New Roman"/>
          <w:color w:val="auto"/>
          <w:sz w:val="21"/>
          <w:szCs w:val="21"/>
          <w:vertAlign w:val="baseline"/>
          <w:lang w:val="en-US" w:eastAsia="zh-CN"/>
        </w:rPr>
        <w:t xml:space="preserve"> Xu</w:t>
      </w:r>
      <w:r>
        <w:rPr>
          <w:rFonts w:hint="default" w:ascii="Times New Roman" w:hAnsi="Times New Roman" w:cs="Times New Roman"/>
          <w:color w:val="auto"/>
          <w:sz w:val="21"/>
          <w:szCs w:val="21"/>
          <w:vertAlign w:val="superscript"/>
          <w:lang w:val="en-US" w:eastAsia="zh-CN"/>
        </w:rPr>
        <w:t>12</w:t>
      </w:r>
      <w:r>
        <w:rPr>
          <w:rFonts w:hint="eastAsia" w:ascii="Times New Roman" w:hAnsi="Times New Roman" w:cs="Times New Roman"/>
          <w:color w:val="auto"/>
          <w:sz w:val="21"/>
          <w:szCs w:val="21"/>
          <w:highlight w:val="none"/>
          <w:vertAlign w:val="superscript"/>
        </w:rPr>
        <w:t>✉</w:t>
      </w:r>
      <w:r>
        <w:rPr>
          <w:rFonts w:hint="default" w:ascii="Times New Roman" w:hAnsi="Times New Roman" w:cs="Times New Roman"/>
          <w:color w:val="auto"/>
          <w:sz w:val="21"/>
          <w:szCs w:val="21"/>
          <w:vertAlign w:val="baseline"/>
          <w:lang w:val="en-US" w:eastAsia="zh-CN"/>
        </w:rPr>
        <w:t>,</w:t>
      </w:r>
      <w:r>
        <w:rPr>
          <w:rFonts w:hint="default" w:ascii="Times New Roman" w:hAnsi="Times New Roman" w:cs="Times New Roman"/>
          <w:color w:val="auto"/>
          <w:sz w:val="21"/>
          <w:szCs w:val="21"/>
          <w:vertAlign w:val="superscript"/>
          <w:lang w:val="en-US" w:eastAsia="zh-CN"/>
        </w:rPr>
        <w:t xml:space="preserve"> </w:t>
      </w:r>
      <w:r>
        <w:rPr>
          <w:rFonts w:ascii="Times New Roman" w:hAnsi="Times New Roman" w:cs="Times New Roman"/>
          <w:color w:val="auto"/>
          <w:sz w:val="21"/>
          <w:szCs w:val="21"/>
          <w:highlight w:val="none"/>
        </w:rPr>
        <w:t>Siim Pauklin</w:t>
      </w:r>
      <w:r>
        <w:rPr>
          <w:rFonts w:hint="default" w:ascii="Times New Roman" w:hAnsi="Times New Roman" w:cs="Times New Roman"/>
          <w:color w:val="auto"/>
          <w:sz w:val="21"/>
          <w:szCs w:val="21"/>
          <w:highlight w:val="none"/>
          <w:vertAlign w:val="superscript"/>
          <w:lang w:val="en-US" w:eastAsia="zh-CN"/>
        </w:rPr>
        <w:t>13</w:t>
      </w:r>
      <w:r>
        <w:rPr>
          <w:rFonts w:hint="eastAsia" w:ascii="Times New Roman" w:hAnsi="Times New Roman" w:cs="Times New Roman"/>
          <w:color w:val="auto"/>
          <w:sz w:val="21"/>
          <w:szCs w:val="21"/>
          <w:highlight w:val="none"/>
          <w:vertAlign w:val="superscript"/>
        </w:rPr>
        <w:t>✉</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Zhengbing Liu</w:t>
      </w:r>
      <w:r>
        <w:rPr>
          <w:rFonts w:hint="default" w:ascii="Times New Roman" w:hAnsi="Times New Roman" w:cs="Times New Roman"/>
          <w:color w:val="auto"/>
          <w:sz w:val="21"/>
          <w:szCs w:val="21"/>
          <w:highlight w:val="none"/>
          <w:vertAlign w:val="superscript"/>
          <w:lang w:val="en-US" w:eastAsia="zh-CN"/>
        </w:rPr>
        <w:t>9</w:t>
      </w:r>
      <w:r>
        <w:rPr>
          <w:rFonts w:hint="eastAsia" w:ascii="Times New Roman" w:hAnsi="Times New Roman" w:cs="Times New Roman"/>
          <w:color w:val="auto"/>
          <w:sz w:val="21"/>
          <w:szCs w:val="21"/>
          <w:highlight w:val="none"/>
          <w:vertAlign w:val="superscript"/>
          <w:lang w:val="en-US" w:eastAsia="zh-CN"/>
        </w:rPr>
        <w:t>,1</w:t>
      </w:r>
      <w:r>
        <w:rPr>
          <w:rFonts w:hint="default" w:ascii="Times New Roman" w:hAnsi="Times New Roman" w:cs="Times New Roman"/>
          <w:color w:val="auto"/>
          <w:sz w:val="21"/>
          <w:szCs w:val="21"/>
          <w:highlight w:val="none"/>
          <w:vertAlign w:val="superscript"/>
          <w:lang w:val="en-US" w:eastAsia="zh-CN"/>
        </w:rPr>
        <w:t>4</w:t>
      </w:r>
      <w:r>
        <w:rPr>
          <w:rFonts w:hint="eastAsia" w:ascii="Times New Roman" w:hAnsi="Times New Roman" w:cs="Times New Roman"/>
          <w:color w:val="auto"/>
          <w:sz w:val="21"/>
          <w:szCs w:val="21"/>
          <w:highlight w:val="none"/>
          <w:vertAlign w:val="superscript"/>
        </w:rPr>
        <w:t>✉</w:t>
      </w:r>
      <w:r>
        <w:rPr>
          <w:rFonts w:ascii="Times New Roman" w:hAnsi="Times New Roman" w:cs="Times New Roman"/>
          <w:color w:val="auto"/>
          <w:sz w:val="21"/>
          <w:szCs w:val="21"/>
          <w:highlight w:val="none"/>
        </w:rPr>
        <w:t>, Yuliang Feng</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,2</w:t>
      </w:r>
      <w:r>
        <w:rPr>
          <w:rFonts w:hint="eastAsia" w:ascii="Times New Roman" w:hAnsi="Times New Roman" w:cs="Times New Roman"/>
          <w:color w:val="auto"/>
          <w:sz w:val="21"/>
          <w:szCs w:val="21"/>
          <w:highlight w:val="none"/>
          <w:vertAlign w:val="superscript"/>
        </w:rPr>
        <w:t>✉</w:t>
      </w:r>
    </w:p>
    <w:p w14:paraId="00A80884">
      <w:pPr>
        <w:spacing w:line="360" w:lineRule="auto"/>
        <w:rPr>
          <w:rFonts w:hint="eastAsia" w:ascii="Times New Roman Regular" w:hAnsi="Times New Roman Regular" w:cs="Times New Roman Regular"/>
          <w:color w:val="auto"/>
          <w:sz w:val="21"/>
          <w:szCs w:val="21"/>
          <w:highlight w:val="none"/>
        </w:rPr>
      </w:pPr>
      <w:r>
        <w:rPr>
          <w:rFonts w:ascii="Times New Roman" w:hAnsi="Times New Roman" w:cs="Times New Roman"/>
          <w:color w:val="auto"/>
          <w:sz w:val="21"/>
          <w:szCs w:val="21"/>
          <w:highlight w:val="none"/>
          <w:vertAlign w:val="superscript"/>
        </w:rPr>
        <w:t xml:space="preserve">1 </w:t>
      </w:r>
      <w:r>
        <w:rPr>
          <w:rFonts w:hint="eastAsia" w:ascii="Times New Roman Regular" w:hAnsi="Times New Roman Regular" w:cs="Times New Roman Regular"/>
          <w:color w:val="auto"/>
          <w:sz w:val="21"/>
          <w:szCs w:val="21"/>
          <w:highlight w:val="none"/>
        </w:rPr>
        <w:t>Department of Geriatrics, Shenzhen People's Hospital (The First Affiliated Hospital of Southern University of Science and Technology); Department of Pharmacology, SUSTech Homeostatic Medicine Institute, School of Medicine, Southern University of Science and Technology, Shenzhen, China.</w:t>
      </w:r>
    </w:p>
    <w:p w14:paraId="10204090">
      <w:pPr>
        <w:numPr>
          <w:ilvl w:val="-1"/>
          <w:numId w:val="0"/>
        </w:numPr>
        <w:spacing w:line="360" w:lineRule="auto"/>
        <w:rPr>
          <w:rFonts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vertAlign w:val="superscript"/>
          <w:lang w:val="en-US"/>
        </w:rPr>
        <w:t xml:space="preserve">2 </w:t>
      </w:r>
      <w:r>
        <w:rPr>
          <w:rFonts w:hint="eastAsia" w:ascii="Times New Roman Regular" w:hAnsi="Times New Roman Regular" w:cs="Times New Roman Regular"/>
          <w:color w:val="auto"/>
          <w:sz w:val="21"/>
          <w:szCs w:val="21"/>
          <w:highlight w:val="none"/>
        </w:rPr>
        <w:t>Joint Laboratory of Guangdong-Hong Kong Universities for Vascular Homeostasis and Diseases, Shenzhen, China.</w:t>
      </w:r>
    </w:p>
    <w:p w14:paraId="6BC6F1D7">
      <w:pPr>
        <w:numPr>
          <w:ilvl w:val="255"/>
          <w:numId w:val="0"/>
        </w:numPr>
        <w:spacing w:line="360" w:lineRule="auto"/>
        <w:rPr>
          <w:rFonts w:hint="default" w:ascii="Times New Roman Regular" w:hAnsi="Times New Roman Regular" w:cs="Times New Roman Regular"/>
          <w:color w:val="auto"/>
          <w:sz w:val="21"/>
          <w:szCs w:val="21"/>
          <w:highlight w:val="none"/>
        </w:rPr>
      </w:pPr>
      <w:r>
        <w:rPr>
          <w:rFonts w:hint="default" w:ascii="Times New Roman" w:hAnsi="Times New Roman" w:cs="Times New Roman"/>
          <w:color w:val="auto"/>
          <w:sz w:val="21"/>
          <w:szCs w:val="21"/>
          <w:highlight w:val="none"/>
          <w:vertAlign w:val="superscript"/>
          <w:lang w:val="en-US"/>
        </w:rPr>
        <w:t>3</w:t>
      </w:r>
      <w:r>
        <w:rPr>
          <w:rFonts w:ascii="Times New Roman" w:hAnsi="Times New Roman" w:cs="Times New Roman"/>
          <w:color w:val="auto"/>
          <w:sz w:val="21"/>
          <w:szCs w:val="21"/>
          <w:highlight w:val="none"/>
          <w:vertAlign w:val="superscript"/>
        </w:rPr>
        <w:t xml:space="preserve"> </w:t>
      </w:r>
      <w:r>
        <w:rPr>
          <w:rFonts w:ascii="Times New Roman" w:hAnsi="Times New Roman" w:cs="Times New Roman"/>
          <w:color w:val="auto"/>
          <w:sz w:val="21"/>
          <w:szCs w:val="21"/>
          <w:highlight w:val="none"/>
        </w:rPr>
        <w:t>Department of Cardiology, Guangdong Cardiovascular Institute, Guangdong Provincial People's Hospital (Guangdong Academy of Medical Sciences), Southern Medical University, Guangzhou, China.</w:t>
      </w:r>
    </w:p>
    <w:p w14:paraId="44E95B71">
      <w:pPr>
        <w:spacing w:line="360" w:lineRule="auto"/>
        <w:rPr>
          <w:rFonts w:hint="eastAsia"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vertAlign w:val="superscript"/>
          <w:lang w:val="en-US" w:eastAsia="zh-Hans"/>
        </w:rPr>
        <w:t>4</w:t>
      </w:r>
      <w:r>
        <w:rPr>
          <w:rFonts w:ascii="Times New Roman Regular" w:hAnsi="Times New Roman Regular" w:cs="Times New Roman Regular"/>
          <w:color w:val="auto"/>
          <w:sz w:val="21"/>
          <w:szCs w:val="21"/>
          <w:highlight w:val="none"/>
          <w:vertAlign w:val="superscript"/>
          <w:lang w:eastAsia="zh-Hans"/>
        </w:rPr>
        <w:t xml:space="preserve"> </w:t>
      </w:r>
      <w:r>
        <w:rPr>
          <w:rFonts w:ascii="Times New Roman Regular" w:hAnsi="Times New Roman Regular" w:cs="Times New Roman Regular"/>
          <w:color w:val="auto"/>
          <w:sz w:val="21"/>
          <w:szCs w:val="21"/>
          <w:highlight w:val="none"/>
          <w:lang w:eastAsia="zh-Hans"/>
        </w:rPr>
        <w:t xml:space="preserve">School of Public Health and Emergency Management, </w:t>
      </w:r>
      <w:bookmarkStart w:id="36" w:name="_GoBack"/>
      <w:bookmarkEnd w:id="36"/>
      <w:r>
        <w:rPr>
          <w:rFonts w:ascii="Times New Roman Regular" w:hAnsi="Times New Roman Regular" w:cs="Times New Roman Regular"/>
          <w:color w:val="auto"/>
          <w:sz w:val="21"/>
          <w:szCs w:val="21"/>
          <w:highlight w:val="none"/>
          <w:lang w:eastAsia="zh-Hans"/>
        </w:rPr>
        <w:t>Southern University of Science and Technology, Shenzhen, China.</w:t>
      </w:r>
    </w:p>
    <w:p w14:paraId="47FBA741">
      <w:pPr>
        <w:numPr>
          <w:ilvl w:val="255"/>
          <w:numId w:val="0"/>
        </w:numPr>
        <w:spacing w:line="36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superscript"/>
          <w:lang w:val="en-US"/>
        </w:rPr>
        <w:t>5</w:t>
      </w:r>
      <w:r>
        <w:rPr>
          <w:rFonts w:hint="default" w:ascii="Times New Roman" w:hAnsi="Times New Roman" w:cs="Times New Roman"/>
          <w:color w:val="auto"/>
          <w:sz w:val="21"/>
          <w:szCs w:val="21"/>
          <w:highlight w:val="none"/>
          <w:vertAlign w:val="superscript"/>
        </w:rPr>
        <w:t xml:space="preserve"> </w:t>
      </w:r>
      <w:r>
        <w:rPr>
          <w:rFonts w:hint="default" w:ascii="Times New Roman" w:hAnsi="Times New Roman" w:cs="Times New Roman"/>
          <w:color w:val="auto"/>
          <w:sz w:val="21"/>
          <w:szCs w:val="21"/>
          <w:highlight w:val="none"/>
        </w:rPr>
        <w:t xml:space="preserve">Department of Health Statistics, School of Public Health, </w:t>
      </w:r>
      <w:r>
        <w:rPr>
          <w:rFonts w:ascii="Times New Roman" w:hAnsi="Times New Roman" w:cs="Times New Roman"/>
          <w:color w:val="auto"/>
          <w:sz w:val="21"/>
          <w:szCs w:val="21"/>
          <w:highlight w:val="none"/>
        </w:rPr>
        <w:t>Shanxi Medical University, Taiyuan, China.</w:t>
      </w:r>
      <w:r>
        <w:rPr>
          <w:rFonts w:hint="default" w:ascii="Times New Roman" w:hAnsi="Times New Roman" w:cs="Times New Roman"/>
          <w:color w:val="auto"/>
          <w:sz w:val="21"/>
          <w:szCs w:val="21"/>
          <w:highlight w:val="none"/>
        </w:rPr>
        <w:t xml:space="preserve"> </w:t>
      </w:r>
    </w:p>
    <w:p w14:paraId="642B6B09">
      <w:pPr>
        <w:numPr>
          <w:ilvl w:val="255"/>
          <w:numId w:val="0"/>
        </w:numPr>
        <w:spacing w:line="360" w:lineRule="auto"/>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superscript"/>
          <w:lang w:val="en-US"/>
        </w:rPr>
        <w:t>6</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School of Medicine, South China University of Technology, Guangzhou, China.</w:t>
      </w:r>
    </w:p>
    <w:p w14:paraId="30F4CB2C">
      <w:pPr>
        <w:numPr>
          <w:ilvl w:val="255"/>
          <w:numId w:val="0"/>
        </w:numPr>
        <w:spacing w:line="360" w:lineRule="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vertAlign w:val="superscript"/>
          <w:lang w:val="en-US"/>
        </w:rPr>
        <w:t xml:space="preserve">7 </w:t>
      </w:r>
      <w:r>
        <w:rPr>
          <w:rFonts w:hint="default" w:ascii="Times New Roman" w:hAnsi="Times New Roman" w:cs="Times New Roman"/>
          <w:color w:val="auto"/>
          <w:sz w:val="21"/>
          <w:szCs w:val="21"/>
          <w:highlight w:val="none"/>
          <w:lang w:val="en-US"/>
        </w:rPr>
        <w:t>Department of Rheumatology and Clinical Immunology, Peking University First Hospital, Beijing, China</w:t>
      </w:r>
    </w:p>
    <w:p w14:paraId="553E7BD9">
      <w:pPr>
        <w:numPr>
          <w:ilvl w:val="255"/>
          <w:numId w:val="0"/>
        </w:numPr>
        <w:spacing w:line="360" w:lineRule="auto"/>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superscript"/>
          <w:lang w:val="en-US" w:eastAsia="zh-CN"/>
        </w:rPr>
        <w:t>8</w:t>
      </w:r>
      <w:r>
        <w:rPr>
          <w:rFonts w:hint="eastAsia" w:ascii="Times New Roman" w:hAnsi="Times New Roman" w:cs="Times New Roman"/>
          <w:color w:val="auto"/>
          <w:sz w:val="21"/>
          <w:szCs w:val="21"/>
          <w:highlight w:val="none"/>
          <w:vertAlign w:val="superscript"/>
          <w:lang w:val="en-US" w:eastAsia="zh-CN"/>
        </w:rPr>
        <w:t xml:space="preserve"> </w:t>
      </w:r>
      <w:r>
        <w:rPr>
          <w:rFonts w:ascii="Times New Roman" w:hAnsi="Times New Roman" w:cs="Times New Roman"/>
          <w:color w:val="auto"/>
          <w:sz w:val="21"/>
          <w:szCs w:val="21"/>
          <w:highlight w:val="none"/>
        </w:rPr>
        <w:t>Department of Rheumatology, The Second Hospital of Shanxi Medical University</w:t>
      </w:r>
      <w:r>
        <w:rPr>
          <w:rFonts w:hint="default" w:ascii="Times New Roman" w:hAnsi="Times New Roman" w:cs="Times New Roman"/>
          <w:color w:val="auto"/>
          <w:sz w:val="21"/>
          <w:szCs w:val="21"/>
          <w:highlight w:val="none"/>
          <w:lang w:val="en-US"/>
        </w:rPr>
        <w:t>,</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rPr>
        <w:t>Shanxi Key Laboratory of Rheumatism Immune Microecology</w:t>
      </w:r>
      <w:r>
        <w:rPr>
          <w:rFonts w:hint="default" w:ascii="Times New Roman" w:hAnsi="Times New Roman" w:cs="Times New Roman"/>
          <w:color w:val="auto"/>
          <w:sz w:val="21"/>
          <w:szCs w:val="21"/>
          <w:highlight w:val="none"/>
          <w:lang w:val="en-US"/>
        </w:rPr>
        <w:t xml:space="preserve">, Shanxi Precision Medical Engineering Research Center for Rheumatology, </w:t>
      </w:r>
      <w:r>
        <w:rPr>
          <w:rFonts w:ascii="Times New Roman" w:hAnsi="Times New Roman" w:cs="Times New Roman"/>
          <w:color w:val="auto"/>
          <w:sz w:val="21"/>
          <w:szCs w:val="21"/>
          <w:highlight w:val="none"/>
        </w:rPr>
        <w:t>Taiyuan, China.</w:t>
      </w:r>
    </w:p>
    <w:p w14:paraId="4FDB44EB">
      <w:pPr>
        <w:numPr>
          <w:ilvl w:val="255"/>
          <w:numId w:val="0"/>
        </w:numPr>
        <w:spacing w:line="360" w:lineRule="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vertAlign w:val="superscript"/>
          <w:lang w:val="en-US"/>
        </w:rPr>
        <w:t xml:space="preserve">9 </w:t>
      </w:r>
      <w:r>
        <w:rPr>
          <w:rFonts w:hint="default" w:ascii="Times New Roman" w:hAnsi="Times New Roman" w:cs="Times New Roman"/>
          <w:color w:val="auto"/>
          <w:sz w:val="21"/>
          <w:szCs w:val="21"/>
          <w:highlight w:val="none"/>
          <w:lang w:val="en-US"/>
        </w:rPr>
        <w:t>The First School of Clinical Medicine, Southern Medical University, Guangzhou, China.</w:t>
      </w:r>
    </w:p>
    <w:p w14:paraId="1A7ABC3A">
      <w:pPr>
        <w:numPr>
          <w:ilvl w:val="255"/>
          <w:numId w:val="0"/>
        </w:numPr>
        <w:spacing w:line="360" w:lineRule="auto"/>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superscript"/>
          <w:lang w:val="en-US" w:eastAsia="zh-CN"/>
        </w:rPr>
        <w:t>10</w:t>
      </w:r>
      <w:r>
        <w:rPr>
          <w:rFonts w:hint="eastAsia" w:ascii="Times New Roman" w:hAnsi="Times New Roman" w:cs="Times New Roman"/>
          <w:color w:val="auto"/>
          <w:sz w:val="21"/>
          <w:szCs w:val="21"/>
          <w:highlight w:val="none"/>
          <w:vertAlign w:val="superscript"/>
          <w:lang w:val="en-US" w:eastAsia="zh-CN"/>
        </w:rPr>
        <w:t xml:space="preserve"> </w:t>
      </w:r>
      <w:r>
        <w:rPr>
          <w:rFonts w:hint="eastAsia" w:ascii="Times New Roman" w:hAnsi="Times New Roman" w:cs="Times New Roman"/>
          <w:color w:val="auto"/>
          <w:sz w:val="21"/>
          <w:szCs w:val="21"/>
          <w:highlight w:val="none"/>
        </w:rPr>
        <w:t>Department of Cardiology, General Hospital of Central Theater Command, Wuhan Clinical Medicine College of Southern Medical University, Wuhan, China.</w:t>
      </w:r>
    </w:p>
    <w:p w14:paraId="72216FE1">
      <w:pPr>
        <w:numPr>
          <w:ilvl w:val="255"/>
          <w:numId w:val="0"/>
        </w:numPr>
        <w:spacing w:line="360" w:lineRule="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vertAlign w:val="superscript"/>
          <w:lang w:val="en-US" w:eastAsia="zh-CN"/>
        </w:rPr>
        <w:t>11</w:t>
      </w:r>
      <w:r>
        <w:rPr>
          <w:rFonts w:hint="default" w:ascii="Times New Roman" w:hAnsi="Times New Roman" w:cs="Times New Roman"/>
          <w:color w:val="auto"/>
          <w:sz w:val="21"/>
          <w:szCs w:val="21"/>
          <w:highlight w:val="none"/>
        </w:rPr>
        <w:t xml:space="preserve"> Heart, Lung and Vascular Institute, Department of Internal Medicine, Division of Cardiovascular Health and Disease, University of Cincinnati, Cincinnati, Ohio, USA.</w:t>
      </w:r>
    </w:p>
    <w:p w14:paraId="5A0CC830">
      <w:pPr>
        <w:numPr>
          <w:ilvl w:val="255"/>
          <w:numId w:val="0"/>
        </w:numPr>
        <w:spacing w:line="360" w:lineRule="auto"/>
        <w:rPr>
          <w:rFonts w:ascii="Times New Roman" w:hAnsi="Times New Roman" w:cs="Times New Roman"/>
          <w:color w:val="auto"/>
          <w:sz w:val="21"/>
          <w:szCs w:val="21"/>
        </w:rPr>
      </w:pPr>
      <w:r>
        <w:rPr>
          <w:rFonts w:hint="default" w:ascii="Times New Roman" w:hAnsi="Times New Roman" w:cs="Times New Roman"/>
          <w:color w:val="auto"/>
          <w:sz w:val="21"/>
          <w:szCs w:val="21"/>
          <w:highlight w:val="none"/>
          <w:vertAlign w:val="superscript"/>
          <w:lang w:val="en-US" w:eastAsia="zh-CN"/>
        </w:rPr>
        <w:t>12</w:t>
      </w:r>
      <w:r>
        <w:rPr>
          <w:rFonts w:hint="default" w:ascii="Times New Roman" w:hAnsi="Times New Roman" w:cs="Times New Roman"/>
          <w:color w:val="auto"/>
          <w:sz w:val="21"/>
          <w:szCs w:val="21"/>
          <w:highlight w:val="none"/>
          <w:vertAlign w:val="superscript"/>
        </w:rPr>
        <w:t xml:space="preserve"> </w:t>
      </w:r>
      <w:r>
        <w:rPr>
          <w:rFonts w:ascii="Times New Roman" w:hAnsi="Times New Roman" w:cs="Times New Roman"/>
          <w:color w:val="auto"/>
          <w:sz w:val="21"/>
          <w:szCs w:val="21"/>
        </w:rPr>
        <w:t>Department of Cardiovascular Surgery, First Affiliated Hospital of Anhui Medical University, Hefei, China.</w:t>
      </w:r>
    </w:p>
    <w:p w14:paraId="12E661EC">
      <w:pPr>
        <w:numPr>
          <w:ilvl w:val="255"/>
          <w:numId w:val="0"/>
        </w:numPr>
        <w:spacing w:line="360" w:lineRule="auto"/>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vertAlign w:val="superscript"/>
          <w:lang w:val="en-US" w:eastAsia="zh-CN"/>
        </w:rPr>
        <w:t>13</w:t>
      </w:r>
      <w:r>
        <w:rPr>
          <w:rFonts w:hint="default" w:ascii="Times New Roman" w:hAnsi="Times New Roman" w:cs="Times New Roman"/>
          <w:color w:val="auto"/>
          <w:sz w:val="21"/>
          <w:szCs w:val="21"/>
          <w:highlight w:val="none"/>
          <w:vertAlign w:val="superscript"/>
          <w:lang w:val="en-US"/>
        </w:rPr>
        <w:t xml:space="preserve"> </w:t>
      </w:r>
      <w:r>
        <w:rPr>
          <w:rFonts w:ascii="Times New Roman" w:hAnsi="Times New Roman" w:cs="Times New Roman"/>
          <w:color w:val="auto"/>
          <w:sz w:val="21"/>
          <w:szCs w:val="21"/>
          <w:highlight w:val="none"/>
        </w:rPr>
        <w:t>Botnar Research Centre, Nuffield Department of Orthopaedics, Rheumatology and Musculoskeletal Sciences, University of Oxford, Headington, Oxford, UK.</w:t>
      </w:r>
    </w:p>
    <w:p w14:paraId="4085E643">
      <w:pPr>
        <w:numPr>
          <w:ilvl w:val="255"/>
          <w:numId w:val="0"/>
        </w:numPr>
        <w:spacing w:line="360" w:lineRule="auto"/>
        <w:rPr>
          <w:rFonts w:ascii="Times New Roman" w:hAnsi="Times New Roman" w:cs="Times New Roman"/>
          <w:b/>
          <w:color w:val="auto"/>
          <w:sz w:val="22"/>
          <w:szCs w:val="22"/>
          <w:highlight w:val="none"/>
        </w:rPr>
      </w:pPr>
      <w:r>
        <w:rPr>
          <w:rFonts w:hint="eastAsia" w:ascii="Times New Roman" w:hAnsi="Times New Roman" w:cs="Times New Roman"/>
          <w:color w:val="auto"/>
          <w:sz w:val="21"/>
          <w:szCs w:val="21"/>
          <w:vertAlign w:val="superscript"/>
          <w:lang w:val="en-US" w:eastAsia="zh-CN"/>
        </w:rPr>
        <w:t>1</w:t>
      </w:r>
      <w:r>
        <w:rPr>
          <w:rFonts w:hint="default" w:ascii="Times New Roman" w:hAnsi="Times New Roman" w:cs="Times New Roman"/>
          <w:color w:val="auto"/>
          <w:sz w:val="21"/>
          <w:szCs w:val="21"/>
          <w:vertAlign w:val="superscript"/>
          <w:lang w:val="en-US" w:eastAsia="zh-CN"/>
        </w:rPr>
        <w:t>4</w:t>
      </w:r>
      <w:r>
        <w:rPr>
          <w:rFonts w:hint="eastAsia" w:ascii="Times New Roman" w:hAnsi="Times New Roman" w:cs="Times New Roman"/>
          <w:color w:val="auto"/>
          <w:sz w:val="21"/>
          <w:szCs w:val="21"/>
          <w:vertAlign w:val="superscript"/>
          <w:lang w:val="en-US" w:eastAsia="zh-CN"/>
        </w:rPr>
        <w:t xml:space="preserve"> </w:t>
      </w:r>
      <w:r>
        <w:rPr>
          <w:rFonts w:hint="default" w:ascii="Times New Roman" w:hAnsi="Times New Roman" w:cs="Times New Roman"/>
          <w:color w:val="auto"/>
          <w:sz w:val="21"/>
          <w:szCs w:val="21"/>
        </w:rPr>
        <w:t>Department of Cardiology, Jinling Hospital, Affiliated Hospital of Medical School, Nanjing University, Nanjing, China.</w:t>
      </w:r>
      <w:r>
        <w:rPr>
          <w:rFonts w:ascii="Times New Roman" w:hAnsi="Times New Roman" w:cs="Times New Roman"/>
          <w:b/>
          <w:color w:val="auto"/>
          <w:sz w:val="22"/>
          <w:szCs w:val="22"/>
          <w:highlight w:val="none"/>
        </w:rPr>
        <w:br w:type="page"/>
      </w:r>
    </w:p>
    <w:p w14:paraId="737E2C6A">
      <w:pPr>
        <w:spacing w:line="276" w:lineRule="auto"/>
        <w:rPr>
          <w:rFonts w:hint="default" w:ascii="Times New Roman" w:hAnsi="Times New Roman" w:cs="Times New Roman" w:eastAsiaTheme="minorEastAsia"/>
          <w:b/>
          <w:color w:val="auto"/>
          <w:sz w:val="22"/>
          <w:szCs w:val="22"/>
          <w:highlight w:val="none"/>
          <w:lang w:val="en-US" w:eastAsia="zh-CN"/>
        </w:rPr>
      </w:pPr>
      <w:r>
        <w:rPr>
          <w:rFonts w:ascii="Times New Roman" w:hAnsi="Times New Roman" w:cs="Times New Roman"/>
          <w:b/>
          <w:color w:val="auto"/>
          <w:sz w:val="22"/>
          <w:szCs w:val="22"/>
          <w:highlight w:val="none"/>
        </w:rPr>
        <w:t xml:space="preserve">Supplementary </w:t>
      </w:r>
      <w:r>
        <w:rPr>
          <w:rFonts w:hint="eastAsia" w:ascii="Times New Roman" w:hAnsi="Times New Roman" w:cs="Times New Roman"/>
          <w:b/>
          <w:color w:val="auto"/>
          <w:sz w:val="22"/>
          <w:szCs w:val="22"/>
          <w:highlight w:val="none"/>
        </w:rPr>
        <w:t>Figure</w:t>
      </w:r>
      <w:r>
        <w:rPr>
          <w:rFonts w:ascii="Times New Roman" w:hAnsi="Times New Roman" w:cs="Times New Roman"/>
          <w:b/>
          <w:color w:val="auto"/>
          <w:sz w:val="22"/>
          <w:szCs w:val="22"/>
          <w:highlight w:val="none"/>
        </w:rPr>
        <w:t>s and Notes</w:t>
      </w:r>
      <w:r>
        <w:rPr>
          <w:rFonts w:hint="eastAsia" w:ascii="Times New Roman" w:hAnsi="Times New Roman" w:cs="Times New Roman"/>
          <w:b/>
          <w:color w:val="auto"/>
          <w:sz w:val="22"/>
          <w:szCs w:val="22"/>
          <w:highlight w:val="none"/>
          <w:lang w:val="en-US" w:eastAsia="zh-CN"/>
        </w:rPr>
        <w:t xml:space="preserve">                                          Page</w:t>
      </w:r>
    </w:p>
    <w:p w14:paraId="0368B408">
      <w:pPr>
        <w:spacing w:line="360" w:lineRule="auto"/>
        <w:jc w:val="left"/>
        <w:rPr>
          <w:rFonts w:ascii="Times New Roman" w:hAnsi="Times New Roman" w:cs="Times New Roman"/>
          <w:color w:val="auto"/>
          <w:highlight w:val="none"/>
        </w:rPr>
      </w:pPr>
      <w:r>
        <w:rPr>
          <w:rFonts w:ascii="Times New Roman Bold" w:hAnsi="Times New Roman Bold" w:cs="Times New Roman Bold"/>
          <w:b/>
          <w:bCs/>
          <w:color w:val="auto"/>
          <w:highlight w:val="none"/>
        </w:rPr>
        <w:t>Supplementary Fig. 1.</w:t>
      </w:r>
      <w:r>
        <w:rPr>
          <w:rFonts w:ascii="Times New Roman" w:hAnsi="Times New Roman" w:cs="Times New Roman"/>
          <w:color w:val="auto"/>
          <w:highlight w:val="none"/>
        </w:rPr>
        <w:t xml:space="preserve"> Power plot illustrating percentage of variance explained by genome-wide significant SNPs (y-axis) at a given sample size (x-axis) for each of </w:t>
      </w:r>
      <w:r>
        <w:rPr>
          <w:rFonts w:hint="default" w:ascii="Times New Roman" w:hAnsi="Times New Roman" w:cs="Times New Roman"/>
          <w:color w:val="auto"/>
          <w:highlight w:val="none"/>
          <w:lang w:val="en-US"/>
        </w:rPr>
        <w:t xml:space="preserve">the </w:t>
      </w:r>
      <w:r>
        <w:rPr>
          <w:rFonts w:ascii="Times New Roman" w:hAnsi="Times New Roman" w:cs="Times New Roman"/>
          <w:color w:val="auto"/>
          <w:highlight w:val="none"/>
        </w:rPr>
        <w:t>cardiovascular diseases</w:t>
      </w:r>
      <w:r>
        <w:rPr>
          <w:rFonts w:hint="default" w:ascii="Times New Roman" w:hAnsi="Times New Roman" w:cs="Times New Roman"/>
          <w:color w:val="auto"/>
          <w:highlight w:val="none"/>
          <w:lang w:val="en-US"/>
        </w:rPr>
        <w:t xml:space="preserve"> </w:t>
      </w:r>
      <w:r>
        <w:rPr>
          <w:rFonts w:ascii="Times New Roman" w:hAnsi="Times New Roman" w:cs="Times New Roman"/>
          <w:color w:val="auto"/>
          <w:highlight w:val="none"/>
        </w:rPr>
        <w:t xml:space="preserve">. 1 </w:t>
      </w:r>
    </w:p>
    <w:p w14:paraId="1F178790">
      <w:pPr>
        <w:spacing w:line="360" w:lineRule="auto"/>
        <w:rPr>
          <w:rFonts w:ascii="Times New Roman" w:hAnsi="Times New Roman" w:cs="Times New Roman"/>
          <w:color w:val="auto"/>
          <w:highlight w:val="none"/>
        </w:rPr>
      </w:pPr>
      <w:r>
        <w:rPr>
          <w:rFonts w:ascii="Times New Roman Bold" w:hAnsi="Times New Roman Bold" w:cs="Times New Roman Bold"/>
          <w:b/>
          <w:bCs/>
          <w:color w:val="auto"/>
          <w:highlight w:val="none"/>
        </w:rPr>
        <w:t xml:space="preserve">Supplementary Fig. 2. </w:t>
      </w:r>
      <w:r>
        <w:rPr>
          <w:rFonts w:ascii="Times New Roman" w:hAnsi="Times New Roman" w:cs="Times New Roman"/>
          <w:color w:val="auto"/>
          <w:highlight w:val="none"/>
        </w:rPr>
        <w:t>Supplemental MiXeR figures for each of the six cardiovascular diseases ............................................................................................................................................. 2</w:t>
      </w:r>
    </w:p>
    <w:p w14:paraId="49E261BC">
      <w:pPr>
        <w:spacing w:line="360" w:lineRule="auto"/>
        <w:jc w:val="left"/>
        <w:rPr>
          <w:color w:val="auto"/>
          <w:highlight w:val="none"/>
        </w:rPr>
      </w:pPr>
      <w:r>
        <w:rPr>
          <w:rFonts w:ascii="Times New Roman Bold" w:hAnsi="Times New Roman Bold" w:cs="Times New Roman Bold"/>
          <w:b/>
          <w:bCs/>
          <w:color w:val="auto"/>
          <w:highlight w:val="none"/>
        </w:rPr>
        <w:t xml:space="preserve">Supplementary Fig. 3. </w:t>
      </w:r>
      <w:r>
        <w:rPr>
          <w:rFonts w:ascii="Times New Roman" w:hAnsi="Times New Roman" w:cs="Times New Roman"/>
          <w:color w:val="auto"/>
          <w:highlight w:val="none"/>
        </w:rPr>
        <w:t xml:space="preserve">The forest plot for associations between pairs of cardiovascular diseases in bidirectional MR analysis ............................................................................................................ </w:t>
      </w:r>
      <w:r>
        <w:rPr>
          <w:rFonts w:hint="default" w:ascii="Times New Roman" w:hAnsi="Times New Roman" w:cs="Times New Roman"/>
          <w:color w:val="auto"/>
          <w:highlight w:val="none"/>
          <w:lang w:val="en-US"/>
        </w:rPr>
        <w:t>6</w:t>
      </w:r>
    </w:p>
    <w:p w14:paraId="7122F57C">
      <w:pPr>
        <w:spacing w:line="360" w:lineRule="auto"/>
        <w:rPr>
          <w:rFonts w:ascii="Times New Roman" w:hAnsi="Times New Roman" w:cs="Times New Roman"/>
          <w:bCs/>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4</w:t>
      </w:r>
      <w:r>
        <w:rPr>
          <w:rFonts w:ascii="Times New Roman Bold" w:hAnsi="Times New Roman Bold" w:cs="Times New Roman Bold"/>
          <w:b/>
          <w:color w:val="auto"/>
          <w:highlight w:val="none"/>
        </w:rPr>
        <w:t xml:space="preserve">. </w:t>
      </w:r>
      <w:r>
        <w:rPr>
          <w:rFonts w:ascii="Times New Roman" w:hAnsi="Times New Roman" w:cs="Times New Roman"/>
          <w:bCs/>
          <w:color w:val="auto"/>
          <w:highlight w:val="none"/>
        </w:rPr>
        <w:t xml:space="preserve">Manhattan plots for the single-trait GWAS and MTAG results of each of the six cardiovascular diseases </w:t>
      </w:r>
      <w:r>
        <w:rPr>
          <w:rFonts w:ascii="Times New Roman" w:hAnsi="Times New Roman" w:cs="Times New Roman"/>
          <w:color w:val="auto"/>
          <w:highlight w:val="none"/>
        </w:rPr>
        <w:t xml:space="preserve">......................................................................................................... </w:t>
      </w:r>
      <w:r>
        <w:rPr>
          <w:rFonts w:hint="default" w:ascii="Times New Roman" w:hAnsi="Times New Roman" w:cs="Times New Roman"/>
          <w:color w:val="auto"/>
          <w:highlight w:val="none"/>
          <w:lang w:val="en-US"/>
        </w:rPr>
        <w:t>7</w:t>
      </w:r>
    </w:p>
    <w:p w14:paraId="7129AFCA">
      <w:pPr>
        <w:spacing w:line="360" w:lineRule="auto"/>
        <w:rPr>
          <w:rFonts w:hint="default" w:ascii="Times New Roman Bold" w:hAnsi="Times New Roman Bold" w:cs="Times New Roman Bold"/>
          <w:b/>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5</w:t>
      </w:r>
      <w:r>
        <w:rPr>
          <w:rFonts w:ascii="Times New Roman Bold" w:hAnsi="Times New Roman Bold" w:cs="Times New Roman Bold"/>
          <w:b/>
          <w:color w:val="auto"/>
          <w:highlight w:val="none"/>
        </w:rPr>
        <w:t xml:space="preserve">. </w:t>
      </w:r>
      <w:r>
        <w:rPr>
          <w:rFonts w:ascii="Times New Roman" w:hAnsi="Times New Roman" w:cs="Times New Roman"/>
          <w:bCs/>
          <w:color w:val="auto"/>
          <w:highlight w:val="none"/>
        </w:rPr>
        <w:t>Quantile-quantile (Q-Q) plots for the single-trait GWAS results of each of the six cardiovascular diseases</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 1</w:t>
      </w:r>
      <w:r>
        <w:rPr>
          <w:rFonts w:hint="default" w:ascii="Times New Roman" w:hAnsi="Times New Roman" w:cs="Times New Roman"/>
          <w:color w:val="auto"/>
          <w:highlight w:val="none"/>
          <w:lang w:val="en-US"/>
        </w:rPr>
        <w:t>0</w:t>
      </w:r>
    </w:p>
    <w:p w14:paraId="2720413A">
      <w:pPr>
        <w:spacing w:line="360" w:lineRule="auto"/>
        <w:rPr>
          <w:rFonts w:hint="default" w:ascii="Times New Roman Bold" w:hAnsi="Times New Roman Bold" w:cs="Times New Roman Bold"/>
          <w:b/>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6</w:t>
      </w:r>
      <w:r>
        <w:rPr>
          <w:rFonts w:ascii="Times New Roman Bold" w:hAnsi="Times New Roman Bold" w:cs="Times New Roman Bold"/>
          <w:b/>
          <w:color w:val="auto"/>
          <w:highlight w:val="none"/>
        </w:rPr>
        <w:t xml:space="preserve">. </w:t>
      </w:r>
      <w:r>
        <w:rPr>
          <w:rFonts w:ascii="Times New Roman" w:hAnsi="Times New Roman" w:cs="Times New Roman"/>
          <w:bCs/>
          <w:color w:val="auto"/>
          <w:highlight w:val="none"/>
        </w:rPr>
        <w:t>Manhattan plots for the CPASSOC results of the six cardiovascular diseases ........................................................................................................................................... 1</w:t>
      </w:r>
      <w:r>
        <w:rPr>
          <w:rFonts w:hint="default" w:ascii="Times New Roman" w:hAnsi="Times New Roman" w:cs="Times New Roman"/>
          <w:bCs/>
          <w:color w:val="auto"/>
          <w:highlight w:val="none"/>
          <w:lang w:val="en-US"/>
        </w:rPr>
        <w:t>3</w:t>
      </w:r>
    </w:p>
    <w:p w14:paraId="74CF3714">
      <w:pPr>
        <w:spacing w:line="360" w:lineRule="auto"/>
        <w:rPr>
          <w:rFonts w:hint="default" w:ascii="Times New Roman Bold" w:hAnsi="Times New Roman Bold" w:cs="Times New Roman Bold"/>
          <w:b/>
          <w:bCs/>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7</w:t>
      </w:r>
      <w:r>
        <w:rPr>
          <w:rFonts w:ascii="Times New Roman Bold" w:hAnsi="Times New Roman Bold" w:cs="Times New Roman Bold"/>
          <w:b/>
          <w:bCs/>
          <w:color w:val="auto"/>
          <w:highlight w:val="none"/>
        </w:rPr>
        <w:t>.</w:t>
      </w:r>
      <w:r>
        <w:rPr>
          <w:rFonts w:ascii="Arial Bold" w:hAnsi="Arial Bold" w:cs="Arial Bold"/>
          <w:b/>
          <w:bCs/>
          <w:color w:val="auto"/>
          <w:highlight w:val="none"/>
        </w:rPr>
        <w:t xml:space="preserve"> </w:t>
      </w:r>
      <w:r>
        <w:rPr>
          <w:rFonts w:ascii="Times New Roman" w:hAnsi="Times New Roman" w:cs="Times New Roman"/>
          <w:color w:val="auto"/>
          <w:highlight w:val="none"/>
        </w:rPr>
        <w:t>Profile of cardiovascular disease associations for the other 1</w:t>
      </w:r>
      <w:r>
        <w:rPr>
          <w:rFonts w:hint="default" w:ascii="Times New Roman" w:hAnsi="Times New Roman" w:cs="Times New Roman"/>
          <w:color w:val="auto"/>
          <w:highlight w:val="none"/>
        </w:rPr>
        <w:t>0</w:t>
      </w:r>
      <w:r>
        <w:rPr>
          <w:rFonts w:ascii="Times New Roman" w:hAnsi="Times New Roman" w:cs="Times New Roman"/>
          <w:color w:val="auto"/>
          <w:highlight w:val="none"/>
        </w:rPr>
        <w:t xml:space="preserve"> pleiotropic loci </w:t>
      </w:r>
      <w:r>
        <w:rPr>
          <w:rFonts w:ascii="Times New Roman" w:hAnsi="Times New Roman" w:cs="Times New Roman"/>
          <w:bCs/>
          <w:color w:val="auto"/>
          <w:highlight w:val="none"/>
        </w:rPr>
        <w:t xml:space="preserve">.................................................................................................................................................. </w:t>
      </w:r>
      <w:r>
        <w:rPr>
          <w:rFonts w:hint="default" w:ascii="Times New Roman" w:hAnsi="Times New Roman" w:cs="Times New Roman"/>
          <w:bCs/>
          <w:color w:val="auto"/>
          <w:highlight w:val="none"/>
        </w:rPr>
        <w:t>1</w:t>
      </w:r>
      <w:r>
        <w:rPr>
          <w:rFonts w:hint="default" w:ascii="Times New Roman" w:hAnsi="Times New Roman" w:cs="Times New Roman"/>
          <w:bCs/>
          <w:color w:val="auto"/>
          <w:highlight w:val="none"/>
          <w:lang w:val="en-US"/>
        </w:rPr>
        <w:t>4</w:t>
      </w:r>
    </w:p>
    <w:p w14:paraId="562E3D37">
      <w:pPr>
        <w:spacing w:line="360" w:lineRule="auto"/>
        <w:rPr>
          <w:rFonts w:hint="default" w:ascii="Times New Roman" w:hAnsi="Times New Roman" w:cs="Times New Roman"/>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8</w:t>
      </w:r>
      <w:r>
        <w:rPr>
          <w:rFonts w:ascii="Times New Roman Bold" w:hAnsi="Times New Roman Bold" w:cs="Times New Roman Bold"/>
          <w:b/>
          <w:color w:val="auto"/>
          <w:highlight w:val="none"/>
        </w:rPr>
        <w:t>.</w:t>
      </w:r>
      <w:r>
        <w:rPr>
          <w:color w:val="auto"/>
          <w:highlight w:val="none"/>
        </w:rPr>
        <w:t xml:space="preserve"> </w:t>
      </w:r>
      <w:r>
        <w:rPr>
          <w:rFonts w:ascii="Times New Roman" w:hAnsi="Times New Roman" w:cs="Times New Roman"/>
          <w:color w:val="auto"/>
          <w:highlight w:val="none"/>
        </w:rPr>
        <w:t>Eleven pleiotropic loci with the same directional effects ...............</w:t>
      </w:r>
      <w:r>
        <w:rPr>
          <w:rFonts w:hint="default" w:ascii="Times New Roman" w:hAnsi="Times New Roman" w:cs="Times New Roman"/>
          <w:color w:val="auto"/>
          <w:highlight w:val="none"/>
        </w:rPr>
        <w:t>.</w:t>
      </w:r>
      <w:r>
        <w:rPr>
          <w:rFonts w:ascii="Times New Roman" w:hAnsi="Times New Roman" w:cs="Times New Roman"/>
          <w:color w:val="auto"/>
          <w:highlight w:val="none"/>
        </w:rPr>
        <w:t xml:space="preserve">....... </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rPr>
        <w:t>7</w:t>
      </w:r>
    </w:p>
    <w:p w14:paraId="64EA75CC">
      <w:pPr>
        <w:spacing w:line="360" w:lineRule="auto"/>
        <w:rPr>
          <w:rFonts w:hint="default" w:ascii="Times New Roman Bold" w:hAnsi="Times New Roman Bold" w:cs="Times New Roman Bold"/>
          <w:b/>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9</w:t>
      </w:r>
      <w:r>
        <w:rPr>
          <w:rFonts w:ascii="Times New Roman Bold" w:hAnsi="Times New Roman Bold" w:cs="Times New Roman Bold"/>
          <w:b/>
          <w:bCs/>
          <w:color w:val="auto"/>
          <w:highlight w:val="none"/>
        </w:rPr>
        <w:t>.</w:t>
      </w:r>
      <w:r>
        <w:rPr>
          <w:b/>
          <w:bCs/>
          <w:color w:val="auto"/>
          <w:highlight w:val="none"/>
        </w:rPr>
        <w:t xml:space="preserve"> </w:t>
      </w:r>
      <w:r>
        <w:rPr>
          <w:rFonts w:ascii="Times New Roman" w:hAnsi="Times New Roman" w:cs="Times New Roman"/>
          <w:color w:val="auto"/>
          <w:highlight w:val="none"/>
        </w:rPr>
        <w:t xml:space="preserve">The results of multiple-tissue analysis using gene expression data for six cardiovascular diseases </w:t>
      </w:r>
      <w:r>
        <w:rPr>
          <w:rFonts w:ascii="Times New Roman" w:hAnsi="Times New Roman" w:cs="Times New Roman"/>
          <w:bCs/>
          <w:color w:val="auto"/>
          <w:highlight w:val="none"/>
        </w:rPr>
        <w:t xml:space="preserve">.................................................................................................................. </w:t>
      </w:r>
      <w:r>
        <w:rPr>
          <w:rFonts w:hint="default" w:ascii="Times New Roman" w:hAnsi="Times New Roman" w:cs="Times New Roman"/>
          <w:bCs/>
          <w:color w:val="auto"/>
          <w:highlight w:val="none"/>
          <w:lang w:val="en-US"/>
        </w:rPr>
        <w:t>19</w:t>
      </w:r>
    </w:p>
    <w:p w14:paraId="66E22E8B">
      <w:pPr>
        <w:spacing w:line="360" w:lineRule="auto"/>
        <w:rPr>
          <w:rFonts w:hint="default" w:ascii="Times New Roman Regular" w:hAnsi="Times New Roman Regular" w:cs="Times New Roman Regular"/>
          <w:color w:val="auto"/>
          <w:highlight w:val="none"/>
        </w:rPr>
      </w:pPr>
      <w:r>
        <w:rPr>
          <w:rFonts w:ascii="Times New Roman Bold" w:hAnsi="Times New Roman Bold" w:cs="Times New Roman Bold"/>
          <w:b/>
          <w:bCs/>
          <w:color w:val="auto"/>
          <w:highlight w:val="none"/>
        </w:rPr>
        <w:t>Supplementary Fig. 1</w:t>
      </w:r>
      <w:r>
        <w:rPr>
          <w:rFonts w:hint="eastAsia" w:ascii="Times New Roman Bold" w:hAnsi="Times New Roman Bold" w:cs="Times New Roman Bold"/>
          <w:b/>
          <w:bCs/>
          <w:color w:val="auto"/>
          <w:highlight w:val="none"/>
          <w:lang w:val="en-US" w:eastAsia="zh-CN"/>
        </w:rPr>
        <w:t>0</w:t>
      </w:r>
      <w:r>
        <w:rPr>
          <w:rFonts w:ascii="Times New Roman Bold" w:hAnsi="Times New Roman Bold" w:cs="Times New Roman Bold"/>
          <w:b/>
          <w:bCs/>
          <w:color w:val="auto"/>
          <w:highlight w:val="none"/>
        </w:rPr>
        <w:t xml:space="preserve">. </w:t>
      </w:r>
      <w:r>
        <w:rPr>
          <w:rFonts w:ascii="Times New Roman" w:hAnsi="Times New Roman" w:cs="Times New Roman"/>
          <w:color w:val="auto"/>
          <w:highlight w:val="none"/>
        </w:rPr>
        <w:t xml:space="preserve">The results of multiple-tissue analysis using chromatin data for six cardiovascular diseases </w:t>
      </w:r>
      <w:r>
        <w:rPr>
          <w:rFonts w:ascii="Times New Roman" w:hAnsi="Times New Roman" w:cs="Times New Roman"/>
          <w:bCs/>
          <w:color w:val="auto"/>
          <w:highlight w:val="none"/>
        </w:rPr>
        <w:t>.................................................................................................................. 2</w:t>
      </w:r>
      <w:r>
        <w:rPr>
          <w:rFonts w:hint="default" w:ascii="Times New Roman" w:hAnsi="Times New Roman" w:cs="Times New Roman"/>
          <w:bCs/>
          <w:color w:val="auto"/>
          <w:highlight w:val="none"/>
          <w:lang w:val="en-US"/>
        </w:rPr>
        <w:t>1</w:t>
      </w:r>
    </w:p>
    <w:p w14:paraId="141371AD">
      <w:pPr>
        <w:spacing w:line="360" w:lineRule="auto"/>
        <w:rPr>
          <w:rFonts w:hint="default" w:ascii="Times New Roman" w:hAnsi="Times New Roman" w:cs="Times New Roman"/>
          <w:bCs/>
          <w:color w:val="auto"/>
          <w:highlight w:val="none"/>
          <w:lang w:val="en-US"/>
        </w:rPr>
      </w:pPr>
      <w:r>
        <w:rPr>
          <w:rFonts w:ascii="Times New Roman Bold" w:hAnsi="Times New Roman Bold" w:cs="Times New Roman Bold"/>
          <w:b/>
          <w:bCs/>
          <w:color w:val="auto"/>
          <w:highlight w:val="none"/>
        </w:rPr>
        <w:t>Supplementary Fig. 1</w:t>
      </w:r>
      <w:r>
        <w:rPr>
          <w:rFonts w:hint="eastAsia" w:ascii="Times New Roman Bold" w:hAnsi="Times New Roman Bold" w:cs="Times New Roman Bold"/>
          <w:b/>
          <w:bCs/>
          <w:color w:val="auto"/>
          <w:highlight w:val="none"/>
          <w:lang w:val="en-US" w:eastAsia="zh-CN"/>
        </w:rPr>
        <w:t>1</w:t>
      </w:r>
      <w:r>
        <w:rPr>
          <w:rFonts w:ascii="Times New Roman Bold" w:hAnsi="Times New Roman Bold" w:cs="Times New Roman Bold"/>
          <w:b/>
          <w:bCs/>
          <w:color w:val="auto"/>
          <w:highlight w:val="none"/>
        </w:rPr>
        <w:t xml:space="preserve">. </w:t>
      </w:r>
      <w:r>
        <w:rPr>
          <w:rFonts w:ascii="Times New Roman" w:hAnsi="Times New Roman" w:cs="Times New Roman"/>
          <w:color w:val="auto"/>
          <w:highlight w:val="none"/>
        </w:rPr>
        <w:t>The result of GARFIELD enrichment for MTAG_AF</w:t>
      </w:r>
      <w:r>
        <w:rPr>
          <w:rFonts w:hint="default" w:ascii="Times New Roman" w:hAnsi="Times New Roman" w:cs="Times New Roman"/>
          <w:b w:val="0"/>
          <w:bCs w:val="0"/>
          <w:color w:val="auto"/>
          <w:highlight w:val="none"/>
        </w:rPr>
        <w:t>_EUR</w:t>
      </w:r>
      <w:r>
        <w:rPr>
          <w:rFonts w:ascii="Times New Roman" w:hAnsi="Times New Roman" w:cs="Times New Roman"/>
          <w:color w:val="auto"/>
          <w:highlight w:val="none"/>
        </w:rPr>
        <w:t>, MTAG_CAD</w:t>
      </w:r>
      <w:r>
        <w:rPr>
          <w:rFonts w:hint="default" w:ascii="Times New Roman" w:hAnsi="Times New Roman" w:cs="Times New Roman"/>
          <w:b w:val="0"/>
          <w:bCs w:val="0"/>
          <w:color w:val="auto"/>
          <w:highlight w:val="none"/>
        </w:rPr>
        <w:t>_EUR</w:t>
      </w:r>
      <w:r>
        <w:rPr>
          <w:rFonts w:ascii="Times New Roman" w:hAnsi="Times New Roman" w:cs="Times New Roman"/>
          <w:color w:val="auto"/>
          <w:highlight w:val="none"/>
        </w:rPr>
        <w:t>, and MTAG_VTE</w:t>
      </w:r>
      <w:r>
        <w:rPr>
          <w:rFonts w:hint="default" w:ascii="Times New Roman" w:hAnsi="Times New Roman" w:cs="Times New Roman"/>
          <w:b w:val="0"/>
          <w:bCs w:val="0"/>
          <w:color w:val="auto"/>
          <w:highlight w:val="none"/>
        </w:rPr>
        <w:t>_EUR</w:t>
      </w:r>
      <w:r>
        <w:rPr>
          <w:rFonts w:ascii="Times New Roman" w:hAnsi="Times New Roman" w:cs="Times New Roman"/>
          <w:color w:val="auto"/>
          <w:highlight w:val="none"/>
        </w:rPr>
        <w:t xml:space="preserve"> in the genic regions: DHS (hotspots) regions, chromatin states, and histone-modified regions of different tissues </w:t>
      </w:r>
      <w:r>
        <w:rPr>
          <w:rFonts w:ascii="Times New Roman" w:hAnsi="Times New Roman" w:cs="Times New Roman"/>
          <w:bCs/>
          <w:color w:val="auto"/>
          <w:highlight w:val="none"/>
        </w:rPr>
        <w:t>................</w:t>
      </w:r>
      <w:r>
        <w:rPr>
          <w:rFonts w:hint="default" w:ascii="Times New Roman" w:hAnsi="Times New Roman" w:cs="Times New Roman"/>
          <w:bCs/>
          <w:color w:val="auto"/>
          <w:highlight w:val="none"/>
        </w:rPr>
        <w:t>.......................</w:t>
      </w:r>
      <w:r>
        <w:rPr>
          <w:rFonts w:ascii="Times New Roman" w:hAnsi="Times New Roman" w:cs="Times New Roman"/>
          <w:bCs/>
          <w:color w:val="auto"/>
          <w:highlight w:val="none"/>
        </w:rPr>
        <w:t xml:space="preserve">....... </w:t>
      </w:r>
      <w:r>
        <w:rPr>
          <w:rFonts w:hint="default" w:ascii="Times New Roman" w:hAnsi="Times New Roman" w:cs="Times New Roman"/>
          <w:bCs/>
          <w:color w:val="auto"/>
          <w:highlight w:val="none"/>
        </w:rPr>
        <w:t>2</w:t>
      </w:r>
      <w:r>
        <w:rPr>
          <w:rFonts w:hint="default" w:ascii="Times New Roman" w:hAnsi="Times New Roman" w:cs="Times New Roman"/>
          <w:bCs/>
          <w:color w:val="auto"/>
          <w:highlight w:val="none"/>
          <w:lang w:val="en-US"/>
        </w:rPr>
        <w:t>4</w:t>
      </w:r>
    </w:p>
    <w:p w14:paraId="40733818">
      <w:pPr>
        <w:spacing w:line="360" w:lineRule="auto"/>
        <w:rPr>
          <w:rFonts w:hint="eastAsia" w:ascii="Times New Roman" w:hAnsi="Times New Roman" w:cs="Times New Roman" w:eastAsiaTheme="minorEastAsia"/>
          <w:bCs/>
          <w:color w:val="auto"/>
          <w:highlight w:val="none"/>
          <w:lang w:val="en-US" w:eastAsia="zh-CN"/>
        </w:rPr>
      </w:pPr>
      <w:r>
        <w:rPr>
          <w:rFonts w:hint="default" w:ascii="Times New Roman" w:hAnsi="Times New Roman" w:cs="Times New Roman"/>
          <w:bCs/>
          <w:color w:val="auto"/>
          <w:highlight w:val="none"/>
          <w:lang w:val="en-US"/>
        </w:rPr>
        <w:t>Supplementary Fig. 12</w:t>
      </w:r>
      <w:r>
        <w:rPr>
          <w:rFonts w:hint="eastAsia" w:ascii="Times New Roman" w:hAnsi="Times New Roman" w:cs="Times New Roman"/>
          <w:bCs/>
          <w:color w:val="auto"/>
          <w:highlight w:val="none"/>
          <w:lang w:val="en-US" w:eastAsia="zh-CN"/>
        </w:rPr>
        <w:t>.</w:t>
      </w:r>
      <w:r>
        <w:rPr>
          <w:rFonts w:hint="default" w:ascii="Times New Roman" w:hAnsi="Times New Roman" w:cs="Times New Roman"/>
          <w:bCs/>
          <w:color w:val="auto"/>
          <w:highlight w:val="none"/>
          <w:lang w:val="en-US"/>
        </w:rPr>
        <w:t xml:space="preserve"> Proteome-wide MR and Colocalization analysis of the six cardiovascular diseases</w:t>
      </w:r>
      <w:r>
        <w:rPr>
          <w:rFonts w:ascii="Times New Roman" w:hAnsi="Times New Roman" w:cs="Times New Roman"/>
          <w:color w:val="auto"/>
          <w:highlight w:val="none"/>
        </w:rPr>
        <w:t xml:space="preserve"> </w:t>
      </w:r>
      <w:r>
        <w:rPr>
          <w:rFonts w:ascii="Times New Roman" w:hAnsi="Times New Roman" w:cs="Times New Roman"/>
          <w:bCs/>
          <w:color w:val="auto"/>
          <w:highlight w:val="none"/>
        </w:rPr>
        <w:t>.............</w:t>
      </w:r>
      <w:r>
        <w:rPr>
          <w:rFonts w:hint="eastAsia" w:ascii="Times New Roman" w:hAnsi="Times New Roman" w:cs="Times New Roman"/>
          <w:bCs/>
          <w:color w:val="auto"/>
          <w:highlight w:val="none"/>
          <w:lang w:val="en-US" w:eastAsia="zh-CN"/>
        </w:rPr>
        <w:t>.............................................................................................</w:t>
      </w:r>
      <w:r>
        <w:rPr>
          <w:rFonts w:ascii="Times New Roman" w:hAnsi="Times New Roman" w:cs="Times New Roman"/>
          <w:bCs/>
          <w:color w:val="auto"/>
          <w:highlight w:val="none"/>
        </w:rPr>
        <w:t>...</w:t>
      </w:r>
      <w:r>
        <w:rPr>
          <w:rFonts w:hint="default" w:ascii="Times New Roman" w:hAnsi="Times New Roman" w:cs="Times New Roman"/>
          <w:bCs/>
          <w:color w:val="auto"/>
          <w:highlight w:val="none"/>
        </w:rPr>
        <w:t>.......................</w:t>
      </w:r>
      <w:r>
        <w:rPr>
          <w:rFonts w:ascii="Times New Roman" w:hAnsi="Times New Roman" w:cs="Times New Roman"/>
          <w:bCs/>
          <w:color w:val="auto"/>
          <w:highlight w:val="none"/>
        </w:rPr>
        <w:t xml:space="preserve">....... </w:t>
      </w:r>
      <w:r>
        <w:rPr>
          <w:rFonts w:hint="default" w:ascii="Times New Roman" w:hAnsi="Times New Roman" w:cs="Times New Roman"/>
          <w:bCs/>
          <w:color w:val="auto"/>
          <w:highlight w:val="none"/>
        </w:rPr>
        <w:t>2</w:t>
      </w:r>
      <w:r>
        <w:rPr>
          <w:rFonts w:hint="eastAsia" w:ascii="Times New Roman" w:hAnsi="Times New Roman" w:cs="Times New Roman"/>
          <w:bCs/>
          <w:color w:val="auto"/>
          <w:highlight w:val="none"/>
          <w:lang w:val="en-US" w:eastAsia="zh-CN"/>
        </w:rPr>
        <w:t>7</w:t>
      </w:r>
    </w:p>
    <w:p w14:paraId="5694DB10">
      <w:pPr>
        <w:spacing w:line="360" w:lineRule="auto"/>
        <w:jc w:val="left"/>
        <w:rPr>
          <w:rFonts w:hint="eastAsia" w:ascii="Times New Roman" w:hAnsi="Times New Roman" w:cs="Times New Roman" w:eastAsiaTheme="minorEastAsia"/>
          <w:color w:val="auto"/>
          <w:highlight w:val="none"/>
          <w:lang w:eastAsia="zh-CN"/>
        </w:rPr>
      </w:pPr>
      <w:r>
        <w:rPr>
          <w:rFonts w:ascii="Times New Roman Bold" w:hAnsi="Times New Roman Bold" w:cs="Times New Roman Bold"/>
          <w:b/>
          <w:bCs/>
          <w:color w:val="auto"/>
          <w:highlight w:val="none"/>
        </w:rPr>
        <w:t>Supplementary Note 1.</w:t>
      </w:r>
      <w:r>
        <w:rPr>
          <w:rFonts w:ascii="Times New Roman" w:hAnsi="Times New Roman" w:cs="Times New Roman"/>
          <w:color w:val="auto"/>
          <w:highlight w:val="none"/>
        </w:rPr>
        <w:t xml:space="preserve"> Additional information on cardiovascular diseases </w:t>
      </w:r>
      <w:r>
        <w:rPr>
          <w:rFonts w:hint="eastAsia" w:ascii="Times New Roman" w:hAnsi="Times New Roman" w:cs="Times New Roman"/>
          <w:color w:val="auto"/>
          <w:highlight w:val="none"/>
        </w:rPr>
        <w:t>for</w:t>
      </w:r>
      <w:r>
        <w:rPr>
          <w:rFonts w:hint="eastAsia"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rPr>
        <w:t>European populations</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 xml:space="preserve">...... </w:t>
      </w:r>
      <w:r>
        <w:rPr>
          <w:rFonts w:hint="default" w:ascii="Times New Roman" w:hAnsi="Times New Roman" w:cs="Times New Roman"/>
          <w:color w:val="auto"/>
          <w:highlight w:val="none"/>
        </w:rPr>
        <w:t>2</w:t>
      </w:r>
      <w:r>
        <w:rPr>
          <w:rFonts w:hint="eastAsia" w:ascii="Times New Roman" w:hAnsi="Times New Roman" w:cs="Times New Roman"/>
          <w:color w:val="auto"/>
          <w:highlight w:val="none"/>
          <w:lang w:val="en-US" w:eastAsia="zh-CN"/>
        </w:rPr>
        <w:t>8</w:t>
      </w:r>
    </w:p>
    <w:p w14:paraId="5367DFEC">
      <w:pPr>
        <w:spacing w:line="360" w:lineRule="auto"/>
        <w:rPr>
          <w:rFonts w:hint="eastAsia" w:ascii="Times New Roman" w:hAnsi="Times New Roman" w:cs="Times New Roman" w:eastAsiaTheme="minorEastAsia"/>
          <w:color w:val="auto"/>
          <w:highlight w:val="none"/>
          <w:lang w:val="en-US" w:eastAsia="zh-CN"/>
        </w:rPr>
      </w:pPr>
      <w:r>
        <w:rPr>
          <w:rFonts w:ascii="Times New Roman Bold" w:hAnsi="Times New Roman Bold" w:cs="Times New Roman Bold"/>
          <w:b/>
          <w:bCs/>
          <w:color w:val="auto"/>
          <w:szCs w:val="21"/>
          <w:highlight w:val="none"/>
        </w:rPr>
        <w:t xml:space="preserve">Supplementary Note </w:t>
      </w:r>
      <w:r>
        <w:rPr>
          <w:rFonts w:hint="eastAsia" w:ascii="Times New Roman Bold" w:hAnsi="Times New Roman Bold" w:cs="Times New Roman Bold"/>
          <w:b/>
          <w:bCs/>
          <w:color w:val="auto"/>
          <w:szCs w:val="21"/>
          <w:highlight w:val="none"/>
          <w:lang w:val="en-US" w:eastAsia="zh-CN"/>
        </w:rPr>
        <w:t xml:space="preserve">2. </w:t>
      </w:r>
      <w:r>
        <w:rPr>
          <w:rFonts w:hint="default" w:ascii="Times New Roman" w:hAnsi="Times New Roman" w:cs="Times New Roman"/>
          <w:b w:val="0"/>
          <w:bCs w:val="0"/>
          <w:color w:val="auto"/>
          <w:szCs w:val="21"/>
          <w:highlight w:val="none"/>
        </w:rPr>
        <w:t xml:space="preserve">Additional information on </w:t>
      </w:r>
      <w:r>
        <w:rPr>
          <w:rFonts w:hint="default" w:ascii="Times New Roman" w:hAnsi="Times New Roman" w:cs="Times New Roman"/>
          <w:b w:val="0"/>
          <w:bCs w:val="0"/>
          <w:color w:val="auto"/>
          <w:szCs w:val="21"/>
          <w:highlight w:val="none"/>
          <w:lang w:eastAsia="zh-Hans"/>
        </w:rPr>
        <w:t>negatively correlated loci</w:t>
      </w:r>
      <w:r>
        <w:rPr>
          <w:rFonts w:hint="default" w:ascii="Times New Roman" w:hAnsi="Times New Roman" w:cs="Times New Roman"/>
          <w:b w:val="0"/>
          <w:bCs w:val="0"/>
          <w:color w:val="auto"/>
          <w:szCs w:val="21"/>
          <w:highlight w:val="none"/>
          <w:lang w:val="en-US" w:eastAsia="zh-CN"/>
        </w:rPr>
        <w:t xml:space="preserve"> identified by LAVA</w:t>
      </w:r>
      <w:r>
        <w:rPr>
          <w:rFonts w:hint="default" w:ascii="Times New Roman Bold" w:hAnsi="Times New Roman Bold" w:cs="Times New Roman Bold"/>
          <w:b/>
          <w:bCs/>
          <w:color w:val="auto"/>
          <w:szCs w:val="21"/>
          <w:highlight w:val="none"/>
          <w:lang w:val="en-US" w:eastAsia="zh-CN"/>
        </w:rPr>
        <w:t xml:space="preserve"> </w:t>
      </w:r>
      <w:r>
        <w:rPr>
          <w:rFonts w:ascii="Times New Roman" w:hAnsi="Times New Roman" w:cs="Times New Roman"/>
          <w:color w:val="auto"/>
          <w:highlight w:val="none"/>
        </w:rPr>
        <w:t>...</w:t>
      </w:r>
      <w:r>
        <w:rPr>
          <w:rFonts w:hint="default" w:ascii="Times New Roman" w:hAnsi="Times New Roman" w:cs="Times New Roman"/>
          <w:color w:val="auto"/>
          <w:highlight w:val="none"/>
          <w:lang w:val="en-US"/>
        </w:rPr>
        <w:t>...................................................................................................................</w:t>
      </w:r>
      <w:r>
        <w:rPr>
          <w:rFonts w:ascii="Times New Roman" w:hAnsi="Times New Roman" w:cs="Times New Roman"/>
          <w:color w:val="auto"/>
          <w:highlight w:val="none"/>
        </w:rPr>
        <w:t>...................... 3</w:t>
      </w:r>
      <w:r>
        <w:rPr>
          <w:rFonts w:hint="eastAsia" w:ascii="Times New Roman" w:hAnsi="Times New Roman" w:cs="Times New Roman"/>
          <w:color w:val="auto"/>
          <w:highlight w:val="none"/>
          <w:lang w:val="en-US" w:eastAsia="zh-CN"/>
        </w:rPr>
        <w:t>1</w:t>
      </w:r>
    </w:p>
    <w:p w14:paraId="4CE3413D">
      <w:pPr>
        <w:spacing w:line="360" w:lineRule="auto"/>
        <w:rPr>
          <w:rFonts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t xml:space="preserve">Supplementary Note </w:t>
      </w:r>
      <w:r>
        <w:rPr>
          <w:rFonts w:hint="default" w:ascii="Times New Roman Bold" w:hAnsi="Times New Roman Bold" w:cs="Times New Roman Bold"/>
          <w:b/>
          <w:bCs/>
          <w:color w:val="auto"/>
          <w:szCs w:val="21"/>
          <w:highlight w:val="none"/>
          <w:lang w:val="en-US" w:eastAsia="zh-CN"/>
        </w:rPr>
        <w:t>3</w:t>
      </w:r>
      <w:r>
        <w:rPr>
          <w:rFonts w:hint="eastAsia" w:ascii="Times New Roman Bold" w:hAnsi="Times New Roman Bold" w:cs="Times New Roman Bold"/>
          <w:b/>
          <w:bCs/>
          <w:color w:val="auto"/>
          <w:szCs w:val="21"/>
          <w:highlight w:val="none"/>
          <w:lang w:val="en-US" w:eastAsia="zh-CN"/>
        </w:rPr>
        <w:t xml:space="preserve">: </w:t>
      </w:r>
      <w:r>
        <w:rPr>
          <w:rFonts w:hint="default" w:ascii="Times New Roman" w:hAnsi="Times New Roman" w:cs="Times New Roman"/>
          <w:b w:val="0"/>
          <w:bCs w:val="0"/>
          <w:color w:val="auto"/>
          <w:szCs w:val="21"/>
          <w:highlight w:val="none"/>
        </w:rPr>
        <w:t xml:space="preserve">Additional information on </w:t>
      </w:r>
      <w:r>
        <w:rPr>
          <w:rFonts w:hint="default" w:ascii="Times New Roman" w:hAnsi="Times New Roman" w:cs="Times New Roman"/>
          <w:b w:val="0"/>
          <w:bCs w:val="0"/>
          <w:color w:val="auto"/>
          <w:szCs w:val="21"/>
          <w:highlight w:val="none"/>
          <w:lang w:val="en-US" w:eastAsia="zh-CN"/>
        </w:rPr>
        <w:t>s</w:t>
      </w:r>
      <w:r>
        <w:rPr>
          <w:rFonts w:hint="default" w:ascii="Times New Roman" w:hAnsi="Times New Roman" w:cs="Times New Roman"/>
          <w:b w:val="0"/>
          <w:bCs w:val="0"/>
          <w:color w:val="auto"/>
          <w:szCs w:val="21"/>
          <w:highlight w:val="none"/>
        </w:rPr>
        <w:t xml:space="preserve">hared genetic </w:t>
      </w:r>
      <w:r>
        <w:rPr>
          <w:rFonts w:hint="default" w:ascii="Times New Roman" w:hAnsi="Times New Roman" w:cs="Times New Roman"/>
          <w:b w:val="0"/>
          <w:bCs w:val="0"/>
          <w:color w:val="auto"/>
          <w:szCs w:val="21"/>
          <w:highlight w:val="none"/>
          <w:lang w:val="en-US" w:eastAsia="zh-CN"/>
        </w:rPr>
        <w:t>a</w:t>
      </w:r>
      <w:r>
        <w:rPr>
          <w:rFonts w:hint="default" w:ascii="Times New Roman" w:hAnsi="Times New Roman" w:cs="Times New Roman"/>
          <w:b w:val="0"/>
          <w:bCs w:val="0"/>
          <w:color w:val="auto"/>
          <w:szCs w:val="21"/>
          <w:highlight w:val="none"/>
        </w:rPr>
        <w:t>rchitecture</w:t>
      </w:r>
      <w:r>
        <w:rPr>
          <w:rFonts w:hint="default" w:ascii="Times New Roman" w:hAnsi="Times New Roman" w:cs="Times New Roman"/>
          <w:b w:val="0"/>
          <w:bCs w:val="0"/>
          <w:color w:val="auto"/>
          <w:szCs w:val="21"/>
          <w:highlight w:val="none"/>
          <w:lang w:val="en-US" w:eastAsia="zh-CN"/>
        </w:rPr>
        <w:t xml:space="preserve"> between HF and PAD</w:t>
      </w:r>
      <w:r>
        <w:rPr>
          <w:rFonts w:ascii="Times New Roman Bold" w:hAnsi="Times New Roman Bold" w:cs="Times New Roman Bold"/>
          <w:b/>
          <w:bCs/>
          <w:color w:val="auto"/>
          <w:szCs w:val="21"/>
          <w:highlight w:val="none"/>
          <w:lang w:eastAsia="zh-Hans"/>
        </w:rPr>
        <w:t xml:space="preserve"> </w:t>
      </w:r>
      <w:r>
        <w:rPr>
          <w:rFonts w:ascii="Times New Roman" w:hAnsi="Times New Roman" w:cs="Times New Roman"/>
          <w:color w:val="auto"/>
          <w:highlight w:val="none"/>
        </w:rPr>
        <w:t>......</w:t>
      </w:r>
      <w:r>
        <w:rPr>
          <w:rFonts w:hint="default" w:ascii="Times New Roman" w:hAnsi="Times New Roman" w:cs="Times New Roman"/>
          <w:color w:val="auto"/>
          <w:highlight w:val="none"/>
          <w:lang w:val="en-US"/>
        </w:rPr>
        <w:t>......................................................................................................................</w:t>
      </w:r>
      <w:r>
        <w:rPr>
          <w:rFonts w:ascii="Times New Roman" w:hAnsi="Times New Roman" w:cs="Times New Roman"/>
          <w:color w:val="auto"/>
          <w:highlight w:val="none"/>
        </w:rPr>
        <w:t>................... 3</w:t>
      </w:r>
      <w:r>
        <w:rPr>
          <w:rFonts w:hint="eastAsia" w:ascii="Times New Roman" w:hAnsi="Times New Roman" w:cs="Times New Roman"/>
          <w:color w:val="auto"/>
          <w:highlight w:val="none"/>
          <w:lang w:val="en-US" w:eastAsia="zh-CN"/>
        </w:rPr>
        <w:t>3</w:t>
      </w:r>
    </w:p>
    <w:p w14:paraId="15392057">
      <w:pPr>
        <w:spacing w:line="360" w:lineRule="auto"/>
        <w:rPr>
          <w:rFonts w:hint="eastAsia" w:ascii="Times New Roman" w:hAnsi="Times New Roman" w:cs="Times New Roman" w:eastAsiaTheme="minorEastAsia"/>
          <w:color w:val="auto"/>
          <w:highlight w:val="none"/>
          <w:lang w:val="en-US" w:eastAsia="zh-CN"/>
        </w:rPr>
      </w:pPr>
      <w:r>
        <w:rPr>
          <w:rFonts w:ascii="Times New Roman Bold" w:hAnsi="Times New Roman Bold" w:cs="Times New Roman Bold"/>
          <w:b/>
          <w:bCs/>
          <w:color w:val="auto"/>
          <w:szCs w:val="21"/>
          <w:highlight w:val="none"/>
        </w:rPr>
        <w:t xml:space="preserve">Supplementary Note </w:t>
      </w:r>
      <w:r>
        <w:rPr>
          <w:rFonts w:hint="default" w:ascii="Times New Roman Bold" w:hAnsi="Times New Roman Bold" w:cs="Times New Roman Bold"/>
          <w:b/>
          <w:bCs/>
          <w:color w:val="auto"/>
          <w:szCs w:val="21"/>
          <w:highlight w:val="none"/>
          <w:lang w:val="en-US"/>
        </w:rPr>
        <w:t>4</w:t>
      </w:r>
      <w:r>
        <w:rPr>
          <w:rFonts w:ascii="Times New Roman Bold" w:hAnsi="Times New Roman Bold" w:cs="Times New Roman Bold"/>
          <w:b/>
          <w:bCs/>
          <w:color w:val="auto"/>
          <w:szCs w:val="21"/>
          <w:highlight w:val="none"/>
        </w:rPr>
        <w:t xml:space="preserve">. </w:t>
      </w:r>
      <w:r>
        <w:rPr>
          <w:rFonts w:ascii="Times New Roman" w:hAnsi="Times New Roman" w:cs="Times New Roman"/>
          <w:color w:val="auto"/>
          <w:szCs w:val="21"/>
          <w:highlight w:val="none"/>
        </w:rPr>
        <w:t xml:space="preserve">Additional information on </w:t>
      </w:r>
      <w:r>
        <w:rPr>
          <w:rFonts w:ascii="Times New Roman" w:hAnsi="Times New Roman" w:cs="Times New Roman"/>
          <w:color w:val="auto"/>
          <w:szCs w:val="21"/>
          <w:highlight w:val="none"/>
          <w:lang w:eastAsia="zh-Hans"/>
        </w:rPr>
        <w:t>MTAG-identified new loci</w:t>
      </w:r>
      <w:r>
        <w:rPr>
          <w:rFonts w:ascii="Times New Roman Bold" w:hAnsi="Times New Roman Bold" w:cs="Times New Roman Bold"/>
          <w:b/>
          <w:bCs/>
          <w:color w:val="auto"/>
          <w:szCs w:val="21"/>
          <w:highlight w:val="none"/>
          <w:lang w:eastAsia="zh-Hans"/>
        </w:rPr>
        <w:t xml:space="preserve"> </w:t>
      </w:r>
      <w:r>
        <w:rPr>
          <w:rFonts w:ascii="Times New Roman" w:hAnsi="Times New Roman" w:cs="Times New Roman"/>
          <w:color w:val="auto"/>
          <w:highlight w:val="none"/>
        </w:rPr>
        <w:t>......................... 3</w:t>
      </w:r>
      <w:r>
        <w:rPr>
          <w:rFonts w:hint="eastAsia" w:ascii="Times New Roman" w:hAnsi="Times New Roman" w:cs="Times New Roman"/>
          <w:color w:val="auto"/>
          <w:highlight w:val="none"/>
          <w:lang w:val="en-US" w:eastAsia="zh-CN"/>
        </w:rPr>
        <w:t>3</w:t>
      </w:r>
    </w:p>
    <w:p w14:paraId="59D2D149">
      <w:pPr>
        <w:spacing w:line="360" w:lineRule="auto"/>
        <w:rPr>
          <w:rFonts w:hint="default" w:ascii="Times New Roman Regular" w:hAnsi="Times New Roman Regular" w:cs="Times New Roman Regular" w:eastAsiaTheme="minorEastAsia"/>
          <w:color w:val="auto"/>
          <w:highlight w:val="none"/>
          <w:lang w:val="en-US" w:eastAsia="zh-CN"/>
        </w:rPr>
      </w:pPr>
      <w:r>
        <w:rPr>
          <w:rFonts w:ascii="Times New Roman Bold" w:hAnsi="Times New Roman Bold" w:cs="Times New Roman Bold"/>
          <w:b/>
          <w:bCs/>
          <w:color w:val="auto"/>
          <w:szCs w:val="21"/>
          <w:highlight w:val="none"/>
        </w:rPr>
        <w:t>Supplementary</w:t>
      </w:r>
      <w:r>
        <w:rPr>
          <w:rFonts w:hint="default" w:ascii="Times New Roman Bold" w:hAnsi="Times New Roman Bold" w:cs="Times New Roman Bold"/>
          <w:b/>
          <w:bCs/>
          <w:color w:val="auto"/>
          <w:szCs w:val="21"/>
          <w:highlight w:val="none"/>
          <w:lang w:val="en-US"/>
        </w:rPr>
        <w:t xml:space="preserve"> </w:t>
      </w:r>
      <w:r>
        <w:rPr>
          <w:rFonts w:ascii="Times New Roman Bold" w:hAnsi="Times New Roman Bold" w:cs="Times New Roman Bold"/>
          <w:b/>
          <w:bCs/>
          <w:color w:val="auto"/>
          <w:szCs w:val="21"/>
          <w:highlight w:val="none"/>
        </w:rPr>
        <w:t>Note</w:t>
      </w:r>
      <w:r>
        <w:rPr>
          <w:rFonts w:hint="default" w:ascii="Times New Roman Bold" w:hAnsi="Times New Roman Bold" w:cs="Times New Roman Bold"/>
          <w:b/>
          <w:bCs/>
          <w:color w:val="auto"/>
          <w:szCs w:val="21"/>
          <w:highlight w:val="none"/>
          <w:lang w:val="en-US"/>
        </w:rPr>
        <w:t xml:space="preserve"> 5</w:t>
      </w:r>
      <w:r>
        <w:rPr>
          <w:rFonts w:ascii="Times New Roman Bold" w:hAnsi="Times New Roman Bold" w:cs="Times New Roman Bold"/>
          <w:b/>
          <w:bCs/>
          <w:color w:val="auto"/>
          <w:szCs w:val="21"/>
          <w:highlight w:val="none"/>
        </w:rPr>
        <w:t xml:space="preserve">. </w:t>
      </w:r>
      <w:r>
        <w:rPr>
          <w:rFonts w:ascii="Times New Roman" w:hAnsi="Times New Roman" w:cs="Times New Roman"/>
          <w:color w:val="auto"/>
          <w:szCs w:val="21"/>
          <w:highlight w:val="none"/>
        </w:rPr>
        <w:t>Additional information on prioritization of genes from the MTAG</w:t>
      </w:r>
      <w:r>
        <w:rPr>
          <w:rFonts w:hint="default" w:ascii="Times New Roman" w:hAnsi="Times New Roman" w:cs="Times New Roman"/>
          <w:color w:val="auto"/>
          <w:szCs w:val="21"/>
          <w:highlight w:val="none"/>
        </w:rPr>
        <w:t xml:space="preserve"> </w:t>
      </w:r>
      <w:r>
        <w:rPr>
          <w:rFonts w:ascii="Times New Roman" w:hAnsi="Times New Roman" w:cs="Times New Roman"/>
          <w:color w:val="auto"/>
          <w:szCs w:val="21"/>
          <w:highlight w:val="none"/>
        </w:rPr>
        <w:t>identified loci</w:t>
      </w:r>
      <w:r>
        <w:rPr>
          <w:rFonts w:ascii="Times New Roman Bold" w:hAnsi="Times New Roman Bold" w:cs="Times New Roman Bold"/>
          <w:b/>
          <w:bCs/>
          <w:color w:val="auto"/>
          <w:szCs w:val="21"/>
          <w:highlight w:val="none"/>
        </w:rPr>
        <w:t xml:space="preserve"> </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40</w:t>
      </w:r>
    </w:p>
    <w:p w14:paraId="436D7585">
      <w:pPr>
        <w:spacing w:line="360" w:lineRule="auto"/>
        <w:jc w:val="both"/>
        <w:rPr>
          <w:rFonts w:hint="eastAsia" w:ascii="Times New Roman Bold" w:hAnsi="Times New Roman Bold" w:cs="Times New Roman Bold" w:eastAsiaTheme="minorEastAsia"/>
          <w:b/>
          <w:bCs/>
          <w:color w:val="auto"/>
          <w:szCs w:val="21"/>
          <w:highlight w:val="none"/>
          <w:lang w:eastAsia="zh-CN"/>
        </w:rPr>
      </w:pPr>
      <w:r>
        <w:rPr>
          <w:rFonts w:ascii="Times New Roman Bold" w:hAnsi="Times New Roman Bold" w:cs="Times New Roman Bold"/>
          <w:b/>
          <w:bCs/>
          <w:strike w:val="0"/>
          <w:color w:val="auto"/>
          <w:szCs w:val="21"/>
          <w:highlight w:val="none"/>
        </w:rPr>
        <w:t>Supplementary</w:t>
      </w:r>
      <w:r>
        <w:rPr>
          <w:rFonts w:hint="default" w:ascii="Times New Roman Bold" w:hAnsi="Times New Roman Bold" w:cs="Times New Roman Bold"/>
          <w:b/>
          <w:bCs/>
          <w:strike w:val="0"/>
          <w:color w:val="auto"/>
          <w:szCs w:val="21"/>
          <w:highlight w:val="none"/>
        </w:rPr>
        <w:t xml:space="preserve"> </w:t>
      </w:r>
      <w:r>
        <w:rPr>
          <w:rFonts w:ascii="Times New Roman Bold" w:hAnsi="Times New Roman Bold" w:cs="Times New Roman Bold"/>
          <w:b/>
          <w:bCs/>
          <w:strike w:val="0"/>
          <w:color w:val="auto"/>
          <w:szCs w:val="21"/>
          <w:highlight w:val="none"/>
        </w:rPr>
        <w:t>Note</w:t>
      </w:r>
      <w:r>
        <w:rPr>
          <w:rFonts w:hint="default" w:ascii="Times New Roman Bold" w:hAnsi="Times New Roman Bold" w:cs="Times New Roman Bold"/>
          <w:b/>
          <w:bCs/>
          <w:strike w:val="0"/>
          <w:color w:val="auto"/>
          <w:szCs w:val="21"/>
          <w:highlight w:val="none"/>
        </w:rPr>
        <w:t xml:space="preserve"> </w:t>
      </w:r>
      <w:r>
        <w:rPr>
          <w:rFonts w:hint="default" w:ascii="Times New Roman Bold" w:hAnsi="Times New Roman Bold" w:cs="Times New Roman Bold"/>
          <w:b/>
          <w:bCs/>
          <w:strike w:val="0"/>
          <w:color w:val="auto"/>
          <w:szCs w:val="21"/>
          <w:highlight w:val="none"/>
          <w:lang w:val="en-US"/>
        </w:rPr>
        <w:t>6</w:t>
      </w:r>
      <w:r>
        <w:rPr>
          <w:rFonts w:ascii="Times New Roman Bold" w:hAnsi="Times New Roman Bold" w:cs="Times New Roman Bold"/>
          <w:b/>
          <w:bCs/>
          <w:strike w:val="0"/>
          <w:color w:val="auto"/>
          <w:szCs w:val="21"/>
          <w:highlight w:val="none"/>
        </w:rPr>
        <w:t xml:space="preserve">. </w:t>
      </w:r>
      <w:r>
        <w:rPr>
          <w:rFonts w:hint="default" w:ascii="Times New Roman" w:hAnsi="Times New Roman" w:cs="Times New Roman"/>
          <w:b w:val="0"/>
          <w:bCs w:val="0"/>
          <w:strike w:val="0"/>
          <w:color w:val="auto"/>
          <w:szCs w:val="21"/>
          <w:highlight w:val="none"/>
          <w:lang w:eastAsia="zh-Hans"/>
        </w:rPr>
        <w:t>Causal proteins identified by Proteome-wide MR and Colocalization analysis</w:t>
      </w:r>
      <w:r>
        <w:rPr>
          <w:rFonts w:hint="default" w:ascii="Times New Roman Bold" w:hAnsi="Times New Roman Bold" w:cs="Times New Roman Bold"/>
          <w:b/>
          <w:bCs/>
          <w:strike w:val="0"/>
          <w:color w:val="auto"/>
          <w:szCs w:val="21"/>
          <w:highlight w:val="none"/>
          <w:lang w:val="en-US" w:eastAsia="zh-Hans"/>
        </w:rPr>
        <w:t xml:space="preserve"> </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default" w:ascii="Times New Roman" w:hAnsi="Times New Roman" w:cs="Times New Roman"/>
          <w:color w:val="auto"/>
          <w:highlight w:val="none"/>
          <w:lang w:val="en-US"/>
        </w:rPr>
        <w:t>.....</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rPr>
        <w:t>...........</w:t>
      </w:r>
      <w:r>
        <w:rPr>
          <w:rFonts w:ascii="Times New Roman" w:hAnsi="Times New Roman" w:cs="Times New Roman"/>
          <w:color w:val="auto"/>
          <w:highlight w:val="none"/>
        </w:rPr>
        <w:t xml:space="preserve">....................... </w:t>
      </w:r>
      <w:r>
        <w:rPr>
          <w:rFonts w:hint="default" w:ascii="Times New Roman" w:hAnsi="Times New Roman" w:cs="Times New Roman"/>
          <w:color w:val="auto"/>
          <w:highlight w:val="none"/>
          <w:lang w:val="en-US"/>
        </w:rPr>
        <w:t>4</w:t>
      </w:r>
      <w:r>
        <w:rPr>
          <w:rFonts w:hint="eastAsia" w:ascii="Times New Roman" w:hAnsi="Times New Roman" w:cs="Times New Roman"/>
          <w:color w:val="auto"/>
          <w:highlight w:val="none"/>
          <w:lang w:val="en-US" w:eastAsia="zh-CN"/>
        </w:rPr>
        <w:t>1</w:t>
      </w:r>
    </w:p>
    <w:p w14:paraId="581BDC5F">
      <w:pPr>
        <w:spacing w:line="360" w:lineRule="auto"/>
        <w:jc w:val="left"/>
        <w:rPr>
          <w:rFonts w:hint="eastAsia" w:ascii="Times New Roman" w:hAnsi="Times New Roman" w:cs="Times New Roman" w:eastAsiaTheme="minorEastAsia"/>
          <w:color w:val="auto"/>
          <w:highlight w:val="none"/>
          <w:lang w:val="en-US" w:eastAsia="zh-CN"/>
        </w:rPr>
      </w:pPr>
      <w:r>
        <w:rPr>
          <w:rFonts w:ascii="Times New Roman Bold" w:hAnsi="Times New Roman Bold" w:cs="Times New Roman Bold"/>
          <w:b/>
          <w:bCs/>
          <w:color w:val="auto"/>
          <w:szCs w:val="21"/>
          <w:highlight w:val="none"/>
        </w:rPr>
        <w:t>Supplementary</w:t>
      </w:r>
      <w:r>
        <w:rPr>
          <w:rFonts w:hint="default" w:ascii="Times New Roman Bold" w:hAnsi="Times New Roman Bold" w:cs="Times New Roman Bold"/>
          <w:b/>
          <w:bCs/>
          <w:color w:val="auto"/>
          <w:szCs w:val="21"/>
          <w:highlight w:val="none"/>
        </w:rPr>
        <w:t xml:space="preserve"> </w:t>
      </w:r>
      <w:r>
        <w:rPr>
          <w:rFonts w:ascii="Times New Roman Bold" w:hAnsi="Times New Roman Bold" w:cs="Times New Roman Bold"/>
          <w:b/>
          <w:bCs/>
          <w:color w:val="auto"/>
          <w:szCs w:val="21"/>
          <w:highlight w:val="none"/>
        </w:rPr>
        <w:t>Note</w:t>
      </w:r>
      <w:r>
        <w:rPr>
          <w:rFonts w:hint="default" w:ascii="Times New Roman Bold" w:hAnsi="Times New Roman Bold" w:cs="Times New Roman Bold"/>
          <w:b/>
          <w:bCs/>
          <w:color w:val="auto"/>
          <w:szCs w:val="21"/>
          <w:highlight w:val="none"/>
        </w:rPr>
        <w:t xml:space="preserve"> </w:t>
      </w:r>
      <w:r>
        <w:rPr>
          <w:rFonts w:hint="default" w:ascii="Times New Roman Bold" w:hAnsi="Times New Roman Bold" w:cs="Times New Roman Bold"/>
          <w:b/>
          <w:bCs/>
          <w:color w:val="auto"/>
          <w:szCs w:val="21"/>
          <w:highlight w:val="none"/>
          <w:lang w:val="en-US"/>
        </w:rPr>
        <w:t>7</w:t>
      </w:r>
      <w:r>
        <w:rPr>
          <w:rFonts w:ascii="Times New Roman Bold" w:hAnsi="Times New Roman Bold" w:cs="Times New Roman Bold"/>
          <w:b/>
          <w:bCs/>
          <w:color w:val="auto"/>
          <w:szCs w:val="21"/>
          <w:highlight w:val="none"/>
        </w:rPr>
        <w:t xml:space="preserve">. </w:t>
      </w:r>
      <w:r>
        <w:rPr>
          <w:rFonts w:hint="default" w:ascii="Times New Roman" w:hAnsi="Times New Roman" w:cs="Times New Roman"/>
          <w:b w:val="0"/>
          <w:bCs w:val="0"/>
          <w:color w:val="auto"/>
          <w:szCs w:val="21"/>
          <w:highlight w:val="none"/>
        </w:rPr>
        <w:t>Causal inference</w:t>
      </w:r>
      <w:r>
        <w:rPr>
          <w:rFonts w:hint="default" w:ascii="Times New Roman" w:hAnsi="Times New Roman" w:cs="Times New Roman"/>
          <w:b w:val="0"/>
          <w:bCs w:val="0"/>
          <w:color w:val="auto"/>
          <w:szCs w:val="21"/>
          <w:highlight w:val="none"/>
          <w:lang w:val="en-US" w:eastAsia="zh-CN"/>
        </w:rPr>
        <w:t xml:space="preserve"> between 24 metabolic traits/diseases and 6 major CVDs</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rPr>
        <w:t>4</w:t>
      </w:r>
      <w:r>
        <w:rPr>
          <w:rFonts w:hint="eastAsia" w:ascii="Times New Roman" w:hAnsi="Times New Roman" w:cs="Times New Roman"/>
          <w:color w:val="auto"/>
          <w:highlight w:val="none"/>
          <w:lang w:val="en-US" w:eastAsia="zh-CN"/>
        </w:rPr>
        <w:t>2</w:t>
      </w:r>
    </w:p>
    <w:p w14:paraId="5DCAEE57">
      <w:pPr>
        <w:spacing w:line="360" w:lineRule="auto"/>
        <w:rPr>
          <w:rFonts w:hint="default" w:ascii="Times New Roman" w:hAnsi="Times New Roman" w:cs="Times New Roman" w:eastAsiaTheme="minorEastAsia"/>
          <w:color w:val="auto"/>
          <w:highlight w:val="none"/>
          <w:lang w:val="en-US" w:eastAsia="zh-CN"/>
        </w:rPr>
      </w:pPr>
      <w:r>
        <w:rPr>
          <w:rFonts w:ascii="Times New Roman Bold" w:hAnsi="Times New Roman Bold" w:cs="Times New Roman Bold"/>
          <w:b/>
          <w:bCs/>
          <w:color w:val="auto"/>
          <w:szCs w:val="21"/>
          <w:highlight w:val="none"/>
        </w:rPr>
        <w:t>Supplementary</w:t>
      </w:r>
      <w:r>
        <w:rPr>
          <w:rFonts w:hint="default" w:ascii="Times New Roman Bold" w:hAnsi="Times New Roman Bold" w:cs="Times New Roman Bold"/>
          <w:b/>
          <w:bCs/>
          <w:color w:val="auto"/>
          <w:szCs w:val="21"/>
          <w:highlight w:val="none"/>
        </w:rPr>
        <w:t xml:space="preserve"> </w:t>
      </w:r>
      <w:r>
        <w:rPr>
          <w:rFonts w:ascii="Times New Roman Bold" w:hAnsi="Times New Roman Bold" w:cs="Times New Roman Bold"/>
          <w:b/>
          <w:bCs/>
          <w:color w:val="auto"/>
          <w:szCs w:val="21"/>
          <w:highlight w:val="none"/>
        </w:rPr>
        <w:t>Note</w:t>
      </w:r>
      <w:r>
        <w:rPr>
          <w:rFonts w:hint="default" w:ascii="Times New Roman Bold" w:hAnsi="Times New Roman Bold" w:cs="Times New Roman Bold"/>
          <w:b/>
          <w:bCs/>
          <w:color w:val="auto"/>
          <w:szCs w:val="21"/>
          <w:highlight w:val="none"/>
        </w:rPr>
        <w:t xml:space="preserve"> </w:t>
      </w:r>
      <w:r>
        <w:rPr>
          <w:rFonts w:hint="default" w:ascii="Times New Roman Bold" w:hAnsi="Times New Roman Bold" w:cs="Times New Roman Bold"/>
          <w:b/>
          <w:bCs/>
          <w:color w:val="auto"/>
          <w:szCs w:val="21"/>
          <w:highlight w:val="none"/>
          <w:lang w:val="en-US"/>
        </w:rPr>
        <w:t>8</w:t>
      </w:r>
      <w:r>
        <w:rPr>
          <w:rFonts w:ascii="Times New Roman Bold" w:hAnsi="Times New Roman Bold" w:cs="Times New Roman Bold"/>
          <w:b/>
          <w:bCs/>
          <w:color w:val="auto"/>
          <w:szCs w:val="21"/>
          <w:highlight w:val="none"/>
        </w:rPr>
        <w:t xml:space="preserve">. </w:t>
      </w:r>
      <w:r>
        <w:rPr>
          <w:rFonts w:hint="default" w:ascii="Times New Roman" w:hAnsi="Times New Roman" w:cs="Times New Roman"/>
          <w:b w:val="0"/>
          <w:bCs w:val="0"/>
          <w:color w:val="auto"/>
          <w:szCs w:val="21"/>
          <w:highlight w:val="none"/>
        </w:rPr>
        <w:t xml:space="preserve">Shared genetic architecture contributes to risk of major cardiovascular diseases of </w:t>
      </w:r>
      <w:r>
        <w:rPr>
          <w:rFonts w:hint="default" w:ascii="Times New Roman" w:hAnsi="Times New Roman" w:cs="Times New Roman"/>
          <w:color w:val="auto"/>
          <w:szCs w:val="21"/>
          <w:highlight w:val="none"/>
        </w:rPr>
        <w:t>East Asian ancestry</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47</w:t>
      </w:r>
    </w:p>
    <w:p w14:paraId="452DDAC7">
      <w:pPr>
        <w:spacing w:line="360" w:lineRule="auto"/>
        <w:jc w:val="left"/>
        <w:rPr>
          <w:rFonts w:hint="default" w:ascii="Times New Roman" w:hAnsi="Times New Roman" w:cs="Times New Roman"/>
          <w:color w:val="auto"/>
          <w:highlight w:val="none"/>
          <w:lang w:val="en-US"/>
        </w:rPr>
      </w:pPr>
      <w:r>
        <w:rPr>
          <w:rFonts w:ascii="Times New Roman Bold" w:hAnsi="Times New Roman Bold" w:cs="Times New Roman Bold"/>
          <w:b/>
          <w:bCs/>
          <w:color w:val="auto"/>
          <w:highlight w:val="none"/>
        </w:rPr>
        <w:t>Supplementary References</w:t>
      </w:r>
      <w:r>
        <w:rPr>
          <w:rFonts w:ascii="Times New Roman" w:hAnsi="Times New Roman" w:cs="Times New Roman"/>
          <w:color w:val="auto"/>
          <w:highlight w:val="none"/>
        </w:rPr>
        <w:t xml:space="preserve"> .................................................................................................</w:t>
      </w:r>
      <w:r>
        <w:rPr>
          <w:rFonts w:hint="default" w:ascii="Times New Roman" w:hAnsi="Times New Roman" w:cs="Times New Roman"/>
          <w:color w:val="auto"/>
          <w:highlight w:val="none"/>
        </w:rPr>
        <w:t>.</w:t>
      </w:r>
      <w:r>
        <w:rPr>
          <w:rFonts w:ascii="Times New Roman" w:hAnsi="Times New Roman" w:cs="Times New Roman"/>
          <w:color w:val="auto"/>
          <w:highlight w:val="none"/>
        </w:rPr>
        <w:t>……</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rPr>
        <w:t>53</w:t>
      </w:r>
    </w:p>
    <w:p w14:paraId="64C1AC60">
      <w:pPr>
        <w:spacing w:line="360" w:lineRule="auto"/>
        <w:jc w:val="center"/>
        <w:rPr>
          <w:rFonts w:hint="default" w:ascii="Times New Roman" w:hAnsi="Times New Roman" w:cs="Times New Roman"/>
          <w:color w:val="auto"/>
          <w:szCs w:val="21"/>
          <w:highlight w:val="none"/>
          <w:lang w:val="en-US"/>
        </w:rPr>
        <w:sectPr>
          <w:pgSz w:w="11906" w:h="16838"/>
          <w:pgMar w:top="1440" w:right="1800" w:bottom="1440" w:left="1800" w:header="851" w:footer="992" w:gutter="0"/>
          <w:lnNumType w:countBy="0" w:restart="continuous"/>
          <w:pgNumType w:start="1"/>
          <w:cols w:space="425" w:num="1"/>
          <w:docGrid w:type="lines" w:linePitch="312" w:charSpace="0"/>
        </w:sectPr>
      </w:pPr>
      <w:r>
        <w:rPr>
          <w:rFonts w:hint="default" w:ascii="Times New Roman" w:hAnsi="Times New Roman" w:cs="Times New Roman"/>
          <w:color w:val="auto"/>
          <w:szCs w:val="21"/>
          <w:highlight w:val="none"/>
          <w:lang w:val="en-US"/>
        </w:rPr>
        <w:t>(Source data are provided with this paper)</w:t>
      </w:r>
    </w:p>
    <w:p w14:paraId="247E48C4">
      <w:pPr>
        <w:rPr>
          <w:rFonts w:hint="eastAsia" w:ascii="Arial Bold" w:hAnsi="Arial Bold" w:cs="Arial Bold"/>
          <w:b/>
          <w:bCs/>
          <w:color w:val="auto"/>
          <w:highlight w:val="none"/>
        </w:rPr>
      </w:pPr>
      <w:r>
        <w:rPr>
          <w:color w:val="auto"/>
          <w:highlight w:val="none"/>
        </w:rPr>
        <w:drawing>
          <wp:inline distT="0" distB="0" distL="114300" distR="114300">
            <wp:extent cx="5274310" cy="4335780"/>
            <wp:effectExtent l="0" t="0" r="8890" b="7620"/>
            <wp:docPr id="53" name="图片 53" descr="S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SFigure1"/>
                    <pic:cNvPicPr>
                      <a:picLocks noChangeAspect="1"/>
                    </pic:cNvPicPr>
                  </pic:nvPicPr>
                  <pic:blipFill>
                    <a:blip r:embed="rId5"/>
                    <a:stretch>
                      <a:fillRect/>
                    </a:stretch>
                  </pic:blipFill>
                  <pic:spPr>
                    <a:xfrm>
                      <a:off x="0" y="0"/>
                      <a:ext cx="5274310" cy="4335780"/>
                    </a:xfrm>
                    <a:prstGeom prst="rect">
                      <a:avLst/>
                    </a:prstGeom>
                  </pic:spPr>
                </pic:pic>
              </a:graphicData>
            </a:graphic>
          </wp:inline>
        </w:drawing>
      </w:r>
    </w:p>
    <w:p w14:paraId="77CA278C">
      <w:pPr>
        <w:spacing w:line="360" w:lineRule="auto"/>
        <w:rPr>
          <w:rFonts w:hint="eastAsia" w:ascii="Times New Roman Regular" w:hAnsi="Times New Roman Regular" w:cs="Times New Roman Regular"/>
          <w:color w:val="auto"/>
          <w:highlight w:val="none"/>
        </w:rPr>
      </w:pPr>
      <w:r>
        <w:rPr>
          <w:rFonts w:ascii="Times New Roman Bold" w:hAnsi="Times New Roman Bold" w:cs="Times New Roman Bold"/>
          <w:b/>
          <w:bCs/>
          <w:color w:val="auto"/>
          <w:highlight w:val="none"/>
        </w:rPr>
        <w:t xml:space="preserve">Supplementary Fig. 1. Power plot illustrating percentage of variance explained by genome-wide significant SNPs (y-axis) at a given sample size (x-axis) for each of </w:t>
      </w:r>
      <w:r>
        <w:rPr>
          <w:rFonts w:hint="default" w:ascii="Times New Roman Bold" w:hAnsi="Times New Roman Bold" w:cs="Times New Roman Bold"/>
          <w:b/>
          <w:bCs/>
          <w:color w:val="auto"/>
          <w:highlight w:val="none"/>
          <w:lang w:val="en-US"/>
        </w:rPr>
        <w:t xml:space="preserve">the </w:t>
      </w:r>
      <w:r>
        <w:rPr>
          <w:rFonts w:ascii="Times New Roman Bold" w:hAnsi="Times New Roman Bold" w:cs="Times New Roman Bold"/>
          <w:b/>
          <w:bCs/>
          <w:color w:val="auto"/>
          <w:highlight w:val="none"/>
        </w:rPr>
        <w:t>cardiovascular diseases.</w:t>
      </w:r>
      <w:r>
        <w:rPr>
          <w:rFonts w:ascii="Times New Roman Regular" w:hAnsi="Times New Roman Regular" w:cs="Times New Roman Regular"/>
          <w:color w:val="auto"/>
          <w:highlight w:val="none"/>
        </w:rPr>
        <w:t xml:space="preserve"> </w:t>
      </w:r>
    </w:p>
    <w:p w14:paraId="7FE7ECC5">
      <w:pPr>
        <w:spacing w:line="360" w:lineRule="auto"/>
        <w:rPr>
          <w:rFonts w:hint="eastAsia"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The sample size required to discover 50% variance for each phenotype is represented by the dot. The current sample size for each phenotype is represented by a triangle, and the estimated variance (%) based on current sample size is listed in parentheses in the legend.</w:t>
      </w:r>
    </w:p>
    <w:p w14:paraId="4D131938">
      <w:pPr>
        <w:jc w:val="center"/>
        <w:rPr>
          <w:color w:val="auto"/>
          <w:highlight w:val="none"/>
        </w:rPr>
      </w:pPr>
      <w:r>
        <w:rPr>
          <w:color w:val="auto"/>
          <w:highlight w:val="none"/>
        </w:rPr>
        <w:drawing>
          <wp:inline distT="0" distB="0" distL="114300" distR="114300">
            <wp:extent cx="4592320" cy="8719820"/>
            <wp:effectExtent l="0" t="0" r="5080" b="17780"/>
            <wp:docPr id="2" name="图片 2" descr="SFig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Figure1-1"/>
                    <pic:cNvPicPr>
                      <a:picLocks noChangeAspect="1"/>
                    </pic:cNvPicPr>
                  </pic:nvPicPr>
                  <pic:blipFill>
                    <a:blip r:embed="rId6"/>
                    <a:stretch>
                      <a:fillRect/>
                    </a:stretch>
                  </pic:blipFill>
                  <pic:spPr>
                    <a:xfrm>
                      <a:off x="0" y="0"/>
                      <a:ext cx="4592320" cy="8719820"/>
                    </a:xfrm>
                    <a:prstGeom prst="rect">
                      <a:avLst/>
                    </a:prstGeom>
                  </pic:spPr>
                </pic:pic>
              </a:graphicData>
            </a:graphic>
          </wp:inline>
        </w:drawing>
      </w:r>
    </w:p>
    <w:p w14:paraId="4E55392F">
      <w:pPr>
        <w:jc w:val="center"/>
        <w:rPr>
          <w:color w:val="auto"/>
          <w:highlight w:val="none"/>
        </w:rPr>
      </w:pPr>
      <w:r>
        <w:rPr>
          <w:color w:val="auto"/>
          <w:highlight w:val="none"/>
        </w:rPr>
        <w:drawing>
          <wp:inline distT="0" distB="0" distL="114300" distR="114300">
            <wp:extent cx="4564380" cy="8848725"/>
            <wp:effectExtent l="0" t="0" r="7620" b="15875"/>
            <wp:docPr id="3" name="图片 3" descr="SFig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Figure1-2"/>
                    <pic:cNvPicPr>
                      <a:picLocks noChangeAspect="1"/>
                    </pic:cNvPicPr>
                  </pic:nvPicPr>
                  <pic:blipFill>
                    <a:blip r:embed="rId7"/>
                    <a:stretch>
                      <a:fillRect/>
                    </a:stretch>
                  </pic:blipFill>
                  <pic:spPr>
                    <a:xfrm>
                      <a:off x="0" y="0"/>
                      <a:ext cx="4564380" cy="8848725"/>
                    </a:xfrm>
                    <a:prstGeom prst="rect">
                      <a:avLst/>
                    </a:prstGeom>
                  </pic:spPr>
                </pic:pic>
              </a:graphicData>
            </a:graphic>
          </wp:inline>
        </w:drawing>
      </w:r>
    </w:p>
    <w:p w14:paraId="74899E0B">
      <w:pPr>
        <w:jc w:val="center"/>
        <w:rPr>
          <w:color w:val="auto"/>
          <w:highlight w:val="none"/>
        </w:rPr>
      </w:pPr>
      <w:r>
        <w:rPr>
          <w:color w:val="auto"/>
          <w:highlight w:val="none"/>
        </w:rPr>
        <w:drawing>
          <wp:inline distT="0" distB="0" distL="114300" distR="114300">
            <wp:extent cx="4507865" cy="8726170"/>
            <wp:effectExtent l="0" t="0" r="13335" b="11430"/>
            <wp:docPr id="4" name="图片 4" descr="SFig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Figure1-3"/>
                    <pic:cNvPicPr>
                      <a:picLocks noChangeAspect="1"/>
                    </pic:cNvPicPr>
                  </pic:nvPicPr>
                  <pic:blipFill>
                    <a:blip r:embed="rId8"/>
                    <a:stretch>
                      <a:fillRect/>
                    </a:stretch>
                  </pic:blipFill>
                  <pic:spPr>
                    <a:xfrm>
                      <a:off x="0" y="0"/>
                      <a:ext cx="4507865" cy="8726170"/>
                    </a:xfrm>
                    <a:prstGeom prst="rect">
                      <a:avLst/>
                    </a:prstGeom>
                  </pic:spPr>
                </pic:pic>
              </a:graphicData>
            </a:graphic>
          </wp:inline>
        </w:drawing>
      </w:r>
    </w:p>
    <w:p w14:paraId="3028B305">
      <w:pPr>
        <w:spacing w:line="360" w:lineRule="auto"/>
        <w:rPr>
          <w:rFonts w:hint="eastAsia" w:ascii="Times New Roman Bold" w:hAnsi="Times New Roman Bold" w:cs="Times New Roman Bold"/>
          <w:b/>
          <w:bCs/>
          <w:color w:val="auto"/>
          <w:highlight w:val="none"/>
        </w:rPr>
      </w:pPr>
      <w:r>
        <w:rPr>
          <w:rFonts w:ascii="Times New Roman Bold" w:hAnsi="Times New Roman Bold" w:cs="Times New Roman Bold"/>
          <w:b/>
          <w:bCs/>
          <w:color w:val="auto"/>
          <w:highlight w:val="none"/>
        </w:rPr>
        <w:t xml:space="preserve">Supplementary Fig. 2. Supplemental MiXeR figures for each of the six cardiovascular diseases. </w:t>
      </w:r>
    </w:p>
    <w:p w14:paraId="491FBD16">
      <w:pPr>
        <w:spacing w:line="360" w:lineRule="auto"/>
        <w:rPr>
          <w:rFonts w:hint="eastAsia" w:ascii="Arial Bold" w:hAnsi="Arial Bold" w:cs="Arial Bold"/>
          <w:b/>
          <w:bCs/>
          <w:color w:val="auto"/>
          <w:highlight w:val="none"/>
        </w:rPr>
      </w:pPr>
      <w:r>
        <w:rPr>
          <w:rFonts w:hint="eastAsia" w:ascii="Times New Roman Regular" w:hAnsi="Times New Roman Regular" w:cs="Times New Roman Regular"/>
          <w:color w:val="auto"/>
          <w:highlight w:val="none"/>
        </w:rPr>
        <w:t xml:space="preserve">On the left, conditional QQ plots show for the observed versus expected -log10 </w:t>
      </w:r>
      <w:r>
        <w:rPr>
          <w:rFonts w:hint="default" w:ascii="Times New Roman Italic" w:hAnsi="Times New Roman Italic" w:cs="Times New Roman Italic"/>
          <w:i/>
          <w:iCs/>
          <w:color w:val="auto"/>
          <w:highlight w:val="none"/>
        </w:rPr>
        <w:t>P</w:t>
      </w:r>
      <w:r>
        <w:rPr>
          <w:rFonts w:hint="eastAsia" w:ascii="Times New Roman Regular" w:hAnsi="Times New Roman Regular" w:cs="Times New Roman Regular"/>
          <w:color w:val="auto"/>
          <w:highlight w:val="none"/>
        </w:rPr>
        <w:t>-values of the primary trait, based on the significance of its association with the secondary trait across all SNPs (blue lines)</w:t>
      </w:r>
      <w:r>
        <w:rPr>
          <w:rFonts w:hint="eastAsia" w:ascii="Times New Roman Regular" w:hAnsi="Times New Roman Regular" w:cs="Times New Roman Regular"/>
          <w:color w:val="auto"/>
          <w:highlight w:val="none"/>
          <w:lang w:eastAsia="zh-CN"/>
        </w:rPr>
        <w:t>，</w:t>
      </w:r>
      <w:r>
        <w:rPr>
          <w:rFonts w:ascii="Times New Roman Regular" w:hAnsi="Times New Roman Regular" w:cs="Times New Roman Regular"/>
          <w:color w:val="auto"/>
          <w:highlight w:val="none"/>
        </w:rPr>
        <w:t xml:space="preserve"> </w:t>
      </w:r>
      <w:r>
        <w:rPr>
          <w:rFonts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 xml:space="preserve"> ≤ 0.1 (orange lines), </w:t>
      </w:r>
      <w:r>
        <w:rPr>
          <w:rFonts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 xml:space="preserve"> ≤ 0.01 (green lines)</w:t>
      </w:r>
      <w:r>
        <w:rPr>
          <w:rFonts w:hint="default" w:ascii="Times New Roman Regular" w:hAnsi="Times New Roman Regular" w:cs="Times New Roman Regular"/>
          <w:color w:val="auto"/>
          <w:highlight w:val="none"/>
          <w:lang w:val="en-US"/>
        </w:rPr>
        <w:t>,</w:t>
      </w:r>
      <w:r>
        <w:rPr>
          <w:rFonts w:ascii="Times New Roman Regular" w:hAnsi="Times New Roman Regular" w:cs="Times New Roman Regular"/>
          <w:color w:val="auto"/>
          <w:highlight w:val="none"/>
        </w:rPr>
        <w:t xml:space="preserve"> and </w:t>
      </w:r>
      <w:r>
        <w:rPr>
          <w:rFonts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 xml:space="preserve"> ≤ 0.001 (red lines). Dotted lines </w:t>
      </w:r>
      <w:r>
        <w:rPr>
          <w:rFonts w:hint="eastAsia" w:ascii="Times New Roman Regular" w:hAnsi="Times New Roman Regular" w:cs="Times New Roman Regular"/>
          <w:color w:val="auto"/>
          <w:highlight w:val="none"/>
        </w:rPr>
        <w:t>represent</w:t>
      </w:r>
      <w:r>
        <w:rPr>
          <w:rFonts w:ascii="Times New Roman Regular" w:hAnsi="Times New Roman Regular" w:cs="Times New Roman Regular"/>
          <w:color w:val="auto"/>
          <w:highlight w:val="none"/>
        </w:rPr>
        <w:t xml:space="preserve"> model predictions for each stratum. </w:t>
      </w:r>
      <w:r>
        <w:rPr>
          <w:rFonts w:hint="eastAsia" w:ascii="Times New Roman Regular" w:hAnsi="Times New Roman Regular" w:cs="Times New Roman Regular"/>
          <w:color w:val="auto"/>
          <w:highlight w:val="none"/>
          <w:lang w:val="en-US" w:eastAsia="zh-CN"/>
        </w:rPr>
        <w:t xml:space="preserve">The </w:t>
      </w:r>
      <w:r>
        <w:rPr>
          <w:rFonts w:hint="default" w:ascii="Times New Roman Regular" w:hAnsi="Times New Roman Regular" w:cs="Times New Roman Regular"/>
          <w:color w:val="auto"/>
          <w:highlight w:val="none"/>
          <w:lang w:val="en-US" w:eastAsia="zh-CN"/>
        </w:rPr>
        <w:t>b</w:t>
      </w:r>
      <w:r>
        <w:rPr>
          <w:rFonts w:ascii="Times New Roman Regular" w:hAnsi="Times New Roman Regular" w:cs="Times New Roman Regular"/>
          <w:color w:val="auto"/>
          <w:highlight w:val="none"/>
        </w:rPr>
        <w:t xml:space="preserve">lack dotted line </w:t>
      </w:r>
      <w:r>
        <w:rPr>
          <w:rFonts w:hint="eastAsia" w:ascii="Times New Roman Regular" w:hAnsi="Times New Roman Regular" w:cs="Times New Roman Regular"/>
          <w:color w:val="auto"/>
          <w:highlight w:val="none"/>
        </w:rPr>
        <w:t>represents</w:t>
      </w:r>
      <w:r>
        <w:rPr>
          <w:rFonts w:ascii="Times New Roman Regular" w:hAnsi="Times New Roman Regular" w:cs="Times New Roman Regular"/>
          <w:color w:val="auto"/>
          <w:highlight w:val="none"/>
        </w:rPr>
        <w:t xml:space="preserve"> the expected Q-Q plot under the null hypothesis (no SNPs </w:t>
      </w:r>
      <w:r>
        <w:rPr>
          <w:rFonts w:hint="default" w:ascii="Times New Roman Regular" w:hAnsi="Times New Roman Regular" w:cs="Times New Roman Regular"/>
          <w:color w:val="auto"/>
          <w:highlight w:val="none"/>
          <w:lang w:val="en-US"/>
        </w:rPr>
        <w:t xml:space="preserve">are </w:t>
      </w:r>
      <w:r>
        <w:rPr>
          <w:rFonts w:ascii="Times New Roman Regular" w:hAnsi="Times New Roman Regular" w:cs="Times New Roman Regular"/>
          <w:color w:val="auto"/>
          <w:highlight w:val="none"/>
        </w:rPr>
        <w:t xml:space="preserve">associated with the phenotype). </w:t>
      </w:r>
      <w:r>
        <w:rPr>
          <w:rFonts w:hint="default" w:ascii="Times New Roman Regular" w:hAnsi="Times New Roman Regular" w:cs="Times New Roman Regular"/>
          <w:color w:val="auto"/>
          <w:highlight w:val="none"/>
          <w:lang w:val="en-US"/>
        </w:rPr>
        <w:t>The p</w:t>
      </w:r>
      <w:r>
        <w:rPr>
          <w:rFonts w:ascii="Times New Roman Regular" w:hAnsi="Times New Roman Regular" w:cs="Times New Roman Regular"/>
          <w:color w:val="auto"/>
          <w:highlight w:val="none"/>
        </w:rPr>
        <w:t xml:space="preserve">oints on the Q-Q plot </w:t>
      </w:r>
      <w:r>
        <w:rPr>
          <w:rFonts w:hint="default" w:ascii="Times New Roman Regular" w:hAnsi="Times New Roman Regular" w:cs="Times New Roman Regular"/>
          <w:color w:val="auto"/>
          <w:highlight w:val="none"/>
          <w:lang w:val="en-US"/>
        </w:rPr>
        <w:t>were</w:t>
      </w:r>
      <w:r>
        <w:rPr>
          <w:rFonts w:ascii="Times New Roman Regular" w:hAnsi="Times New Roman Regular" w:cs="Times New Roman Regular"/>
          <w:color w:val="auto"/>
          <w:highlight w:val="none"/>
        </w:rPr>
        <w:t xml:space="preserve"> weighted </w:t>
      </w:r>
      <w:r>
        <w:rPr>
          <w:rFonts w:hint="eastAsia" w:ascii="Times New Roman Regular" w:hAnsi="Times New Roman Regular" w:cs="Times New Roman Regular"/>
          <w:color w:val="auto"/>
          <w:highlight w:val="none"/>
        </w:rPr>
        <w:t>according to</w:t>
      </w:r>
      <w:r>
        <w:rPr>
          <w:rFonts w:ascii="Times New Roman Regular" w:hAnsi="Times New Roman Regular" w:cs="Times New Roman Regular"/>
          <w:color w:val="auto"/>
          <w:highlight w:val="none"/>
        </w:rPr>
        <w:t xml:space="preserve"> LD structure, using 64 iterations of random pruning at an LD threshold </w:t>
      </w:r>
      <w:r>
        <w:rPr>
          <w:rFonts w:ascii="Times New Roman Italic" w:hAnsi="Times New Roman Italic" w:cs="Times New Roman Italic"/>
          <w:i/>
          <w:iCs/>
          <w:color w:val="auto"/>
          <w:highlight w:val="none"/>
        </w:rPr>
        <w:t>r</w:t>
      </w:r>
      <w:r>
        <w:rPr>
          <w:rFonts w:ascii="Times New Roman Italic" w:hAnsi="Times New Roman Italic" w:cs="Times New Roman Italic"/>
          <w:i/>
          <w:iCs/>
          <w:color w:val="auto"/>
          <w:highlight w:val="none"/>
          <w:vertAlign w:val="superscript"/>
        </w:rPr>
        <w:t>2</w:t>
      </w:r>
      <w:r>
        <w:rPr>
          <w:rFonts w:ascii="Times New Roman Regular" w:hAnsi="Times New Roman Regular" w:cs="Times New Roman Regular"/>
          <w:color w:val="auto"/>
          <w:highlight w:val="none"/>
        </w:rPr>
        <w:t xml:space="preserve"> = 0.1. On the right, log-likelihood curves </w:t>
      </w:r>
      <w:r>
        <w:rPr>
          <w:rFonts w:hint="eastAsia" w:ascii="Times New Roman Regular" w:hAnsi="Times New Roman Regular" w:cs="Times New Roman Regular"/>
          <w:color w:val="auto"/>
          <w:highlight w:val="none"/>
        </w:rPr>
        <w:t>illustrate</w:t>
      </w:r>
      <w:r>
        <w:rPr>
          <w:rFonts w:ascii="Times New Roman Regular" w:hAnsi="Times New Roman Regular" w:cs="Times New Roman Regular"/>
          <w:color w:val="auto"/>
          <w:highlight w:val="none"/>
        </w:rPr>
        <w:t xml:space="preserve"> the goodness of model fit</w:t>
      </w:r>
      <w:r>
        <w:rPr>
          <w:rFonts w:hint="default" w:ascii="Times New Roman Regular" w:hAnsi="Times New Roman Regular" w:cs="Times New Roman Regular"/>
          <w:color w:val="auto"/>
          <w:highlight w:val="none"/>
          <w:lang w:val="en-US"/>
        </w:rPr>
        <w:t xml:space="preserve"> </w:t>
      </w:r>
      <w:r>
        <w:rPr>
          <w:rFonts w:ascii="Times New Roman Regular" w:hAnsi="Times New Roman Regular" w:cs="Times New Roman Regular"/>
          <w:color w:val="auto"/>
          <w:highlight w:val="none"/>
        </w:rPr>
        <w:t>by plotting the negative log-likelihood function (lower values correspond to better model fit) against the π</w:t>
      </w:r>
      <w:r>
        <w:rPr>
          <w:rFonts w:ascii="Times New Roman Regular" w:hAnsi="Times New Roman Regular" w:cs="Times New Roman Regular"/>
          <w:color w:val="auto"/>
          <w:highlight w:val="none"/>
          <w:vertAlign w:val="subscript"/>
        </w:rPr>
        <w:t>12</w:t>
      </w:r>
      <w:r>
        <w:rPr>
          <w:rFonts w:ascii="Times New Roman Regular" w:hAnsi="Times New Roman Regular" w:cs="Times New Roman Regular"/>
          <w:color w:val="auto"/>
          <w:highlight w:val="none"/>
        </w:rPr>
        <w:t xml:space="preserve"> parameter (</w:t>
      </w:r>
      <w:r>
        <w:rPr>
          <w:rFonts w:hint="default" w:ascii="Times New Roman Regular" w:hAnsi="Times New Roman Regular" w:cs="Times New Roman Regular"/>
          <w:color w:val="auto"/>
          <w:highlight w:val="none"/>
          <w:lang w:val="en-US"/>
        </w:rPr>
        <w:t xml:space="preserve">the </w:t>
      </w:r>
      <w:r>
        <w:rPr>
          <w:rFonts w:ascii="Times New Roman Regular" w:hAnsi="Times New Roman Regular" w:cs="Times New Roman Regular"/>
          <w:color w:val="auto"/>
          <w:highlight w:val="none"/>
        </w:rPr>
        <w:t xml:space="preserve">number of influencing variants shared between two traits). </w:t>
      </w:r>
      <w:r>
        <w:rPr>
          <w:rFonts w:hint="eastAsia" w:ascii="Times New Roman Regular" w:hAnsi="Times New Roman Regular" w:cs="Times New Roman Regular"/>
          <w:color w:val="auto"/>
          <w:highlight w:val="none"/>
        </w:rPr>
        <w:t xml:space="preserve">The remaining parameters of the model were fixed </w:t>
      </w:r>
      <w:r>
        <w:rPr>
          <w:rFonts w:hint="default" w:ascii="Times New Roman Regular" w:hAnsi="Times New Roman Regular" w:cs="Times New Roman Regular"/>
          <w:color w:val="auto"/>
          <w:highlight w:val="none"/>
          <w:lang w:val="en-US"/>
        </w:rPr>
        <w:t>at</w:t>
      </w:r>
      <w:r>
        <w:rPr>
          <w:rFonts w:hint="eastAsia" w:ascii="Times New Roman Regular" w:hAnsi="Times New Roman Regular" w:cs="Times New Roman Regular"/>
          <w:color w:val="auto"/>
          <w:highlight w:val="none"/>
        </w:rPr>
        <w:t xml:space="preserve"> their estimated values.</w:t>
      </w:r>
      <w:r>
        <w:rPr>
          <w:rFonts w:ascii="Times New Roman Regular" w:hAnsi="Times New Roman Regular" w:cs="Times New Roman Regular"/>
          <w:color w:val="auto"/>
          <w:highlight w:val="none"/>
        </w:rPr>
        <w:t xml:space="preserve"> The π</w:t>
      </w:r>
      <w:r>
        <w:rPr>
          <w:rFonts w:ascii="Times New Roman Regular" w:hAnsi="Times New Roman Regular" w:cs="Times New Roman Regular"/>
          <w:color w:val="auto"/>
          <w:highlight w:val="none"/>
          <w:vertAlign w:val="subscript"/>
        </w:rPr>
        <w:t>12</w:t>
      </w:r>
      <w:r>
        <w:rPr>
          <w:rFonts w:ascii="Times New Roman Regular" w:hAnsi="Times New Roman Regular" w:cs="Times New Roman Regular"/>
          <w:color w:val="auto"/>
          <w:highlight w:val="none"/>
        </w:rPr>
        <w:t xml:space="preserve"> range on the log-likelihood plots </w:t>
      </w:r>
      <w:r>
        <w:rPr>
          <w:rFonts w:hint="eastAsia" w:ascii="Times New Roman Regular" w:hAnsi="Times New Roman Regular" w:cs="Times New Roman Regular"/>
          <w:color w:val="auto"/>
          <w:highlight w:val="none"/>
        </w:rPr>
        <w:t>spans from</w:t>
      </w:r>
      <w:r>
        <w:rPr>
          <w:rFonts w:ascii="Times New Roman Regular" w:hAnsi="Times New Roman Regular" w:cs="Times New Roman Regular"/>
          <w:color w:val="auto"/>
          <w:highlight w:val="none"/>
        </w:rPr>
        <w:t xml:space="preserve"> the smallest possible value π</w:t>
      </w:r>
      <w:r>
        <w:rPr>
          <w:rFonts w:ascii="Times New Roman Regular" w:hAnsi="Times New Roman Regular" w:cs="Times New Roman Regular"/>
          <w:color w:val="auto"/>
          <w:highlight w:val="none"/>
          <w:vertAlign w:val="subscript"/>
        </w:rPr>
        <w:t>12</w:t>
      </w:r>
      <w:r>
        <w:rPr>
          <w:rFonts w:ascii="Times New Roman Regular" w:hAnsi="Times New Roman Regular" w:cs="Times New Roman Regular"/>
          <w:color w:val="auto"/>
          <w:highlight w:val="none"/>
        </w:rPr>
        <w:t xml:space="preserve"> = </w:t>
      </w:r>
      <w:r>
        <w:rPr>
          <w:rFonts w:ascii="Times New Roman Italic" w:hAnsi="Times New Roman Italic" w:cs="Times New Roman Italic"/>
          <w:i/>
          <w:iCs/>
          <w:color w:val="auto"/>
          <w:highlight w:val="none"/>
        </w:rPr>
        <w:t>r</w:t>
      </w:r>
      <w:r>
        <w:rPr>
          <w:rFonts w:ascii="Times New Roman Italic" w:hAnsi="Times New Roman Italic" w:cs="Times New Roman Italic"/>
          <w:i/>
          <w:iCs/>
          <w:color w:val="auto"/>
          <w:highlight w:val="none"/>
          <w:vertAlign w:val="subscript"/>
        </w:rPr>
        <w:t>g</w:t>
      </w:r>
      <w:r>
        <w:rPr>
          <w:rFonts w:ascii="Times New Roman Regular" w:hAnsi="Times New Roman Regular" w:cs="Times New Roman Regular"/>
          <w:color w:val="auto"/>
          <w:highlight w:val="none"/>
        </w:rPr>
        <w:t>*sqrt(π</w:t>
      </w:r>
      <w:r>
        <w:rPr>
          <w:rFonts w:ascii="Times New Roman Regular" w:hAnsi="Times New Roman Regular" w:cs="Times New Roman Regular"/>
          <w:color w:val="auto"/>
          <w:highlight w:val="none"/>
          <w:vertAlign w:val="subscript"/>
        </w:rPr>
        <w:t>1u</w:t>
      </w:r>
      <w:r>
        <w:rPr>
          <w:rFonts w:ascii="Times New Roman Regular" w:hAnsi="Times New Roman Regular" w:cs="Times New Roman Regular"/>
          <w:color w:val="auto"/>
          <w:highlight w:val="none"/>
        </w:rPr>
        <w:t>, π</w:t>
      </w:r>
      <w:r>
        <w:rPr>
          <w:rFonts w:ascii="Times New Roman Regular" w:hAnsi="Times New Roman Regular" w:cs="Times New Roman Regular"/>
          <w:color w:val="auto"/>
          <w:highlight w:val="none"/>
          <w:vertAlign w:val="subscript"/>
        </w:rPr>
        <w:t>2u</w:t>
      </w:r>
      <w:r>
        <w:rPr>
          <w:rFonts w:ascii="Times New Roman Regular" w:hAnsi="Times New Roman Regular" w:cs="Times New Roman Regular"/>
          <w:color w:val="auto"/>
          <w:highlight w:val="none"/>
        </w:rPr>
        <w:t xml:space="preserve">) that </w:t>
      </w:r>
      <w:r>
        <w:rPr>
          <w:rFonts w:hint="default" w:ascii="Times New Roman Regular" w:hAnsi="Times New Roman Regular" w:cs="Times New Roman Regular"/>
          <w:color w:val="auto"/>
          <w:highlight w:val="none"/>
          <w:lang w:val="en-US"/>
        </w:rPr>
        <w:t>was</w:t>
      </w:r>
      <w:r>
        <w:rPr>
          <w:rFonts w:ascii="Times New Roman Regular" w:hAnsi="Times New Roman Regular" w:cs="Times New Roman Regular"/>
          <w:color w:val="auto"/>
          <w:highlight w:val="none"/>
        </w:rPr>
        <w:t xml:space="preserve"> still compatible with the estimated genetic correlation, up to the largest possible value π</w:t>
      </w:r>
      <w:r>
        <w:rPr>
          <w:rFonts w:ascii="Times New Roman Regular" w:hAnsi="Times New Roman Regular" w:cs="Times New Roman Regular"/>
          <w:color w:val="auto"/>
          <w:highlight w:val="none"/>
          <w:vertAlign w:val="subscript"/>
        </w:rPr>
        <w:t>12</w:t>
      </w:r>
      <w:r>
        <w:rPr>
          <w:rFonts w:ascii="Times New Roman Regular" w:hAnsi="Times New Roman Regular" w:cs="Times New Roman Regular"/>
          <w:color w:val="auto"/>
          <w:highlight w:val="none"/>
        </w:rPr>
        <w:t xml:space="preserve"> = min(π</w:t>
      </w:r>
      <w:r>
        <w:rPr>
          <w:rFonts w:ascii="Times New Roman Regular" w:hAnsi="Times New Roman Regular" w:cs="Times New Roman Regular"/>
          <w:color w:val="auto"/>
          <w:highlight w:val="none"/>
          <w:vertAlign w:val="subscript"/>
        </w:rPr>
        <w:t>1u</w:t>
      </w:r>
      <w:r>
        <w:rPr>
          <w:rFonts w:ascii="Times New Roman Regular" w:hAnsi="Times New Roman Regular" w:cs="Times New Roman Regular"/>
          <w:color w:val="auto"/>
          <w:highlight w:val="none"/>
        </w:rPr>
        <w:t>, π</w:t>
      </w:r>
      <w:r>
        <w:rPr>
          <w:rFonts w:ascii="Times New Roman Regular" w:hAnsi="Times New Roman Regular" w:cs="Times New Roman Regular"/>
          <w:color w:val="auto"/>
          <w:highlight w:val="none"/>
          <w:vertAlign w:val="subscript"/>
        </w:rPr>
        <w:t>2u</w:t>
      </w:r>
      <w:r>
        <w:rPr>
          <w:rFonts w:ascii="Times New Roman Regular" w:hAnsi="Times New Roman Regular" w:cs="Times New Roman Regular"/>
          <w:color w:val="auto"/>
          <w:highlight w:val="none"/>
        </w:rPr>
        <w:t>) that correspond</w:t>
      </w:r>
      <w:r>
        <w:rPr>
          <w:rFonts w:hint="default" w:ascii="Times New Roman Regular" w:hAnsi="Times New Roman Regular" w:cs="Times New Roman Regular"/>
          <w:color w:val="auto"/>
          <w:highlight w:val="none"/>
          <w:lang w:val="en-US"/>
        </w:rPr>
        <w:t>ed</w:t>
      </w:r>
      <w:r>
        <w:rPr>
          <w:rFonts w:ascii="Times New Roman Regular" w:hAnsi="Times New Roman Regular" w:cs="Times New Roman Regular"/>
          <w:color w:val="auto"/>
          <w:highlight w:val="none"/>
        </w:rPr>
        <w:t xml:space="preserve"> to the minimum total polygenicity among the two traits. </w:t>
      </w:r>
      <w:r>
        <w:rPr>
          <w:rFonts w:hint="eastAsia" w:ascii="Times New Roman Regular" w:hAnsi="Times New Roman Regular" w:cs="Times New Roman Regular"/>
          <w:color w:val="auto"/>
          <w:highlight w:val="none"/>
        </w:rPr>
        <w:t xml:space="preserve">The minimum point represents the best-fitting model estimate </w:t>
      </w:r>
      <w:r>
        <w:rPr>
          <w:rFonts w:hint="default" w:ascii="Times New Roman Regular" w:hAnsi="Times New Roman Regular" w:cs="Times New Roman Regular"/>
          <w:color w:val="auto"/>
          <w:highlight w:val="none"/>
          <w:lang w:val="en-US"/>
        </w:rPr>
        <w:t>of</w:t>
      </w:r>
      <w:r>
        <w:rPr>
          <w:rFonts w:hint="eastAsia" w:ascii="Times New Roman Regular" w:hAnsi="Times New Roman Regular" w:cs="Times New Roman Regular"/>
          <w:color w:val="auto"/>
          <w:highlight w:val="none"/>
        </w:rPr>
        <w:t xml:space="preserve"> the number of influencing variants shared between the two traits.</w:t>
      </w:r>
      <w:r>
        <w:rPr>
          <w:rFonts w:ascii="Arial Bold" w:hAnsi="Arial Bold" w:cs="Arial Bold"/>
          <w:b/>
          <w:bCs/>
          <w:color w:val="auto"/>
          <w:highlight w:val="none"/>
        </w:rPr>
        <w:br w:type="page"/>
      </w:r>
    </w:p>
    <w:p w14:paraId="41685470">
      <w:pPr>
        <w:rPr>
          <w:rFonts w:hint="eastAsia" w:ascii="Arial Bold" w:hAnsi="Arial Bold" w:cs="Arial Bold"/>
          <w:b/>
          <w:bCs/>
          <w:color w:val="auto"/>
          <w:highlight w:val="none"/>
        </w:rPr>
        <w:sectPr>
          <w:footerReference r:id="rId3" w:type="default"/>
          <w:pgSz w:w="11906" w:h="16838"/>
          <w:pgMar w:top="1440" w:right="1800" w:bottom="1440" w:left="1800" w:header="851" w:footer="992" w:gutter="0"/>
          <w:lnNumType w:countBy="0" w:restart="continuous"/>
          <w:pgNumType w:start="1"/>
          <w:cols w:space="425" w:num="1"/>
          <w:docGrid w:type="lines" w:linePitch="312" w:charSpace="0"/>
        </w:sectPr>
      </w:pPr>
    </w:p>
    <w:p w14:paraId="7A29CA8E">
      <w:pPr>
        <w:spacing w:line="360" w:lineRule="auto"/>
        <w:rPr>
          <w:rFonts w:hint="eastAsia" w:ascii="Arial Bold" w:hAnsi="Arial Bold" w:cs="Arial Bold" w:eastAsiaTheme="minorEastAsia"/>
          <w:b/>
          <w:bCs/>
          <w:color w:val="auto"/>
          <w:highlight w:val="none"/>
          <w:lang w:eastAsia="zh-CN"/>
        </w:rPr>
      </w:pPr>
      <w:r>
        <w:rPr>
          <w:rFonts w:hint="eastAsia" w:ascii="Arial Bold" w:hAnsi="Arial Bold" w:cs="Arial Bold" w:eastAsiaTheme="minorEastAsia"/>
          <w:b/>
          <w:bCs/>
          <w:color w:val="auto"/>
          <w:highlight w:val="none"/>
          <w:lang w:eastAsia="zh-CN"/>
        </w:rPr>
        <w:drawing>
          <wp:inline distT="0" distB="0" distL="114300" distR="114300">
            <wp:extent cx="8855075" cy="2944495"/>
            <wp:effectExtent l="0" t="0" r="9525" b="1905"/>
            <wp:docPr id="5" name="图片 5" descr="SFigure4_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Figure4_FX"/>
                    <pic:cNvPicPr>
                      <a:picLocks noChangeAspect="1"/>
                    </pic:cNvPicPr>
                  </pic:nvPicPr>
                  <pic:blipFill>
                    <a:blip r:embed="rId9"/>
                    <a:stretch>
                      <a:fillRect/>
                    </a:stretch>
                  </pic:blipFill>
                  <pic:spPr>
                    <a:xfrm>
                      <a:off x="0" y="0"/>
                      <a:ext cx="8855075" cy="2944495"/>
                    </a:xfrm>
                    <a:prstGeom prst="rect">
                      <a:avLst/>
                    </a:prstGeom>
                  </pic:spPr>
                </pic:pic>
              </a:graphicData>
            </a:graphic>
          </wp:inline>
        </w:drawing>
      </w:r>
    </w:p>
    <w:p w14:paraId="50FF7FAB">
      <w:pPr>
        <w:spacing w:line="360" w:lineRule="auto"/>
        <w:rPr>
          <w:rFonts w:hint="eastAsia" w:ascii="Times New Roman Bold" w:hAnsi="Times New Roman Bold" w:cs="Times New Roman Bold"/>
          <w:b/>
          <w:bCs/>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3</w:t>
      </w:r>
      <w:r>
        <w:rPr>
          <w:rFonts w:ascii="Times New Roman Bold" w:hAnsi="Times New Roman Bold" w:cs="Times New Roman Bold"/>
          <w:b/>
          <w:bCs/>
          <w:color w:val="auto"/>
          <w:highlight w:val="none"/>
        </w:rPr>
        <w:t xml:space="preserve">. The forest plot for associations between pairs of cardiovascular diseases in bidirectional MR analysis. </w:t>
      </w:r>
    </w:p>
    <w:p w14:paraId="49601B2C">
      <w:pPr>
        <w:spacing w:line="360" w:lineRule="auto"/>
        <w:rPr>
          <w:rFonts w:ascii="Times New Roman" w:hAnsi="Times New Roman" w:cs="Times New Roman"/>
          <w:color w:val="auto"/>
          <w:highlight w:val="none"/>
        </w:rPr>
        <w:sectPr>
          <w:pgSz w:w="16838" w:h="11906" w:orient="landscape"/>
          <w:pgMar w:top="1800" w:right="1440" w:bottom="1800" w:left="1440" w:header="851" w:footer="992" w:gutter="0"/>
          <w:lnNumType w:countBy="0" w:restart="continuous"/>
          <w:cols w:space="425" w:num="1"/>
          <w:docGrid w:type="lines" w:linePitch="312" w:charSpace="0"/>
        </w:sectPr>
      </w:pPr>
      <w:r>
        <w:rPr>
          <w:rFonts w:ascii="Times New Roman" w:hAnsi="Times New Roman" w:cs="Times New Roman"/>
          <w:color w:val="auto"/>
          <w:highlight w:val="none"/>
        </w:rPr>
        <w:t xml:space="preserve">The estimates presented in the forest plot were obtained using </w:t>
      </w:r>
      <w:r>
        <w:rPr>
          <w:rFonts w:hint="default" w:ascii="Times New Roman" w:hAnsi="Times New Roman" w:cs="Times New Roman"/>
          <w:color w:val="auto"/>
          <w:highlight w:val="none"/>
          <w:lang w:val="en-US"/>
        </w:rPr>
        <w:t xml:space="preserve">the </w:t>
      </w:r>
      <w:r>
        <w:rPr>
          <w:rFonts w:ascii="Times New Roman" w:hAnsi="Times New Roman" w:cs="Times New Roman"/>
          <w:color w:val="auto"/>
          <w:highlight w:val="none"/>
        </w:rPr>
        <w:t>MR</w:t>
      </w:r>
      <w:r>
        <w:rPr>
          <w:rFonts w:hint="default" w:ascii="Times New Roman" w:hAnsi="Times New Roman" w:cs="Times New Roman"/>
          <w:color w:val="auto"/>
          <w:highlight w:val="none"/>
          <w:lang w:val="en-US"/>
        </w:rPr>
        <w:t>lap</w:t>
      </w:r>
      <w:r>
        <w:rPr>
          <w:rFonts w:ascii="Times New Roman" w:hAnsi="Times New Roman" w:cs="Times New Roman"/>
          <w:color w:val="auto"/>
          <w:highlight w:val="none"/>
        </w:rPr>
        <w:t xml:space="preserve"> method. A positive association is indicated by </w:t>
      </w:r>
      <w:r>
        <w:rPr>
          <w:rFonts w:hint="default" w:ascii="Times New Roman" w:hAnsi="Times New Roman" w:cs="Times New Roman"/>
          <w:color w:val="auto"/>
          <w:highlight w:val="none"/>
          <w:lang w:val="en-US"/>
        </w:rPr>
        <w:t>an</w:t>
      </w:r>
      <w:r>
        <w:rPr>
          <w:rFonts w:ascii="Times New Roman" w:hAnsi="Times New Roman" w:cs="Times New Roman"/>
          <w:color w:val="auto"/>
          <w:highlight w:val="none"/>
        </w:rPr>
        <w:t xml:space="preserve"> odd</w:t>
      </w:r>
      <w:r>
        <w:rPr>
          <w:rFonts w:hint="default" w:ascii="Times New Roman" w:hAnsi="Times New Roman" w:cs="Times New Roman"/>
          <w:color w:val="auto"/>
          <w:highlight w:val="none"/>
          <w:lang w:val="en-US"/>
        </w:rPr>
        <w:t>s</w:t>
      </w:r>
      <w:r>
        <w:rPr>
          <w:rFonts w:ascii="Times New Roman" w:hAnsi="Times New Roman" w:cs="Times New Roman"/>
          <w:color w:val="auto"/>
          <w:highlight w:val="none"/>
        </w:rPr>
        <w:t xml:space="preserve"> ratio (OR &gt; 1), while a negative association is indicated by OR &lt; 1. The results of forward causality from </w:t>
      </w:r>
      <w:r>
        <w:rPr>
          <w:rFonts w:hint="default" w:ascii="Times New Roman" w:hAnsi="Times New Roman" w:cs="Times New Roman"/>
          <w:color w:val="auto"/>
          <w:highlight w:val="none"/>
          <w:lang w:val="en-US"/>
        </w:rPr>
        <w:t xml:space="preserve">the </w:t>
      </w:r>
      <w:r>
        <w:rPr>
          <w:rFonts w:ascii="Times New Roman" w:hAnsi="Times New Roman" w:cs="Times New Roman"/>
          <w:color w:val="auto"/>
          <w:highlight w:val="none"/>
        </w:rPr>
        <w:t>MR</w:t>
      </w:r>
      <w:r>
        <w:rPr>
          <w:rFonts w:hint="default" w:ascii="Times New Roman" w:hAnsi="Times New Roman" w:cs="Times New Roman"/>
          <w:color w:val="auto"/>
          <w:highlight w:val="none"/>
          <w:lang w:val="en-US"/>
        </w:rPr>
        <w:t>lap</w:t>
      </w:r>
      <w:r>
        <w:rPr>
          <w:rFonts w:ascii="Times New Roman" w:hAnsi="Times New Roman" w:cs="Times New Roman"/>
          <w:color w:val="auto"/>
          <w:highlight w:val="none"/>
        </w:rPr>
        <w:t xml:space="preserve"> method are </w:t>
      </w:r>
      <w:r>
        <w:rPr>
          <w:rFonts w:hint="default" w:ascii="Times New Roman" w:hAnsi="Times New Roman" w:cs="Times New Roman"/>
          <w:color w:val="auto"/>
          <w:highlight w:val="none"/>
          <w:lang w:val="en-US"/>
        </w:rPr>
        <w:t xml:space="preserve">shown </w:t>
      </w:r>
      <w:r>
        <w:rPr>
          <w:rFonts w:ascii="Times New Roman" w:hAnsi="Times New Roman" w:cs="Times New Roman"/>
          <w:color w:val="auto"/>
          <w:highlight w:val="none"/>
        </w:rPr>
        <w:t xml:space="preserve">in the left panel, and the results of reverse causality from </w:t>
      </w:r>
      <w:r>
        <w:rPr>
          <w:rFonts w:hint="default" w:ascii="Times New Roman" w:hAnsi="Times New Roman" w:cs="Times New Roman"/>
          <w:color w:val="auto"/>
          <w:highlight w:val="none"/>
          <w:lang w:val="en-US"/>
        </w:rPr>
        <w:t>M</w:t>
      </w:r>
      <w:r>
        <w:rPr>
          <w:rFonts w:ascii="Times New Roman" w:hAnsi="Times New Roman" w:cs="Times New Roman"/>
          <w:color w:val="auto"/>
          <w:highlight w:val="none"/>
        </w:rPr>
        <w:t>R</w:t>
      </w:r>
      <w:r>
        <w:rPr>
          <w:rFonts w:hint="default" w:ascii="Times New Roman" w:hAnsi="Times New Roman" w:cs="Times New Roman"/>
          <w:color w:val="auto"/>
          <w:highlight w:val="none"/>
          <w:lang w:val="en-US"/>
        </w:rPr>
        <w:t>lap</w:t>
      </w:r>
      <w:r>
        <w:rPr>
          <w:rFonts w:ascii="Times New Roman" w:hAnsi="Times New Roman" w:cs="Times New Roman"/>
          <w:color w:val="auto"/>
          <w:highlight w:val="none"/>
        </w:rPr>
        <w:t xml:space="preserve"> method are in the right panel.</w:t>
      </w:r>
    </w:p>
    <w:p w14:paraId="1AB65267">
      <w:pPr>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71770" cy="5166995"/>
            <wp:effectExtent l="0" t="0" r="11430" b="14605"/>
            <wp:docPr id="47" name="图片 47" descr="SFigur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SFigure5-1"/>
                    <pic:cNvPicPr>
                      <a:picLocks noChangeAspect="1"/>
                    </pic:cNvPicPr>
                  </pic:nvPicPr>
                  <pic:blipFill>
                    <a:blip r:embed="rId10"/>
                    <a:stretch>
                      <a:fillRect/>
                    </a:stretch>
                  </pic:blipFill>
                  <pic:spPr>
                    <a:xfrm>
                      <a:off x="0" y="0"/>
                      <a:ext cx="5271770" cy="5166995"/>
                    </a:xfrm>
                    <a:prstGeom prst="rect">
                      <a:avLst/>
                    </a:prstGeom>
                  </pic:spPr>
                </pic:pic>
              </a:graphicData>
            </a:graphic>
          </wp:inline>
        </w:drawing>
      </w:r>
    </w:p>
    <w:p w14:paraId="75DD6311">
      <w:pPr>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72405" cy="5107305"/>
            <wp:effectExtent l="0" t="0" r="10795" b="23495"/>
            <wp:docPr id="48" name="图片 48" descr="SFigur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SFigure5-2"/>
                    <pic:cNvPicPr>
                      <a:picLocks noChangeAspect="1"/>
                    </pic:cNvPicPr>
                  </pic:nvPicPr>
                  <pic:blipFill>
                    <a:blip r:embed="rId11"/>
                    <a:stretch>
                      <a:fillRect/>
                    </a:stretch>
                  </pic:blipFill>
                  <pic:spPr>
                    <a:xfrm>
                      <a:off x="0" y="0"/>
                      <a:ext cx="5272405" cy="5107305"/>
                    </a:xfrm>
                    <a:prstGeom prst="rect">
                      <a:avLst/>
                    </a:prstGeom>
                  </pic:spPr>
                </pic:pic>
              </a:graphicData>
            </a:graphic>
          </wp:inline>
        </w:drawing>
      </w:r>
    </w:p>
    <w:p w14:paraId="3C9DDCA0">
      <w:pPr>
        <w:spacing w:line="360" w:lineRule="auto"/>
        <w:rPr>
          <w:rFonts w:hint="default" w:ascii="Times New Roman Bold" w:hAnsi="Times New Roman Bold" w:cs="Times New Roman Bold"/>
          <w:b/>
          <w:color w:val="auto"/>
          <w:highlight w:val="none"/>
        </w:rPr>
      </w:pPr>
      <w:r>
        <w:rPr>
          <w:rFonts w:hint="default" w:ascii="Times New Roman Bold" w:hAnsi="Times New Roman Bold" w:cs="Times New Roman Bold"/>
          <w:b/>
          <w:color w:val="auto"/>
          <w:highlight w:val="none"/>
        </w:rPr>
        <w:drawing>
          <wp:inline distT="0" distB="0" distL="114300" distR="114300">
            <wp:extent cx="5267960" cy="5029200"/>
            <wp:effectExtent l="0" t="0" r="15240" b="0"/>
            <wp:docPr id="49" name="图片 49" descr="SFigur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SFigure5-3"/>
                    <pic:cNvPicPr>
                      <a:picLocks noChangeAspect="1"/>
                    </pic:cNvPicPr>
                  </pic:nvPicPr>
                  <pic:blipFill>
                    <a:blip r:embed="rId12"/>
                    <a:stretch>
                      <a:fillRect/>
                    </a:stretch>
                  </pic:blipFill>
                  <pic:spPr>
                    <a:xfrm>
                      <a:off x="0" y="0"/>
                      <a:ext cx="5267960" cy="5029200"/>
                    </a:xfrm>
                    <a:prstGeom prst="rect">
                      <a:avLst/>
                    </a:prstGeom>
                  </pic:spPr>
                </pic:pic>
              </a:graphicData>
            </a:graphic>
          </wp:inline>
        </w:drawing>
      </w:r>
    </w:p>
    <w:p w14:paraId="1496120B">
      <w:pPr>
        <w:spacing w:line="360" w:lineRule="auto"/>
        <w:rPr>
          <w:rFonts w:hint="eastAsia" w:ascii="Times New Roman Bold" w:hAnsi="Times New Roman Bold" w:cs="Times New Roman Bold"/>
          <w:b/>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4</w:t>
      </w:r>
      <w:r>
        <w:rPr>
          <w:rFonts w:ascii="Times New Roman Bold" w:hAnsi="Times New Roman Bold" w:cs="Times New Roman Bold"/>
          <w:b/>
          <w:color w:val="auto"/>
          <w:highlight w:val="none"/>
        </w:rPr>
        <w:t xml:space="preserve">. Manhattan plots for the single-trait GWAS results of each of the six cardiovascular diseases. </w:t>
      </w:r>
    </w:p>
    <w:p w14:paraId="22354341">
      <w:pPr>
        <w:spacing w:line="360" w:lineRule="auto"/>
        <w:rPr>
          <w:rFonts w:ascii="Times New Roman" w:hAnsi="Times New Roman" w:cs="Times New Roman"/>
          <w:bCs/>
          <w:color w:val="auto"/>
          <w:highlight w:val="none"/>
        </w:rPr>
      </w:pPr>
      <w:r>
        <w:rPr>
          <w:rFonts w:ascii="Times New Roman" w:hAnsi="Times New Roman" w:cs="Times New Roman"/>
          <w:bCs/>
          <w:color w:val="auto"/>
          <w:highlight w:val="none"/>
        </w:rPr>
        <w:t xml:space="preserve">The upper and lower panels display </w:t>
      </w:r>
      <w:r>
        <w:rPr>
          <w:rFonts w:hint="default" w:ascii="Times New Roman" w:hAnsi="Times New Roman" w:cs="Times New Roman"/>
          <w:bCs/>
          <w:color w:val="auto"/>
          <w:highlight w:val="none"/>
          <w:lang w:val="en-US"/>
        </w:rPr>
        <w:t xml:space="preserve">the </w:t>
      </w:r>
      <w:r>
        <w:rPr>
          <w:rFonts w:ascii="Times New Roman" w:hAnsi="Times New Roman" w:cs="Times New Roman"/>
          <w:bCs/>
          <w:color w:val="auto"/>
          <w:highlight w:val="none"/>
        </w:rPr>
        <w:t xml:space="preserve">MTAG and GWAS results, respectively. The X-axis </w:t>
      </w:r>
      <w:r>
        <w:rPr>
          <w:rFonts w:hint="eastAsia" w:ascii="Times New Roman" w:hAnsi="Times New Roman" w:cs="Times New Roman"/>
          <w:bCs/>
          <w:color w:val="auto"/>
          <w:highlight w:val="none"/>
        </w:rPr>
        <w:t>represents</w:t>
      </w:r>
      <w:r>
        <w:rPr>
          <w:rFonts w:ascii="Times New Roman" w:hAnsi="Times New Roman" w:cs="Times New Roman"/>
          <w:bCs/>
          <w:color w:val="auto"/>
          <w:highlight w:val="none"/>
        </w:rPr>
        <w:t xml:space="preserve"> the chromosomal position, and the Y-axis </w:t>
      </w:r>
      <w:r>
        <w:rPr>
          <w:rFonts w:hint="eastAsia" w:ascii="Times New Roman" w:hAnsi="Times New Roman" w:cs="Times New Roman"/>
          <w:bCs/>
          <w:color w:val="auto"/>
          <w:highlight w:val="none"/>
        </w:rPr>
        <w:t>represents</w:t>
      </w:r>
      <w:r>
        <w:rPr>
          <w:rFonts w:ascii="Times New Roman" w:hAnsi="Times New Roman" w:cs="Times New Roman"/>
          <w:bCs/>
          <w:color w:val="auto"/>
          <w:highlight w:val="none"/>
        </w:rPr>
        <w:t xml:space="preserve"> negative log10 transformed </w:t>
      </w:r>
      <w:r>
        <w:rPr>
          <w:rFonts w:ascii="Times New Roman Italic" w:hAnsi="Times New Roman Italic" w:cs="Times New Roman Italic"/>
          <w:bCs/>
          <w:i/>
          <w:iCs/>
          <w:color w:val="auto"/>
          <w:highlight w:val="none"/>
        </w:rPr>
        <w:t>P</w:t>
      </w:r>
      <w:r>
        <w:rPr>
          <w:rFonts w:ascii="Times New Roman" w:hAnsi="Times New Roman" w:cs="Times New Roman"/>
          <w:bCs/>
          <w:color w:val="auto"/>
          <w:highlight w:val="none"/>
        </w:rPr>
        <w:t xml:space="preserve">-values for each SNP. The cytoband annotations for the newly identified genomic loci are </w:t>
      </w:r>
      <w:r>
        <w:rPr>
          <w:rFonts w:hint="default" w:ascii="Times New Roman" w:hAnsi="Times New Roman" w:cs="Times New Roman"/>
          <w:bCs/>
          <w:color w:val="auto"/>
          <w:highlight w:val="none"/>
          <w:lang w:val="en-US"/>
        </w:rPr>
        <w:t xml:space="preserve">shown </w:t>
      </w:r>
      <w:r>
        <w:rPr>
          <w:rFonts w:ascii="Times New Roman" w:hAnsi="Times New Roman" w:cs="Times New Roman"/>
          <w:bCs/>
          <w:color w:val="auto"/>
          <w:highlight w:val="none"/>
        </w:rPr>
        <w:t xml:space="preserve">in gray. The </w:t>
      </w:r>
      <w:r>
        <w:rPr>
          <w:rFonts w:hint="default" w:ascii="Times New Roman" w:hAnsi="Times New Roman" w:cs="Times New Roman"/>
          <w:bCs/>
          <w:color w:val="auto"/>
          <w:highlight w:val="none"/>
          <w:lang w:val="en-US"/>
        </w:rPr>
        <w:t xml:space="preserve">red </w:t>
      </w:r>
      <w:r>
        <w:rPr>
          <w:rFonts w:ascii="Times New Roman" w:hAnsi="Times New Roman" w:cs="Times New Roman"/>
          <w:bCs/>
          <w:color w:val="auto"/>
          <w:highlight w:val="none"/>
        </w:rPr>
        <w:t xml:space="preserve">dotted lines indicate the genome-wide significant </w:t>
      </w:r>
      <w:r>
        <w:rPr>
          <w:rFonts w:ascii="Times New Roman Italic" w:hAnsi="Times New Roman Italic" w:cs="Times New Roman Italic"/>
          <w:bCs/>
          <w:i/>
          <w:iCs/>
          <w:color w:val="auto"/>
          <w:highlight w:val="none"/>
        </w:rPr>
        <w:t>P</w:t>
      </w:r>
      <w:r>
        <w:rPr>
          <w:rFonts w:ascii="Times New Roman" w:hAnsi="Times New Roman" w:cs="Times New Roman"/>
          <w:bCs/>
          <w:color w:val="auto"/>
          <w:highlight w:val="none"/>
        </w:rPr>
        <w:t>-value of −log10 (5</w:t>
      </w:r>
      <w:r>
        <w:rPr>
          <w:rFonts w:hint="default" w:ascii="Times New Roman Regular" w:hAnsi="Times New Roman Regular" w:cs="Times New Roman Regular"/>
          <w:color w:val="auto"/>
          <w:szCs w:val="21"/>
          <w:highlight w:val="none"/>
          <w:lang w:eastAsia="zh-Hans"/>
        </w:rPr>
        <w:t xml:space="preserve"> × </w:t>
      </w:r>
      <w:r>
        <w:rPr>
          <w:rFonts w:ascii="Times New Roman" w:hAnsi="Times New Roman" w:cs="Times New Roman"/>
          <w:bCs/>
          <w:color w:val="auto"/>
          <w:highlight w:val="none"/>
        </w:rPr>
        <w:t>10</w:t>
      </w:r>
      <w:r>
        <w:rPr>
          <w:rFonts w:ascii="Times New Roman" w:hAnsi="Times New Roman" w:cs="Times New Roman"/>
          <w:bCs/>
          <w:color w:val="auto"/>
          <w:highlight w:val="none"/>
          <w:vertAlign w:val="superscript"/>
        </w:rPr>
        <w:t>−8</w:t>
      </w:r>
      <w:r>
        <w:rPr>
          <w:rFonts w:ascii="Times New Roman" w:hAnsi="Times New Roman" w:cs="Times New Roman"/>
          <w:bCs/>
          <w:color w:val="auto"/>
          <w:highlight w:val="none"/>
        </w:rPr>
        <w:t xml:space="preserve">). Colorful dots indicate an independent genome-wide significant association with the smallest </w:t>
      </w:r>
      <w:r>
        <w:rPr>
          <w:rFonts w:ascii="Times New Roman Italic" w:hAnsi="Times New Roman Italic" w:cs="Times New Roman Italic"/>
          <w:bCs/>
          <w:i/>
          <w:iCs/>
          <w:color w:val="auto"/>
          <w:highlight w:val="none"/>
        </w:rPr>
        <w:t>P</w:t>
      </w:r>
      <w:r>
        <w:rPr>
          <w:rFonts w:ascii="Times New Roman" w:hAnsi="Times New Roman" w:cs="Times New Roman"/>
          <w:bCs/>
          <w:color w:val="auto"/>
          <w:highlight w:val="none"/>
        </w:rPr>
        <w:t>-value (Top lead SNP). Only SNPs shared across all summary statistics were included.</w:t>
      </w:r>
    </w:p>
    <w:p w14:paraId="094AEAFA">
      <w:pPr>
        <w:spacing w:line="360" w:lineRule="auto"/>
        <w:rPr>
          <w:rFonts w:ascii="Times New Roman" w:hAnsi="Times New Roman" w:cs="Times New Roman"/>
          <w:bCs/>
          <w:color w:val="auto"/>
          <w:highlight w:val="none"/>
        </w:rPr>
      </w:pPr>
    </w:p>
    <w:p w14:paraId="7C2E93CB">
      <w:pPr>
        <w:rPr>
          <w:rFonts w:hint="eastAsia" w:ascii="Arial Bold" w:hAnsi="Arial Bold" w:cs="Arial Bold"/>
          <w:b/>
          <w:bCs/>
          <w:color w:val="auto"/>
          <w:highlight w:val="none"/>
        </w:rPr>
      </w:pPr>
      <w:r>
        <w:rPr>
          <w:rFonts w:ascii="Arial Bold" w:hAnsi="Arial Bold" w:cs="Arial Bold"/>
          <w:b/>
          <w:bCs/>
          <w:color w:val="auto"/>
          <w:highlight w:val="none"/>
        </w:rPr>
        <w:t xml:space="preserve"> </w:t>
      </w:r>
    </w:p>
    <w:p w14:paraId="60330DFE">
      <w:pPr>
        <w:rPr>
          <w:rFonts w:hint="eastAsia" w:ascii="Arial Bold" w:hAnsi="Arial Bold" w:cs="Arial Bold"/>
          <w:b/>
          <w:bCs/>
          <w:color w:val="auto"/>
          <w:highlight w:val="none"/>
        </w:rPr>
      </w:pPr>
    </w:p>
    <w:p w14:paraId="2F180ABF">
      <w:pPr>
        <w:rPr>
          <w:rFonts w:hint="eastAsia" w:ascii="Arial Bold" w:hAnsi="Arial Bold" w:cs="Arial Bold"/>
          <w:b/>
          <w:bCs/>
          <w:color w:val="auto"/>
          <w:highlight w:val="none"/>
        </w:rPr>
      </w:pPr>
    </w:p>
    <w:p w14:paraId="70D75B86">
      <w:pPr>
        <w:rPr>
          <w:rFonts w:hint="eastAsia" w:ascii="Arial Bold" w:hAnsi="Arial Bold" w:cs="Arial Bold"/>
          <w:b/>
          <w:bCs/>
          <w:color w:val="auto"/>
          <w:highlight w:val="none"/>
        </w:rPr>
      </w:pPr>
    </w:p>
    <w:p w14:paraId="3BEFA725">
      <w:pPr>
        <w:rPr>
          <w:color w:val="auto"/>
          <w:highlight w:val="none"/>
        </w:rPr>
      </w:pPr>
    </w:p>
    <w:p w14:paraId="19F547B7">
      <w:pPr>
        <w:rPr>
          <w:color w:val="auto"/>
          <w:highlight w:val="none"/>
        </w:rPr>
      </w:pPr>
      <w:r>
        <w:rPr>
          <w:color w:val="auto"/>
          <w:highlight w:val="none"/>
        </w:rPr>
        <w:drawing>
          <wp:inline distT="0" distB="0" distL="114300" distR="114300">
            <wp:extent cx="5271770" cy="5367020"/>
            <wp:effectExtent l="0" t="0" r="11430" b="17780"/>
            <wp:docPr id="44" name="图片 44" descr="SFigur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SFigure6-1"/>
                    <pic:cNvPicPr>
                      <a:picLocks noChangeAspect="1"/>
                    </pic:cNvPicPr>
                  </pic:nvPicPr>
                  <pic:blipFill>
                    <a:blip r:embed="rId13"/>
                    <a:stretch>
                      <a:fillRect/>
                    </a:stretch>
                  </pic:blipFill>
                  <pic:spPr>
                    <a:xfrm>
                      <a:off x="0" y="0"/>
                      <a:ext cx="5271770" cy="5367020"/>
                    </a:xfrm>
                    <a:prstGeom prst="rect">
                      <a:avLst/>
                    </a:prstGeom>
                  </pic:spPr>
                </pic:pic>
              </a:graphicData>
            </a:graphic>
          </wp:inline>
        </w:drawing>
      </w:r>
    </w:p>
    <w:p w14:paraId="05FBC08B">
      <w:pPr>
        <w:rPr>
          <w:color w:val="auto"/>
          <w:highlight w:val="none"/>
        </w:rPr>
      </w:pPr>
      <w:r>
        <w:rPr>
          <w:rFonts w:hint="default"/>
          <w:color w:val="auto"/>
          <w:highlight w:val="none"/>
        </w:rPr>
        <w:drawing>
          <wp:inline distT="0" distB="0" distL="114300" distR="114300">
            <wp:extent cx="5267325" cy="5443220"/>
            <wp:effectExtent l="0" t="0" r="15875" b="17780"/>
            <wp:docPr id="45" name="图片 45" descr="SFigur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SFigure6-2"/>
                    <pic:cNvPicPr>
                      <a:picLocks noChangeAspect="1"/>
                    </pic:cNvPicPr>
                  </pic:nvPicPr>
                  <pic:blipFill>
                    <a:blip r:embed="rId14"/>
                    <a:stretch>
                      <a:fillRect/>
                    </a:stretch>
                  </pic:blipFill>
                  <pic:spPr>
                    <a:xfrm>
                      <a:off x="0" y="0"/>
                      <a:ext cx="5267325" cy="5443220"/>
                    </a:xfrm>
                    <a:prstGeom prst="rect">
                      <a:avLst/>
                    </a:prstGeom>
                  </pic:spPr>
                </pic:pic>
              </a:graphicData>
            </a:graphic>
          </wp:inline>
        </w:drawing>
      </w:r>
    </w:p>
    <w:p w14:paraId="74BF66E4">
      <w:pPr>
        <w:rPr>
          <w:color w:val="auto"/>
          <w:highlight w:val="none"/>
        </w:rPr>
      </w:pPr>
      <w:r>
        <w:rPr>
          <w:color w:val="auto"/>
          <w:highlight w:val="none"/>
        </w:rPr>
        <w:drawing>
          <wp:inline distT="0" distB="0" distL="114300" distR="114300">
            <wp:extent cx="5273040" cy="5520055"/>
            <wp:effectExtent l="0" t="0" r="10160" b="17145"/>
            <wp:docPr id="46" name="图片 46" descr="SFigur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SFigure6-3"/>
                    <pic:cNvPicPr>
                      <a:picLocks noChangeAspect="1"/>
                    </pic:cNvPicPr>
                  </pic:nvPicPr>
                  <pic:blipFill>
                    <a:blip r:embed="rId15"/>
                    <a:stretch>
                      <a:fillRect/>
                    </a:stretch>
                  </pic:blipFill>
                  <pic:spPr>
                    <a:xfrm>
                      <a:off x="0" y="0"/>
                      <a:ext cx="5273040" cy="5520055"/>
                    </a:xfrm>
                    <a:prstGeom prst="rect">
                      <a:avLst/>
                    </a:prstGeom>
                  </pic:spPr>
                </pic:pic>
              </a:graphicData>
            </a:graphic>
          </wp:inline>
        </w:drawing>
      </w:r>
    </w:p>
    <w:p w14:paraId="502E0E4D">
      <w:pPr>
        <w:spacing w:line="360" w:lineRule="auto"/>
        <w:rPr>
          <w:rFonts w:hint="eastAsia" w:ascii="Times New Roman Bold" w:hAnsi="Times New Roman Bold" w:cs="Times New Roman Bold"/>
          <w:b/>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5</w:t>
      </w:r>
      <w:r>
        <w:rPr>
          <w:rFonts w:ascii="Times New Roman Bold" w:hAnsi="Times New Roman Bold" w:cs="Times New Roman Bold"/>
          <w:b/>
          <w:color w:val="auto"/>
          <w:highlight w:val="none"/>
        </w:rPr>
        <w:t xml:space="preserve">. Quantile-quantile (Q-Q) plots for the single-trait GWAS and MTAG results of each of the six cardiovascular diseases. </w:t>
      </w:r>
    </w:p>
    <w:p w14:paraId="61BEA694">
      <w:pPr>
        <w:spacing w:line="360" w:lineRule="auto"/>
        <w:rPr>
          <w:rFonts w:ascii="Times New Roman" w:hAnsi="Times New Roman" w:cs="Times New Roman"/>
          <w:bCs/>
          <w:color w:val="auto"/>
          <w:highlight w:val="none"/>
        </w:rPr>
      </w:pPr>
      <w:r>
        <w:rPr>
          <w:rFonts w:ascii="Times New Roman" w:hAnsi="Times New Roman" w:cs="Times New Roman"/>
          <w:bCs/>
          <w:color w:val="auto"/>
          <w:highlight w:val="none"/>
        </w:rPr>
        <w:t xml:space="preserve">The left and right panels display </w:t>
      </w:r>
      <w:r>
        <w:rPr>
          <w:rFonts w:hint="default" w:ascii="Times New Roman" w:hAnsi="Times New Roman" w:cs="Times New Roman"/>
          <w:bCs/>
          <w:color w:val="auto"/>
          <w:highlight w:val="none"/>
          <w:lang w:val="en-US"/>
        </w:rPr>
        <w:t xml:space="preserve">the </w:t>
      </w:r>
      <w:r>
        <w:rPr>
          <w:rFonts w:ascii="Times New Roman" w:hAnsi="Times New Roman" w:cs="Times New Roman"/>
          <w:bCs/>
          <w:color w:val="auto"/>
          <w:highlight w:val="none"/>
        </w:rPr>
        <w:t>MTAG and GWAS results, respectively.</w:t>
      </w:r>
    </w:p>
    <w:p w14:paraId="188887D0">
      <w:pPr>
        <w:rPr>
          <w:rFonts w:hint="eastAsia" w:ascii="Arial Bold" w:hAnsi="Arial Bold" w:cs="Arial Bold"/>
          <w:b/>
          <w:bCs/>
          <w:color w:val="auto"/>
          <w:highlight w:val="none"/>
        </w:rPr>
      </w:pPr>
    </w:p>
    <w:p w14:paraId="11DA4007">
      <w:pPr>
        <w:rPr>
          <w:rFonts w:hint="eastAsia" w:ascii="Arial Bold" w:hAnsi="Arial Bold" w:cs="Arial Bold"/>
          <w:b/>
          <w:bCs/>
          <w:color w:val="auto"/>
          <w:highlight w:val="none"/>
        </w:rPr>
      </w:pPr>
    </w:p>
    <w:p w14:paraId="2B6B5378">
      <w:pPr>
        <w:rPr>
          <w:rFonts w:hint="eastAsia" w:ascii="Arial Bold" w:hAnsi="Arial Bold" w:cs="Arial Bold"/>
          <w:b/>
          <w:bCs/>
          <w:color w:val="auto"/>
          <w:highlight w:val="none"/>
        </w:rPr>
      </w:pPr>
    </w:p>
    <w:p w14:paraId="26A85568">
      <w:pPr>
        <w:rPr>
          <w:rFonts w:hint="eastAsia" w:ascii="Arial Bold" w:hAnsi="Arial Bold" w:cs="Arial Bold"/>
          <w:b/>
          <w:bCs/>
          <w:color w:val="auto"/>
          <w:highlight w:val="none"/>
        </w:rPr>
      </w:pPr>
    </w:p>
    <w:p w14:paraId="521F7842">
      <w:pPr>
        <w:rPr>
          <w:rFonts w:hint="eastAsia" w:ascii="Arial Bold" w:hAnsi="Arial Bold" w:cs="Arial Bold"/>
          <w:b/>
          <w:bCs/>
          <w:color w:val="auto"/>
          <w:highlight w:val="none"/>
        </w:rPr>
      </w:pPr>
      <w:r>
        <w:rPr>
          <w:rFonts w:ascii="Arial Bold" w:hAnsi="Arial Bold" w:cs="Arial Bold"/>
          <w:b/>
          <w:bCs/>
          <w:color w:val="auto"/>
          <w:highlight w:val="none"/>
        </w:rPr>
        <w:t xml:space="preserve"> </w:t>
      </w:r>
    </w:p>
    <w:p w14:paraId="37130ADC">
      <w:pPr>
        <w:rPr>
          <w:rFonts w:hint="eastAsia" w:ascii="Arial Bold" w:hAnsi="Arial Bold" w:cs="Arial Bold"/>
          <w:b/>
          <w:bCs/>
          <w:color w:val="auto"/>
          <w:highlight w:val="none"/>
        </w:rPr>
      </w:pPr>
    </w:p>
    <w:p w14:paraId="09BE4A44">
      <w:pPr>
        <w:rPr>
          <w:rFonts w:hint="eastAsia" w:ascii="Arial Bold" w:hAnsi="Arial Bold" w:cs="Arial Bold"/>
          <w:b/>
          <w:bCs/>
          <w:color w:val="auto"/>
          <w:highlight w:val="none"/>
        </w:rPr>
      </w:pPr>
    </w:p>
    <w:p w14:paraId="2128DBFE">
      <w:pPr>
        <w:rPr>
          <w:rFonts w:hint="eastAsia" w:ascii="Arial Bold" w:hAnsi="Arial Bold" w:cs="Arial Bold"/>
          <w:b/>
          <w:bCs/>
          <w:color w:val="auto"/>
          <w:highlight w:val="none"/>
        </w:rPr>
      </w:pPr>
    </w:p>
    <w:p w14:paraId="0AE1C3C5">
      <w:pPr>
        <w:rPr>
          <w:rFonts w:hint="eastAsia" w:ascii="Arial Bold" w:hAnsi="Arial Bold" w:cs="Arial Bold"/>
          <w:b/>
          <w:bCs/>
          <w:color w:val="auto"/>
          <w:highlight w:val="none"/>
        </w:rPr>
      </w:pPr>
    </w:p>
    <w:p w14:paraId="68DE33F4">
      <w:pPr>
        <w:rPr>
          <w:rFonts w:hint="eastAsia" w:ascii="Arial Bold" w:hAnsi="Arial Bold" w:cs="Arial Bold"/>
          <w:b/>
          <w:bCs/>
          <w:color w:val="auto"/>
          <w:highlight w:val="none"/>
        </w:rPr>
      </w:pPr>
    </w:p>
    <w:p w14:paraId="41423E18">
      <w:pPr>
        <w:rPr>
          <w:rFonts w:hint="eastAsia" w:ascii="Arial Bold" w:hAnsi="Arial Bold" w:cs="Arial Bold"/>
          <w:b/>
          <w:bCs/>
          <w:color w:val="auto"/>
          <w:highlight w:val="none"/>
        </w:rPr>
      </w:pPr>
    </w:p>
    <w:p w14:paraId="27A3ED91">
      <w:pPr>
        <w:rPr>
          <w:rFonts w:hint="eastAsia" w:ascii="Arial Bold" w:hAnsi="Arial Bold" w:cs="Arial Bold"/>
          <w:b/>
          <w:bCs/>
          <w:color w:val="auto"/>
          <w:highlight w:val="none"/>
        </w:rPr>
      </w:pPr>
    </w:p>
    <w:p w14:paraId="4D9DF852">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69865" cy="2169160"/>
            <wp:effectExtent l="0" t="0" r="13335" b="15240"/>
            <wp:docPr id="23" name="图片 23" descr="S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Figure5"/>
                    <pic:cNvPicPr>
                      <a:picLocks noChangeAspect="1"/>
                    </pic:cNvPicPr>
                  </pic:nvPicPr>
                  <pic:blipFill>
                    <a:blip r:embed="rId16"/>
                    <a:stretch>
                      <a:fillRect/>
                    </a:stretch>
                  </pic:blipFill>
                  <pic:spPr>
                    <a:xfrm>
                      <a:off x="0" y="0"/>
                      <a:ext cx="5269865" cy="2169160"/>
                    </a:xfrm>
                    <a:prstGeom prst="rect">
                      <a:avLst/>
                    </a:prstGeom>
                  </pic:spPr>
                </pic:pic>
              </a:graphicData>
            </a:graphic>
          </wp:inline>
        </w:drawing>
      </w:r>
    </w:p>
    <w:p w14:paraId="6793208B">
      <w:pPr>
        <w:spacing w:line="360" w:lineRule="auto"/>
        <w:rPr>
          <w:rFonts w:hint="eastAsia" w:ascii="Times New Roman Bold" w:hAnsi="Times New Roman Bold" w:cs="Times New Roman Bold"/>
          <w:b/>
          <w:color w:val="auto"/>
          <w:highlight w:val="none"/>
        </w:rPr>
      </w:pPr>
      <w:r>
        <w:rPr>
          <w:rFonts w:ascii="Times New Roman Bold" w:hAnsi="Times New Roman Bold" w:cs="Times New Roman Bold"/>
          <w:b/>
          <w:color w:val="auto"/>
          <w:highlight w:val="none"/>
        </w:rPr>
        <w:t xml:space="preserve">Supplementary Fig. </w:t>
      </w:r>
      <w:r>
        <w:rPr>
          <w:rFonts w:hint="eastAsia" w:ascii="Times New Roman Bold" w:hAnsi="Times New Roman Bold" w:cs="Times New Roman Bold"/>
          <w:b/>
          <w:color w:val="auto"/>
          <w:highlight w:val="none"/>
          <w:lang w:val="en-US" w:eastAsia="zh-CN"/>
        </w:rPr>
        <w:t>6</w:t>
      </w:r>
      <w:r>
        <w:rPr>
          <w:rFonts w:ascii="Times New Roman Bold" w:hAnsi="Times New Roman Bold" w:cs="Times New Roman Bold"/>
          <w:b/>
          <w:color w:val="auto"/>
          <w:highlight w:val="none"/>
        </w:rPr>
        <w:t xml:space="preserve">. Manhattan plots for the CPASSOC results of the six cardiovascular diseases. </w:t>
      </w:r>
    </w:p>
    <w:p w14:paraId="23B341F8">
      <w:pPr>
        <w:spacing w:line="360" w:lineRule="auto"/>
        <w:rPr>
          <w:rFonts w:hint="eastAsia"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 xml:space="preserve">The X-axis </w:t>
      </w:r>
      <w:r>
        <w:rPr>
          <w:rFonts w:hint="eastAsia" w:ascii="Times New Roman Regular" w:hAnsi="Times New Roman Regular" w:cs="Times New Roman Regular"/>
          <w:color w:val="auto"/>
          <w:highlight w:val="none"/>
        </w:rPr>
        <w:t>represents</w:t>
      </w:r>
      <w:r>
        <w:rPr>
          <w:rFonts w:ascii="Times New Roman Regular" w:hAnsi="Times New Roman Regular" w:cs="Times New Roman Regular"/>
          <w:color w:val="auto"/>
          <w:highlight w:val="none"/>
        </w:rPr>
        <w:t xml:space="preserve"> the chromosomal position, and the Y-axis </w:t>
      </w:r>
      <w:r>
        <w:rPr>
          <w:rFonts w:hint="eastAsia" w:ascii="Times New Roman Regular" w:hAnsi="Times New Roman Regular" w:cs="Times New Roman Regular"/>
          <w:color w:val="auto"/>
          <w:highlight w:val="none"/>
        </w:rPr>
        <w:t>represents</w:t>
      </w:r>
      <w:r>
        <w:rPr>
          <w:rFonts w:ascii="Times New Roman Regular" w:hAnsi="Times New Roman Regular" w:cs="Times New Roman Regular"/>
          <w:color w:val="auto"/>
          <w:highlight w:val="none"/>
        </w:rPr>
        <w:t xml:space="preserve"> negative log10 transformed </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 xml:space="preserve">-values for each SNP. The </w:t>
      </w:r>
      <w:r>
        <w:rPr>
          <w:rFonts w:hint="default" w:ascii="Times New Roman Regular" w:hAnsi="Times New Roman Regular" w:cs="Times New Roman Regular"/>
          <w:color w:val="auto"/>
          <w:highlight w:val="none"/>
          <w:lang w:val="en-US"/>
        </w:rPr>
        <w:t xml:space="preserve">red </w:t>
      </w:r>
      <w:r>
        <w:rPr>
          <w:rFonts w:ascii="Times New Roman Regular" w:hAnsi="Times New Roman Regular" w:cs="Times New Roman Regular"/>
          <w:color w:val="auto"/>
          <w:highlight w:val="none"/>
        </w:rPr>
        <w:t xml:space="preserve">dotted lines indicate the genome-wide significant </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 xml:space="preserve">-value of </w:t>
      </w:r>
      <w:r>
        <w:rPr>
          <w:rFonts w:hint="default" w:ascii="Times New Roman Regular" w:hAnsi="Times New Roman Regular" w:cs="Times New Roman Regular"/>
          <w:color w:val="auto"/>
          <w:highlight w:val="none"/>
        </w:rPr>
        <w:t>-</w:t>
      </w:r>
      <w:r>
        <w:rPr>
          <w:rFonts w:ascii="Times New Roman Regular" w:hAnsi="Times New Roman Regular" w:cs="Times New Roman Regular"/>
          <w:color w:val="auto"/>
          <w:highlight w:val="none"/>
        </w:rPr>
        <w:t>log10 (5</w:t>
      </w:r>
      <w:r>
        <w:rPr>
          <w:rFonts w:hint="default" w:ascii="Times New Roman Regular" w:hAnsi="Times New Roman Regular" w:cs="Times New Roman Regular"/>
          <w:color w:val="auto"/>
          <w:szCs w:val="21"/>
          <w:highlight w:val="none"/>
          <w:lang w:eastAsia="zh-Hans"/>
        </w:rPr>
        <w:t xml:space="preserve"> × </w:t>
      </w:r>
      <w:r>
        <w:rPr>
          <w:rFonts w:ascii="Times New Roman Regular" w:hAnsi="Times New Roman Regular" w:cs="Times New Roman Regular"/>
          <w:color w:val="auto"/>
          <w:highlight w:val="none"/>
        </w:rPr>
        <w:t>10</w:t>
      </w:r>
      <w:r>
        <w:rPr>
          <w:rFonts w:ascii="Times New Roman Regular" w:hAnsi="Times New Roman Regular" w:cs="Times New Roman Regular"/>
          <w:color w:val="auto"/>
          <w:highlight w:val="none"/>
          <w:vertAlign w:val="superscript"/>
        </w:rPr>
        <w:t>−8</w:t>
      </w:r>
      <w:r>
        <w:rPr>
          <w:rFonts w:ascii="Times New Roman Regular" w:hAnsi="Times New Roman Regular" w:cs="Times New Roman Regular"/>
          <w:color w:val="auto"/>
          <w:highlight w:val="none"/>
        </w:rPr>
        <w:t xml:space="preserve">). Colorful dots indicate an independent genome-wide significant association with the smallest </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-value (Top lead SNP).</w:t>
      </w:r>
    </w:p>
    <w:p w14:paraId="4BADC630">
      <w:pPr>
        <w:rPr>
          <w:rFonts w:hint="eastAsia" w:ascii="Arial Bold" w:hAnsi="Arial Bold" w:cs="Arial Bold"/>
          <w:b/>
          <w:bCs/>
          <w:color w:val="auto"/>
          <w:highlight w:val="none"/>
        </w:rPr>
      </w:pPr>
    </w:p>
    <w:p w14:paraId="18424974">
      <w:pPr>
        <w:rPr>
          <w:rFonts w:hint="eastAsia" w:ascii="Arial Bold" w:hAnsi="Arial Bold" w:cs="Arial Bold"/>
          <w:b/>
          <w:bCs/>
          <w:color w:val="auto"/>
          <w:highlight w:val="none"/>
        </w:rPr>
      </w:pPr>
    </w:p>
    <w:p w14:paraId="5FB01ECC">
      <w:pPr>
        <w:rPr>
          <w:rFonts w:hint="eastAsia" w:ascii="Arial Bold" w:hAnsi="Arial Bold" w:cs="Arial Bold"/>
          <w:b/>
          <w:bCs/>
          <w:color w:val="auto"/>
          <w:highlight w:val="none"/>
        </w:rPr>
      </w:pPr>
    </w:p>
    <w:p w14:paraId="34A59C1D">
      <w:pPr>
        <w:rPr>
          <w:rFonts w:hint="eastAsia" w:ascii="Arial Bold" w:hAnsi="Arial Bold" w:cs="Arial Bold"/>
          <w:b/>
          <w:bCs/>
          <w:color w:val="auto"/>
          <w:highlight w:val="none"/>
        </w:rPr>
      </w:pPr>
    </w:p>
    <w:p w14:paraId="69D2C346">
      <w:pPr>
        <w:rPr>
          <w:rFonts w:hint="eastAsia" w:ascii="Arial Bold" w:hAnsi="Arial Bold" w:cs="Arial Bold"/>
          <w:b/>
          <w:bCs/>
          <w:color w:val="auto"/>
          <w:highlight w:val="none"/>
        </w:rPr>
      </w:pPr>
    </w:p>
    <w:p w14:paraId="517BEDB5">
      <w:pPr>
        <w:rPr>
          <w:rFonts w:hint="eastAsia" w:ascii="Arial Bold" w:hAnsi="Arial Bold" w:cs="Arial Bold"/>
          <w:b/>
          <w:bCs/>
          <w:color w:val="auto"/>
          <w:highlight w:val="none"/>
        </w:rPr>
      </w:pPr>
    </w:p>
    <w:p w14:paraId="1E991416">
      <w:pPr>
        <w:rPr>
          <w:rFonts w:hint="eastAsia" w:ascii="Arial Bold" w:hAnsi="Arial Bold" w:cs="Arial Bold"/>
          <w:b/>
          <w:bCs/>
          <w:color w:val="auto"/>
          <w:highlight w:val="none"/>
        </w:rPr>
      </w:pPr>
    </w:p>
    <w:p w14:paraId="7318E09C">
      <w:pPr>
        <w:rPr>
          <w:rFonts w:hint="eastAsia" w:ascii="Arial Bold" w:hAnsi="Arial Bold" w:cs="Arial Bold"/>
          <w:b/>
          <w:bCs/>
          <w:color w:val="auto"/>
          <w:highlight w:val="none"/>
        </w:rPr>
      </w:pPr>
    </w:p>
    <w:p w14:paraId="3A6E35E1">
      <w:pPr>
        <w:rPr>
          <w:rFonts w:hint="eastAsia" w:ascii="Arial Bold" w:hAnsi="Arial Bold" w:cs="Arial Bold"/>
          <w:b/>
          <w:bCs/>
          <w:color w:val="auto"/>
          <w:highlight w:val="none"/>
        </w:rPr>
      </w:pPr>
    </w:p>
    <w:p w14:paraId="7A7CB199">
      <w:pPr>
        <w:rPr>
          <w:rFonts w:hint="eastAsia" w:ascii="Arial Bold" w:hAnsi="Arial Bold" w:cs="Arial Bold"/>
          <w:b/>
          <w:bCs/>
          <w:color w:val="auto"/>
          <w:highlight w:val="none"/>
        </w:rPr>
      </w:pPr>
    </w:p>
    <w:p w14:paraId="105FBF26">
      <w:pPr>
        <w:rPr>
          <w:rFonts w:hint="eastAsia" w:ascii="Arial Bold" w:hAnsi="Arial Bold" w:cs="Arial Bold"/>
          <w:b/>
          <w:bCs/>
          <w:color w:val="auto"/>
          <w:highlight w:val="none"/>
        </w:rPr>
      </w:pPr>
    </w:p>
    <w:p w14:paraId="1D805435">
      <w:pPr>
        <w:rPr>
          <w:rFonts w:hint="eastAsia" w:ascii="Arial Bold" w:hAnsi="Arial Bold" w:cs="Arial Bold"/>
          <w:b/>
          <w:bCs/>
          <w:color w:val="auto"/>
          <w:highlight w:val="none"/>
        </w:rPr>
      </w:pPr>
    </w:p>
    <w:p w14:paraId="4895BDE0">
      <w:pPr>
        <w:rPr>
          <w:rFonts w:hint="eastAsia" w:ascii="Arial Bold" w:hAnsi="Arial Bold" w:cs="Arial Bold"/>
          <w:b/>
          <w:bCs/>
          <w:color w:val="auto"/>
          <w:highlight w:val="none"/>
        </w:rPr>
      </w:pPr>
    </w:p>
    <w:p w14:paraId="2690BF03">
      <w:pPr>
        <w:rPr>
          <w:rFonts w:hint="eastAsia" w:ascii="Arial Bold" w:hAnsi="Arial Bold" w:cs="Arial Bold"/>
          <w:b/>
          <w:bCs/>
          <w:color w:val="auto"/>
          <w:highlight w:val="none"/>
        </w:rPr>
      </w:pPr>
    </w:p>
    <w:p w14:paraId="2E762D37">
      <w:pPr>
        <w:rPr>
          <w:rFonts w:hint="eastAsia" w:ascii="Arial Bold" w:hAnsi="Arial Bold" w:cs="Arial Bold"/>
          <w:b/>
          <w:bCs/>
          <w:color w:val="auto"/>
          <w:highlight w:val="none"/>
        </w:rPr>
      </w:pPr>
    </w:p>
    <w:p w14:paraId="50C74C83">
      <w:pPr>
        <w:rPr>
          <w:rFonts w:hint="eastAsia" w:ascii="Arial Bold" w:hAnsi="Arial Bold" w:cs="Arial Bold"/>
          <w:b/>
          <w:bCs/>
          <w:color w:val="auto"/>
          <w:highlight w:val="none"/>
        </w:rPr>
      </w:pPr>
    </w:p>
    <w:p w14:paraId="0F1D78E5">
      <w:pPr>
        <w:rPr>
          <w:rFonts w:hint="eastAsia" w:ascii="Arial Bold" w:hAnsi="Arial Bold" w:cs="Arial Bold"/>
          <w:b/>
          <w:bCs/>
          <w:color w:val="auto"/>
          <w:highlight w:val="none"/>
        </w:rPr>
      </w:pPr>
    </w:p>
    <w:p w14:paraId="21B2592C">
      <w:pPr>
        <w:rPr>
          <w:rFonts w:hint="eastAsia" w:ascii="Arial Bold" w:hAnsi="Arial Bold" w:cs="Arial Bold"/>
          <w:b/>
          <w:bCs/>
          <w:color w:val="auto"/>
          <w:highlight w:val="none"/>
        </w:rPr>
      </w:pPr>
    </w:p>
    <w:p w14:paraId="334DFF93">
      <w:pPr>
        <w:rPr>
          <w:rFonts w:hint="eastAsia" w:ascii="Arial Bold" w:hAnsi="Arial Bold" w:cs="Arial Bold"/>
          <w:b/>
          <w:bCs/>
          <w:color w:val="auto"/>
          <w:highlight w:val="none"/>
        </w:rPr>
      </w:pPr>
    </w:p>
    <w:p w14:paraId="4981B4C7">
      <w:pPr>
        <w:rPr>
          <w:rFonts w:hint="eastAsia" w:ascii="Arial Bold" w:hAnsi="Arial Bold" w:cs="Arial Bold"/>
          <w:b/>
          <w:bCs/>
          <w:color w:val="auto"/>
          <w:highlight w:val="none"/>
        </w:rPr>
      </w:pPr>
    </w:p>
    <w:p w14:paraId="2587EEB8">
      <w:pPr>
        <w:rPr>
          <w:rFonts w:hint="eastAsia" w:ascii="Arial Bold" w:hAnsi="Arial Bold" w:cs="Arial Bold"/>
          <w:b/>
          <w:bCs/>
          <w:color w:val="auto"/>
          <w:highlight w:val="none"/>
        </w:rPr>
      </w:pPr>
    </w:p>
    <w:p w14:paraId="1D532AF8">
      <w:pPr>
        <w:rPr>
          <w:rFonts w:hint="eastAsia" w:ascii="Arial Bold" w:hAnsi="Arial Bold" w:cs="Arial Bold"/>
          <w:b/>
          <w:bCs/>
          <w:color w:val="auto"/>
          <w:highlight w:val="none"/>
        </w:rPr>
      </w:pPr>
    </w:p>
    <w:p w14:paraId="2F3C9B53">
      <w:pPr>
        <w:rPr>
          <w:rFonts w:hint="eastAsia" w:ascii="Arial Bold" w:hAnsi="Arial Bold" w:cs="Arial Bold"/>
          <w:b/>
          <w:bCs/>
          <w:color w:val="auto"/>
          <w:highlight w:val="none"/>
        </w:rPr>
      </w:pPr>
      <w:r>
        <w:rPr>
          <w:rFonts w:ascii="Arial Bold" w:hAnsi="Arial Bold" w:cs="Arial Bold"/>
          <w:b/>
          <w:bCs/>
          <w:color w:val="auto"/>
          <w:highlight w:val="none"/>
        </w:rPr>
        <w:br w:type="page"/>
      </w:r>
    </w:p>
    <w:p w14:paraId="05AEECE9">
      <w:pPr>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73675" cy="8068945"/>
            <wp:effectExtent l="0" t="0" r="9525" b="8255"/>
            <wp:docPr id="6" name="图片 6" descr="SFigur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Figure8-1"/>
                    <pic:cNvPicPr>
                      <a:picLocks noChangeAspect="1"/>
                    </pic:cNvPicPr>
                  </pic:nvPicPr>
                  <pic:blipFill>
                    <a:blip r:embed="rId17"/>
                    <a:stretch>
                      <a:fillRect/>
                    </a:stretch>
                  </pic:blipFill>
                  <pic:spPr>
                    <a:xfrm>
                      <a:off x="0" y="0"/>
                      <a:ext cx="5273675" cy="8068945"/>
                    </a:xfrm>
                    <a:prstGeom prst="rect">
                      <a:avLst/>
                    </a:prstGeom>
                  </pic:spPr>
                </pic:pic>
              </a:graphicData>
            </a:graphic>
          </wp:inline>
        </w:drawing>
      </w:r>
    </w:p>
    <w:p w14:paraId="04741A53">
      <w:pPr>
        <w:rPr>
          <w:rFonts w:hint="eastAsia" w:ascii="Arial Bold" w:hAnsi="Arial Bold" w:cs="Arial Bold"/>
          <w:b/>
          <w:bCs/>
          <w:color w:val="auto"/>
          <w:highlight w:val="none"/>
        </w:rPr>
      </w:pPr>
    </w:p>
    <w:p w14:paraId="531410EE">
      <w:pPr>
        <w:spacing w:line="360" w:lineRule="auto"/>
        <w:rPr>
          <w:rFonts w:hint="default" w:ascii="Arial Bold" w:hAnsi="Arial Bold" w:cs="Arial Bold"/>
          <w:b/>
          <w:bCs/>
          <w:color w:val="auto"/>
          <w:highlight w:val="none"/>
        </w:rPr>
      </w:pPr>
    </w:p>
    <w:p w14:paraId="1809D8D7">
      <w:pPr>
        <w:spacing w:line="360" w:lineRule="auto"/>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73675" cy="8089265"/>
            <wp:effectExtent l="0" t="0" r="9525" b="13335"/>
            <wp:docPr id="7" name="图片 7" descr="SFigure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Figure8-2"/>
                    <pic:cNvPicPr>
                      <a:picLocks noChangeAspect="1"/>
                    </pic:cNvPicPr>
                  </pic:nvPicPr>
                  <pic:blipFill>
                    <a:blip r:embed="rId18"/>
                    <a:stretch>
                      <a:fillRect/>
                    </a:stretch>
                  </pic:blipFill>
                  <pic:spPr>
                    <a:xfrm>
                      <a:off x="0" y="0"/>
                      <a:ext cx="5273675" cy="8089265"/>
                    </a:xfrm>
                    <a:prstGeom prst="rect">
                      <a:avLst/>
                    </a:prstGeom>
                  </pic:spPr>
                </pic:pic>
              </a:graphicData>
            </a:graphic>
          </wp:inline>
        </w:drawing>
      </w:r>
    </w:p>
    <w:p w14:paraId="4394611A">
      <w:pPr>
        <w:spacing w:line="360" w:lineRule="auto"/>
        <w:rPr>
          <w:rFonts w:hint="eastAsia" w:ascii="Arial Bold" w:hAnsi="Arial Bold" w:cs="Arial Bold"/>
          <w:b/>
          <w:bCs/>
          <w:color w:val="auto"/>
          <w:highlight w:val="none"/>
        </w:rPr>
      </w:pPr>
    </w:p>
    <w:p w14:paraId="00DBCC65">
      <w:pPr>
        <w:spacing w:line="360" w:lineRule="auto"/>
        <w:rPr>
          <w:rFonts w:hint="eastAsia" w:ascii="Arial Bold" w:hAnsi="Arial Bold" w:cs="Arial Bold"/>
          <w:b/>
          <w:bCs/>
          <w:color w:val="auto"/>
          <w:highlight w:val="none"/>
        </w:rPr>
      </w:pPr>
    </w:p>
    <w:p w14:paraId="305E2937">
      <w:pPr>
        <w:spacing w:line="360" w:lineRule="auto"/>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71770" cy="4083050"/>
            <wp:effectExtent l="0" t="0" r="11430" b="6350"/>
            <wp:docPr id="8" name="图片 8" descr="SFigur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Figure8-3"/>
                    <pic:cNvPicPr>
                      <a:picLocks noChangeAspect="1"/>
                    </pic:cNvPicPr>
                  </pic:nvPicPr>
                  <pic:blipFill>
                    <a:blip r:embed="rId19"/>
                    <a:stretch>
                      <a:fillRect/>
                    </a:stretch>
                  </pic:blipFill>
                  <pic:spPr>
                    <a:xfrm>
                      <a:off x="0" y="0"/>
                      <a:ext cx="5271770" cy="4083050"/>
                    </a:xfrm>
                    <a:prstGeom prst="rect">
                      <a:avLst/>
                    </a:prstGeom>
                  </pic:spPr>
                </pic:pic>
              </a:graphicData>
            </a:graphic>
          </wp:inline>
        </w:drawing>
      </w:r>
    </w:p>
    <w:p w14:paraId="475052A4">
      <w:pPr>
        <w:spacing w:line="360" w:lineRule="auto"/>
        <w:rPr>
          <w:rFonts w:hint="eastAsia" w:ascii="Times New Roman Bold" w:hAnsi="Times New Roman Bold" w:cs="Times New Roman Bold"/>
          <w:b/>
          <w:bCs/>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7</w:t>
      </w:r>
      <w:r>
        <w:rPr>
          <w:rFonts w:ascii="Times New Roman Bold" w:hAnsi="Times New Roman Bold" w:cs="Times New Roman Bold"/>
          <w:b/>
          <w:bCs/>
          <w:color w:val="auto"/>
          <w:highlight w:val="none"/>
        </w:rPr>
        <w:t>.</w:t>
      </w:r>
      <w:r>
        <w:rPr>
          <w:rFonts w:ascii="Arial Bold" w:hAnsi="Arial Bold" w:cs="Arial Bold"/>
          <w:b/>
          <w:bCs/>
          <w:color w:val="auto"/>
          <w:highlight w:val="none"/>
        </w:rPr>
        <w:t xml:space="preserve"> </w:t>
      </w:r>
      <w:r>
        <w:rPr>
          <w:rFonts w:ascii="Times New Roman Bold" w:hAnsi="Times New Roman Bold" w:cs="Times New Roman Bold"/>
          <w:b/>
          <w:bCs/>
          <w:color w:val="auto"/>
          <w:highlight w:val="none"/>
        </w:rPr>
        <w:t xml:space="preserve">Profile of cardiovascular disease associations for the other </w:t>
      </w:r>
      <w:r>
        <w:rPr>
          <w:rFonts w:hint="default" w:ascii="Times New Roman Bold" w:hAnsi="Times New Roman Bold" w:cs="Times New Roman Bold"/>
          <w:b/>
          <w:bCs/>
          <w:color w:val="auto"/>
          <w:highlight w:val="none"/>
        </w:rPr>
        <w:t>10</w:t>
      </w:r>
      <w:r>
        <w:rPr>
          <w:rFonts w:ascii="Times New Roman Bold" w:hAnsi="Times New Roman Bold" w:cs="Times New Roman Bold"/>
          <w:b/>
          <w:bCs/>
          <w:color w:val="auto"/>
          <w:highlight w:val="none"/>
        </w:rPr>
        <w:t xml:space="preserve"> pleiotropic loci.</w:t>
      </w:r>
    </w:p>
    <w:p w14:paraId="2FB283C5">
      <w:pPr>
        <w:spacing w:line="360" w:lineRule="auto"/>
        <w:jc w:val="left"/>
        <w:rPr>
          <w:rFonts w:ascii="Times New Roman Regular" w:hAnsi="Times New Roman Regular" w:cs="Times New Roman Regular"/>
          <w:color w:val="auto"/>
          <w:highlight w:val="none"/>
        </w:rPr>
      </w:pPr>
      <w:r>
        <w:rPr>
          <w:rFonts w:ascii="Times New Roman" w:hAnsi="Times New Roman" w:cs="Times New Roman"/>
          <w:color w:val="auto"/>
          <w:highlight w:val="none"/>
        </w:rPr>
        <w:t xml:space="preserve">For each locus, cardiovascular disease-specific effects of the </w:t>
      </w:r>
      <w:r>
        <w:rPr>
          <w:rFonts w:hint="eastAsia" w:ascii="Times New Roman" w:hAnsi="Times New Roman" w:cs="Times New Roman"/>
          <w:color w:val="auto"/>
          <w:highlight w:val="none"/>
        </w:rPr>
        <w:t>causal</w:t>
      </w:r>
      <w:r>
        <w:rPr>
          <w:rFonts w:ascii="Times New Roman" w:hAnsi="Times New Roman" w:cs="Times New Roman"/>
          <w:color w:val="auto"/>
          <w:highlight w:val="none"/>
        </w:rPr>
        <w:t xml:space="preserve"> SNP are shown using ForestPMPlot. </w:t>
      </w:r>
      <w:r>
        <w:rPr>
          <w:rFonts w:ascii="Times New Roman Regular" w:hAnsi="Times New Roman Regular" w:cs="Times New Roman Regular"/>
          <w:color w:val="auto"/>
          <w:highlight w:val="none"/>
        </w:rPr>
        <w:t xml:space="preserve">The first panel is the forest plot, displaying </w:t>
      </w:r>
      <w:r>
        <w:rPr>
          <w:rFonts w:hint="eastAsia" w:ascii="Times New Roman Regular" w:hAnsi="Times New Roman Regular" w:cs="Times New Roman Regular"/>
          <w:color w:val="auto"/>
          <w:highlight w:val="none"/>
          <w:lang w:val="en-US" w:eastAsia="zh-CN"/>
        </w:rPr>
        <w:t xml:space="preserve">the </w:t>
      </w:r>
      <w:r>
        <w:rPr>
          <w:rFonts w:ascii="Times New Roman Regular" w:hAnsi="Times New Roman Regular" w:cs="Times New Roman Regular"/>
          <w:color w:val="auto"/>
          <w:highlight w:val="none"/>
        </w:rPr>
        <w:t xml:space="preserve">disease-specific association </w:t>
      </w:r>
      <w:r>
        <w:rPr>
          <w:rFonts w:hint="default"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 xml:space="preserve">-value, log odds ratios (ORs), and standard errors of the SNP. The meta-analysis </w:t>
      </w:r>
      <w:r>
        <w:rPr>
          <w:rFonts w:hint="default"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 xml:space="preserve">-value and the corresponding summary statistic are displayed </w:t>
      </w:r>
      <w:r>
        <w:rPr>
          <w:rFonts w:hint="default" w:ascii="Times New Roman Regular" w:hAnsi="Times New Roman Regular" w:cs="Times New Roman Regular"/>
          <w:color w:val="auto"/>
          <w:highlight w:val="none"/>
          <w:lang w:val="en-US"/>
        </w:rPr>
        <w:t>at</w:t>
      </w:r>
      <w:r>
        <w:rPr>
          <w:rFonts w:ascii="Times New Roman Regular" w:hAnsi="Times New Roman Regular" w:cs="Times New Roman Regular"/>
          <w:color w:val="auto"/>
          <w:highlight w:val="none"/>
        </w:rPr>
        <w:t xml:space="preserve"> the top and the bottom of the forest plot, respectively. The second panel is the PM-plot</w:t>
      </w:r>
      <w:r>
        <w:rPr>
          <w:rFonts w:hint="default" w:ascii="Times New Roman Regular" w:hAnsi="Times New Roman Regular" w:cs="Times New Roman Regular"/>
          <w:color w:val="auto"/>
          <w:highlight w:val="none"/>
          <w:lang w:val="en-US"/>
        </w:rPr>
        <w:t>,</w:t>
      </w:r>
      <w:r>
        <w:rPr>
          <w:rFonts w:ascii="Times New Roman Regular" w:hAnsi="Times New Roman Regular" w:cs="Times New Roman Regular"/>
          <w:color w:val="auto"/>
          <w:highlight w:val="none"/>
        </w:rPr>
        <w:t xml:space="preserve"> in which X-axis represents the m-value, the posterior probability that the effect exists in each disease, and the Y-axis represents the disease-specific association </w:t>
      </w:r>
      <w:r>
        <w:rPr>
          <w:rFonts w:hint="default" w:ascii="Times New Roman Italic" w:hAnsi="Times New Roman Italic" w:cs="Times New Roman Italic"/>
          <w:i/>
          <w:iCs/>
          <w:color w:val="auto"/>
          <w:highlight w:val="none"/>
          <w:lang w:val="en-US"/>
        </w:rPr>
        <w:t>P</w:t>
      </w:r>
      <w:r>
        <w:rPr>
          <w:rFonts w:ascii="Times New Roman Regular" w:hAnsi="Times New Roman Regular" w:cs="Times New Roman Regular"/>
          <w:color w:val="auto"/>
          <w:highlight w:val="none"/>
        </w:rPr>
        <w:t>-value as -log10</w:t>
      </w:r>
      <w:r>
        <w:rPr>
          <w:rFonts w:hint="default"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-value). Diseases are depicted as dot</w:t>
      </w:r>
      <w:r>
        <w:rPr>
          <w:rFonts w:hint="default" w:ascii="Times New Roman Regular" w:hAnsi="Times New Roman Regular" w:cs="Times New Roman Regular"/>
          <w:color w:val="auto"/>
          <w:highlight w:val="none"/>
          <w:lang w:val="en-US"/>
        </w:rPr>
        <w:t>s</w:t>
      </w:r>
      <w:r>
        <w:rPr>
          <w:rFonts w:ascii="Times New Roman Regular" w:hAnsi="Times New Roman Regular" w:cs="Times New Roman Regular"/>
          <w:color w:val="auto"/>
          <w:highlight w:val="none"/>
        </w:rPr>
        <w:t xml:space="preserve"> whose size represents the sample size of individual GWAS. Diseases with estimated m-values of at least 0.9 are colored red suggesting that the SNP does have an effect on the disease, while those with m-values less than 0.1 are marked in blue suggesting that the SNP does not have an effect on the disease. </w:t>
      </w:r>
      <w:r>
        <w:rPr>
          <w:rFonts w:hint="eastAsia" w:ascii="Times New Roman Regular" w:hAnsi="Times New Roman Regular" w:cs="Times New Roman Regular"/>
          <w:color w:val="auto"/>
          <w:highlight w:val="none"/>
        </w:rPr>
        <w:t>Diseases with estimated m-values between 0.1 and 0.9 are marked in green, suggesting that the SNP has an uncertain effect on the disease.</w:t>
      </w:r>
    </w:p>
    <w:p w14:paraId="46BFE341">
      <w:pPr>
        <w:spacing w:line="360" w:lineRule="auto"/>
        <w:jc w:val="left"/>
        <w:rPr>
          <w:rFonts w:hint="default" w:ascii="Arial Bold" w:hAnsi="Arial Bold" w:cs="Arial Bold"/>
          <w:b/>
          <w:bCs/>
          <w:color w:val="auto"/>
          <w:highlight w:val="none"/>
        </w:rPr>
      </w:pPr>
      <w:r>
        <w:rPr>
          <w:rFonts w:hint="default" w:ascii="Arial Bold" w:hAnsi="Arial Bold" w:cs="Arial Bold"/>
          <w:b/>
          <w:bCs/>
          <w:color w:val="auto"/>
          <w:highlight w:val="none"/>
        </w:rPr>
        <w:drawing>
          <wp:inline distT="0" distB="0" distL="114300" distR="114300">
            <wp:extent cx="5267960" cy="7308215"/>
            <wp:effectExtent l="0" t="0" r="15240" b="6985"/>
            <wp:docPr id="37" name="图片 37" descr="SFig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Figure10"/>
                    <pic:cNvPicPr>
                      <a:picLocks noChangeAspect="1"/>
                    </pic:cNvPicPr>
                  </pic:nvPicPr>
                  <pic:blipFill>
                    <a:blip r:embed="rId20"/>
                    <a:stretch>
                      <a:fillRect/>
                    </a:stretch>
                  </pic:blipFill>
                  <pic:spPr>
                    <a:xfrm>
                      <a:off x="0" y="0"/>
                      <a:ext cx="5267960" cy="7308215"/>
                    </a:xfrm>
                    <a:prstGeom prst="rect">
                      <a:avLst/>
                    </a:prstGeom>
                  </pic:spPr>
                </pic:pic>
              </a:graphicData>
            </a:graphic>
          </wp:inline>
        </w:drawing>
      </w:r>
    </w:p>
    <w:p w14:paraId="67746577">
      <w:pPr>
        <w:rPr>
          <w:rFonts w:hint="default" w:ascii="Arial Bold" w:hAnsi="Arial Bold" w:cs="Arial Bold"/>
          <w:b/>
          <w:bCs/>
          <w:color w:val="auto"/>
          <w:highlight w:val="none"/>
        </w:rPr>
      </w:pPr>
    </w:p>
    <w:p w14:paraId="125ACCA4">
      <w:pPr>
        <w:spacing w:line="360" w:lineRule="auto"/>
        <w:rPr>
          <w:rFonts w:hint="eastAsia" w:ascii="Times New Roman Regular" w:hAnsi="Times New Roman Regular" w:cs="Times New Roman Regular"/>
          <w:color w:val="auto"/>
          <w:highlight w:val="none"/>
        </w:rPr>
      </w:pPr>
      <w:r>
        <w:rPr>
          <w:rFonts w:ascii="Times New Roman Bold" w:hAnsi="Times New Roman Bold" w:cs="Times New Roman Bold"/>
          <w:b/>
          <w:color w:val="auto"/>
          <w:highlight w:val="none"/>
        </w:rPr>
        <w:t>Supplemen</w:t>
      </w:r>
      <w:r>
        <w:rPr>
          <w:rFonts w:ascii="Times New Roman Bold" w:hAnsi="Times New Roman Bold" w:cs="Times New Roman Bold"/>
          <w:b/>
          <w:bCs/>
          <w:color w:val="auto"/>
          <w:highlight w:val="none"/>
        </w:rPr>
        <w:t xml:space="preserve">tary Fig. </w:t>
      </w:r>
      <w:r>
        <w:rPr>
          <w:rFonts w:hint="eastAsia" w:ascii="Times New Roman Bold" w:hAnsi="Times New Roman Bold" w:cs="Times New Roman Bold"/>
          <w:b/>
          <w:bCs/>
          <w:color w:val="auto"/>
          <w:highlight w:val="none"/>
          <w:lang w:val="en-US" w:eastAsia="zh-CN"/>
        </w:rPr>
        <w:t>8</w:t>
      </w:r>
      <w:r>
        <w:rPr>
          <w:rFonts w:ascii="Times New Roman Bold" w:hAnsi="Times New Roman Bold" w:cs="Times New Roman Bold"/>
          <w:b/>
          <w:bCs/>
          <w:color w:val="auto"/>
          <w:highlight w:val="none"/>
        </w:rPr>
        <w:t xml:space="preserve">. </w:t>
      </w:r>
      <w:r>
        <w:rPr>
          <w:rFonts w:hint="default" w:ascii="Times New Roman Bold" w:hAnsi="Times New Roman Bold" w:cs="Times New Roman Bold"/>
          <w:b/>
          <w:bCs/>
          <w:color w:val="auto"/>
          <w:highlight w:val="none"/>
        </w:rPr>
        <w:t>T</w:t>
      </w:r>
      <w:r>
        <w:rPr>
          <w:rFonts w:hint="eastAsia" w:ascii="Times New Roman Bold" w:hAnsi="Times New Roman Bold" w:cs="Times New Roman Bold"/>
          <w:b/>
          <w:bCs/>
          <w:color w:val="auto"/>
          <w:highlight w:val="none"/>
          <w:lang w:val="en-US" w:eastAsia="zh-CN"/>
        </w:rPr>
        <w:t>wel</w:t>
      </w:r>
      <w:r>
        <w:rPr>
          <w:rFonts w:hint="default" w:ascii="Times New Roman Bold" w:hAnsi="Times New Roman Bold" w:cs="Times New Roman Bold"/>
          <w:b/>
          <w:bCs/>
          <w:color w:val="auto"/>
          <w:highlight w:val="none"/>
          <w:lang w:val="en-US" w:eastAsia="zh-CN"/>
        </w:rPr>
        <w:t>ve</w:t>
      </w:r>
      <w:r>
        <w:rPr>
          <w:rFonts w:hint="default" w:ascii="Times New Roman Bold" w:hAnsi="Times New Roman Bold" w:cs="Times New Roman Bold"/>
          <w:b/>
          <w:bCs/>
          <w:color w:val="auto"/>
          <w:highlight w:val="none"/>
        </w:rPr>
        <w:t xml:space="preserve"> </w:t>
      </w:r>
      <w:r>
        <w:rPr>
          <w:rFonts w:ascii="Times New Roman Bold" w:hAnsi="Times New Roman Bold" w:cs="Times New Roman Bold"/>
          <w:b/>
          <w:bCs/>
          <w:color w:val="auto"/>
          <w:highlight w:val="none"/>
        </w:rPr>
        <w:t>pleiotropic loci with the same directional effects.</w:t>
      </w:r>
    </w:p>
    <w:p w14:paraId="1C8AB956">
      <w:pPr>
        <w:spacing w:line="360" w:lineRule="auto"/>
        <w:rPr>
          <w:rFonts w:hint="eastAsia" w:ascii="Arial Bold" w:hAnsi="Arial Bold" w:cs="Arial Bold"/>
          <w:b/>
          <w:bCs/>
          <w:color w:val="auto"/>
          <w:highlight w:val="none"/>
        </w:rPr>
      </w:pPr>
      <w:r>
        <w:rPr>
          <w:rFonts w:ascii="Times New Roman Regular" w:hAnsi="Times New Roman Regular" w:cs="Times New Roman Regular"/>
          <w:color w:val="auto"/>
          <w:highlight w:val="none"/>
        </w:rPr>
        <w:t xml:space="preserve">Rose diagrams showing </w:t>
      </w:r>
      <w:r>
        <w:rPr>
          <w:rFonts w:hint="default" w:ascii="Times New Roman Regular" w:hAnsi="Times New Roman Regular" w:cs="Times New Roman Regular"/>
          <w:color w:val="auto"/>
          <w:highlight w:val="none"/>
          <w:lang w:val="en-US"/>
        </w:rPr>
        <w:t>e</w:t>
      </w:r>
      <w:r>
        <w:rPr>
          <w:rFonts w:ascii="Times New Roman Regular" w:hAnsi="Times New Roman Regular" w:cs="Times New Roman Regular"/>
          <w:color w:val="auto"/>
          <w:highlight w:val="none"/>
        </w:rPr>
        <w:t>leven loci with the same directional effects. The radius of each wedge corresponds to the absolute values of the Z-scores (log(Odds ratios</w:t>
      </w:r>
      <w:r>
        <w:rPr>
          <w:rFonts w:hint="default" w:ascii="Times New Roman Regular" w:hAnsi="Times New Roman Regular" w:cs="Times New Roman Regular"/>
          <w:color w:val="auto"/>
          <w:highlight w:val="none"/>
          <w:lang w:val="en-US"/>
        </w:rPr>
        <w:t xml:space="preserve"> [OR]</w:t>
      </w:r>
      <w:r>
        <w:rPr>
          <w:rFonts w:ascii="Times New Roman Regular" w:hAnsi="Times New Roman Regular" w:cs="Times New Roman Regular"/>
          <w:color w:val="auto"/>
          <w:highlight w:val="none"/>
        </w:rPr>
        <w:t xml:space="preserve">)/SE) obtained from association tests of the SNP for six cardiovascular diseases. </w:t>
      </w:r>
      <w:r>
        <w:rPr>
          <w:rFonts w:hint="eastAsia" w:ascii="Times New Roman Regular" w:hAnsi="Times New Roman Regular" w:cs="Times New Roman Regular"/>
          <w:color w:val="auto"/>
          <w:highlight w:val="none"/>
        </w:rPr>
        <w:t>The color indicates whether the examined SNP carries a risk (red) or protective effect (green) for each disease.</w:t>
      </w:r>
      <w:r>
        <w:rPr>
          <w:rFonts w:ascii="Times New Roman Regular" w:hAnsi="Times New Roman Regular" w:cs="Times New Roman Regular"/>
          <w:color w:val="auto"/>
          <w:highlight w:val="none"/>
        </w:rPr>
        <w:t xml:space="preserve"> The dotted line around the center indicates statistically significant SNP effects that account for the causal SNPs of pleiotropic loci.</w:t>
      </w:r>
    </w:p>
    <w:p w14:paraId="4E88C3C6">
      <w:pPr>
        <w:rPr>
          <w:rFonts w:hint="eastAsia" w:ascii="Arial Bold" w:hAnsi="Arial Bold" w:cs="Arial Bold"/>
          <w:b/>
          <w:bCs/>
          <w:color w:val="auto"/>
          <w:highlight w:val="none"/>
        </w:rPr>
      </w:pPr>
      <w:r>
        <w:rPr>
          <w:rFonts w:ascii="Arial Bold" w:hAnsi="Arial Bold" w:cs="Arial Bold"/>
          <w:b/>
          <w:bCs/>
          <w:color w:val="auto"/>
          <w:highlight w:val="none"/>
        </w:rPr>
        <w:br w:type="page"/>
      </w:r>
    </w:p>
    <w:p w14:paraId="49D10EAC">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71135" cy="3237230"/>
            <wp:effectExtent l="0" t="0" r="12065" b="13970"/>
            <wp:docPr id="41" name="图片 41" descr="SFigur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SFigure10-1"/>
                    <pic:cNvPicPr>
                      <a:picLocks noChangeAspect="1"/>
                    </pic:cNvPicPr>
                  </pic:nvPicPr>
                  <pic:blipFill>
                    <a:blip r:embed="rId21"/>
                    <a:stretch>
                      <a:fillRect/>
                    </a:stretch>
                  </pic:blipFill>
                  <pic:spPr>
                    <a:xfrm>
                      <a:off x="0" y="0"/>
                      <a:ext cx="5271135" cy="3237230"/>
                    </a:xfrm>
                    <a:prstGeom prst="rect">
                      <a:avLst/>
                    </a:prstGeom>
                  </pic:spPr>
                </pic:pic>
              </a:graphicData>
            </a:graphic>
          </wp:inline>
        </w:drawing>
      </w:r>
    </w:p>
    <w:p w14:paraId="1C919757">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73040" cy="3224530"/>
            <wp:effectExtent l="0" t="0" r="10160" b="1270"/>
            <wp:docPr id="42" name="图片 42" descr="SFigure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SFigure10-2"/>
                    <pic:cNvPicPr>
                      <a:picLocks noChangeAspect="1"/>
                    </pic:cNvPicPr>
                  </pic:nvPicPr>
                  <pic:blipFill>
                    <a:blip r:embed="rId22"/>
                    <a:stretch>
                      <a:fillRect/>
                    </a:stretch>
                  </pic:blipFill>
                  <pic:spPr>
                    <a:xfrm>
                      <a:off x="0" y="0"/>
                      <a:ext cx="5273040" cy="3224530"/>
                    </a:xfrm>
                    <a:prstGeom prst="rect">
                      <a:avLst/>
                    </a:prstGeom>
                  </pic:spPr>
                </pic:pic>
              </a:graphicData>
            </a:graphic>
          </wp:inline>
        </w:drawing>
      </w:r>
    </w:p>
    <w:p w14:paraId="207A56E4">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69865" cy="3220085"/>
            <wp:effectExtent l="0" t="0" r="13335" b="5715"/>
            <wp:docPr id="43" name="图片 43" descr="SFigure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SFigure10-3"/>
                    <pic:cNvPicPr>
                      <a:picLocks noChangeAspect="1"/>
                    </pic:cNvPicPr>
                  </pic:nvPicPr>
                  <pic:blipFill>
                    <a:blip r:embed="rId23"/>
                    <a:stretch>
                      <a:fillRect/>
                    </a:stretch>
                  </pic:blipFill>
                  <pic:spPr>
                    <a:xfrm>
                      <a:off x="0" y="0"/>
                      <a:ext cx="5269865" cy="3220085"/>
                    </a:xfrm>
                    <a:prstGeom prst="rect">
                      <a:avLst/>
                    </a:prstGeom>
                  </pic:spPr>
                </pic:pic>
              </a:graphicData>
            </a:graphic>
          </wp:inline>
        </w:drawing>
      </w:r>
    </w:p>
    <w:p w14:paraId="56985F0F">
      <w:pPr>
        <w:spacing w:line="360" w:lineRule="auto"/>
        <w:rPr>
          <w:rFonts w:hint="eastAsia" w:ascii="Times New Roman Bold" w:hAnsi="Times New Roman Bold" w:cs="Times New Roman Bold"/>
          <w:b/>
          <w:bCs/>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9</w:t>
      </w:r>
      <w:r>
        <w:rPr>
          <w:rFonts w:ascii="Times New Roman Bold" w:hAnsi="Times New Roman Bold" w:cs="Times New Roman Bold"/>
          <w:b/>
          <w:bCs/>
          <w:color w:val="auto"/>
          <w:highlight w:val="none"/>
        </w:rPr>
        <w:t>.</w:t>
      </w:r>
      <w:r>
        <w:rPr>
          <w:b/>
          <w:bCs/>
          <w:color w:val="auto"/>
          <w:highlight w:val="none"/>
        </w:rPr>
        <w:t xml:space="preserve"> </w:t>
      </w:r>
      <w:r>
        <w:rPr>
          <w:rFonts w:ascii="Times New Roman Bold" w:hAnsi="Times New Roman Bold" w:cs="Times New Roman Bold"/>
          <w:b/>
          <w:bCs/>
          <w:color w:val="auto"/>
          <w:highlight w:val="none"/>
        </w:rPr>
        <w:t xml:space="preserve">The results of multiple-tissue analysis using gene expression data for six cardiovascular diseases. </w:t>
      </w:r>
    </w:p>
    <w:p w14:paraId="0EACDC18">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Each point represents a tissue </w:t>
      </w:r>
      <w:r>
        <w:rPr>
          <w:rFonts w:hint="default" w:ascii="Times New Roman" w:hAnsi="Times New Roman" w:cs="Times New Roman"/>
          <w:color w:val="auto"/>
          <w:highlight w:val="none"/>
          <w:lang w:val="en-US"/>
        </w:rPr>
        <w:t xml:space="preserve">type </w:t>
      </w:r>
      <w:r>
        <w:rPr>
          <w:rFonts w:ascii="Times New Roman" w:hAnsi="Times New Roman" w:cs="Times New Roman"/>
          <w:color w:val="auto"/>
          <w:highlight w:val="none"/>
        </w:rPr>
        <w:t xml:space="preserve">from the Genotype-Tissue Expression (GTEx) dataset. </w:t>
      </w:r>
      <w:r>
        <w:rPr>
          <w:rFonts w:hint="eastAsia" w:ascii="Times New Roman" w:hAnsi="Times New Roman" w:cs="Times New Roman"/>
          <w:color w:val="auto"/>
          <w:highlight w:val="none"/>
        </w:rPr>
        <w:t xml:space="preserve">The orange color indicates a statistically significant </w:t>
      </w:r>
      <w:r>
        <w:rPr>
          <w:rFonts w:hint="default" w:ascii="Times New Roman" w:hAnsi="Times New Roman" w:cs="Times New Roman"/>
          <w:color w:val="auto"/>
          <w:highlight w:val="none"/>
          <w:lang w:val="en-US"/>
        </w:rPr>
        <w:t>P</w:t>
      </w:r>
      <w:r>
        <w:rPr>
          <w:rFonts w:hint="eastAsia" w:ascii="Times New Roman" w:hAnsi="Times New Roman" w:cs="Times New Roman"/>
          <w:color w:val="auto"/>
          <w:highlight w:val="none"/>
        </w:rPr>
        <w:t>-value after performing Bonferroni correction for multiple testing, which is &lt; 1.02</w:t>
      </w:r>
      <w:r>
        <w:rPr>
          <w:rFonts w:hint="default" w:ascii="Times New Roman Regular" w:hAnsi="Times New Roman Regular" w:cs="Times New Roman Regular"/>
          <w:color w:val="auto"/>
          <w:szCs w:val="21"/>
          <w:highlight w:val="none"/>
          <w:lang w:eastAsia="zh-Hans"/>
        </w:rPr>
        <w:t xml:space="preserve"> × </w:t>
      </w:r>
      <w:r>
        <w:rPr>
          <w:rFonts w:hint="eastAsia" w:ascii="Times New Roman" w:hAnsi="Times New Roman" w:cs="Times New Roman"/>
          <w:color w:val="auto"/>
          <w:highlight w:val="none"/>
        </w:rPr>
        <w:t>10</w:t>
      </w:r>
      <w:r>
        <w:rPr>
          <w:rFonts w:hint="default" w:ascii="Times New Roman" w:hAnsi="Times New Roman" w:cs="Times New Roman"/>
          <w:color w:val="auto"/>
          <w:highlight w:val="none"/>
          <w:vertAlign w:val="superscript"/>
          <w:lang w:val="en-US"/>
        </w:rPr>
        <w:t>-</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 xml:space="preserve"> (0.05 / 49) at -log10 (</w:t>
      </w:r>
      <w:r>
        <w:rPr>
          <w:rFonts w:hint="default" w:ascii="Times New Roman Italic" w:hAnsi="Times New Roman Italic" w:cs="Times New Roman Italic"/>
          <w:i/>
          <w:iCs/>
          <w:color w:val="auto"/>
          <w:highlight w:val="none"/>
        </w:rPr>
        <w:t>P</w:t>
      </w:r>
      <w:r>
        <w:rPr>
          <w:rFonts w:hint="eastAsia" w:ascii="Times New Roman" w:hAnsi="Times New Roman" w:cs="Times New Roman"/>
          <w:color w:val="auto"/>
          <w:highlight w:val="none"/>
        </w:rPr>
        <w:t>) = 2.99.</w:t>
      </w:r>
    </w:p>
    <w:p w14:paraId="0F296A11">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67960" cy="7805420"/>
            <wp:effectExtent l="0" t="0" r="15240" b="17780"/>
            <wp:docPr id="9" name="图片 9" descr="SFigure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Figure11-1"/>
                    <pic:cNvPicPr>
                      <a:picLocks noChangeAspect="1"/>
                    </pic:cNvPicPr>
                  </pic:nvPicPr>
                  <pic:blipFill>
                    <a:blip r:embed="rId24"/>
                    <a:stretch>
                      <a:fillRect/>
                    </a:stretch>
                  </pic:blipFill>
                  <pic:spPr>
                    <a:xfrm>
                      <a:off x="0" y="0"/>
                      <a:ext cx="5267960" cy="7805420"/>
                    </a:xfrm>
                    <a:prstGeom prst="rect">
                      <a:avLst/>
                    </a:prstGeom>
                  </pic:spPr>
                </pic:pic>
              </a:graphicData>
            </a:graphic>
          </wp:inline>
        </w:drawing>
      </w:r>
    </w:p>
    <w:p w14:paraId="58D0A3B4">
      <w:pPr>
        <w:spacing w:line="360" w:lineRule="auto"/>
        <w:rPr>
          <w:rFonts w:hint="default" w:ascii="Arial Bold" w:hAnsi="Arial Bold" w:cs="Arial Bold"/>
          <w:b/>
          <w:bCs/>
          <w:color w:val="auto"/>
          <w:highlight w:val="none"/>
          <w:lang w:val="en-US"/>
        </w:rPr>
      </w:pPr>
      <w:r>
        <w:rPr>
          <w:rFonts w:hint="default" w:ascii="Arial Bold" w:hAnsi="Arial Bold" w:cs="Arial Bold"/>
          <w:b/>
          <w:bCs/>
          <w:color w:val="auto"/>
          <w:highlight w:val="none"/>
          <w:lang w:val="en-US"/>
        </w:rPr>
        <w:drawing>
          <wp:inline distT="0" distB="0" distL="114300" distR="114300">
            <wp:extent cx="5267960" cy="7835900"/>
            <wp:effectExtent l="0" t="0" r="15240" b="12700"/>
            <wp:docPr id="11" name="图片 11" descr="SFigure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Figure11-2"/>
                    <pic:cNvPicPr>
                      <a:picLocks noChangeAspect="1"/>
                    </pic:cNvPicPr>
                  </pic:nvPicPr>
                  <pic:blipFill>
                    <a:blip r:embed="rId25"/>
                    <a:stretch>
                      <a:fillRect/>
                    </a:stretch>
                  </pic:blipFill>
                  <pic:spPr>
                    <a:xfrm>
                      <a:off x="0" y="0"/>
                      <a:ext cx="5267960" cy="7835900"/>
                    </a:xfrm>
                    <a:prstGeom prst="rect">
                      <a:avLst/>
                    </a:prstGeom>
                  </pic:spPr>
                </pic:pic>
              </a:graphicData>
            </a:graphic>
          </wp:inline>
        </w:drawing>
      </w:r>
    </w:p>
    <w:p w14:paraId="6A976C5A">
      <w:pPr>
        <w:spacing w:line="360" w:lineRule="auto"/>
        <w:rPr>
          <w:rFonts w:hint="eastAsia" w:ascii="Times New Roman Regular" w:hAnsi="Times New Roman Regular" w:cs="Times New Roman Regular"/>
          <w:color w:val="auto"/>
          <w:highlight w:val="none"/>
        </w:rPr>
      </w:pPr>
      <w:r>
        <w:rPr>
          <w:rFonts w:ascii="Times New Roman Bold" w:hAnsi="Times New Roman Bold" w:cs="Times New Roman Bold"/>
          <w:b/>
          <w:bCs/>
          <w:color w:val="auto"/>
          <w:highlight w:val="none"/>
        </w:rPr>
        <w:t>Supplementary Fig. 1</w:t>
      </w:r>
      <w:r>
        <w:rPr>
          <w:rFonts w:hint="eastAsia" w:ascii="Times New Roman Bold" w:hAnsi="Times New Roman Bold" w:cs="Times New Roman Bold"/>
          <w:b/>
          <w:bCs/>
          <w:color w:val="auto"/>
          <w:highlight w:val="none"/>
          <w:lang w:val="en-US" w:eastAsia="zh-CN"/>
        </w:rPr>
        <w:t>0</w:t>
      </w:r>
      <w:r>
        <w:rPr>
          <w:rFonts w:ascii="Times New Roman Bold" w:hAnsi="Times New Roman Bold" w:cs="Times New Roman Bold"/>
          <w:b/>
          <w:bCs/>
          <w:color w:val="auto"/>
          <w:highlight w:val="none"/>
        </w:rPr>
        <w:t>. The results of multiple-tissue analysis using chromatin data for six cardiovascular diseases.</w:t>
      </w:r>
      <w:r>
        <w:rPr>
          <w:rFonts w:ascii="Times New Roman Regular" w:hAnsi="Times New Roman Regular" w:cs="Times New Roman Regular"/>
          <w:color w:val="auto"/>
          <w:highlight w:val="none"/>
        </w:rPr>
        <w:t xml:space="preserve"> </w:t>
      </w:r>
    </w:p>
    <w:p w14:paraId="3EA405EF">
      <w:pPr>
        <w:spacing w:line="360" w:lineRule="auto"/>
        <w:rPr>
          <w:rFonts w:hint="eastAsia" w:ascii="Arial Bold" w:hAnsi="Arial Bold" w:cs="Arial Bold"/>
          <w:b/>
          <w:bCs/>
          <w:color w:val="auto"/>
          <w:highlight w:val="none"/>
        </w:rPr>
        <w:sectPr>
          <w:pgSz w:w="11906" w:h="16838"/>
          <w:pgMar w:top="1440" w:right="1800" w:bottom="1440" w:left="1800" w:header="851" w:footer="992" w:gutter="0"/>
          <w:lnNumType w:countBy="0" w:restart="continuous"/>
          <w:cols w:space="425" w:num="1"/>
          <w:docGrid w:type="lines" w:linePitch="312" w:charSpace="0"/>
        </w:sectPr>
      </w:pPr>
      <w:r>
        <w:rPr>
          <w:rFonts w:ascii="Times New Roman Regular" w:hAnsi="Times New Roman Regular" w:cs="Times New Roman Regular"/>
          <w:color w:val="auto"/>
          <w:highlight w:val="none"/>
        </w:rPr>
        <w:t xml:space="preserve">Each point represents a peak for </w:t>
      </w:r>
      <w:r>
        <w:rPr>
          <w:rFonts w:hint="default" w:ascii="Times New Roman Regular" w:hAnsi="Times New Roman Regular" w:cs="Times New Roman Regular"/>
          <w:color w:val="auto"/>
          <w:highlight w:val="none"/>
          <w:lang w:val="en-US"/>
        </w:rPr>
        <w:t xml:space="preserve">a </w:t>
      </w:r>
      <w:r>
        <w:rPr>
          <w:rFonts w:ascii="Times New Roman Regular" w:hAnsi="Times New Roman Regular" w:cs="Times New Roman Regular"/>
          <w:color w:val="auto"/>
          <w:highlight w:val="none"/>
        </w:rPr>
        <w:t xml:space="preserve">DNase I hypersensitivity site (DHS) or histone marks (including H3K27ac, H3K36me3, H3K4me1, aH3K4me3, and H3K9ac) in a tissue or cell type. </w:t>
      </w:r>
      <w:r>
        <w:rPr>
          <w:rFonts w:hint="eastAsia" w:ascii="Times New Roman Regular" w:hAnsi="Times New Roman Regular" w:cs="Times New Roman Regular"/>
          <w:color w:val="auto"/>
          <w:highlight w:val="none"/>
        </w:rPr>
        <w:t>Tissues or cell types were classified into 11 distinct categories, with the cardiovascular tissues further subdivided into 3 distinct categories: artery, heart, and both.</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 xml:space="preserve">The dashed red line indicates the significant </w:t>
      </w:r>
      <w:r>
        <w:rPr>
          <w:rFonts w:hint="default" w:ascii="Times New Roman Italic" w:hAnsi="Times New Roman Italic" w:cs="Times New Roman Italic"/>
          <w:i/>
          <w:iCs/>
          <w:color w:val="auto"/>
          <w:highlight w:val="none"/>
        </w:rPr>
        <w:t>P</w:t>
      </w:r>
      <w:r>
        <w:rPr>
          <w:rFonts w:hint="eastAsia" w:ascii="Times New Roman Regular" w:hAnsi="Times New Roman Regular" w:cs="Times New Roman Regular"/>
          <w:color w:val="auto"/>
          <w:highlight w:val="none"/>
        </w:rPr>
        <w:t xml:space="preserve">-value after performing Bonferroni correction for multiple testing, which is </w:t>
      </w:r>
      <w:r>
        <w:rPr>
          <w:rFonts w:ascii="Times New Roman Regular" w:hAnsi="Times New Roman Regular" w:cs="Times New Roman Regular"/>
          <w:color w:val="auto"/>
          <w:highlight w:val="none"/>
        </w:rPr>
        <w:t>&lt; 1.02</w:t>
      </w:r>
      <w:r>
        <w:rPr>
          <w:rFonts w:hint="default" w:ascii="Times New Roman Regular" w:hAnsi="Times New Roman Regular" w:cs="Times New Roman Regular"/>
          <w:color w:val="auto"/>
          <w:szCs w:val="21"/>
          <w:highlight w:val="none"/>
          <w:lang w:eastAsia="zh-Hans"/>
        </w:rPr>
        <w:t xml:space="preserve"> × </w:t>
      </w:r>
      <w:r>
        <w:rPr>
          <w:rFonts w:ascii="Times New Roman Regular" w:hAnsi="Times New Roman Regular" w:cs="Times New Roman Regular"/>
          <w:color w:val="auto"/>
          <w:szCs w:val="21"/>
          <w:highlight w:val="none"/>
        </w:rPr>
        <w:t>10</w:t>
      </w:r>
      <w:r>
        <w:rPr>
          <w:rFonts w:ascii="Times New Roman Regular" w:hAnsi="Times New Roman Regular" w:cs="Times New Roman Regular"/>
          <w:color w:val="auto"/>
          <w:szCs w:val="21"/>
          <w:highlight w:val="none"/>
          <w:vertAlign w:val="superscript"/>
        </w:rPr>
        <w:t>−4</w:t>
      </w:r>
      <w:r>
        <w:rPr>
          <w:rFonts w:ascii="Times New Roman Regular" w:hAnsi="Times New Roman Regular" w:cs="Times New Roman Regular"/>
          <w:color w:val="auto"/>
          <w:highlight w:val="none"/>
        </w:rPr>
        <w:t xml:space="preserve"> (0.05</w:t>
      </w:r>
      <w:r>
        <w:rPr>
          <w:rFonts w:hint="default"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489) at -log10 (</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 = 4.00.</w:t>
      </w:r>
    </w:p>
    <w:p w14:paraId="45E915F3">
      <w:pPr>
        <w:rPr>
          <w:rFonts w:hint="eastAsia" w:ascii="Arial Bold" w:hAnsi="Arial Bold" w:cs="Arial Bold"/>
          <w:b/>
          <w:bCs/>
          <w:color w:val="auto"/>
          <w:highlight w:val="none"/>
        </w:rPr>
      </w:pPr>
      <w:r>
        <w:rPr>
          <w:rFonts w:ascii="Arial Bold" w:hAnsi="Arial Bold" w:cs="Arial Bold"/>
          <w:b/>
          <w:bCs/>
          <w:color w:val="auto"/>
          <w:highlight w:val="none"/>
        </w:rPr>
        <w:drawing>
          <wp:inline distT="0" distB="0" distL="114300" distR="114300">
            <wp:extent cx="5268595" cy="5128895"/>
            <wp:effectExtent l="0" t="0" r="14605" b="1905"/>
            <wp:docPr id="34" name="图片 34" descr="SFigure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Figure12-1"/>
                    <pic:cNvPicPr>
                      <a:picLocks noChangeAspect="1"/>
                    </pic:cNvPicPr>
                  </pic:nvPicPr>
                  <pic:blipFill>
                    <a:blip r:embed="rId26"/>
                    <a:stretch>
                      <a:fillRect/>
                    </a:stretch>
                  </pic:blipFill>
                  <pic:spPr>
                    <a:xfrm>
                      <a:off x="0" y="0"/>
                      <a:ext cx="5268595" cy="5128895"/>
                    </a:xfrm>
                    <a:prstGeom prst="rect">
                      <a:avLst/>
                    </a:prstGeom>
                  </pic:spPr>
                </pic:pic>
              </a:graphicData>
            </a:graphic>
          </wp:inline>
        </w:drawing>
      </w:r>
    </w:p>
    <w:p w14:paraId="4C30245C">
      <w:pPr>
        <w:spacing w:line="360" w:lineRule="auto"/>
        <w:rPr>
          <w:rFonts w:hint="default" w:ascii="Times New Roman Bold" w:hAnsi="Times New Roman Bold" w:cs="Times New Roman Bold"/>
          <w:b/>
          <w:bCs/>
          <w:color w:val="auto"/>
          <w:highlight w:val="none"/>
        </w:rPr>
      </w:pPr>
      <w:r>
        <w:rPr>
          <w:rFonts w:hint="default" w:ascii="Times New Roman Bold" w:hAnsi="Times New Roman Bold" w:cs="Times New Roman Bold"/>
          <w:b/>
          <w:bCs/>
          <w:color w:val="auto"/>
          <w:highlight w:val="none"/>
        </w:rPr>
        <w:drawing>
          <wp:inline distT="0" distB="0" distL="114300" distR="114300">
            <wp:extent cx="5274310" cy="5159375"/>
            <wp:effectExtent l="0" t="0" r="8890" b="22225"/>
            <wp:docPr id="36" name="图片 36" descr="SFigure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Figure12-2"/>
                    <pic:cNvPicPr>
                      <a:picLocks noChangeAspect="1"/>
                    </pic:cNvPicPr>
                  </pic:nvPicPr>
                  <pic:blipFill>
                    <a:blip r:embed="rId27"/>
                    <a:stretch>
                      <a:fillRect/>
                    </a:stretch>
                  </pic:blipFill>
                  <pic:spPr>
                    <a:xfrm>
                      <a:off x="0" y="0"/>
                      <a:ext cx="5274310" cy="5159375"/>
                    </a:xfrm>
                    <a:prstGeom prst="rect">
                      <a:avLst/>
                    </a:prstGeom>
                  </pic:spPr>
                </pic:pic>
              </a:graphicData>
            </a:graphic>
          </wp:inline>
        </w:drawing>
      </w:r>
    </w:p>
    <w:p w14:paraId="4B4754DF">
      <w:pPr>
        <w:spacing w:line="360" w:lineRule="auto"/>
        <w:rPr>
          <w:rFonts w:hint="default" w:ascii="Times New Roman Bold" w:hAnsi="Times New Roman Bold" w:cs="Times New Roman Bold"/>
          <w:b/>
          <w:bCs/>
          <w:color w:val="auto"/>
          <w:highlight w:val="none"/>
        </w:rPr>
      </w:pPr>
      <w:r>
        <w:rPr>
          <w:rFonts w:hint="default" w:ascii="Times New Roman Bold" w:hAnsi="Times New Roman Bold" w:cs="Times New Roman Bold"/>
          <w:b/>
          <w:bCs/>
          <w:color w:val="auto"/>
          <w:highlight w:val="none"/>
        </w:rPr>
        <w:drawing>
          <wp:inline distT="0" distB="0" distL="114300" distR="114300">
            <wp:extent cx="5271135" cy="5140960"/>
            <wp:effectExtent l="0" t="0" r="12065" b="15240"/>
            <wp:docPr id="38" name="图片 38" descr="SFigure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SFigure12-3"/>
                    <pic:cNvPicPr>
                      <a:picLocks noChangeAspect="1"/>
                    </pic:cNvPicPr>
                  </pic:nvPicPr>
                  <pic:blipFill>
                    <a:blip r:embed="rId28"/>
                    <a:stretch>
                      <a:fillRect/>
                    </a:stretch>
                  </pic:blipFill>
                  <pic:spPr>
                    <a:xfrm>
                      <a:off x="0" y="0"/>
                      <a:ext cx="5271135" cy="5140960"/>
                    </a:xfrm>
                    <a:prstGeom prst="rect">
                      <a:avLst/>
                    </a:prstGeom>
                  </pic:spPr>
                </pic:pic>
              </a:graphicData>
            </a:graphic>
          </wp:inline>
        </w:drawing>
      </w:r>
    </w:p>
    <w:p w14:paraId="6552B0E1">
      <w:pPr>
        <w:spacing w:line="360" w:lineRule="auto"/>
        <w:rPr>
          <w:rFonts w:hint="eastAsia" w:ascii="Arial Bold" w:hAnsi="Arial Bold" w:cs="Arial Bold"/>
          <w:b/>
          <w:bCs/>
          <w:color w:val="auto"/>
          <w:highlight w:val="none"/>
        </w:rPr>
      </w:pPr>
      <w:r>
        <w:rPr>
          <w:rFonts w:ascii="Times New Roman Bold" w:hAnsi="Times New Roman Bold" w:cs="Times New Roman Bold"/>
          <w:b/>
          <w:bCs/>
          <w:color w:val="auto"/>
          <w:highlight w:val="none"/>
        </w:rPr>
        <w:t>Supplementary Fig. 1</w:t>
      </w:r>
      <w:r>
        <w:rPr>
          <w:rFonts w:hint="eastAsia" w:ascii="Times New Roman Bold" w:hAnsi="Times New Roman Bold" w:cs="Times New Roman Bold"/>
          <w:b/>
          <w:bCs/>
          <w:color w:val="auto"/>
          <w:highlight w:val="none"/>
          <w:lang w:val="en-US" w:eastAsia="zh-CN"/>
        </w:rPr>
        <w:t>1</w:t>
      </w:r>
      <w:r>
        <w:rPr>
          <w:rFonts w:ascii="Times New Roman Bold" w:hAnsi="Times New Roman Bold" w:cs="Times New Roman Bold"/>
          <w:b/>
          <w:bCs/>
          <w:color w:val="auto"/>
          <w:highlight w:val="none"/>
        </w:rPr>
        <w:t>. The result of GARFIELD enrichment for MTAG_AF</w:t>
      </w:r>
      <w:r>
        <w:rPr>
          <w:rFonts w:hint="default" w:ascii="Times New Roman Bold" w:hAnsi="Times New Roman Bold" w:cs="Times New Roman Bold"/>
          <w:b/>
          <w:bCs/>
          <w:color w:val="auto"/>
          <w:highlight w:val="none"/>
        </w:rPr>
        <w:t>_EUR</w:t>
      </w:r>
      <w:r>
        <w:rPr>
          <w:rFonts w:ascii="Times New Roman Bold" w:hAnsi="Times New Roman Bold" w:cs="Times New Roman Bold"/>
          <w:b/>
          <w:bCs/>
          <w:color w:val="auto"/>
          <w:highlight w:val="none"/>
        </w:rPr>
        <w:t>, MTAG_CAD</w:t>
      </w:r>
      <w:r>
        <w:rPr>
          <w:rFonts w:hint="default" w:ascii="Times New Roman Bold" w:hAnsi="Times New Roman Bold" w:cs="Times New Roman Bold"/>
          <w:b/>
          <w:bCs/>
          <w:color w:val="auto"/>
          <w:highlight w:val="none"/>
        </w:rPr>
        <w:t>_EUR</w:t>
      </w:r>
      <w:r>
        <w:rPr>
          <w:rFonts w:ascii="Times New Roman Bold" w:hAnsi="Times New Roman Bold" w:cs="Times New Roman Bold"/>
          <w:b/>
          <w:bCs/>
          <w:color w:val="auto"/>
          <w:highlight w:val="none"/>
        </w:rPr>
        <w:t>, and MTAG_VTE</w:t>
      </w:r>
      <w:r>
        <w:rPr>
          <w:rFonts w:hint="default" w:ascii="Times New Roman Bold" w:hAnsi="Times New Roman Bold" w:cs="Times New Roman Bold"/>
          <w:b/>
          <w:bCs/>
          <w:color w:val="auto"/>
          <w:highlight w:val="none"/>
        </w:rPr>
        <w:t>_EUR</w:t>
      </w:r>
      <w:r>
        <w:rPr>
          <w:rFonts w:ascii="Times New Roman Bold" w:hAnsi="Times New Roman Bold" w:cs="Times New Roman Bold"/>
          <w:b/>
          <w:bCs/>
          <w:color w:val="auto"/>
          <w:highlight w:val="none"/>
        </w:rPr>
        <w:t xml:space="preserve"> in the genic regions</w:t>
      </w:r>
      <w:r>
        <w:rPr>
          <w:rFonts w:hint="default" w:ascii="Times New Roman Bold" w:hAnsi="Times New Roman Bold" w:cs="Times New Roman Bold"/>
          <w:b/>
          <w:bCs/>
          <w:color w:val="auto"/>
          <w:highlight w:val="none"/>
          <w:lang w:val="en-US"/>
        </w:rPr>
        <w:t>,</w:t>
      </w:r>
      <w:r>
        <w:rPr>
          <w:rFonts w:ascii="Times New Roman Bold" w:hAnsi="Times New Roman Bold" w:cs="Times New Roman Bold"/>
          <w:b/>
          <w:bCs/>
          <w:color w:val="auto"/>
          <w:highlight w:val="none"/>
        </w:rPr>
        <w:t xml:space="preserve"> DHS (hotspots) regions, chromatin states, and histone-modified regions of different tissues.</w:t>
      </w:r>
      <w:r>
        <w:rPr>
          <w:rFonts w:ascii="Arial Bold" w:hAnsi="Arial Bold" w:cs="Arial Bold"/>
          <w:b/>
          <w:bCs/>
          <w:color w:val="auto"/>
          <w:highlight w:val="none"/>
        </w:rPr>
        <w:t xml:space="preserve"> </w:t>
      </w:r>
    </w:p>
    <w:p w14:paraId="1D366632">
      <w:pPr>
        <w:spacing w:line="360" w:lineRule="auto"/>
        <w:rPr>
          <w:rFonts w:hint="default" w:ascii="Arial Bold" w:hAnsi="Arial Bold" w:cs="Arial Bold"/>
          <w:b/>
          <w:bCs/>
          <w:color w:val="auto"/>
          <w:highlight w:val="none"/>
          <w:lang w:val="en-US"/>
        </w:rPr>
      </w:pPr>
      <w:r>
        <w:rPr>
          <w:rFonts w:ascii="Times New Roman Regular" w:hAnsi="Times New Roman Regular" w:cs="Times New Roman Regular"/>
          <w:color w:val="auto"/>
          <w:highlight w:val="none"/>
        </w:rPr>
        <w:t>The horizontal axis represents the enrichment odds ratios</w:t>
      </w:r>
      <w:r>
        <w:rPr>
          <w:rFonts w:hint="default" w:ascii="Times New Roman Regular" w:hAnsi="Times New Roman Regular" w:cs="Times New Roman Regular"/>
          <w:color w:val="auto"/>
          <w:highlight w:val="none"/>
          <w:lang w:val="en-US"/>
        </w:rPr>
        <w:t xml:space="preserve"> (OR)</w:t>
      </w:r>
      <w:r>
        <w:rPr>
          <w:rFonts w:ascii="Times New Roman Regular" w:hAnsi="Times New Roman Regular" w:cs="Times New Roman Regular"/>
          <w:color w:val="auto"/>
          <w:highlight w:val="none"/>
        </w:rPr>
        <w:t xml:space="preserve"> </w:t>
      </w:r>
      <w:r>
        <w:rPr>
          <w:rFonts w:hint="default" w:ascii="Times New Roman Regular" w:hAnsi="Times New Roman Regular" w:cs="Times New Roman Regular"/>
          <w:color w:val="auto"/>
          <w:highlight w:val="none"/>
          <w:lang w:val="en-US"/>
        </w:rPr>
        <w:t>for</w:t>
      </w:r>
      <w:r>
        <w:rPr>
          <w:rFonts w:ascii="Times New Roman Regular" w:hAnsi="Times New Roman Regular" w:cs="Times New Roman Regular"/>
          <w:color w:val="auto"/>
          <w:highlight w:val="none"/>
        </w:rPr>
        <w:t xml:space="preserve"> each annotation category derived from logistic regression, and the vertical axis shows the corresponding −log10 </w:t>
      </w:r>
      <w:r>
        <w:rPr>
          <w:rFonts w:ascii="Times New Roman Italic" w:hAnsi="Times New Roman Italic" w:cs="Times New Roman Italic"/>
          <w:i/>
          <w:iCs/>
          <w:color w:val="auto"/>
          <w:highlight w:val="none"/>
        </w:rPr>
        <w:t>P</w:t>
      </w:r>
      <w:r>
        <w:rPr>
          <w:rFonts w:hint="default" w:ascii="Times New Roman Italic" w:hAnsi="Times New Roman Italic" w:cs="Times New Roman Italic"/>
          <w:i/>
          <w:iCs/>
          <w:color w:val="auto"/>
          <w:highlight w:val="none"/>
          <w:lang w:val="en-US"/>
        </w:rPr>
        <w:t>-</w:t>
      </w:r>
      <w:r>
        <w:rPr>
          <w:rFonts w:ascii="Times New Roman Regular" w:hAnsi="Times New Roman Regular" w:cs="Times New Roman Regular"/>
          <w:color w:val="auto"/>
          <w:highlight w:val="none"/>
        </w:rPr>
        <w:t xml:space="preserve">values. </w:t>
      </w:r>
      <w:r>
        <w:rPr>
          <w:rFonts w:hint="eastAsia" w:ascii="Times New Roman Regular" w:hAnsi="Times New Roman Regular" w:cs="Times New Roman Regular"/>
          <w:color w:val="auto"/>
          <w:highlight w:val="none"/>
        </w:rPr>
        <w:t xml:space="preserve">The dashed red line indicates the significant </w:t>
      </w:r>
      <w:r>
        <w:rPr>
          <w:rFonts w:hint="default" w:ascii="Times New Roman Italic" w:hAnsi="Times New Roman Italic" w:cs="Times New Roman Italic"/>
          <w:i/>
          <w:iCs/>
          <w:color w:val="auto"/>
          <w:highlight w:val="none"/>
        </w:rPr>
        <w:t>P</w:t>
      </w:r>
      <w:r>
        <w:rPr>
          <w:rFonts w:hint="eastAsia" w:ascii="Times New Roman Regular" w:hAnsi="Times New Roman Regular" w:cs="Times New Roman Regular"/>
          <w:color w:val="auto"/>
          <w:highlight w:val="none"/>
        </w:rPr>
        <w:t>-value after performing Bonferroni correction for multiple testing, which is</w:t>
      </w:r>
      <w:r>
        <w:rPr>
          <w:rFonts w:ascii="Times New Roman Regular" w:hAnsi="Times New Roman Regular" w:cs="Times New Roman Regular"/>
          <w:color w:val="auto"/>
          <w:highlight w:val="none"/>
        </w:rPr>
        <w:t xml:space="preserve"> &lt; 4.98</w:t>
      </w:r>
      <w:r>
        <w:rPr>
          <w:rFonts w:hint="default" w:ascii="Times New Roman Regular" w:hAnsi="Times New Roman Regular" w:cs="Times New Roman Regular"/>
          <w:color w:val="auto"/>
          <w:szCs w:val="21"/>
          <w:highlight w:val="none"/>
          <w:lang w:eastAsia="zh-Hans"/>
        </w:rPr>
        <w:t xml:space="preserve"> × </w:t>
      </w:r>
      <w:r>
        <w:rPr>
          <w:rFonts w:ascii="Times New Roman Regular" w:hAnsi="Times New Roman Regular" w:cs="Times New Roman Regular"/>
          <w:color w:val="auto"/>
          <w:szCs w:val="21"/>
          <w:highlight w:val="none"/>
        </w:rPr>
        <w:t>10</w:t>
      </w:r>
      <w:r>
        <w:rPr>
          <w:rFonts w:ascii="Times New Roman Regular" w:hAnsi="Times New Roman Regular" w:cs="Times New Roman Regular"/>
          <w:color w:val="auto"/>
          <w:szCs w:val="21"/>
          <w:highlight w:val="none"/>
          <w:vertAlign w:val="superscript"/>
        </w:rPr>
        <w:t>−5</w:t>
      </w:r>
      <w:r>
        <w:rPr>
          <w:rFonts w:ascii="Times New Roman Regular" w:hAnsi="Times New Roman Regular" w:cs="Times New Roman Regular"/>
          <w:color w:val="auto"/>
          <w:highlight w:val="none"/>
        </w:rPr>
        <w:t xml:space="preserve"> (0.05</w:t>
      </w:r>
      <w:r>
        <w:rPr>
          <w:rFonts w:hint="default"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1005) at -log10 (</w:t>
      </w:r>
      <w:r>
        <w:rPr>
          <w:rFonts w:ascii="Times New Roman Italic" w:hAnsi="Times New Roman Italic" w:cs="Times New Roman Italic"/>
          <w:i/>
          <w:iCs/>
          <w:color w:val="auto"/>
          <w:highlight w:val="none"/>
        </w:rPr>
        <w:t>P</w:t>
      </w:r>
      <w:r>
        <w:rPr>
          <w:rFonts w:ascii="Times New Roman Regular" w:hAnsi="Times New Roman Regular" w:cs="Times New Roman Regular"/>
          <w:color w:val="auto"/>
          <w:highlight w:val="none"/>
        </w:rPr>
        <w:t xml:space="preserve">) = 4.30. </w:t>
      </w:r>
      <w:r>
        <w:rPr>
          <w:rFonts w:hint="eastAsia" w:ascii="Times New Roman Regular" w:hAnsi="Times New Roman Regular" w:cs="Times New Roman Regular"/>
          <w:color w:val="auto"/>
          <w:highlight w:val="none"/>
        </w:rPr>
        <w:t>The size of the dots represents the number of independent SNPs in each specific annotation.</w:t>
      </w:r>
      <w:r>
        <w:rPr>
          <w:rFonts w:hint="default" w:ascii="Times New Roman Regular" w:hAnsi="Times New Roman Regular" w:cs="Times New Roman Regular"/>
          <w:color w:val="auto"/>
          <w:highlight w:val="none"/>
          <w:lang w:val="en-US"/>
        </w:rPr>
        <w:t xml:space="preserve"> The color of the dots represents different tissue types.</w:t>
      </w:r>
    </w:p>
    <w:p w14:paraId="2A503AA4">
      <w:pPr>
        <w:spacing w:line="240" w:lineRule="auto"/>
        <w:rPr>
          <w:rFonts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br w:type="page"/>
      </w:r>
    </w:p>
    <w:p w14:paraId="3D0284C5">
      <w:pPr>
        <w:spacing w:line="360" w:lineRule="auto"/>
        <w:rPr>
          <w:rFonts w:hint="default" w:ascii="Times New Roman Bold" w:hAnsi="Times New Roman Bold" w:cs="Times New Roman Bold"/>
          <w:b/>
          <w:color w:val="auto"/>
          <w:highlight w:val="none"/>
        </w:rPr>
      </w:pPr>
      <w:r>
        <w:rPr>
          <w:rFonts w:hint="default" w:ascii="Times New Roman Bold" w:hAnsi="Times New Roman Bold" w:cs="Times New Roman Bold"/>
          <w:b/>
          <w:color w:val="auto"/>
          <w:highlight w:val="none"/>
        </w:rPr>
        <w:drawing>
          <wp:inline distT="0" distB="0" distL="114300" distR="114300">
            <wp:extent cx="5268595" cy="3352165"/>
            <wp:effectExtent l="0" t="0" r="14605" b="635"/>
            <wp:docPr id="1" name="图片 1"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5"/>
                    <pic:cNvPicPr>
                      <a:picLocks noChangeAspect="1"/>
                    </pic:cNvPicPr>
                  </pic:nvPicPr>
                  <pic:blipFill>
                    <a:blip r:embed="rId29"/>
                    <a:srcRect t="3738"/>
                    <a:stretch>
                      <a:fillRect/>
                    </a:stretch>
                  </pic:blipFill>
                  <pic:spPr>
                    <a:xfrm>
                      <a:off x="0" y="0"/>
                      <a:ext cx="5268595" cy="3352165"/>
                    </a:xfrm>
                    <a:prstGeom prst="rect">
                      <a:avLst/>
                    </a:prstGeom>
                  </pic:spPr>
                </pic:pic>
              </a:graphicData>
            </a:graphic>
          </wp:inline>
        </w:drawing>
      </w:r>
    </w:p>
    <w:p w14:paraId="665DE71C">
      <w:pPr>
        <w:spacing w:line="360" w:lineRule="auto"/>
        <w:rPr>
          <w:rFonts w:hint="eastAsia" w:ascii="Times New Roman Bold" w:hAnsi="Times New Roman Bold" w:cs="Times New Roman Bold"/>
          <w:b/>
          <w:strike w:val="0"/>
          <w:color w:val="auto"/>
          <w:highlight w:val="none"/>
        </w:rPr>
      </w:pPr>
      <w:r>
        <w:rPr>
          <w:rFonts w:ascii="Times New Roman Bold" w:hAnsi="Times New Roman Bold" w:cs="Times New Roman Bold"/>
          <w:b/>
          <w:bCs/>
          <w:color w:val="auto"/>
          <w:highlight w:val="none"/>
        </w:rPr>
        <w:t xml:space="preserve">Supplementary Fig. </w:t>
      </w:r>
      <w:r>
        <w:rPr>
          <w:rFonts w:hint="eastAsia" w:ascii="Times New Roman Bold" w:hAnsi="Times New Roman Bold" w:cs="Times New Roman Bold"/>
          <w:b/>
          <w:bCs/>
          <w:color w:val="auto"/>
          <w:highlight w:val="none"/>
          <w:lang w:val="en-US" w:eastAsia="zh-CN"/>
        </w:rPr>
        <w:t>12</w:t>
      </w:r>
      <w:r>
        <w:rPr>
          <w:rFonts w:hint="eastAsia" w:ascii="Times New Roman Bold" w:hAnsi="Times New Roman Bold" w:cs="Times New Roman Bold"/>
          <w:b/>
          <w:strike w:val="0"/>
          <w:color w:val="auto"/>
          <w:highlight w:val="none"/>
          <w:lang w:val="en-US" w:eastAsia="zh-CN"/>
        </w:rPr>
        <w:t>.</w:t>
      </w:r>
      <w:r>
        <w:rPr>
          <w:rFonts w:ascii="Times New Roman Bold" w:hAnsi="Times New Roman Bold" w:cs="Times New Roman Bold"/>
          <w:b/>
          <w:strike w:val="0"/>
          <w:color w:val="auto"/>
          <w:highlight w:val="none"/>
        </w:rPr>
        <w:t xml:space="preserve"> Proteome-wide MR and Colocalization analysis of the </w:t>
      </w:r>
      <w:r>
        <w:rPr>
          <w:rFonts w:hint="default" w:ascii="Times New Roman Bold" w:hAnsi="Times New Roman Bold" w:cs="Times New Roman Bold"/>
          <w:b/>
          <w:strike w:val="0"/>
          <w:color w:val="auto"/>
          <w:highlight w:val="none"/>
        </w:rPr>
        <w:t>six</w:t>
      </w:r>
      <w:r>
        <w:rPr>
          <w:rFonts w:ascii="Times New Roman Bold" w:hAnsi="Times New Roman Bold" w:cs="Times New Roman Bold"/>
          <w:b/>
          <w:strike w:val="0"/>
          <w:color w:val="auto"/>
          <w:highlight w:val="none"/>
        </w:rPr>
        <w:t xml:space="preserve"> cardiovascular diseases. </w:t>
      </w:r>
    </w:p>
    <w:p w14:paraId="7F062031">
      <w:pPr>
        <w:spacing w:line="360" w:lineRule="auto"/>
        <w:rPr>
          <w:rFonts w:hint="eastAsia" w:ascii="Times New Roman Regular" w:hAnsi="Times New Roman Regular" w:cs="Times New Roman Regular" w:eastAsiaTheme="minorEastAsia"/>
          <w:color w:val="auto"/>
          <w:szCs w:val="21"/>
          <w:highlight w:val="none"/>
          <w:lang w:val="en-US" w:eastAsia="zh-CN"/>
        </w:rPr>
        <w:sectPr>
          <w:pgSz w:w="11906" w:h="16838"/>
          <w:pgMar w:top="1440" w:right="1800" w:bottom="1440" w:left="1800" w:header="851" w:footer="992" w:gutter="0"/>
          <w:lnNumType w:countBy="0" w:restart="continuous"/>
          <w:pgNumType w:fmt="decimal"/>
          <w:cols w:space="425" w:num="1"/>
          <w:docGrid w:type="lines" w:linePitch="312" w:charSpace="0"/>
        </w:sectPr>
      </w:pPr>
      <w:r>
        <w:rPr>
          <w:rFonts w:hint="default" w:ascii="Times New Roman" w:hAnsi="Times New Roman" w:cs="Times New Roman"/>
          <w:b w:val="0"/>
          <w:bCs/>
          <w:strike w:val="0"/>
          <w:color w:val="auto"/>
          <w:highlight w:val="none"/>
        </w:rPr>
        <w:t>The estimates shown in the forest plot were obtained using the SMR method. A positive association is indicated by the odd</w:t>
      </w:r>
      <w:r>
        <w:rPr>
          <w:rFonts w:hint="default" w:ascii="Times New Roman" w:hAnsi="Times New Roman" w:cs="Times New Roman"/>
          <w:b w:val="0"/>
          <w:bCs/>
          <w:strike w:val="0"/>
          <w:color w:val="auto"/>
          <w:highlight w:val="none"/>
          <w:lang w:val="en-US"/>
        </w:rPr>
        <w:t>s</w:t>
      </w:r>
      <w:r>
        <w:rPr>
          <w:rFonts w:hint="default" w:ascii="Times New Roman" w:hAnsi="Times New Roman" w:cs="Times New Roman"/>
          <w:b w:val="0"/>
          <w:bCs/>
          <w:strike w:val="0"/>
          <w:color w:val="auto"/>
          <w:highlight w:val="none"/>
        </w:rPr>
        <w:t xml:space="preserve"> ratio (OR &gt; 1), while a negative association is indicated by OR &lt; 1. The results of causality from </w:t>
      </w:r>
      <w:r>
        <w:rPr>
          <w:rFonts w:hint="default" w:ascii="Times New Roman" w:hAnsi="Times New Roman" w:cs="Times New Roman"/>
          <w:b w:val="0"/>
          <w:bCs/>
          <w:strike w:val="0"/>
          <w:color w:val="auto"/>
          <w:highlight w:val="none"/>
          <w:lang w:val="en-US"/>
        </w:rPr>
        <w:t xml:space="preserve">the </w:t>
      </w:r>
      <w:r>
        <w:rPr>
          <w:rFonts w:hint="default" w:ascii="Times New Roman" w:hAnsi="Times New Roman" w:cs="Times New Roman"/>
          <w:b w:val="0"/>
          <w:bCs/>
          <w:strike w:val="0"/>
          <w:color w:val="auto"/>
          <w:highlight w:val="none"/>
        </w:rPr>
        <w:t>SMR analysis are shown</w:t>
      </w:r>
      <w:r>
        <w:rPr>
          <w:rFonts w:hint="default" w:ascii="Times New Roman" w:hAnsi="Times New Roman" w:cs="Times New Roman"/>
          <w:b w:val="0"/>
          <w:bCs/>
          <w:strike w:val="0"/>
          <w:color w:val="auto"/>
          <w:highlight w:val="none"/>
          <w:lang w:val="en-US"/>
        </w:rPr>
        <w:t xml:space="preserve"> </w:t>
      </w:r>
      <w:r>
        <w:rPr>
          <w:rFonts w:hint="default" w:ascii="Times New Roman" w:hAnsi="Times New Roman" w:cs="Times New Roman"/>
          <w:b w:val="0"/>
          <w:bCs/>
          <w:strike w:val="0"/>
          <w:color w:val="auto"/>
          <w:highlight w:val="none"/>
        </w:rPr>
        <w:t xml:space="preserve">in the left panel, and the results of colocalization analysis are in the right panel. </w:t>
      </w:r>
      <w:r>
        <w:rPr>
          <w:rFonts w:hint="default" w:ascii="Times New Roman" w:hAnsi="Times New Roman" w:cs="Times New Roman"/>
          <w:bCs/>
          <w:color w:val="auto"/>
          <w:highlight w:val="none"/>
          <w:lang w:eastAsia="zh-Hans"/>
        </w:rPr>
        <w:t>AF</w:t>
      </w:r>
      <w:r>
        <w:rPr>
          <w:rFonts w:hint="default" w:ascii="Times New Roman" w:hAnsi="Times New Roman" w:cs="Times New Roman"/>
          <w:bCs/>
          <w:color w:val="auto"/>
          <w:highlight w:val="none"/>
          <w:lang w:val="en-US" w:eastAsia="zh-Hans"/>
        </w:rPr>
        <w:t>:</w:t>
      </w:r>
      <w:r>
        <w:rPr>
          <w:rFonts w:hint="default" w:ascii="Times New Roman" w:hAnsi="Times New Roman" w:cs="Times New Roman"/>
          <w:bCs/>
          <w:color w:val="auto"/>
          <w:highlight w:val="none"/>
          <w:lang w:eastAsia="zh-Hans"/>
        </w:rPr>
        <w:t xml:space="preserve"> </w:t>
      </w:r>
      <w:r>
        <w:rPr>
          <w:rFonts w:hint="default" w:ascii="Times New Roman" w:hAnsi="Times New Roman" w:cs="Times New Roman"/>
          <w:bCs/>
          <w:color w:val="auto"/>
          <w:highlight w:val="none"/>
          <w:lang w:val="en-US" w:eastAsia="zh-Hans"/>
        </w:rPr>
        <w:t>a</w:t>
      </w:r>
      <w:r>
        <w:rPr>
          <w:rFonts w:hint="default" w:ascii="Times New Roman" w:hAnsi="Times New Roman" w:cs="Times New Roman"/>
          <w:bCs/>
          <w:color w:val="auto"/>
          <w:highlight w:val="none"/>
          <w:lang w:eastAsia="zh-Hans"/>
        </w:rPr>
        <w:t>trial fibrillation; CAD</w:t>
      </w:r>
      <w:r>
        <w:rPr>
          <w:rFonts w:hint="default" w:ascii="Times New Roman" w:hAnsi="Times New Roman" w:cs="Times New Roman"/>
          <w:bCs/>
          <w:color w:val="auto"/>
          <w:highlight w:val="none"/>
          <w:lang w:val="en-US" w:eastAsia="zh-Hans"/>
        </w:rPr>
        <w:t>: c</w:t>
      </w:r>
      <w:r>
        <w:rPr>
          <w:rFonts w:hint="default" w:ascii="Times New Roman" w:hAnsi="Times New Roman" w:cs="Times New Roman"/>
          <w:bCs/>
          <w:color w:val="auto"/>
          <w:highlight w:val="none"/>
          <w:lang w:eastAsia="zh-Hans"/>
        </w:rPr>
        <w:t>oronary artery disease; VTE</w:t>
      </w:r>
      <w:r>
        <w:rPr>
          <w:rFonts w:hint="default" w:ascii="Times New Roman" w:hAnsi="Times New Roman" w:cs="Times New Roman"/>
          <w:bCs/>
          <w:color w:val="auto"/>
          <w:highlight w:val="none"/>
          <w:lang w:val="en-US" w:eastAsia="zh-Hans"/>
        </w:rPr>
        <w:t>:</w:t>
      </w:r>
      <w:r>
        <w:rPr>
          <w:rFonts w:hint="default" w:ascii="Times New Roman" w:hAnsi="Times New Roman" w:cs="Times New Roman"/>
          <w:bCs/>
          <w:color w:val="auto"/>
          <w:highlight w:val="none"/>
          <w:lang w:eastAsia="zh-Hans"/>
        </w:rPr>
        <w:t xml:space="preserve"> </w:t>
      </w:r>
      <w:r>
        <w:rPr>
          <w:rFonts w:hint="default" w:ascii="Times New Roman" w:hAnsi="Times New Roman" w:cs="Times New Roman"/>
          <w:bCs/>
          <w:color w:val="auto"/>
          <w:highlight w:val="none"/>
          <w:lang w:val="en-US" w:eastAsia="zh-Hans"/>
        </w:rPr>
        <w:t>v</w:t>
      </w:r>
      <w:r>
        <w:rPr>
          <w:rFonts w:hint="default" w:ascii="Times New Roman" w:hAnsi="Times New Roman" w:cs="Times New Roman"/>
          <w:bCs/>
          <w:color w:val="auto"/>
          <w:highlight w:val="none"/>
          <w:lang w:eastAsia="zh-Hans"/>
        </w:rPr>
        <w:t xml:space="preserve">enous thromboembolism; HF, </w:t>
      </w:r>
      <w:r>
        <w:rPr>
          <w:rFonts w:hint="default" w:ascii="Times New Roman" w:hAnsi="Times New Roman" w:cs="Times New Roman"/>
          <w:bCs/>
          <w:color w:val="auto"/>
          <w:highlight w:val="none"/>
          <w:lang w:val="en-US" w:eastAsia="zh-Hans"/>
        </w:rPr>
        <w:t>h</w:t>
      </w:r>
      <w:r>
        <w:rPr>
          <w:rFonts w:hint="default" w:ascii="Times New Roman" w:hAnsi="Times New Roman" w:cs="Times New Roman"/>
          <w:bCs/>
          <w:color w:val="auto"/>
          <w:highlight w:val="none"/>
          <w:lang w:eastAsia="zh-Hans"/>
        </w:rPr>
        <w:t xml:space="preserve">eart failure; PAD, </w:t>
      </w:r>
      <w:r>
        <w:rPr>
          <w:rFonts w:hint="default" w:ascii="Times New Roman" w:hAnsi="Times New Roman" w:cs="Times New Roman"/>
          <w:bCs/>
          <w:color w:val="auto"/>
          <w:highlight w:val="none"/>
          <w:lang w:val="en-US" w:eastAsia="zh-Hans"/>
        </w:rPr>
        <w:t>p</w:t>
      </w:r>
      <w:r>
        <w:rPr>
          <w:rFonts w:hint="default" w:ascii="Times New Roman" w:hAnsi="Times New Roman" w:cs="Times New Roman"/>
          <w:bCs/>
          <w:color w:val="auto"/>
          <w:highlight w:val="none"/>
          <w:lang w:eastAsia="zh-Hans"/>
        </w:rPr>
        <w:t xml:space="preserve">eripheral artery disease. Full name of proteins: </w:t>
      </w:r>
      <w:r>
        <w:rPr>
          <w:rFonts w:hint="eastAsia" w:ascii="Times New Roman Regular" w:hAnsi="Times New Roman Regular" w:cs="Times New Roman Regular"/>
          <w:color w:val="auto"/>
          <w:szCs w:val="21"/>
          <w:highlight w:val="none"/>
          <w:lang w:eastAsia="zh-Hans"/>
        </w:rPr>
        <w:t>LRIG1</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leucine</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rich repeats and immunoglobulin</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like domains 1</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DUSP13B</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dual specificity phosphatase 13B</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TNFSF12</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TNF superfamily member 12</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EFEMP1</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EGF containing fibulin extracellular matrix protein 1</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PROC</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protein C</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inactivator of coagulation factors Va and VIIIa</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SERPINE2</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serpin family E member 2</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PROS1</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protein S</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GP6</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glycoprotein VI platelet</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TIMP3</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TIMP metallopeptidase inhibitor 3</w:t>
      </w:r>
      <w:r>
        <w:rPr>
          <w:rFonts w:hint="default"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color w:val="auto"/>
          <w:szCs w:val="21"/>
          <w:highlight w:val="none"/>
          <w:lang w:eastAsia="zh-Hans"/>
        </w:rPr>
        <w:t>F2</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coagulation factor II</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thrombin</w:t>
      </w:r>
      <w:r>
        <w:rPr>
          <w:rFonts w:hint="default"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PCSK9</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proprotein convertase subtilisin/kexin type 9; IL6R</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interleukin 6 receptor; GSTT2B</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glutathione S-transferase theta 2B; PDE5A</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phosphodiesterase 5A</w:t>
      </w:r>
      <w:r>
        <w:rPr>
          <w:rFonts w:hint="eastAsia" w:ascii="Times New Roman Regular" w:hAnsi="Times New Roman Regular" w:cs="Times New Roman Regular"/>
          <w:color w:val="auto"/>
          <w:szCs w:val="21"/>
          <w:highlight w:val="none"/>
          <w:lang w:val="en-US" w:eastAsia="zh-CN"/>
        </w:rPr>
        <w:t>.</w:t>
      </w:r>
    </w:p>
    <w:p w14:paraId="342B2904">
      <w:pPr>
        <w:spacing w:line="240" w:lineRule="auto"/>
        <w:rPr>
          <w:rFonts w:hint="eastAsia"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t>Supplementary Note 1. Additional information on summary statistics</w:t>
      </w:r>
    </w:p>
    <w:p w14:paraId="5206E6BC">
      <w:pPr>
        <w:spacing w:line="360" w:lineRule="auto"/>
        <w:rPr>
          <w:rFonts w:hint="eastAsia" w:ascii="Times New Roman Regular" w:hAnsi="Times New Roman Regular" w:cs="Times New Roman Regular"/>
          <w:color w:val="auto"/>
          <w:szCs w:val="21"/>
          <w:highlight w:val="none"/>
        </w:rPr>
      </w:pPr>
      <w:r>
        <w:rPr>
          <w:rFonts w:hint="eastAsia" w:ascii="Times New Roman Regular" w:hAnsi="Times New Roman Regular" w:cs="Times New Roman Regular"/>
          <w:color w:val="auto"/>
          <w:szCs w:val="21"/>
          <w:highlight w:val="none"/>
        </w:rPr>
        <w:t xml:space="preserve">Note that all GWAS summary statistics included in our </w:t>
      </w:r>
      <w:r>
        <w:rPr>
          <w:rFonts w:hint="default" w:ascii="Times New Roman Regular" w:hAnsi="Times New Roman Regular" w:cs="Times New Roman Regular"/>
          <w:color w:val="auto"/>
          <w:szCs w:val="21"/>
          <w:highlight w:val="none"/>
        </w:rPr>
        <w:t xml:space="preserve">main </w:t>
      </w:r>
      <w:r>
        <w:rPr>
          <w:rFonts w:hint="eastAsia" w:ascii="Times New Roman Regular" w:hAnsi="Times New Roman Regular" w:cs="Times New Roman Regular"/>
          <w:color w:val="auto"/>
          <w:szCs w:val="21"/>
          <w:highlight w:val="none"/>
        </w:rPr>
        <w:t>study involve participants of European descent only.</w:t>
      </w:r>
    </w:p>
    <w:p w14:paraId="6DEF0932">
      <w:pPr>
        <w:spacing w:line="360" w:lineRule="auto"/>
        <w:rPr>
          <w:rFonts w:hint="eastAsia" w:ascii="Times New Roman Regular" w:hAnsi="Times New Roman Regular" w:cs="Times New Roman Regular"/>
          <w:color w:val="auto"/>
          <w:szCs w:val="21"/>
          <w:highlight w:val="none"/>
        </w:rPr>
      </w:pPr>
    </w:p>
    <w:p w14:paraId="42401459">
      <w:pPr>
        <w:spacing w:line="360" w:lineRule="auto"/>
        <w:rPr>
          <w:rFonts w:hint="eastAsia"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t>Atrial fibrillation (AF)</w:t>
      </w:r>
    </w:p>
    <w:p w14:paraId="04FD76FA">
      <w:pPr>
        <w:spacing w:line="360" w:lineRule="auto"/>
        <w:rPr>
          <w:rFonts w:hint="eastAsia" w:ascii="Times New Roman Regular" w:hAnsi="Times New Roman Regular" w:cs="Times New Roman Regular"/>
          <w:color w:val="auto"/>
          <w:szCs w:val="21"/>
          <w:highlight w:val="none"/>
        </w:rPr>
      </w:pPr>
      <w:r>
        <w:rPr>
          <w:rFonts w:hint="eastAsia" w:ascii="Times New Roman Regular" w:hAnsi="Times New Roman Regular" w:cs="Times New Roman Regular"/>
          <w:color w:val="auto"/>
          <w:szCs w:val="21"/>
          <w:highlight w:val="none"/>
        </w:rPr>
        <w:t xml:space="preserve">The AF GWAS summary statistics by Nielsen </w:t>
      </w:r>
      <w:r>
        <w:rPr>
          <w:rFonts w:hint="default" w:ascii="Times New Roman Italic" w:hAnsi="Times New Roman Italic" w:cs="Times New Roman Italic"/>
          <w:i/>
          <w:iCs/>
          <w:color w:val="auto"/>
          <w:szCs w:val="21"/>
          <w:highlight w:val="none"/>
        </w:rPr>
        <w:t>et al.</w:t>
      </w:r>
      <w:r>
        <w:rPr>
          <w:rFonts w:hint="eastAsia" w:ascii="Times New Roman Regular" w:hAnsi="Times New Roman Regular" w:cs="Times New Roman Regular"/>
          <w:color w:val="auto"/>
          <w:szCs w:val="21"/>
          <w:highlight w:val="none"/>
        </w:rPr>
        <w:t xml:space="preserve"> (2018)</w:t>
      </w:r>
      <w:r>
        <w:rPr>
          <w:rFonts w:ascii="Times New Roman Regular" w:hAnsi="Times New Roman Regular" w:cs="Times New Roman Regular"/>
          <w:color w:val="auto"/>
          <w:highlight w:val="none"/>
        </w:rPr>
        <w:fldChar w:fldCharType="begin"/>
      </w:r>
      <w:r>
        <w:rPr>
          <w:rFonts w:hint="eastAsia" w:ascii="Times New Roman Regular" w:hAnsi="Times New Roman Regular" w:cs="Times New Roman Regular"/>
          <w:color w:val="auto"/>
          <w:highlight w:val="none"/>
          <w:lang w:eastAsia="zh-CN"/>
        </w:rPr>
        <w:instrText xml:space="preserve"> ADDIN NE.Ref.{A7F265BF-BD1F-4E8E-AC75-1BBD21A61721}</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1</w:t>
      </w:r>
      <w:r>
        <w:rPr>
          <w:rFonts w:ascii="Times New Roman Regular" w:hAnsi="Times New Roman Regular" w:cs="Times New Roman Regular"/>
          <w:color w:val="auto"/>
          <w:highlight w:val="none"/>
        </w:rPr>
        <w:fldChar w:fldCharType="end"/>
      </w:r>
      <w:r>
        <w:rPr>
          <w:rFonts w:hint="default" w:ascii="Times New Roman Regular" w:hAnsi="Times New Roman Regular" w:cs="Times New Roman Regular"/>
          <w:color w:val="auto"/>
          <w:szCs w:val="21"/>
          <w:highlight w:val="none"/>
        </w:rPr>
        <w:t xml:space="preserve"> </w:t>
      </w:r>
      <w:r>
        <w:rPr>
          <w:rFonts w:ascii="Times New Roman Regular" w:hAnsi="Times New Roman Regular" w:cs="Times New Roman Regular"/>
          <w:color w:val="auto"/>
          <w:szCs w:val="21"/>
          <w:highlight w:val="none"/>
        </w:rPr>
        <w:t>were</w:t>
      </w:r>
      <w:r>
        <w:rPr>
          <w:rFonts w:hint="eastAsia" w:ascii="Times New Roman Regular" w:hAnsi="Times New Roman Regular" w:cs="Times New Roman Regular"/>
          <w:color w:val="auto"/>
          <w:szCs w:val="21"/>
          <w:highlight w:val="none"/>
        </w:rPr>
        <w:t xml:space="preserve"> based on the analysis of individuals of</w:t>
      </w:r>
      <w:r>
        <w:rPr>
          <w:rFonts w:hint="default" w:ascii="Times New Roman Regular" w:hAnsi="Times New Roman Regular" w:cs="Times New Roman Regular"/>
          <w:color w:val="auto"/>
          <w:szCs w:val="21"/>
          <w:highlight w:val="none"/>
          <w:lang w:val="en-US"/>
        </w:rPr>
        <w:t xml:space="preserve"> </w:t>
      </w:r>
      <w:r>
        <w:rPr>
          <w:rFonts w:hint="eastAsia" w:ascii="Times New Roman Regular" w:hAnsi="Times New Roman Regular" w:cs="Times New Roman Regular"/>
          <w:color w:val="auto"/>
          <w:szCs w:val="21"/>
          <w:highlight w:val="none"/>
        </w:rPr>
        <w:t xml:space="preserve">European ancestry from </w:t>
      </w:r>
      <w:r>
        <w:rPr>
          <w:rFonts w:hint="default" w:ascii="Times New Roman Regular" w:hAnsi="Times New Roman Regular" w:cs="Times New Roman Regular"/>
          <w:color w:val="auto"/>
          <w:szCs w:val="21"/>
          <w:highlight w:val="none"/>
          <w:lang w:val="en-US"/>
        </w:rPr>
        <w:t>six</w:t>
      </w:r>
      <w:r>
        <w:rPr>
          <w:rFonts w:hint="eastAsia" w:ascii="Times New Roman Regular" w:hAnsi="Times New Roman Regular" w:cs="Times New Roman Regular"/>
          <w:color w:val="auto"/>
          <w:szCs w:val="21"/>
          <w:highlight w:val="none"/>
        </w:rPr>
        <w:t xml:space="preserve"> cohorts: </w:t>
      </w:r>
      <w:r>
        <w:rPr>
          <w:rFonts w:ascii="Times New Roman Regular" w:hAnsi="Times New Roman Regular" w:cs="Times New Roman Regular"/>
          <w:color w:val="auto"/>
          <w:szCs w:val="21"/>
          <w:highlight w:val="none"/>
        </w:rPr>
        <w:t>t</w:t>
      </w:r>
      <w:r>
        <w:rPr>
          <w:rFonts w:hint="eastAsia" w:ascii="Times New Roman Regular" w:hAnsi="Times New Roman Regular" w:cs="Times New Roman Regular"/>
          <w:color w:val="auto"/>
          <w:szCs w:val="21"/>
          <w:highlight w:val="none"/>
        </w:rPr>
        <w:t>he Nord-Trøndelag Health Study (HUNT), deCODE, Michigan Genomics Initiative (MGI), DiscovEHR, UK Biobank</w:t>
      </w:r>
      <w:r>
        <w:rPr>
          <w:rFonts w:ascii="Times New Roman Regular" w:hAnsi="Times New Roman Regular" w:cs="Times New Roman Regular"/>
          <w:color w:val="auto"/>
          <w:szCs w:val="21"/>
          <w:highlight w:val="none"/>
        </w:rPr>
        <w:t xml:space="preserve"> (UKB)</w:t>
      </w:r>
      <w:r>
        <w:rPr>
          <w:rFonts w:hint="eastAsia" w:ascii="Times New Roman Regular" w:hAnsi="Times New Roman Regular" w:cs="Times New Roman Regular"/>
          <w:color w:val="auto"/>
          <w:szCs w:val="21"/>
          <w:highlight w:val="none"/>
        </w:rPr>
        <w:t xml:space="preserve">, and </w:t>
      </w:r>
      <w:r>
        <w:rPr>
          <w:rFonts w:hint="default" w:ascii="Times New Roman Regular" w:hAnsi="Times New Roman Regular" w:cs="Times New Roman Regular"/>
          <w:color w:val="auto"/>
          <w:szCs w:val="21"/>
          <w:highlight w:val="none"/>
          <w:lang w:val="en-US"/>
        </w:rPr>
        <w:t xml:space="preserve">the </w:t>
      </w:r>
      <w:r>
        <w:rPr>
          <w:rFonts w:hint="eastAsia" w:ascii="Times New Roman Regular" w:hAnsi="Times New Roman Regular" w:cs="Times New Roman Regular"/>
          <w:color w:val="auto"/>
          <w:szCs w:val="21"/>
          <w:highlight w:val="none"/>
        </w:rPr>
        <w:t>AFGen Consortium. A clinical diagnosis of AF was made for all cases following ICD-9</w:t>
      </w:r>
      <w:r>
        <w:rPr>
          <w:rFonts w:hint="default" w:ascii="Times New Roman Regular" w:hAnsi="Times New Roman Regular" w:cs="Times New Roman Regular"/>
          <w:color w:val="auto"/>
          <w:szCs w:val="21"/>
          <w:highlight w:val="none"/>
          <w:lang w:val="en-US"/>
        </w:rPr>
        <w:t xml:space="preserve"> </w:t>
      </w:r>
      <w:r>
        <w:rPr>
          <w:rFonts w:hint="eastAsia" w:ascii="Times New Roman Regular" w:hAnsi="Times New Roman Regular" w:cs="Times New Roman Regular"/>
          <w:color w:val="auto"/>
          <w:szCs w:val="21"/>
          <w:highlight w:val="none"/>
        </w:rPr>
        <w:t>code 427.3 and ICD-10 code</w:t>
      </w:r>
      <w:r>
        <w:rPr>
          <w:rFonts w:hint="default" w:ascii="Times New Roman Regular" w:hAnsi="Times New Roman Regular" w:cs="Times New Roman Regular"/>
          <w:color w:val="auto"/>
          <w:szCs w:val="21"/>
          <w:highlight w:val="none"/>
          <w:lang w:val="en-US"/>
        </w:rPr>
        <w:t xml:space="preserve"> </w:t>
      </w:r>
      <w:r>
        <w:rPr>
          <w:rFonts w:hint="eastAsia" w:ascii="Times New Roman Regular" w:hAnsi="Times New Roman Regular" w:cs="Times New Roman Regular"/>
          <w:color w:val="auto"/>
          <w:szCs w:val="21"/>
          <w:highlight w:val="none"/>
        </w:rPr>
        <w:t>I48 criteria. The combined European sample consisted of 60,620 cases and 970,216 controls.</w:t>
      </w:r>
    </w:p>
    <w:p w14:paraId="18726A03">
      <w:pPr>
        <w:spacing w:line="360" w:lineRule="auto"/>
        <w:rPr>
          <w:rFonts w:hint="eastAsia" w:ascii="Times New Roman Regular" w:hAnsi="Times New Roman Regular" w:cs="Times New Roman Regular"/>
          <w:color w:val="auto"/>
          <w:szCs w:val="21"/>
          <w:highlight w:val="none"/>
        </w:rPr>
      </w:pPr>
    </w:p>
    <w:p w14:paraId="6D8F6794">
      <w:pPr>
        <w:spacing w:line="360" w:lineRule="auto"/>
        <w:rPr>
          <w:rFonts w:hint="eastAsia"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t>Coronary artery disease (CAD)</w:t>
      </w:r>
    </w:p>
    <w:p w14:paraId="54F04E98">
      <w:pPr>
        <w:spacing w:line="360" w:lineRule="auto"/>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 xml:space="preserve">The CAD GWAS summary statistics by Aragam </w:t>
      </w:r>
      <w:r>
        <w:rPr>
          <w:rFonts w:ascii="Times New Roman Italic" w:hAnsi="Times New Roman Italic" w:cs="Times New Roman Italic"/>
          <w:i/>
          <w:iCs/>
          <w:color w:val="auto"/>
          <w:szCs w:val="21"/>
          <w:highlight w:val="none"/>
        </w:rPr>
        <w:t>et al</w:t>
      </w:r>
      <w:r>
        <w:rPr>
          <w:rFonts w:ascii="Times New Roman Regular" w:hAnsi="Times New Roman Regular" w:cs="Times New Roman Regular"/>
          <w:color w:val="auto"/>
          <w:szCs w:val="21"/>
          <w:highlight w:val="none"/>
        </w:rPr>
        <w:t>. (2022)</w:t>
      </w:r>
      <w:r>
        <w:rPr>
          <w:rFonts w:ascii="Times New Roman Regular" w:hAnsi="Times New Roman Regular" w:cs="Times New Roman Regular"/>
          <w:color w:val="auto"/>
          <w:szCs w:val="21"/>
          <w:highlight w:val="none"/>
        </w:rPr>
        <w:fldChar w:fldCharType="begin"/>
      </w:r>
      <w:r>
        <w:rPr>
          <w:rFonts w:hint="eastAsia" w:ascii="Times New Roman Regular" w:hAnsi="Times New Roman Regular" w:cs="Times New Roman Regular"/>
          <w:color w:val="auto"/>
          <w:szCs w:val="21"/>
          <w:highlight w:val="none"/>
          <w:lang w:eastAsia="zh-CN"/>
        </w:rPr>
        <w:instrText xml:space="preserve"> ADDIN NE.Ref.{43B72FD5-C61D-480A-9A97-E3D5B2665306}</w:instrText>
      </w:r>
      <w:r>
        <w:rPr>
          <w:rFonts w:ascii="Times New Roman Regular" w:hAnsi="Times New Roman Regular" w:cs="Times New Roman Regular"/>
          <w:color w:val="auto"/>
          <w:szCs w:val="21"/>
          <w:highlight w:val="none"/>
        </w:rPr>
        <w:fldChar w:fldCharType="separate"/>
      </w:r>
      <w:r>
        <w:rPr>
          <w:rFonts w:hint="default" w:ascii="Times New Roman" w:hAnsi="Times New Roman" w:eastAsia="Times New Roman"/>
          <w:color w:val="auto"/>
          <w:sz w:val="21"/>
          <w:szCs w:val="24"/>
          <w:highlight w:val="none"/>
          <w:vertAlign w:val="superscript"/>
        </w:rPr>
        <w:t>2</w:t>
      </w:r>
      <w:r>
        <w:rPr>
          <w:rFonts w:ascii="Times New Roman Regular" w:hAnsi="Times New Roman Regular" w:cs="Times New Roman Regular"/>
          <w:color w:val="auto"/>
          <w:szCs w:val="21"/>
          <w:highlight w:val="none"/>
        </w:rPr>
        <w:fldChar w:fldCharType="end"/>
      </w:r>
      <w:r>
        <w:rPr>
          <w:rFonts w:ascii="Times New Roman Regular" w:hAnsi="Times New Roman Regular" w:cs="Times New Roman Regular"/>
          <w:color w:val="auto"/>
          <w:szCs w:val="21"/>
          <w:highlight w:val="none"/>
        </w:rPr>
        <w:t xml:space="preserve"> were</w:t>
      </w:r>
      <w:r>
        <w:rPr>
          <w:rFonts w:hint="default" w:ascii="Times New Roman Regular" w:hAnsi="Times New Roman Regular" w:cs="Times New Roman Regular"/>
          <w:color w:val="auto"/>
          <w:szCs w:val="21"/>
          <w:highlight w:val="none"/>
          <w:lang w:val="en-US" w:eastAsia="zh-CN"/>
        </w:rPr>
        <w:t xml:space="preserve"> </w:t>
      </w:r>
      <w:r>
        <w:rPr>
          <w:rFonts w:ascii="Times New Roman Regular" w:hAnsi="Times New Roman Regular" w:cs="Times New Roman Regular"/>
          <w:color w:val="auto"/>
          <w:szCs w:val="21"/>
          <w:highlight w:val="none"/>
        </w:rPr>
        <w:t xml:space="preserve">based on 12 cohorts consisting of </w:t>
      </w:r>
      <w:r>
        <w:rPr>
          <w:rFonts w:hint="eastAsia" w:ascii="Times New Roman Regular" w:hAnsi="Times New Roman Regular" w:cs="Times New Roman Regular"/>
          <w:color w:val="auto"/>
          <w:szCs w:val="21"/>
          <w:highlight w:val="none"/>
        </w:rPr>
        <w:t>individuals of</w:t>
      </w:r>
      <w:r>
        <w:rPr>
          <w:rFonts w:hint="default" w:ascii="Times New Roman Regular" w:hAnsi="Times New Roman Regular" w:cs="Times New Roman Regular"/>
          <w:color w:val="auto"/>
          <w:szCs w:val="21"/>
          <w:highlight w:val="none"/>
          <w:lang w:val="en-US"/>
        </w:rPr>
        <w:t xml:space="preserve"> </w:t>
      </w:r>
      <w:r>
        <w:rPr>
          <w:rFonts w:ascii="Times New Roman Regular" w:hAnsi="Times New Roman Regular" w:cs="Times New Roman Regular"/>
          <w:color w:val="auto"/>
          <w:szCs w:val="21"/>
          <w:highlight w:val="none"/>
        </w:rPr>
        <w:t>European (&gt; 95% of the samples) and East Asian ancestry: the deCODE, European Prospective Investigation into Cancer and Nutrition (EPIC)-CVD, GerMIFS V-VII, Greek Coronary Disease Cohort (GCC), Nord-Trøndelag Health Study (HUNT),</w:t>
      </w:r>
      <w:r>
        <w:rPr>
          <w:rFonts w:ascii="Times New Roman Regular" w:hAnsi="Times New Roman Regular" w:cs="Times New Roman Regular"/>
          <w:color w:val="auto"/>
          <w:szCs w:val="21"/>
          <w:highlight w:val="none"/>
        </w:rPr>
        <w:tab/>
      </w:r>
      <w:r>
        <w:rPr>
          <w:rFonts w:ascii="Times New Roman Regular" w:hAnsi="Times New Roman Regular" w:cs="Times New Roman Regular"/>
          <w:color w:val="auto"/>
          <w:szCs w:val="21"/>
          <w:highlight w:val="none"/>
        </w:rPr>
        <w:t xml:space="preserve">Mass General Brigham Biobank, TIMI, and </w:t>
      </w:r>
      <w:r>
        <w:rPr>
          <w:rFonts w:hint="default" w:ascii="Times New Roman Regular" w:hAnsi="Times New Roman Regular" w:cs="Times New Roman Regular"/>
          <w:color w:val="auto"/>
          <w:szCs w:val="21"/>
          <w:highlight w:val="none"/>
          <w:lang w:val="en-US"/>
        </w:rPr>
        <w:t xml:space="preserve">the </w:t>
      </w:r>
      <w:r>
        <w:rPr>
          <w:rFonts w:ascii="Times New Roman Regular" w:hAnsi="Times New Roman Regular" w:cs="Times New Roman Regular"/>
          <w:color w:val="auto"/>
          <w:szCs w:val="21"/>
          <w:highlight w:val="none"/>
        </w:rPr>
        <w:t xml:space="preserve">UK Biobank (UKB) Consortium. A clinical diagnosis of CAD was defined as myocardial infarction, chronic </w:t>
      </w:r>
      <w:r>
        <w:rPr>
          <w:rFonts w:hint="eastAsia" w:ascii="Times New Roman Regular" w:hAnsi="Times New Roman Regular" w:cs="Times New Roman Regular"/>
          <w:color w:val="auto"/>
          <w:szCs w:val="21"/>
          <w:highlight w:val="none"/>
        </w:rPr>
        <w:t>ischemic</w:t>
      </w:r>
      <w:r>
        <w:rPr>
          <w:rFonts w:hint="default" w:ascii="Times New Roman Regular" w:hAnsi="Times New Roman Regular" w:cs="Times New Roman Regular"/>
          <w:color w:val="auto"/>
          <w:szCs w:val="21"/>
          <w:highlight w:val="none"/>
          <w:lang w:val="en-US"/>
        </w:rPr>
        <w:t xml:space="preserve"> </w:t>
      </w:r>
      <w:r>
        <w:rPr>
          <w:rFonts w:ascii="Times New Roman Regular" w:hAnsi="Times New Roman Regular" w:cs="Times New Roman Regular"/>
          <w:color w:val="auto"/>
          <w:szCs w:val="21"/>
          <w:highlight w:val="none"/>
        </w:rPr>
        <w:t xml:space="preserve">heart disease, or angina using ICD9 (410-414), ICD10 (I20-I25) codes, or other diagnosis procedure codes. Here, we use the GWAS summary statistics based on </w:t>
      </w:r>
      <w:r>
        <w:rPr>
          <w:rFonts w:hint="default" w:ascii="Times New Roman Regular" w:hAnsi="Times New Roman Regular" w:cs="Times New Roman Regular"/>
          <w:color w:val="auto"/>
          <w:szCs w:val="21"/>
          <w:highlight w:val="none"/>
        </w:rPr>
        <w:t xml:space="preserve">the </w:t>
      </w:r>
      <w:r>
        <w:rPr>
          <w:rFonts w:ascii="Times New Roman Regular" w:hAnsi="Times New Roman Regular" w:cs="Times New Roman Regular"/>
          <w:color w:val="auto"/>
          <w:szCs w:val="21"/>
          <w:highlight w:val="none"/>
        </w:rPr>
        <w:t xml:space="preserve">analysis of </w:t>
      </w:r>
      <w:r>
        <w:rPr>
          <w:rFonts w:hint="eastAsia" w:ascii="Times New Roman Regular" w:hAnsi="Times New Roman Regular" w:cs="Times New Roman Regular"/>
          <w:color w:val="auto"/>
          <w:szCs w:val="21"/>
          <w:highlight w:val="none"/>
        </w:rPr>
        <w:t>individuals of European ancestry</w:t>
      </w:r>
      <w:r>
        <w:rPr>
          <w:rFonts w:ascii="Times New Roman Regular" w:hAnsi="Times New Roman Regular" w:cs="Times New Roman Regular"/>
          <w:color w:val="auto"/>
          <w:szCs w:val="21"/>
          <w:highlight w:val="none"/>
        </w:rPr>
        <w:t xml:space="preserve"> only (181,522 cases and 984,168 controls).</w:t>
      </w:r>
    </w:p>
    <w:p w14:paraId="43824DAF">
      <w:pPr>
        <w:spacing w:line="360" w:lineRule="auto"/>
        <w:rPr>
          <w:rFonts w:hint="eastAsia" w:ascii="Times New Roman Regular" w:hAnsi="Times New Roman Regular" w:cs="Times New Roman Regular"/>
          <w:color w:val="auto"/>
          <w:szCs w:val="21"/>
          <w:highlight w:val="none"/>
        </w:rPr>
      </w:pPr>
    </w:p>
    <w:p w14:paraId="4869934F">
      <w:pPr>
        <w:spacing w:line="360" w:lineRule="auto"/>
        <w:rPr>
          <w:rFonts w:hint="eastAsia" w:ascii="Times New Roman Bold" w:hAnsi="Times New Roman Bold" w:cs="Times New Roman Bold"/>
          <w:b/>
          <w:bCs/>
          <w:color w:val="auto"/>
          <w:szCs w:val="21"/>
          <w:highlight w:val="none"/>
        </w:rPr>
      </w:pPr>
      <w:r>
        <w:rPr>
          <w:rFonts w:hint="eastAsia" w:ascii="Times New Roman Bold" w:hAnsi="Times New Roman Bold" w:cs="Times New Roman Bold"/>
          <w:b/>
          <w:bCs/>
          <w:color w:val="auto"/>
          <w:szCs w:val="21"/>
          <w:highlight w:val="none"/>
        </w:rPr>
        <w:t>Venous thromboembolism</w:t>
      </w:r>
      <w:r>
        <w:rPr>
          <w:rFonts w:ascii="Times New Roman Bold" w:hAnsi="Times New Roman Bold" w:cs="Times New Roman Bold"/>
          <w:b/>
          <w:bCs/>
          <w:color w:val="auto"/>
          <w:szCs w:val="21"/>
          <w:highlight w:val="none"/>
        </w:rPr>
        <w:t xml:space="preserve"> (</w:t>
      </w:r>
      <w:r>
        <w:rPr>
          <w:rFonts w:hint="eastAsia" w:ascii="Times New Roman Bold" w:hAnsi="Times New Roman Bold" w:cs="Times New Roman Bold"/>
          <w:b/>
          <w:bCs/>
          <w:color w:val="auto"/>
          <w:szCs w:val="21"/>
          <w:highlight w:val="none"/>
        </w:rPr>
        <w:t>VTE</w:t>
      </w:r>
      <w:r>
        <w:rPr>
          <w:rFonts w:ascii="Times New Roman Bold" w:hAnsi="Times New Roman Bold" w:cs="Times New Roman Bold"/>
          <w:b/>
          <w:bCs/>
          <w:color w:val="auto"/>
          <w:szCs w:val="21"/>
          <w:highlight w:val="none"/>
        </w:rPr>
        <w:t>)</w:t>
      </w:r>
    </w:p>
    <w:p w14:paraId="25BAA63B">
      <w:pPr>
        <w:spacing w:line="360" w:lineRule="auto"/>
        <w:rPr>
          <w:rFonts w:hint="eastAsia" w:ascii="Times New Roman Bold" w:hAnsi="Times New Roman Bold" w:cs="Times New Roman Bold"/>
          <w:b/>
          <w:bCs/>
          <w:color w:val="auto"/>
          <w:szCs w:val="21"/>
          <w:highlight w:val="none"/>
        </w:rPr>
      </w:pPr>
      <w:r>
        <w:rPr>
          <w:rFonts w:hint="eastAsia" w:ascii="Times New Roman Regular" w:hAnsi="Times New Roman Regular" w:cs="Times New Roman Regular"/>
          <w:color w:val="auto"/>
          <w:szCs w:val="21"/>
          <w:highlight w:val="none"/>
        </w:rPr>
        <w:t xml:space="preserve">The </w:t>
      </w:r>
      <w:r>
        <w:rPr>
          <w:rFonts w:hint="default" w:ascii="Times New Roman Regular" w:hAnsi="Times New Roman Regular" w:cs="Times New Roman Regular"/>
          <w:color w:val="auto"/>
          <w:szCs w:val="21"/>
          <w:highlight w:val="none"/>
          <w:lang w:val="en-US"/>
        </w:rPr>
        <w:t>VTE</w:t>
      </w:r>
      <w:r>
        <w:rPr>
          <w:rFonts w:hint="eastAsia" w:ascii="Times New Roman Regular" w:hAnsi="Times New Roman Regular" w:cs="Times New Roman Regular"/>
          <w:color w:val="auto"/>
          <w:szCs w:val="21"/>
          <w:highlight w:val="none"/>
        </w:rPr>
        <w:t xml:space="preserve"> GWAS summary statistics by Ghouse </w:t>
      </w:r>
      <w:r>
        <w:rPr>
          <w:rFonts w:hint="default" w:ascii="Times New Roman Italic" w:hAnsi="Times New Roman Italic" w:cs="Times New Roman Italic"/>
          <w:i/>
          <w:iCs/>
          <w:color w:val="auto"/>
          <w:szCs w:val="21"/>
          <w:highlight w:val="none"/>
        </w:rPr>
        <w:t>et al.</w:t>
      </w:r>
      <w:r>
        <w:rPr>
          <w:rFonts w:hint="eastAsia" w:ascii="Times New Roman Regular" w:hAnsi="Times New Roman Regular" w:cs="Times New Roman Regular"/>
          <w:color w:val="auto"/>
          <w:szCs w:val="21"/>
          <w:highlight w:val="none"/>
        </w:rPr>
        <w:t xml:space="preserve"> (20</w:t>
      </w:r>
      <w:r>
        <w:rPr>
          <w:rFonts w:ascii="Times New Roman Regular" w:hAnsi="Times New Roman Regular" w:cs="Times New Roman Regular"/>
          <w:color w:val="auto"/>
          <w:szCs w:val="21"/>
          <w:highlight w:val="none"/>
        </w:rPr>
        <w:t>23</w:t>
      </w:r>
      <w:r>
        <w:rPr>
          <w:rFonts w:hint="eastAsia" w:ascii="Times New Roman Regular" w:hAnsi="Times New Roman Regular" w:cs="Times New Roman Regular"/>
          <w:color w:val="auto"/>
          <w:szCs w:val="21"/>
          <w:highlight w:val="none"/>
        </w:rPr>
        <w:t>)</w:t>
      </w:r>
      <w:r>
        <w:rPr>
          <w:rFonts w:ascii="Times New Roman Regular" w:hAnsi="Times New Roman Regular" w:cs="Times New Roman Regular"/>
          <w:color w:val="auto"/>
          <w:highlight w:val="none"/>
        </w:rPr>
        <w:fldChar w:fldCharType="begin"/>
      </w:r>
      <w:r>
        <w:rPr>
          <w:rFonts w:hint="default" w:ascii="Times New Roman Regular" w:hAnsi="Times New Roman Regular" w:cs="Times New Roman Regular"/>
          <w:color w:val="auto"/>
          <w:highlight w:val="none"/>
          <w:lang w:eastAsia="zh-CN"/>
        </w:rPr>
        <w:instrText xml:space="preserve"> ADDIN NE.Ref.{976BC208-D9FA-4754-A453-1A5CFA8A76FE}</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3</w:t>
      </w:r>
      <w:r>
        <w:rPr>
          <w:rFonts w:ascii="Times New Roman Regular" w:hAnsi="Times New Roman Regular" w:cs="Times New Roman Regular"/>
          <w:color w:val="auto"/>
          <w:highlight w:val="none"/>
        </w:rPr>
        <w:fldChar w:fldCharType="end"/>
      </w:r>
      <w:r>
        <w:rPr>
          <w:rFonts w:hint="eastAsia" w:ascii="Times New Roman Regular" w:hAnsi="Times New Roman Regular" w:cs="Times New Roman Regular"/>
          <w:color w:val="auto"/>
          <w:szCs w:val="21"/>
          <w:highlight w:val="none"/>
        </w:rPr>
        <w:t xml:space="preserve"> </w:t>
      </w:r>
      <w:r>
        <w:rPr>
          <w:rFonts w:ascii="Times New Roman Regular" w:hAnsi="Times New Roman Regular" w:cs="Times New Roman Regular"/>
          <w:color w:val="auto"/>
          <w:szCs w:val="21"/>
          <w:highlight w:val="none"/>
        </w:rPr>
        <w:t>were</w:t>
      </w:r>
      <w:r>
        <w:rPr>
          <w:rFonts w:hint="eastAsia" w:ascii="Times New Roman Regular" w:hAnsi="Times New Roman Regular" w:cs="Times New Roman Regular"/>
          <w:color w:val="auto"/>
          <w:szCs w:val="21"/>
          <w:highlight w:val="none"/>
        </w:rPr>
        <w:t xml:space="preserve"> based on the analysis of European ancestry from 6 cohorts: Copenhagen Hospital Biobank Cardiovascular Disease Cohort (CHB-CVDC)</w:t>
      </w:r>
      <w:r>
        <w:rPr>
          <w:rFonts w:hint="default" w:ascii="Times New Roman Regular" w:hAnsi="Times New Roman Regular" w:cs="Times New Roman Regular"/>
          <w:color w:val="auto"/>
          <w:szCs w:val="21"/>
          <w:highlight w:val="none"/>
          <w:lang w:val="en-US"/>
        </w:rPr>
        <w:t xml:space="preserve"> </w:t>
      </w:r>
      <w:r>
        <w:rPr>
          <w:rFonts w:hint="eastAsia" w:ascii="Times New Roman Regular" w:hAnsi="Times New Roman Regular" w:cs="Times New Roman Regular"/>
          <w:color w:val="auto"/>
          <w:szCs w:val="21"/>
          <w:highlight w:val="none"/>
        </w:rPr>
        <w:t>and The Danish Blood Donor Study (DBDS), deCODE, Intermountain Healthcare, UK Biobank (UKB), FinnGen</w:t>
      </w:r>
      <w:r>
        <w:rPr>
          <w:rFonts w:hint="default" w:ascii="Times New Roman Regular" w:hAnsi="Times New Roman Regular" w:cs="Times New Roman Regular"/>
          <w:color w:val="auto"/>
          <w:szCs w:val="21"/>
          <w:highlight w:val="none"/>
          <w:lang w:val="en-US"/>
        </w:rPr>
        <w:t>,</w:t>
      </w:r>
      <w:r>
        <w:rPr>
          <w:rFonts w:hint="eastAsia" w:ascii="Times New Roman Regular" w:hAnsi="Times New Roman Regular" w:cs="Times New Roman Regular"/>
          <w:color w:val="auto"/>
          <w:szCs w:val="21"/>
          <w:highlight w:val="none"/>
        </w:rPr>
        <w:t xml:space="preserve"> and </w:t>
      </w:r>
      <w:r>
        <w:rPr>
          <w:rFonts w:hint="default" w:ascii="Times New Roman Regular" w:hAnsi="Times New Roman Regular" w:cs="Times New Roman Regular"/>
          <w:color w:val="auto"/>
          <w:szCs w:val="21"/>
          <w:highlight w:val="none"/>
          <w:lang w:val="en-US"/>
        </w:rPr>
        <w:t xml:space="preserve">the </w:t>
      </w:r>
      <w:r>
        <w:rPr>
          <w:rFonts w:hint="eastAsia" w:ascii="Times New Roman Regular" w:hAnsi="Times New Roman Regular" w:cs="Times New Roman Regular"/>
          <w:color w:val="auto"/>
          <w:szCs w:val="21"/>
          <w:highlight w:val="none"/>
        </w:rPr>
        <w:t>Million Veterans Program (MVP)</w:t>
      </w:r>
      <w:r>
        <w:rPr>
          <w:rFonts w:ascii="Times New Roman Regular" w:hAnsi="Times New Roman Regular" w:cs="Times New Roman Regular"/>
          <w:color w:val="auto"/>
          <w:szCs w:val="21"/>
          <w:highlight w:val="none"/>
        </w:rPr>
        <w:t xml:space="preserve">. </w:t>
      </w:r>
      <w:r>
        <w:rPr>
          <w:rFonts w:hint="eastAsia" w:ascii="Times New Roman Regular" w:hAnsi="Times New Roman Regular" w:cs="Times New Roman Regular"/>
          <w:color w:val="auto"/>
          <w:szCs w:val="21"/>
          <w:highlight w:val="none"/>
        </w:rPr>
        <w:t>Cases met the criteria for VTE as defined by ICD-9 or ICD-10 codes (except for the UK Biobank cohort, where case/control status was also determined through self-reported diagnosis history).</w:t>
      </w:r>
      <w:r>
        <w:rPr>
          <w:rFonts w:ascii="Times New Roman Regular" w:hAnsi="Times New Roman Regular" w:cs="Times New Roman Regular"/>
          <w:color w:val="auto"/>
          <w:szCs w:val="21"/>
          <w:highlight w:val="none"/>
        </w:rPr>
        <w:t xml:space="preserve"> </w:t>
      </w:r>
      <w:r>
        <w:rPr>
          <w:rFonts w:hint="eastAsia" w:ascii="Times New Roman Regular" w:hAnsi="Times New Roman Regular" w:cs="Times New Roman Regular"/>
          <w:color w:val="auto"/>
          <w:szCs w:val="21"/>
          <w:highlight w:val="none"/>
        </w:rPr>
        <w:t xml:space="preserve">The combined European sample consisted of </w:t>
      </w:r>
      <w:r>
        <w:rPr>
          <w:rFonts w:ascii="Times New Roman Regular" w:hAnsi="Times New Roman Regular" w:cs="Times New Roman Regular"/>
          <w:color w:val="auto"/>
          <w:szCs w:val="21"/>
          <w:highlight w:val="none"/>
        </w:rPr>
        <w:t>81,190</w:t>
      </w:r>
      <w:r>
        <w:rPr>
          <w:rFonts w:hint="eastAsia" w:ascii="Times New Roman Regular" w:hAnsi="Times New Roman Regular" w:cs="Times New Roman Regular"/>
          <w:color w:val="auto"/>
          <w:szCs w:val="21"/>
          <w:highlight w:val="none"/>
        </w:rPr>
        <w:t xml:space="preserve"> cases and </w:t>
      </w:r>
      <w:r>
        <w:rPr>
          <w:rFonts w:ascii="Times New Roman Regular" w:hAnsi="Times New Roman Regular" w:cs="Times New Roman Regular"/>
          <w:color w:val="auto"/>
          <w:szCs w:val="21"/>
          <w:highlight w:val="none"/>
        </w:rPr>
        <w:t>1,419,671</w:t>
      </w:r>
      <w:r>
        <w:rPr>
          <w:rFonts w:hint="eastAsia" w:ascii="Times New Roman Regular" w:hAnsi="Times New Roman Regular" w:cs="Times New Roman Regular"/>
          <w:color w:val="auto"/>
          <w:szCs w:val="21"/>
          <w:highlight w:val="none"/>
        </w:rPr>
        <w:t xml:space="preserve"> controls.</w:t>
      </w:r>
    </w:p>
    <w:p w14:paraId="4F533F53">
      <w:pPr>
        <w:spacing w:line="360" w:lineRule="auto"/>
        <w:rPr>
          <w:rFonts w:hint="eastAsia" w:ascii="Times New Roman Bold" w:hAnsi="Times New Roman Bold" w:cs="Times New Roman Bold"/>
          <w:b/>
          <w:bCs/>
          <w:color w:val="auto"/>
          <w:szCs w:val="21"/>
          <w:highlight w:val="none"/>
        </w:rPr>
      </w:pPr>
    </w:p>
    <w:p w14:paraId="5CA44A75">
      <w:pPr>
        <w:spacing w:line="360" w:lineRule="auto"/>
        <w:rPr>
          <w:rFonts w:hint="eastAsia" w:ascii="Times New Roman Bold" w:hAnsi="Times New Roman Bold" w:cs="Times New Roman Bold"/>
          <w:b/>
          <w:bCs/>
          <w:color w:val="auto"/>
          <w:szCs w:val="21"/>
          <w:highlight w:val="none"/>
        </w:rPr>
      </w:pPr>
      <w:r>
        <w:rPr>
          <w:rFonts w:hint="eastAsia" w:ascii="Times New Roman Bold" w:hAnsi="Times New Roman Bold" w:cs="Times New Roman Bold"/>
          <w:b/>
          <w:bCs/>
          <w:color w:val="auto"/>
          <w:szCs w:val="21"/>
          <w:highlight w:val="none"/>
        </w:rPr>
        <w:t>Heart failure</w:t>
      </w:r>
      <w:r>
        <w:rPr>
          <w:rFonts w:ascii="Times New Roman Bold" w:hAnsi="Times New Roman Bold" w:cs="Times New Roman Bold"/>
          <w:b/>
          <w:bCs/>
          <w:color w:val="auto"/>
          <w:szCs w:val="21"/>
          <w:highlight w:val="none"/>
        </w:rPr>
        <w:t xml:space="preserve"> (</w:t>
      </w:r>
      <w:r>
        <w:rPr>
          <w:rFonts w:hint="eastAsia" w:ascii="Times New Roman Bold" w:hAnsi="Times New Roman Bold" w:cs="Times New Roman Bold"/>
          <w:b/>
          <w:bCs/>
          <w:color w:val="auto"/>
          <w:szCs w:val="21"/>
          <w:highlight w:val="none"/>
        </w:rPr>
        <w:t>HF</w:t>
      </w:r>
      <w:r>
        <w:rPr>
          <w:rFonts w:ascii="Times New Roman Bold" w:hAnsi="Times New Roman Bold" w:cs="Times New Roman Bold"/>
          <w:b/>
          <w:bCs/>
          <w:color w:val="auto"/>
          <w:szCs w:val="21"/>
          <w:highlight w:val="none"/>
        </w:rPr>
        <w:t>)</w:t>
      </w:r>
    </w:p>
    <w:p w14:paraId="356A5512">
      <w:pPr>
        <w:spacing w:line="360" w:lineRule="auto"/>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 xml:space="preserve">The HF GWAS summary statistics by Shah </w:t>
      </w:r>
      <w:r>
        <w:rPr>
          <w:rFonts w:hint="default" w:ascii="Times New Roman Italic" w:hAnsi="Times New Roman Italic" w:cs="Times New Roman Italic"/>
          <w:i/>
          <w:iCs/>
          <w:color w:val="auto"/>
          <w:szCs w:val="21"/>
          <w:highlight w:val="none"/>
        </w:rPr>
        <w:t>et al.</w:t>
      </w:r>
      <w:r>
        <w:rPr>
          <w:rFonts w:ascii="Times New Roman Regular" w:hAnsi="Times New Roman Regular" w:cs="Times New Roman Regular"/>
          <w:color w:val="auto"/>
          <w:szCs w:val="21"/>
          <w:highlight w:val="none"/>
        </w:rPr>
        <w:t xml:space="preserve"> (2020)</w:t>
      </w:r>
      <w:r>
        <w:rPr>
          <w:rFonts w:ascii="Times New Roman Regular" w:hAnsi="Times New Roman Regular" w:cs="Times New Roman Regular"/>
          <w:color w:val="auto"/>
          <w:highlight w:val="none"/>
        </w:rPr>
        <w:fldChar w:fldCharType="begin"/>
      </w:r>
      <w:r>
        <w:rPr>
          <w:rFonts w:hint="eastAsia" w:ascii="Times New Roman Regular" w:hAnsi="Times New Roman Regular" w:cs="Times New Roman Regular"/>
          <w:color w:val="auto"/>
          <w:highlight w:val="none"/>
          <w:lang w:eastAsia="zh-CN"/>
        </w:rPr>
        <w:instrText xml:space="preserve"> ADDIN NE.Ref.{D497D0B7-746C-4246-93F5-EEBA13F4B209}</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4</w:t>
      </w:r>
      <w:r>
        <w:rPr>
          <w:rFonts w:ascii="Times New Roman Regular" w:hAnsi="Times New Roman Regular" w:cs="Times New Roman Regular"/>
          <w:color w:val="auto"/>
          <w:highlight w:val="none"/>
        </w:rPr>
        <w:fldChar w:fldCharType="end"/>
      </w:r>
      <w:r>
        <w:rPr>
          <w:rFonts w:ascii="Times New Roman Regular" w:hAnsi="Times New Roman Regular" w:cs="Times New Roman Regular"/>
          <w:color w:val="auto"/>
          <w:szCs w:val="21"/>
          <w:highlight w:val="none"/>
        </w:rPr>
        <w:t xml:space="preserve"> were based on data from the Heart Failure Molecular Epidemiology for Therapeutic Targets (HERMES) Consortium, </w:t>
      </w:r>
      <w:r>
        <w:rPr>
          <w:rFonts w:hint="eastAsia" w:ascii="Times New Roman Regular" w:hAnsi="Times New Roman Regular" w:cs="Times New Roman Regular"/>
          <w:color w:val="auto"/>
          <w:szCs w:val="21"/>
          <w:highlight w:val="none"/>
        </w:rPr>
        <w:t>comprising</w:t>
      </w:r>
      <w:r>
        <w:rPr>
          <w:rFonts w:ascii="Times New Roman Regular" w:hAnsi="Times New Roman Regular" w:cs="Times New Roman Regular"/>
          <w:color w:val="auto"/>
          <w:szCs w:val="21"/>
          <w:highlight w:val="none"/>
        </w:rPr>
        <w:t xml:space="preserve"> 17 population-based studies and 9 case-control cohorts </w:t>
      </w:r>
      <w:r>
        <w:rPr>
          <w:rFonts w:hint="eastAsia" w:ascii="Times New Roman Regular" w:hAnsi="Times New Roman Regular" w:cs="Times New Roman Regular"/>
          <w:color w:val="auto"/>
          <w:szCs w:val="21"/>
          <w:highlight w:val="none"/>
        </w:rPr>
        <w:t>individuals of</w:t>
      </w:r>
      <w:r>
        <w:rPr>
          <w:rFonts w:hint="default" w:ascii="Times New Roman Regular" w:hAnsi="Times New Roman Regular" w:cs="Times New Roman Regular"/>
          <w:color w:val="auto"/>
          <w:szCs w:val="21"/>
          <w:highlight w:val="none"/>
          <w:lang w:val="en-US"/>
        </w:rPr>
        <w:t xml:space="preserve"> </w:t>
      </w:r>
      <w:r>
        <w:rPr>
          <w:rFonts w:ascii="Times New Roman Regular" w:hAnsi="Times New Roman Regular" w:cs="Times New Roman Regular"/>
          <w:color w:val="auto"/>
          <w:szCs w:val="21"/>
          <w:highlight w:val="none"/>
        </w:rPr>
        <w:t xml:space="preserve">European ancestry. </w:t>
      </w:r>
      <w:r>
        <w:rPr>
          <w:rFonts w:hint="eastAsia" w:ascii="Times New Roman Regular" w:hAnsi="Times New Roman Regular" w:cs="Times New Roman Regular"/>
          <w:color w:val="auto"/>
          <w:szCs w:val="21"/>
          <w:highlight w:val="none"/>
        </w:rPr>
        <w:t>In these cohorts, cases were identified based on research-defined assessment criteria and clinical consensus diagnosis.</w:t>
      </w:r>
      <w:r>
        <w:rPr>
          <w:rFonts w:ascii="Times New Roman Regular" w:hAnsi="Times New Roman Regular" w:cs="Times New Roman Regular"/>
          <w:color w:val="auto"/>
          <w:szCs w:val="21"/>
          <w:highlight w:val="none"/>
        </w:rPr>
        <w:t xml:space="preserve"> </w:t>
      </w:r>
      <w:r>
        <w:rPr>
          <w:rFonts w:hint="eastAsia" w:ascii="Times New Roman Regular" w:hAnsi="Times New Roman Regular" w:cs="Times New Roman Regular"/>
          <w:color w:val="auto"/>
          <w:szCs w:val="21"/>
          <w:highlight w:val="none"/>
        </w:rPr>
        <w:t xml:space="preserve">More recently, </w:t>
      </w:r>
      <w:r>
        <w:rPr>
          <w:rFonts w:ascii="Times New Roman Regular" w:hAnsi="Times New Roman Regular" w:cs="Times New Roman Regular"/>
          <w:color w:val="auto"/>
          <w:szCs w:val="21"/>
          <w:highlight w:val="none"/>
        </w:rPr>
        <w:t xml:space="preserve">Rasooly </w:t>
      </w:r>
      <w:r>
        <w:rPr>
          <w:rFonts w:hint="default" w:ascii="Times New Roman Italic" w:hAnsi="Times New Roman Italic" w:cs="Times New Roman Italic"/>
          <w:i/>
          <w:iCs/>
          <w:color w:val="auto"/>
          <w:szCs w:val="21"/>
          <w:highlight w:val="none"/>
        </w:rPr>
        <w:t>et al.</w:t>
      </w:r>
      <w:r>
        <w:rPr>
          <w:rFonts w:ascii="Times New Roman Regular" w:hAnsi="Times New Roman Regular" w:cs="Times New Roman Regular"/>
          <w:color w:val="auto"/>
          <w:szCs w:val="21"/>
          <w:highlight w:val="none"/>
        </w:rPr>
        <w:t xml:space="preserve"> (2023)</w:t>
      </w:r>
      <w:r>
        <w:rPr>
          <w:rFonts w:hint="default" w:ascii="Times New Roman Regular" w:hAnsi="Times New Roman Regular" w:cs="Times New Roman Regular"/>
          <w:color w:val="auto"/>
          <w:highlight w:val="none"/>
          <w:lang w:val="en-US" w:eastAsia="zh-CN"/>
        </w:rPr>
        <w:fldChar w:fldCharType="begin"/>
      </w:r>
      <w:r>
        <w:rPr>
          <w:rFonts w:hint="default" w:ascii="Times New Roman Regular" w:hAnsi="Times New Roman Regular" w:cs="Times New Roman Regular"/>
          <w:color w:val="auto"/>
          <w:highlight w:val="none"/>
          <w:lang w:val="en-US" w:eastAsia="zh-CN"/>
        </w:rPr>
        <w:instrText xml:space="preserve"> ADDIN NE.Ref.{1BBD95C2-5F57-4B48-9F2C-A3418FEB11C5}</w:instrText>
      </w:r>
      <w:r>
        <w:rPr>
          <w:rFonts w:hint="default" w:ascii="Times New Roman Regular" w:hAnsi="Times New Roman Regular" w:cs="Times New Roman Regular"/>
          <w:color w:val="auto"/>
          <w:highlight w:val="none"/>
          <w:lang w:val="en-US" w:eastAsia="zh-CN"/>
        </w:rPr>
        <w:fldChar w:fldCharType="separate"/>
      </w:r>
      <w:r>
        <w:rPr>
          <w:rFonts w:hint="default" w:ascii="Times New Roman" w:hAnsi="Times New Roman" w:eastAsia="Times New Roman"/>
          <w:color w:val="auto"/>
          <w:sz w:val="21"/>
          <w:szCs w:val="24"/>
          <w:highlight w:val="none"/>
          <w:vertAlign w:val="superscript"/>
        </w:rPr>
        <w:t>5</w:t>
      </w:r>
      <w:r>
        <w:rPr>
          <w:rFonts w:hint="default" w:ascii="Times New Roman Regular" w:hAnsi="Times New Roman Regular" w:cs="Times New Roman Regular"/>
          <w:color w:val="auto"/>
          <w:highlight w:val="none"/>
          <w:lang w:val="en-US" w:eastAsia="zh-CN"/>
        </w:rPr>
        <w:fldChar w:fldCharType="end"/>
      </w:r>
      <w:r>
        <w:rPr>
          <w:rFonts w:hint="eastAsia"/>
          <w:color w:val="auto"/>
          <w:highlight w:val="none"/>
          <w:lang w:val="en-US" w:eastAsia="zh-CN"/>
        </w:rPr>
        <w:t xml:space="preserve"> </w:t>
      </w:r>
      <w:r>
        <w:rPr>
          <w:rFonts w:ascii="Times New Roman Regular" w:hAnsi="Times New Roman Regular" w:cs="Times New Roman Regular"/>
          <w:color w:val="auto"/>
          <w:szCs w:val="21"/>
          <w:highlight w:val="none"/>
        </w:rPr>
        <w:t>conduct</w:t>
      </w:r>
      <w:r>
        <w:rPr>
          <w:rFonts w:hint="default" w:ascii="Times New Roman Regular" w:hAnsi="Times New Roman Regular" w:cs="Times New Roman Regular"/>
          <w:color w:val="auto"/>
          <w:szCs w:val="21"/>
          <w:highlight w:val="none"/>
        </w:rPr>
        <w:t>ed</w:t>
      </w:r>
      <w:r>
        <w:rPr>
          <w:rFonts w:ascii="Times New Roman Regular" w:hAnsi="Times New Roman Regular" w:cs="Times New Roman Regular"/>
          <w:color w:val="auto"/>
          <w:szCs w:val="21"/>
          <w:highlight w:val="none"/>
        </w:rPr>
        <w:t xml:space="preserve"> a meta-analysis of GWAS on HF from the MVP and HERMES Consortium, </w:t>
      </w:r>
      <w:r>
        <w:rPr>
          <w:rFonts w:hint="eastAsia" w:ascii="Times New Roman Regular" w:hAnsi="Times New Roman Regular" w:cs="Times New Roman Regular"/>
          <w:color w:val="auto"/>
          <w:szCs w:val="21"/>
          <w:highlight w:val="none"/>
        </w:rPr>
        <w:t>yielding</w:t>
      </w:r>
      <w:r>
        <w:rPr>
          <w:rFonts w:ascii="Times New Roman Regular" w:hAnsi="Times New Roman Regular" w:cs="Times New Roman Regular"/>
          <w:color w:val="auto"/>
          <w:szCs w:val="21"/>
          <w:highlight w:val="none"/>
        </w:rPr>
        <w:t xml:space="preserve"> a pooled N = 275,822 (90,653 cases and 1,188,957 controls). Due to data use restrictions, the summary statistics used in the current study are </w:t>
      </w:r>
      <w:r>
        <w:rPr>
          <w:rFonts w:hint="eastAsia" w:ascii="Times New Roman Regular" w:hAnsi="Times New Roman Regular" w:cs="Times New Roman Regular"/>
          <w:color w:val="auto"/>
          <w:szCs w:val="21"/>
          <w:highlight w:val="none"/>
        </w:rPr>
        <w:t>derived from the individuals included in</w:t>
      </w:r>
      <w:r>
        <w:rPr>
          <w:rFonts w:ascii="Times New Roman Regular" w:hAnsi="Times New Roman Regular" w:cs="Times New Roman Regular"/>
          <w:color w:val="auto"/>
          <w:szCs w:val="21"/>
          <w:highlight w:val="none"/>
        </w:rPr>
        <w:t xml:space="preserve"> Shah </w:t>
      </w:r>
      <w:r>
        <w:rPr>
          <w:rFonts w:hint="default" w:ascii="Times New Roman Italic" w:hAnsi="Times New Roman Italic" w:cs="Times New Roman Italic"/>
          <w:i/>
          <w:iCs/>
          <w:color w:val="auto"/>
          <w:szCs w:val="21"/>
          <w:highlight w:val="none"/>
        </w:rPr>
        <w:t>et al.</w:t>
      </w:r>
      <w:r>
        <w:rPr>
          <w:rFonts w:ascii="Times New Roman Regular" w:hAnsi="Times New Roman Regular" w:cs="Times New Roman Regular"/>
          <w:color w:val="auto"/>
          <w:szCs w:val="21"/>
          <w:highlight w:val="none"/>
        </w:rPr>
        <w:t xml:space="preserve"> (2020)</w:t>
      </w:r>
      <w:r>
        <w:rPr>
          <w:rFonts w:ascii="Times New Roman Regular" w:hAnsi="Times New Roman Regular" w:cs="Times New Roman Regular"/>
          <w:color w:val="auto"/>
          <w:highlight w:val="none"/>
        </w:rPr>
        <w:fldChar w:fldCharType="begin"/>
      </w:r>
      <w:r>
        <w:rPr>
          <w:rFonts w:hint="eastAsia" w:ascii="Times New Roman Regular" w:hAnsi="Times New Roman Regular" w:cs="Times New Roman Regular"/>
          <w:color w:val="auto"/>
          <w:highlight w:val="none"/>
          <w:lang w:eastAsia="zh-CN"/>
        </w:rPr>
        <w:instrText xml:space="preserve"> ADDIN NE.Ref.{433B4268-4BC1-43EC-96B6-4EB47246ED7B}</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4</w:t>
      </w:r>
      <w:r>
        <w:rPr>
          <w:rFonts w:ascii="Times New Roman Regular" w:hAnsi="Times New Roman Regular" w:cs="Times New Roman Regular"/>
          <w:color w:val="auto"/>
          <w:highlight w:val="none"/>
        </w:rPr>
        <w:fldChar w:fldCharType="end"/>
      </w:r>
      <w:r>
        <w:rPr>
          <w:rFonts w:ascii="Times New Roman Regular" w:hAnsi="Times New Roman Regular" w:cs="Times New Roman Regular"/>
          <w:color w:val="auto"/>
          <w:szCs w:val="21"/>
          <w:highlight w:val="none"/>
        </w:rPr>
        <w:t>, i.e., the HERMES cohort only; N = 977,323 (47,309 cases and 930,014 controls).</w:t>
      </w:r>
    </w:p>
    <w:p w14:paraId="4E302D07">
      <w:pPr>
        <w:spacing w:line="360" w:lineRule="auto"/>
        <w:rPr>
          <w:rFonts w:hint="eastAsia" w:ascii="Times New Roman Regular" w:hAnsi="Times New Roman Regular" w:cs="Times New Roman Regular"/>
          <w:color w:val="auto"/>
          <w:szCs w:val="21"/>
          <w:highlight w:val="none"/>
        </w:rPr>
      </w:pPr>
    </w:p>
    <w:p w14:paraId="13170297">
      <w:pPr>
        <w:spacing w:line="360" w:lineRule="auto"/>
        <w:rPr>
          <w:rFonts w:hint="eastAsia" w:ascii="Times New Roman Bold" w:hAnsi="Times New Roman Bold" w:cs="Times New Roman Bold"/>
          <w:b/>
          <w:bCs/>
          <w:color w:val="auto"/>
          <w:szCs w:val="21"/>
          <w:highlight w:val="none"/>
        </w:rPr>
      </w:pPr>
      <w:r>
        <w:rPr>
          <w:rFonts w:hint="eastAsia" w:ascii="Times New Roman Bold" w:hAnsi="Times New Roman Bold" w:cs="Times New Roman Bold"/>
          <w:b/>
          <w:bCs/>
          <w:color w:val="auto"/>
          <w:szCs w:val="21"/>
          <w:highlight w:val="none"/>
        </w:rPr>
        <w:t>Peripheral artery disease</w:t>
      </w:r>
      <w:r>
        <w:rPr>
          <w:rFonts w:ascii="Times New Roman Bold" w:hAnsi="Times New Roman Bold" w:cs="Times New Roman Bold"/>
          <w:b/>
          <w:bCs/>
          <w:color w:val="auto"/>
          <w:szCs w:val="21"/>
          <w:highlight w:val="none"/>
        </w:rPr>
        <w:t xml:space="preserve"> (</w:t>
      </w:r>
      <w:r>
        <w:rPr>
          <w:rFonts w:hint="eastAsia" w:ascii="Times New Roman Bold" w:hAnsi="Times New Roman Bold" w:cs="Times New Roman Bold"/>
          <w:b/>
          <w:bCs/>
          <w:color w:val="auto"/>
          <w:szCs w:val="21"/>
          <w:highlight w:val="none"/>
        </w:rPr>
        <w:t>PAD</w:t>
      </w:r>
      <w:r>
        <w:rPr>
          <w:rFonts w:ascii="Times New Roman Bold" w:hAnsi="Times New Roman Bold" w:cs="Times New Roman Bold"/>
          <w:b/>
          <w:bCs/>
          <w:color w:val="auto"/>
          <w:szCs w:val="21"/>
          <w:highlight w:val="none"/>
        </w:rPr>
        <w:t>)</w:t>
      </w:r>
    </w:p>
    <w:p w14:paraId="2D579F8F">
      <w:pPr>
        <w:spacing w:line="360" w:lineRule="auto"/>
        <w:jc w:val="lef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 xml:space="preserve">The PAD GWAS summary statistics by van Zuydam </w:t>
      </w:r>
      <w:r>
        <w:rPr>
          <w:rFonts w:hint="default" w:ascii="Times New Roman Italic" w:hAnsi="Times New Roman Italic" w:cs="Times New Roman Italic"/>
          <w:i/>
          <w:iCs/>
          <w:color w:val="auto"/>
          <w:szCs w:val="21"/>
          <w:highlight w:val="none"/>
        </w:rPr>
        <w:t>et al.</w:t>
      </w:r>
      <w:r>
        <w:rPr>
          <w:rFonts w:ascii="Times New Roman Regular" w:hAnsi="Times New Roman Regular" w:cs="Times New Roman Regular"/>
          <w:color w:val="auto"/>
          <w:szCs w:val="21"/>
          <w:highlight w:val="none"/>
        </w:rPr>
        <w:t xml:space="preserve"> (2021)</w:t>
      </w:r>
      <w:r>
        <w:rPr>
          <w:rFonts w:ascii="Times New Roman Regular" w:hAnsi="Times New Roman Regular" w:cs="Times New Roman Regular"/>
          <w:color w:val="auto"/>
          <w:highlight w:val="none"/>
        </w:rPr>
        <w:fldChar w:fldCharType="begin"/>
      </w:r>
      <w:r>
        <w:rPr>
          <w:rFonts w:hint="eastAsia" w:ascii="Times New Roman Regular" w:hAnsi="Times New Roman Regular" w:cs="Times New Roman Regular"/>
          <w:color w:val="auto"/>
          <w:highlight w:val="none"/>
          <w:lang w:eastAsia="zh-CN"/>
        </w:rPr>
        <w:instrText xml:space="preserve"> ADDIN NE.Ref.{00350D11-9BCA-437E-B020-329A29721054}</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6</w:t>
      </w:r>
      <w:r>
        <w:rPr>
          <w:rFonts w:ascii="Times New Roman Regular" w:hAnsi="Times New Roman Regular" w:cs="Times New Roman Regular"/>
          <w:color w:val="auto"/>
          <w:highlight w:val="none"/>
        </w:rPr>
        <w:fldChar w:fldCharType="end"/>
      </w:r>
      <w:r>
        <w:rPr>
          <w:rFonts w:ascii="Times New Roman Regular" w:hAnsi="Times New Roman Regular" w:cs="Times New Roman Regular"/>
          <w:color w:val="auto"/>
          <w:szCs w:val="21"/>
          <w:highlight w:val="none"/>
        </w:rPr>
        <w:t xml:space="preserve"> were based on 11 cohorts of </w:t>
      </w:r>
      <w:r>
        <w:rPr>
          <w:rFonts w:hint="eastAsia" w:ascii="Times New Roman Regular" w:hAnsi="Times New Roman Regular" w:cs="Times New Roman Regular"/>
          <w:color w:val="auto"/>
          <w:szCs w:val="21"/>
          <w:highlight w:val="none"/>
        </w:rPr>
        <w:t>individuals of</w:t>
      </w:r>
      <w:r>
        <w:rPr>
          <w:rFonts w:hint="default" w:ascii="Times New Roman Regular" w:hAnsi="Times New Roman Regular" w:cs="Times New Roman Regular"/>
          <w:color w:val="auto"/>
          <w:szCs w:val="21"/>
          <w:highlight w:val="none"/>
          <w:lang w:val="en-US"/>
        </w:rPr>
        <w:t xml:space="preserve"> </w:t>
      </w:r>
      <w:r>
        <w:rPr>
          <w:rFonts w:ascii="Times New Roman Regular" w:hAnsi="Times New Roman Regular" w:cs="Times New Roman Regular"/>
          <w:color w:val="auto"/>
          <w:szCs w:val="21"/>
          <w:highlight w:val="none"/>
        </w:rPr>
        <w:t xml:space="preserve">European ancestry: Corogene, Diabetes Control and Complications Trial (DCCT) / Epidemiology of Diabetes Interventions (EDIC), deCODE, Edinburgh artery study (EAS), Finnish Diabetic Nephropathy Study (FinnDiane), Genetics of Diabetes Audit and Research in Tayside Scotland (GoDARTS), MRC/BHF Heart Protection Study (HPS), Genetic Determinants of Peripheral Artery Disease (Mayo Clinic), Scannia Diabetes Registry (SDR), UK Biobank (UKB), and </w:t>
      </w:r>
      <w:r>
        <w:rPr>
          <w:rFonts w:hint="default" w:ascii="Times New Roman Regular" w:hAnsi="Times New Roman Regular" w:cs="Times New Roman Regular"/>
          <w:color w:val="auto"/>
          <w:szCs w:val="21"/>
          <w:highlight w:val="none"/>
          <w:lang w:val="en-US"/>
        </w:rPr>
        <w:t xml:space="preserve">the </w:t>
      </w:r>
      <w:r>
        <w:rPr>
          <w:rFonts w:ascii="Times New Roman Regular" w:hAnsi="Times New Roman Regular" w:cs="Times New Roman Regular"/>
          <w:color w:val="auto"/>
          <w:szCs w:val="21"/>
          <w:highlight w:val="none"/>
        </w:rPr>
        <w:t xml:space="preserve">Wisconsin Epidemiologic Study of Diabetic Retinopathy (WESDR) Consortium. </w:t>
      </w:r>
      <w:r>
        <w:rPr>
          <w:rFonts w:hint="eastAsia" w:ascii="Times New Roman Regular" w:hAnsi="Times New Roman Regular" w:cs="Times New Roman Regular"/>
          <w:color w:val="auto"/>
          <w:szCs w:val="21"/>
          <w:highlight w:val="none"/>
        </w:rPr>
        <w:t xml:space="preserve">In these cohorts, cases were defined by clinicians as atherosclerotic vascular disease affecting the lower limbs, and were ascertained using clinical assessments. The combined European sample consisted of </w:t>
      </w:r>
      <w:r>
        <w:rPr>
          <w:rFonts w:ascii="Times New Roman Regular" w:hAnsi="Times New Roman Regular" w:cs="Times New Roman Regular"/>
          <w:color w:val="auto"/>
          <w:szCs w:val="21"/>
          <w:highlight w:val="none"/>
        </w:rPr>
        <w:t>12,086</w:t>
      </w:r>
      <w:r>
        <w:rPr>
          <w:rFonts w:hint="eastAsia" w:ascii="Times New Roman Regular" w:hAnsi="Times New Roman Regular" w:cs="Times New Roman Regular"/>
          <w:color w:val="auto"/>
          <w:szCs w:val="21"/>
          <w:highlight w:val="none"/>
        </w:rPr>
        <w:t xml:space="preserve"> cases and </w:t>
      </w:r>
      <w:r>
        <w:rPr>
          <w:rFonts w:ascii="Times New Roman Regular" w:hAnsi="Times New Roman Regular" w:cs="Times New Roman Regular"/>
          <w:color w:val="auto"/>
          <w:szCs w:val="21"/>
          <w:highlight w:val="none"/>
        </w:rPr>
        <w:t>499,548</w:t>
      </w:r>
      <w:r>
        <w:rPr>
          <w:rFonts w:hint="eastAsia" w:ascii="Times New Roman Regular" w:hAnsi="Times New Roman Regular" w:cs="Times New Roman Regular"/>
          <w:color w:val="auto"/>
          <w:szCs w:val="21"/>
          <w:highlight w:val="none"/>
        </w:rPr>
        <w:t xml:space="preserve"> controls.</w:t>
      </w:r>
      <w:r>
        <w:rPr>
          <w:rFonts w:ascii="Times New Roman Regular" w:hAnsi="Times New Roman Regular" w:cs="Times New Roman Regular"/>
          <w:color w:val="auto"/>
          <w:szCs w:val="21"/>
          <w:highlight w:val="none"/>
        </w:rPr>
        <w:t xml:space="preserve"> </w:t>
      </w:r>
      <w:r>
        <w:rPr>
          <w:rFonts w:ascii="Times New Roman Regular" w:hAnsi="Times New Roman Regular" w:cs="Times New Roman Regular"/>
          <w:color w:val="auto"/>
          <w:szCs w:val="21"/>
          <w:highlight w:val="none"/>
        </w:rPr>
        <w:tab/>
      </w:r>
    </w:p>
    <w:p w14:paraId="1EC66A0A">
      <w:pPr>
        <w:spacing w:line="360" w:lineRule="auto"/>
        <w:jc w:val="left"/>
        <w:rPr>
          <w:rFonts w:hint="eastAsia" w:ascii="Times New Roman Regular" w:hAnsi="Times New Roman Regular" w:cs="Times New Roman Regular"/>
          <w:color w:val="auto"/>
          <w:szCs w:val="21"/>
          <w:highlight w:val="none"/>
        </w:rPr>
      </w:pPr>
    </w:p>
    <w:p w14:paraId="5012CE35">
      <w:pPr>
        <w:spacing w:line="360" w:lineRule="auto"/>
        <w:rPr>
          <w:rFonts w:hint="eastAsia" w:ascii="Times New Roman Bold" w:hAnsi="Times New Roman Bold" w:cs="Times New Roman Bold"/>
          <w:b/>
          <w:bCs/>
          <w:color w:val="auto"/>
          <w:szCs w:val="21"/>
          <w:highlight w:val="none"/>
        </w:rPr>
      </w:pPr>
      <w:r>
        <w:rPr>
          <w:rFonts w:hint="eastAsia" w:ascii="Times New Roman Bold" w:hAnsi="Times New Roman Bold" w:cs="Times New Roman Bold"/>
          <w:b/>
          <w:bCs/>
          <w:color w:val="auto"/>
          <w:szCs w:val="21"/>
          <w:highlight w:val="none"/>
        </w:rPr>
        <w:t>Stroke</w:t>
      </w:r>
    </w:p>
    <w:p w14:paraId="48445BDA">
      <w:pPr>
        <w:spacing w:line="360" w:lineRule="auto"/>
        <w:rPr>
          <w:rFonts w:hint="eastAsia" w:ascii="Times New Roman Bold" w:hAnsi="Times New Roman Bold" w:cs="Times New Roman Bold"/>
          <w:b/>
          <w:bCs/>
          <w:color w:val="auto"/>
          <w:highlight w:val="none"/>
        </w:rPr>
      </w:pPr>
      <w:r>
        <w:rPr>
          <w:rFonts w:hint="eastAsia" w:ascii="Times New Roman Regular" w:hAnsi="Times New Roman Regular" w:cs="Times New Roman Regular"/>
          <w:color w:val="auto"/>
          <w:szCs w:val="21"/>
          <w:highlight w:val="none"/>
        </w:rPr>
        <w:t xml:space="preserve">The </w:t>
      </w:r>
      <w:r>
        <w:rPr>
          <w:rFonts w:hint="default" w:ascii="Times New Roman Regular" w:hAnsi="Times New Roman Regular" w:cs="Times New Roman Regular"/>
          <w:color w:val="auto"/>
          <w:szCs w:val="21"/>
          <w:highlight w:val="none"/>
          <w:lang w:val="en-US"/>
        </w:rPr>
        <w:t>s</w:t>
      </w:r>
      <w:r>
        <w:rPr>
          <w:rFonts w:hint="eastAsia" w:ascii="Times New Roman Regular" w:hAnsi="Times New Roman Regular" w:cs="Times New Roman Regular"/>
          <w:color w:val="auto"/>
          <w:szCs w:val="21"/>
          <w:highlight w:val="none"/>
        </w:rPr>
        <w:t xml:space="preserve">troke GWAS summary statistics by Mishra </w:t>
      </w:r>
      <w:r>
        <w:rPr>
          <w:rFonts w:hint="default" w:ascii="Times New Roman Italic" w:hAnsi="Times New Roman Italic" w:cs="Times New Roman Italic"/>
          <w:i/>
          <w:iCs/>
          <w:color w:val="auto"/>
          <w:szCs w:val="21"/>
          <w:highlight w:val="none"/>
        </w:rPr>
        <w:t>et al.</w:t>
      </w:r>
      <w:r>
        <w:rPr>
          <w:rFonts w:hint="eastAsia" w:ascii="Times New Roman Regular" w:hAnsi="Times New Roman Regular" w:cs="Times New Roman Regular"/>
          <w:color w:val="auto"/>
          <w:szCs w:val="21"/>
          <w:highlight w:val="none"/>
        </w:rPr>
        <w:t xml:space="preserve"> (2022)</w:t>
      </w:r>
      <w:r>
        <w:rPr>
          <w:rFonts w:ascii="Times New Roman Regular" w:hAnsi="Times New Roman Regular" w:cs="Times New Roman Regular"/>
          <w:color w:val="auto"/>
          <w:highlight w:val="none"/>
        </w:rPr>
        <w:fldChar w:fldCharType="begin"/>
      </w:r>
      <w:r>
        <w:rPr>
          <w:rFonts w:hint="default" w:ascii="Times New Roman Regular" w:hAnsi="Times New Roman Regular" w:cs="Times New Roman Regular"/>
          <w:color w:val="auto"/>
          <w:highlight w:val="none"/>
          <w:lang w:eastAsia="zh-CN"/>
        </w:rPr>
        <w:instrText xml:space="preserve"> ADDIN NE.Ref.{FA775DA3-7074-4230-9964-63B0A62BFFF5}</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7</w:t>
      </w:r>
      <w:r>
        <w:rPr>
          <w:rFonts w:ascii="Times New Roman Regular" w:hAnsi="Times New Roman Regular" w:cs="Times New Roman Regular"/>
          <w:color w:val="auto"/>
          <w:highlight w:val="none"/>
        </w:rPr>
        <w:fldChar w:fldCharType="end"/>
      </w:r>
      <w:r>
        <w:rPr>
          <w:rFonts w:hint="eastAsia"/>
          <w:color w:val="auto"/>
          <w:highlight w:val="none"/>
          <w:lang w:val="en-US" w:eastAsia="zh-CN"/>
        </w:rPr>
        <w:t xml:space="preserve"> </w:t>
      </w:r>
      <w:r>
        <w:rPr>
          <w:rFonts w:ascii="Times New Roman Regular" w:hAnsi="Times New Roman Regular" w:cs="Times New Roman Regular"/>
          <w:color w:val="auto"/>
          <w:szCs w:val="21"/>
          <w:highlight w:val="none"/>
        </w:rPr>
        <w:t>were</w:t>
      </w:r>
      <w:r>
        <w:rPr>
          <w:rFonts w:hint="eastAsia" w:ascii="Times New Roman Regular" w:hAnsi="Times New Roman Regular" w:cs="Times New Roman Regular"/>
          <w:color w:val="auto"/>
          <w:szCs w:val="21"/>
          <w:highlight w:val="none"/>
        </w:rPr>
        <w:t xml:space="preserve"> derived from 54 cohorts comprising individuals of European (66.7% of stroke cases), African American, East Asian, Hispanic, and South Asian ancestry.</w:t>
      </w:r>
      <w:r>
        <w:rPr>
          <w:rFonts w:ascii="Times New Roman Regular" w:hAnsi="Times New Roman Regular" w:cs="Times New Roman Regular"/>
          <w:color w:val="auto"/>
          <w:szCs w:val="21"/>
          <w:highlight w:val="none"/>
        </w:rPr>
        <w:t xml:space="preserve"> </w:t>
      </w:r>
      <w:r>
        <w:rPr>
          <w:rFonts w:hint="eastAsia" w:ascii="Times New Roman Regular" w:hAnsi="Times New Roman Regular" w:cs="Times New Roman Regular"/>
          <w:color w:val="auto"/>
          <w:szCs w:val="21"/>
          <w:highlight w:val="none"/>
        </w:rPr>
        <w:t>Stroke diagnoses—including ischemic stroke and its subtypes (large-artery atherosclerotic stroke [LAS], cardioembolic stroke [CES], and small-vessel stroke [SVS]), intracerebral hemorrhage (ICH), and strokes of unknown or undetermined type—were defined according to research-based assessment criteria and clinical consensus diagnosis.</w:t>
      </w:r>
      <w:r>
        <w:rPr>
          <w:rFonts w:hint="default" w:ascii="Times New Roman Regular" w:hAnsi="Times New Roman Regular" w:cs="Times New Roman Regular"/>
          <w:color w:val="auto"/>
          <w:szCs w:val="21"/>
          <w:highlight w:val="none"/>
          <w:lang w:val="en-US"/>
        </w:rPr>
        <w:t xml:space="preserve"> Here, we use the GWAS summary statistics based on analysis of European ancestry individuals only (73,652 cases and 1,234,808 controls).</w:t>
      </w:r>
      <w:r>
        <w:rPr>
          <w:rFonts w:ascii="Times New Roman Regular" w:hAnsi="Times New Roman Regular" w:cs="Times New Roman Regular"/>
          <w:color w:val="auto"/>
          <w:szCs w:val="21"/>
          <w:highlight w:val="none"/>
        </w:rPr>
        <w:tab/>
      </w:r>
    </w:p>
    <w:p w14:paraId="56C35DB6">
      <w:pPr>
        <w:rPr>
          <w:color w:val="auto"/>
          <w:highlight w:val="none"/>
        </w:rPr>
      </w:pPr>
      <w:r>
        <w:rPr>
          <w:color w:val="auto"/>
          <w:highlight w:val="none"/>
        </w:rPr>
        <w:br w:type="page"/>
      </w:r>
    </w:p>
    <w:p w14:paraId="1047DE52">
      <w:pPr>
        <w:spacing w:line="360" w:lineRule="auto"/>
        <w:rPr>
          <w:rFonts w:hint="default" w:ascii="Times New Roman Bold" w:hAnsi="Times New Roman Bold" w:cs="Times New Roman Bold" w:eastAsiaTheme="minorEastAsia"/>
          <w:b/>
          <w:bCs/>
          <w:color w:val="auto"/>
          <w:szCs w:val="21"/>
          <w:highlight w:val="none"/>
          <w:lang w:val="en-US" w:eastAsia="zh-CN"/>
        </w:rPr>
      </w:pPr>
      <w:r>
        <w:rPr>
          <w:rFonts w:ascii="Times New Roman Bold" w:hAnsi="Times New Roman Bold" w:cs="Times New Roman Bold"/>
          <w:b/>
          <w:bCs/>
          <w:color w:val="auto"/>
          <w:szCs w:val="21"/>
          <w:highlight w:val="none"/>
        </w:rPr>
        <w:t xml:space="preserve">Supplementary Note </w:t>
      </w:r>
      <w:r>
        <w:rPr>
          <w:rFonts w:hint="eastAsia" w:ascii="Times New Roman Bold" w:hAnsi="Times New Roman Bold" w:cs="Times New Roman Bold"/>
          <w:b/>
          <w:bCs/>
          <w:color w:val="auto"/>
          <w:szCs w:val="21"/>
          <w:highlight w:val="none"/>
          <w:lang w:val="en-US" w:eastAsia="zh-CN"/>
        </w:rPr>
        <w:t xml:space="preserve">2: </w:t>
      </w:r>
      <w:r>
        <w:rPr>
          <w:rFonts w:ascii="Times New Roman Bold" w:hAnsi="Times New Roman Bold" w:cs="Times New Roman Bold"/>
          <w:b/>
          <w:bCs/>
          <w:color w:val="auto"/>
          <w:szCs w:val="21"/>
          <w:highlight w:val="none"/>
        </w:rPr>
        <w:t xml:space="preserve">Additional information on </w:t>
      </w:r>
      <w:r>
        <w:rPr>
          <w:rFonts w:hint="eastAsia" w:ascii="Times New Roman Bold" w:hAnsi="Times New Roman Bold" w:cs="Times New Roman Bold"/>
          <w:b/>
          <w:bCs/>
          <w:color w:val="auto"/>
          <w:szCs w:val="21"/>
          <w:highlight w:val="none"/>
          <w:lang w:eastAsia="zh-Hans"/>
        </w:rPr>
        <w:t>negatively correlated loci</w:t>
      </w:r>
      <w:r>
        <w:rPr>
          <w:rFonts w:hint="eastAsia" w:ascii="Times New Roman Bold" w:hAnsi="Times New Roman Bold" w:cs="Times New Roman Bold"/>
          <w:b/>
          <w:bCs/>
          <w:color w:val="auto"/>
          <w:szCs w:val="21"/>
          <w:highlight w:val="none"/>
          <w:lang w:val="en-US" w:eastAsia="zh-CN"/>
        </w:rPr>
        <w:t xml:space="preserve"> identified </w:t>
      </w:r>
      <w:r>
        <w:rPr>
          <w:rFonts w:hint="default" w:ascii="Times New Roman Bold" w:hAnsi="Times New Roman Bold" w:cs="Times New Roman Bold"/>
          <w:b/>
          <w:bCs/>
          <w:color w:val="auto"/>
          <w:szCs w:val="21"/>
          <w:highlight w:val="none"/>
          <w:lang w:val="en-US" w:eastAsia="zh-CN"/>
        </w:rPr>
        <w:t>by LAVA</w:t>
      </w:r>
    </w:p>
    <w:p w14:paraId="2E062E2D">
      <w:pPr>
        <w:spacing w:line="360" w:lineRule="auto"/>
        <w:jc w:val="left"/>
        <w:rPr>
          <w:rFonts w:hint="default" w:ascii="Times New Roman Regular" w:hAnsi="Times New Roman Regular" w:cs="Times New Roman Regular"/>
          <w:b w:val="0"/>
          <w:bCs w:val="0"/>
          <w:color w:val="auto"/>
          <w:szCs w:val="21"/>
          <w:highlight w:val="none"/>
        </w:rPr>
      </w:pPr>
      <w:r>
        <w:rPr>
          <w:rFonts w:hint="default" w:ascii="Times New Roman Regular" w:hAnsi="Times New Roman Regular" w:cs="Times New Roman Regular"/>
          <w:b w:val="0"/>
          <w:bCs w:val="0"/>
          <w:color w:val="auto"/>
          <w:szCs w:val="21"/>
          <w:highlight w:val="none"/>
        </w:rPr>
        <w:t>Only one locus remained significant after Bonferroni correction among the 26 unique genomic regions identified as negatively genetically correlated. This locus, located in the PAD-Stroke trait pair, corresponds to LD block 804 (chr5:31,679,465–32,727,914). Further investigation of the GWAS-PW results in these negatively correlated regions revealed strong colocalization signals in the AF-VTE, AF-CAD, and CAD-VTE trait pairs.</w:t>
      </w:r>
      <w:r>
        <w:rPr>
          <w:rFonts w:hint="default" w:ascii="Times New Roman Regular" w:hAnsi="Times New Roman Regular" w:cs="Times New Roman Regular"/>
          <w:b w:val="0"/>
          <w:bCs w:val="0"/>
          <w:color w:val="auto"/>
          <w:szCs w:val="21"/>
          <w:highlight w:val="none"/>
          <w:lang w:val="en-US"/>
        </w:rPr>
        <w:t xml:space="preserve"> </w:t>
      </w:r>
      <w:r>
        <w:rPr>
          <w:rFonts w:hint="default" w:ascii="Times New Roman Regular" w:hAnsi="Times New Roman Regular" w:cs="Times New Roman Regular"/>
          <w:b w:val="0"/>
          <w:bCs w:val="0"/>
          <w:color w:val="auto"/>
          <w:szCs w:val="21"/>
          <w:highlight w:val="none"/>
        </w:rPr>
        <w:t xml:space="preserve">To support these findings, we conducted HyPrColoc analysis and identified strong colocalization evidence between CAD and VTE, particularly within LD block 96 (chr1:109,271,450–110,224,230). Notably, the shared causal SNP rs12740374, located in the 3′ untranslated region (3′UTR) of the </w:t>
      </w:r>
      <w:r>
        <w:rPr>
          <w:rFonts w:hint="default" w:ascii="Times New Roman Italic" w:hAnsi="Times New Roman Italic" w:cs="Times New Roman Italic"/>
          <w:b w:val="0"/>
          <w:bCs w:val="0"/>
          <w:i/>
          <w:iCs/>
          <w:color w:val="auto"/>
          <w:szCs w:val="21"/>
          <w:highlight w:val="none"/>
        </w:rPr>
        <w:t xml:space="preserve">CELSR2 </w:t>
      </w:r>
      <w:r>
        <w:rPr>
          <w:rFonts w:hint="default" w:ascii="Times New Roman Regular" w:hAnsi="Times New Roman Regular" w:cs="Times New Roman Regular"/>
          <w:b w:val="0"/>
          <w:bCs w:val="0"/>
          <w:color w:val="auto"/>
          <w:szCs w:val="21"/>
          <w:highlight w:val="none"/>
        </w:rPr>
        <w:t>gene on chromosome 1p13.3, contributed to the colocalization signal.</w:t>
      </w:r>
      <w:r>
        <w:rPr>
          <w:rFonts w:hint="default" w:ascii="Times New Roman Regular" w:hAnsi="Times New Roman Regular" w:cs="Times New Roman Regular"/>
          <w:b w:val="0"/>
          <w:bCs w:val="0"/>
          <w:color w:val="auto"/>
          <w:szCs w:val="21"/>
          <w:highlight w:val="none"/>
          <w:lang w:val="en-US"/>
        </w:rPr>
        <w:t xml:space="preserve"> </w:t>
      </w:r>
      <w:r>
        <w:rPr>
          <w:rFonts w:hint="default" w:ascii="Times New Roman Regular" w:hAnsi="Times New Roman Regular" w:cs="Times New Roman Regular"/>
          <w:b w:val="0"/>
          <w:bCs w:val="0"/>
          <w:color w:val="auto"/>
          <w:szCs w:val="21"/>
          <w:highlight w:val="none"/>
        </w:rPr>
        <w:t xml:space="preserve">Previously, using MTAG summary statistics, we performed multi-trait colocalization of cardiovascular and metabolic traits at overlapping loci and identified strong evidence that the shared causal variant rs12740374 showed high colocalization across multiple traits, including MTAG_CVD, MTAG_HF, and four </w:t>
      </w:r>
      <w:r>
        <w:rPr>
          <w:rFonts w:hint="eastAsia" w:ascii="Times New Roman Regular" w:hAnsi="Times New Roman Regular" w:cs="Times New Roman Regular"/>
          <w:b w:val="0"/>
          <w:bCs w:val="0"/>
          <w:color w:val="auto"/>
          <w:szCs w:val="21"/>
          <w:highlight w:val="none"/>
          <w:lang w:eastAsia="zh-CN"/>
        </w:rPr>
        <w:t>lipidemic</w:t>
      </w:r>
      <w:r>
        <w:rPr>
          <w:rFonts w:hint="default" w:ascii="Times New Roman Regular" w:hAnsi="Times New Roman Regular" w:cs="Times New Roman Regular"/>
          <w:b w:val="0"/>
          <w:bCs w:val="0"/>
          <w:color w:val="auto"/>
          <w:szCs w:val="21"/>
          <w:highlight w:val="none"/>
        </w:rPr>
        <w:t xml:space="preserve"> traits: low-density lipoprotein cholesterol (LDL-C), high-density lipoprotein cholesterol (HDL-C), triglycerides (TG), and total cholesterol (TC). We then repeated the multi-trait colocalization analysis using the original GWAS summary statistics for CAD, HF, VTE, and the four </w:t>
      </w:r>
      <w:r>
        <w:rPr>
          <w:rFonts w:hint="eastAsia" w:ascii="Times New Roman Regular" w:hAnsi="Times New Roman Regular" w:cs="Times New Roman Regular"/>
          <w:b w:val="0"/>
          <w:bCs w:val="0"/>
          <w:color w:val="auto"/>
          <w:szCs w:val="21"/>
          <w:highlight w:val="none"/>
          <w:lang w:eastAsia="zh-CN"/>
        </w:rPr>
        <w:t>lipidemic</w:t>
      </w:r>
      <w:r>
        <w:rPr>
          <w:rFonts w:hint="default" w:ascii="Times New Roman Regular" w:hAnsi="Times New Roman Regular" w:cs="Times New Roman Regular"/>
          <w:b w:val="0"/>
          <w:bCs w:val="0"/>
          <w:color w:val="auto"/>
          <w:szCs w:val="21"/>
          <w:highlight w:val="none"/>
        </w:rPr>
        <w:t xml:space="preserve"> traits, which again demonstrated strong colocalization (PPA &gt; 0.9) with the shared causal SNP rs12740374.</w:t>
      </w:r>
      <w:r>
        <w:rPr>
          <w:rFonts w:hint="default" w:ascii="Times New Roman Regular" w:hAnsi="Times New Roman Regular" w:cs="Times New Roman Regular"/>
          <w:b w:val="0"/>
          <w:bCs w:val="0"/>
          <w:color w:val="auto"/>
          <w:szCs w:val="21"/>
          <w:highlight w:val="none"/>
          <w:lang w:val="en-US"/>
        </w:rPr>
        <w:t xml:space="preserve"> </w:t>
      </w:r>
      <w:r>
        <w:rPr>
          <w:rFonts w:hint="default" w:ascii="Times New Roman Regular" w:hAnsi="Times New Roman Regular" w:cs="Times New Roman Regular"/>
          <w:b w:val="0"/>
          <w:bCs w:val="0"/>
          <w:color w:val="auto"/>
          <w:szCs w:val="21"/>
          <w:highlight w:val="none"/>
        </w:rPr>
        <w:t>Interestingly, examination of Z-values (Beta/SE) for rs12740374 across the seven traits revealed negative Z-values for CAD, HF, LDL-C, TC, and TG, whereas VTE and HDL-C had positive Z-values. Notably, due to insufficient genetic signals in the HF region identified by LAVA, we could not calculate the local genetic correlation between CAD and HF. Therefore, we focused our discussion on the negative genetic correlation between CAD and VTE. Previous studies have demonstrated that elevated HDL-C levels are negatively associated with CAD risk, whereas elevated LDL-C levels are positively associated with CAD.</w:t>
      </w:r>
      <w:r>
        <w:rPr>
          <w:rFonts w:hint="default" w:ascii="Times New Roman Regular" w:hAnsi="Times New Roman Regular" w:cs="Times New Roman Regular"/>
          <w:b w:val="0"/>
          <w:bCs w:val="0"/>
          <w:color w:val="auto"/>
          <w:szCs w:val="21"/>
          <w:highlight w:val="none"/>
          <w:lang w:val="en-US"/>
        </w:rPr>
        <w:t xml:space="preserve"> </w:t>
      </w:r>
      <w:r>
        <w:rPr>
          <w:rFonts w:hint="default" w:ascii="Times New Roman Regular" w:hAnsi="Times New Roman Regular" w:cs="Times New Roman Regular"/>
          <w:b w:val="0"/>
          <w:bCs w:val="0"/>
          <w:color w:val="auto"/>
          <w:szCs w:val="21"/>
          <w:highlight w:val="none"/>
        </w:rPr>
        <w:t xml:space="preserve">Although the relationship between VTE and dyslipidemia has been studied in several clinical studies, the results have been inconsistent. To further explore the genetic relationships between CAD, VTE, and </w:t>
      </w:r>
      <w:r>
        <w:rPr>
          <w:rFonts w:hint="eastAsia" w:ascii="Times New Roman Regular" w:hAnsi="Times New Roman Regular" w:cs="Times New Roman Regular"/>
          <w:b w:val="0"/>
          <w:bCs w:val="0"/>
          <w:color w:val="auto"/>
          <w:szCs w:val="21"/>
          <w:highlight w:val="none"/>
          <w:lang w:eastAsia="zh-CN"/>
        </w:rPr>
        <w:t>lipidemic</w:t>
      </w:r>
      <w:r>
        <w:rPr>
          <w:rFonts w:hint="default" w:ascii="Times New Roman Regular" w:hAnsi="Times New Roman Regular" w:cs="Times New Roman Regular"/>
          <w:b w:val="0"/>
          <w:bCs w:val="0"/>
          <w:color w:val="auto"/>
          <w:szCs w:val="21"/>
          <w:highlight w:val="none"/>
        </w:rPr>
        <w:t xml:space="preserve"> traits, we calculated the local </w:t>
      </w:r>
      <w:r>
        <w:rPr>
          <w:rFonts w:hint="default" w:ascii="Times New Roman Italic" w:hAnsi="Times New Roman Italic" w:cs="Times New Roman Italic"/>
          <w:b w:val="0"/>
          <w:bCs w:val="0"/>
          <w:i/>
          <w:iCs/>
          <w:color w:val="auto"/>
          <w:szCs w:val="21"/>
          <w:highlight w:val="none"/>
        </w:rPr>
        <w:t>r</w:t>
      </w:r>
      <w:r>
        <w:rPr>
          <w:rFonts w:hint="default" w:ascii="Times New Roman Italic" w:hAnsi="Times New Roman Italic" w:cs="Times New Roman Italic"/>
          <w:b w:val="0"/>
          <w:bCs w:val="0"/>
          <w:i/>
          <w:iCs/>
          <w:color w:val="auto"/>
          <w:szCs w:val="21"/>
          <w:highlight w:val="none"/>
          <w:vertAlign w:val="subscript"/>
        </w:rPr>
        <w:t>g</w:t>
      </w:r>
      <w:r>
        <w:rPr>
          <w:rFonts w:hint="default" w:ascii="Times New Roman Italic" w:hAnsi="Times New Roman Italic" w:cs="Times New Roman Italic"/>
          <w:b w:val="0"/>
          <w:bCs w:val="0"/>
          <w:i/>
          <w:iCs/>
          <w:color w:val="auto"/>
          <w:szCs w:val="21"/>
          <w:highlight w:val="none"/>
        </w:rPr>
        <w:t>s</w:t>
      </w:r>
      <w:r>
        <w:rPr>
          <w:rFonts w:hint="default" w:ascii="Times New Roman Regular" w:hAnsi="Times New Roman Regular" w:cs="Times New Roman Regular"/>
          <w:b w:val="0"/>
          <w:bCs w:val="0"/>
          <w:color w:val="auto"/>
          <w:szCs w:val="21"/>
          <w:highlight w:val="none"/>
        </w:rPr>
        <w:t xml:space="preserve"> within this region. The results showed that CAD was negatively correlated with HDL-C but positively correlated with LDL-C, TC, and TG, consistent with previous epidemiological findings. In contrast, VTE showed the opposite pattern of association with these </w:t>
      </w:r>
      <w:r>
        <w:rPr>
          <w:rFonts w:hint="eastAsia" w:ascii="Times New Roman Regular" w:hAnsi="Times New Roman Regular" w:cs="Times New Roman Regular"/>
          <w:b w:val="0"/>
          <w:bCs w:val="0"/>
          <w:color w:val="auto"/>
          <w:szCs w:val="21"/>
          <w:highlight w:val="none"/>
          <w:lang w:eastAsia="zh-CN"/>
        </w:rPr>
        <w:t>lipidemic</w:t>
      </w:r>
      <w:r>
        <w:rPr>
          <w:rFonts w:hint="default" w:ascii="Times New Roman Regular" w:hAnsi="Times New Roman Regular" w:cs="Times New Roman Regular"/>
          <w:b w:val="0"/>
          <w:bCs w:val="0"/>
          <w:color w:val="auto"/>
          <w:szCs w:val="21"/>
          <w:highlight w:val="none"/>
        </w:rPr>
        <w:t xml:space="preserve"> traits, though the local rgs were not statistically significant except for the VTE-TC pair (</w:t>
      </w:r>
      <w:r>
        <w:rPr>
          <w:rFonts w:hint="default" w:ascii="Times New Roman Italic" w:hAnsi="Times New Roman Italic" w:cs="Times New Roman Italic"/>
          <w:b w:val="0"/>
          <w:bCs w:val="0"/>
          <w:i/>
          <w:iCs/>
          <w:color w:val="auto"/>
          <w:szCs w:val="21"/>
          <w:highlight w:val="none"/>
          <w:lang w:val="en-US"/>
        </w:rPr>
        <w:t>P</w:t>
      </w:r>
      <w:r>
        <w:rPr>
          <w:rFonts w:hint="default" w:ascii="Times New Roman Regular" w:hAnsi="Times New Roman Regular" w:cs="Times New Roman Regular"/>
          <w:b w:val="0"/>
          <w:bCs w:val="0"/>
          <w:color w:val="auto"/>
          <w:szCs w:val="21"/>
          <w:highlight w:val="none"/>
        </w:rPr>
        <w:t xml:space="preserve"> &lt; 0.05). Overall, our findings provide new evidence supporting the involvement of </w:t>
      </w:r>
      <w:r>
        <w:rPr>
          <w:rFonts w:hint="eastAsia" w:ascii="Times New Roman Regular" w:hAnsi="Times New Roman Regular" w:cs="Times New Roman Regular"/>
          <w:b w:val="0"/>
          <w:bCs w:val="0"/>
          <w:color w:val="auto"/>
          <w:szCs w:val="21"/>
          <w:highlight w:val="none"/>
          <w:lang w:eastAsia="zh-CN"/>
        </w:rPr>
        <w:t>lipidemic</w:t>
      </w:r>
      <w:r>
        <w:rPr>
          <w:rFonts w:hint="default" w:ascii="Times New Roman Regular" w:hAnsi="Times New Roman Regular" w:cs="Times New Roman Regular"/>
          <w:b w:val="0"/>
          <w:bCs w:val="0"/>
          <w:color w:val="auto"/>
          <w:szCs w:val="21"/>
          <w:highlight w:val="none"/>
        </w:rPr>
        <w:t xml:space="preserve"> traits in both CAD and VTE, suggesting that lipids may have opposing roles in these two conditions. Further investigation is needed to elucidate the biological mechanisms underlying this negative correlation and to understand how this locus contributes to the divergent genetic architecture of CAD and VTE.</w:t>
      </w:r>
    </w:p>
    <w:p w14:paraId="3A65BABF">
      <w:pPr>
        <w:spacing w:line="360" w:lineRule="auto"/>
        <w:rPr>
          <w:rFonts w:ascii="Times New Roman Bold" w:hAnsi="Times New Roman Bold" w:cs="Times New Roman Bold"/>
          <w:b/>
          <w:bCs/>
          <w:color w:val="auto"/>
          <w:szCs w:val="21"/>
          <w:highlight w:val="none"/>
        </w:rPr>
      </w:pPr>
    </w:p>
    <w:p w14:paraId="0B404BEE">
      <w:pPr>
        <w:spacing w:line="360" w:lineRule="auto"/>
        <w:rPr>
          <w:rFonts w:ascii="Times New Roman Bold" w:hAnsi="Times New Roman Bold" w:cs="Times New Roman Bold"/>
          <w:b/>
          <w:bCs/>
          <w:color w:val="auto"/>
          <w:szCs w:val="21"/>
        </w:rPr>
      </w:pPr>
      <w:r>
        <w:rPr>
          <w:rFonts w:ascii="Times New Roman Regular" w:hAnsi="Times New Roman Regular" w:cs="Times New Roman Regular"/>
          <w:color w:val="auto"/>
          <w:sz w:val="22"/>
          <w:szCs w:val="22"/>
        </w:rPr>
        <w:t>We compared the 38 pleiotropic loci identified using MTAG with the 1</w:t>
      </w:r>
      <w:r>
        <w:rPr>
          <w:rFonts w:hint="default" w:ascii="Times New Roman Regular" w:hAnsi="Times New Roman Regular" w:cs="Times New Roman Regular"/>
          <w:color w:val="auto"/>
          <w:sz w:val="22"/>
          <w:szCs w:val="22"/>
          <w:lang w:val="en-US"/>
        </w:rPr>
        <w:t>5</w:t>
      </w:r>
      <w:r>
        <w:rPr>
          <w:rFonts w:ascii="Times New Roman Regular" w:hAnsi="Times New Roman Regular" w:cs="Times New Roman Regular"/>
          <w:color w:val="auto"/>
          <w:sz w:val="22"/>
          <w:szCs w:val="22"/>
        </w:rPr>
        <w:t xml:space="preserve"> unique loci from LAVA and GWAS-PW and found that four loci overlapped: Locus 20 (chr4: 155,106,847–155,678,217), Locus 32 (chr4: 111,283,206–112,163,297), Locus 34 (chr9: 21,683,805–22,138,762), and Locus 38 (chr9: 135,866,940–136,400,566). Notably, within Locus 34 (i.e., LD block 1,398), six trait pairs exhibited strong local </w:t>
      </w:r>
      <w:r>
        <w:rPr>
          <w:rFonts w:ascii="Times New Roman Italic" w:hAnsi="Times New Roman Italic" w:cs="Times New Roman Italic"/>
          <w:i/>
          <w:iCs/>
          <w:color w:val="auto"/>
          <w:sz w:val="22"/>
          <w:szCs w:val="22"/>
        </w:rPr>
        <w:t>r</w:t>
      </w:r>
      <w:r>
        <w:rPr>
          <w:rFonts w:ascii="Times New Roman Italic" w:hAnsi="Times New Roman Italic" w:cs="Times New Roman Italic"/>
          <w:i/>
          <w:iCs/>
          <w:color w:val="auto"/>
          <w:sz w:val="22"/>
          <w:szCs w:val="22"/>
          <w:vertAlign w:val="subscript"/>
        </w:rPr>
        <w:t>g</w:t>
      </w:r>
      <w:r>
        <w:rPr>
          <w:rFonts w:ascii="Times New Roman Regular" w:hAnsi="Times New Roman Regular" w:cs="Times New Roman Regular"/>
          <w:color w:val="auto"/>
          <w:sz w:val="22"/>
          <w:szCs w:val="22"/>
        </w:rPr>
        <w:t xml:space="preserve"> at the nominal significance level (</w:t>
      </w:r>
      <w:r>
        <w:rPr>
          <w:rFonts w:ascii="Times New Roman Italic" w:hAnsi="Times New Roman Italic" w:cs="Times New Roman Italic"/>
          <w:i/>
          <w:iCs/>
          <w:color w:val="auto"/>
          <w:sz w:val="22"/>
          <w:szCs w:val="22"/>
        </w:rPr>
        <w:t>P</w:t>
      </w:r>
      <w:r>
        <w:rPr>
          <w:rFonts w:ascii="Times New Roman Regular" w:hAnsi="Times New Roman Regular" w:cs="Times New Roman Regular"/>
          <w:color w:val="auto"/>
          <w:sz w:val="22"/>
          <w:szCs w:val="22"/>
        </w:rPr>
        <w:t xml:space="preserve"> &lt; 0.05). Four of these trait pairs—AF-CAD, CAD-HF, CAD-PAD, and CAD-Stroke—remained significant after Bonferroni correction and were validated by GWAS-PW. This locus harbors a shared causal SNP (rs4977574), located within an intron of the </w:t>
      </w:r>
      <w:r>
        <w:rPr>
          <w:rFonts w:ascii="Times New Roman" w:hAnsi="Times New Roman" w:cs="Times New Roman"/>
          <w:i w:val="0"/>
          <w:iCs w:val="0"/>
          <w:color w:val="auto"/>
          <w:sz w:val="22"/>
          <w:szCs w:val="22"/>
        </w:rPr>
        <w:t>CDKN2B-AS1</w:t>
      </w:r>
      <w:r>
        <w:rPr>
          <w:rFonts w:ascii="Times New Roman Regular" w:hAnsi="Times New Roman Regular" w:cs="Times New Roman Regular"/>
          <w:color w:val="auto"/>
          <w:sz w:val="22"/>
          <w:szCs w:val="22"/>
        </w:rPr>
        <w:t xml:space="preserve"> gene on chromosome 9q21.3, which was further supported by colocalization analysis of the 38 pleiotropic loci based on MTAG results.</w:t>
      </w:r>
    </w:p>
    <w:p w14:paraId="7E28CBA6">
      <w:pPr>
        <w:spacing w:line="360" w:lineRule="auto"/>
        <w:rPr>
          <w:rFonts w:ascii="Times New Roman Bold" w:hAnsi="Times New Roman Bold" w:cs="Times New Roman Bold"/>
          <w:b/>
          <w:bCs/>
          <w:color w:val="auto"/>
          <w:szCs w:val="21"/>
          <w:highlight w:val="none"/>
        </w:rPr>
      </w:pPr>
    </w:p>
    <w:p w14:paraId="1E921705">
      <w:pPr>
        <w:spacing w:line="360" w:lineRule="auto"/>
        <w:rPr>
          <w:rFonts w:hint="default" w:ascii="Times New Roman Regular" w:hAnsi="Times New Roman Regular" w:cs="Times New Roman Regular"/>
          <w:color w:val="auto"/>
          <w:sz w:val="24"/>
          <w:szCs w:val="24"/>
          <w:highlight w:val="none"/>
          <w:lang w:val="en-US"/>
        </w:rPr>
      </w:pPr>
      <w:r>
        <w:rPr>
          <w:rFonts w:ascii="Times New Roman Bold" w:hAnsi="Times New Roman Bold" w:cs="Times New Roman Bold"/>
          <w:b/>
          <w:bCs/>
          <w:color w:val="auto"/>
          <w:highlight w:val="none"/>
        </w:rPr>
        <w:t>Supplementary Table 1.</w:t>
      </w:r>
      <w:r>
        <w:rPr>
          <w:rFonts w:hint="default" w:ascii="Times New Roman Regular" w:hAnsi="Times New Roman Regular" w:cs="Times New Roman Regular"/>
          <w:color w:val="auto"/>
          <w:sz w:val="24"/>
          <w:szCs w:val="24"/>
          <w:highlight w:val="none"/>
          <w:lang w:val="en-US"/>
        </w:rPr>
        <w:t xml:space="preserve"> </w:t>
      </w:r>
      <w:r>
        <w:rPr>
          <w:rFonts w:hint="default" w:ascii="Times New Roman Bold" w:hAnsi="Times New Roman Bold" w:cs="Times New Roman Bold"/>
          <w:b/>
          <w:bCs/>
          <w:color w:val="auto"/>
          <w:sz w:val="21"/>
          <w:szCs w:val="24"/>
          <w:highlight w:val="none"/>
          <w:lang w:val="en-US"/>
        </w:rPr>
        <w:t xml:space="preserve">Bivariate LAVA results for CAD, VTE and four </w:t>
      </w:r>
      <w:r>
        <w:rPr>
          <w:rFonts w:hint="eastAsia" w:ascii="Times New Roman Bold" w:hAnsi="Times New Roman Bold" w:cs="Times New Roman Bold"/>
          <w:b/>
          <w:bCs/>
          <w:color w:val="auto"/>
          <w:sz w:val="21"/>
          <w:szCs w:val="24"/>
          <w:highlight w:val="none"/>
          <w:lang w:val="en-US" w:eastAsia="zh-CN"/>
        </w:rPr>
        <w:t>lipidemic</w:t>
      </w:r>
      <w:r>
        <w:rPr>
          <w:rFonts w:hint="default" w:ascii="Times New Roman Bold" w:hAnsi="Times New Roman Bold" w:cs="Times New Roman Bold"/>
          <w:b/>
          <w:bCs/>
          <w:color w:val="auto"/>
          <w:sz w:val="21"/>
          <w:szCs w:val="24"/>
          <w:highlight w:val="none"/>
          <w:lang w:val="en-US"/>
        </w:rPr>
        <w:t xml:space="preserve"> traits in LD block 96 (chr1:109,271,450–110,224,230).</w:t>
      </w:r>
      <w:r>
        <w:rPr>
          <w:rFonts w:hint="default" w:ascii="Times New Roman Bold" w:hAnsi="Times New Roman Bold" w:cs="Times New Roman Bold"/>
          <w:b/>
          <w:bCs/>
          <w:color w:val="auto"/>
          <w:sz w:val="21"/>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r>
        <w:rPr>
          <w:rFonts w:hint="default" w:ascii="Times New Roman Regular" w:hAnsi="Times New Roman Regular" w:cs="Times New Roman Regular"/>
          <w:color w:val="auto"/>
          <w:sz w:val="24"/>
          <w:szCs w:val="24"/>
          <w:highlight w:val="none"/>
          <w:lang w:val="en-US"/>
        </w:rPr>
        <w:tab/>
      </w:r>
    </w:p>
    <w:tbl>
      <w:tblPr>
        <w:tblStyle w:val="6"/>
        <w:tblW w:w="7800"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8"/>
        <w:gridCol w:w="2106"/>
        <w:gridCol w:w="808"/>
        <w:gridCol w:w="1085"/>
        <w:gridCol w:w="1121"/>
        <w:gridCol w:w="1199"/>
      </w:tblGrid>
      <w:tr w14:paraId="1A1A225D">
        <w:trPr>
          <w:trHeight w:val="351" w:hRule="atLeast"/>
        </w:trPr>
        <w:tc>
          <w:tcPr>
            <w:tcW w:w="2088" w:type="dxa"/>
            <w:tcBorders>
              <w:top w:val="single" w:color="000000" w:sz="8" w:space="0"/>
              <w:left w:val="nil"/>
              <w:bottom w:val="single" w:color="000000" w:sz="8" w:space="0"/>
              <w:right w:val="nil"/>
            </w:tcBorders>
            <w:shd w:val="clear" w:color="auto" w:fill="auto"/>
            <w:noWrap/>
            <w:vAlign w:val="center"/>
          </w:tcPr>
          <w:p w14:paraId="634E3FE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Trait1</w:t>
            </w:r>
          </w:p>
        </w:tc>
        <w:tc>
          <w:tcPr>
            <w:tcW w:w="2072" w:type="dxa"/>
            <w:tcBorders>
              <w:top w:val="single" w:color="000000" w:sz="8" w:space="0"/>
              <w:left w:val="nil"/>
              <w:bottom w:val="single" w:color="000000" w:sz="8" w:space="0"/>
              <w:right w:val="nil"/>
            </w:tcBorders>
            <w:shd w:val="clear" w:color="auto" w:fill="auto"/>
            <w:noWrap/>
            <w:vAlign w:val="center"/>
          </w:tcPr>
          <w:p w14:paraId="62A8580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Trait2</w:t>
            </w:r>
          </w:p>
        </w:tc>
        <w:tc>
          <w:tcPr>
            <w:tcW w:w="808" w:type="dxa"/>
            <w:tcBorders>
              <w:top w:val="single" w:color="000000" w:sz="8" w:space="0"/>
              <w:left w:val="nil"/>
              <w:bottom w:val="single" w:color="000000" w:sz="8" w:space="0"/>
              <w:right w:val="nil"/>
            </w:tcBorders>
            <w:shd w:val="clear" w:color="auto" w:fill="auto"/>
            <w:noWrap/>
            <w:vAlign w:val="center"/>
          </w:tcPr>
          <w:p w14:paraId="13D6B2D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rho</w:t>
            </w:r>
          </w:p>
        </w:tc>
        <w:tc>
          <w:tcPr>
            <w:tcW w:w="1040" w:type="dxa"/>
            <w:tcBorders>
              <w:top w:val="single" w:color="000000" w:sz="8" w:space="0"/>
              <w:left w:val="nil"/>
              <w:bottom w:val="single" w:color="000000" w:sz="8" w:space="0"/>
              <w:right w:val="nil"/>
            </w:tcBorders>
            <w:shd w:val="clear" w:color="auto" w:fill="auto"/>
            <w:noWrap/>
            <w:vAlign w:val="center"/>
          </w:tcPr>
          <w:p w14:paraId="0419FB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rho.lower</w:t>
            </w:r>
          </w:p>
        </w:tc>
        <w:tc>
          <w:tcPr>
            <w:tcW w:w="1072" w:type="dxa"/>
            <w:tcBorders>
              <w:top w:val="single" w:color="000000" w:sz="8" w:space="0"/>
              <w:left w:val="nil"/>
              <w:bottom w:val="single" w:color="000000" w:sz="8" w:space="0"/>
              <w:right w:val="nil"/>
            </w:tcBorders>
            <w:shd w:val="clear" w:color="auto" w:fill="auto"/>
            <w:noWrap/>
            <w:vAlign w:val="center"/>
          </w:tcPr>
          <w:p w14:paraId="70C06B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rho.upper</w:t>
            </w:r>
          </w:p>
        </w:tc>
        <w:tc>
          <w:tcPr>
            <w:tcW w:w="736" w:type="dxa"/>
            <w:tcBorders>
              <w:top w:val="single" w:color="000000" w:sz="8" w:space="0"/>
              <w:left w:val="nil"/>
              <w:bottom w:val="single" w:color="000000" w:sz="8" w:space="0"/>
              <w:right w:val="nil"/>
            </w:tcBorders>
            <w:shd w:val="clear" w:color="auto" w:fill="auto"/>
            <w:noWrap/>
            <w:vAlign w:val="center"/>
          </w:tcPr>
          <w:p w14:paraId="236E954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Bold Italic" w:hAnsi="Times New Roman Bold Italic" w:eastAsia="宋体" w:cs="Times New Roman Bold Italic"/>
                <w:b/>
                <w:bCs/>
                <w:i/>
                <w:iCs/>
                <w:color w:val="auto"/>
                <w:kern w:val="0"/>
                <w:sz w:val="21"/>
                <w:szCs w:val="21"/>
                <w:highlight w:val="none"/>
                <w:u w:val="none"/>
                <w:lang w:val="en-US" w:eastAsia="zh-CN" w:bidi="ar"/>
              </w:rPr>
              <w:t>p</w:t>
            </w:r>
          </w:p>
        </w:tc>
      </w:tr>
      <w:tr w14:paraId="7F0DD6B2">
        <w:trPr>
          <w:trHeight w:val="336" w:hRule="atLeast"/>
        </w:trPr>
        <w:tc>
          <w:tcPr>
            <w:tcW w:w="0" w:type="auto"/>
            <w:tcBorders>
              <w:top w:val="nil"/>
              <w:left w:val="nil"/>
              <w:bottom w:val="nil"/>
              <w:right w:val="nil"/>
            </w:tcBorders>
            <w:shd w:val="clear" w:color="auto" w:fill="auto"/>
            <w:noWrap/>
            <w:vAlign w:val="bottom"/>
          </w:tcPr>
          <w:p w14:paraId="2FA9A232">
            <w:pPr>
              <w:keepNext w:val="0"/>
              <w:keepLines w:val="0"/>
              <w:widowControl/>
              <w:suppressLineNumbers w:val="0"/>
              <w:jc w:val="center"/>
              <w:textAlignment w:val="bottom"/>
              <w:rPr>
                <w:rFonts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GWAS_CAD_EUR</w:t>
            </w:r>
          </w:p>
        </w:tc>
        <w:tc>
          <w:tcPr>
            <w:tcW w:w="0" w:type="auto"/>
            <w:tcBorders>
              <w:top w:val="nil"/>
              <w:left w:val="nil"/>
              <w:bottom w:val="nil"/>
              <w:right w:val="nil"/>
            </w:tcBorders>
            <w:shd w:val="clear" w:color="auto" w:fill="auto"/>
            <w:noWrap/>
            <w:vAlign w:val="bottom"/>
          </w:tcPr>
          <w:p w14:paraId="6CD6D88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GWAS_HDL-C_EUR</w:t>
            </w:r>
          </w:p>
        </w:tc>
        <w:tc>
          <w:tcPr>
            <w:tcW w:w="0" w:type="auto"/>
            <w:tcBorders>
              <w:top w:val="nil"/>
              <w:left w:val="nil"/>
              <w:bottom w:val="nil"/>
              <w:right w:val="nil"/>
            </w:tcBorders>
            <w:shd w:val="clear" w:color="auto" w:fill="auto"/>
            <w:noWrap/>
            <w:vAlign w:val="bottom"/>
          </w:tcPr>
          <w:p w14:paraId="35F2C1A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-0.757 </w:t>
            </w:r>
          </w:p>
        </w:tc>
        <w:tc>
          <w:tcPr>
            <w:tcW w:w="0" w:type="auto"/>
            <w:tcBorders>
              <w:top w:val="nil"/>
              <w:left w:val="nil"/>
              <w:bottom w:val="nil"/>
              <w:right w:val="nil"/>
            </w:tcBorders>
            <w:shd w:val="clear" w:color="auto" w:fill="auto"/>
            <w:noWrap/>
            <w:vAlign w:val="bottom"/>
          </w:tcPr>
          <w:p w14:paraId="673EFAE1">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-0.841 </w:t>
            </w:r>
          </w:p>
        </w:tc>
        <w:tc>
          <w:tcPr>
            <w:tcW w:w="0" w:type="auto"/>
            <w:tcBorders>
              <w:top w:val="nil"/>
              <w:left w:val="nil"/>
              <w:bottom w:val="nil"/>
              <w:right w:val="nil"/>
            </w:tcBorders>
            <w:shd w:val="clear" w:color="auto" w:fill="auto"/>
            <w:noWrap/>
            <w:vAlign w:val="bottom"/>
          </w:tcPr>
          <w:p w14:paraId="003E9A4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-0.673 </w:t>
            </w:r>
          </w:p>
        </w:tc>
        <w:tc>
          <w:tcPr>
            <w:tcW w:w="0" w:type="auto"/>
            <w:tcBorders>
              <w:top w:val="nil"/>
              <w:left w:val="nil"/>
              <w:bottom w:val="nil"/>
              <w:right w:val="nil"/>
            </w:tcBorders>
            <w:shd w:val="clear" w:color="auto" w:fill="auto"/>
            <w:noWrap/>
            <w:vAlign w:val="bottom"/>
          </w:tcPr>
          <w:p w14:paraId="60204D7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2.03</w:t>
            </w:r>
            <w:r>
              <w:rPr>
                <w:rFonts w:hint="default" w:ascii="Times New Roman Regular" w:hAnsi="Times New Roman Regular" w:cs="Times New Roman Regular"/>
                <w:color w:val="auto"/>
                <w:szCs w:val="21"/>
                <w:highlight w:val="none"/>
                <w:lang w:eastAsia="zh-Hans"/>
              </w:rPr>
              <w:t xml:space="preserve"> × </w:t>
            </w:r>
            <w:r>
              <w:rPr>
                <w:rFonts w:hint="default" w:ascii="Times New Roman Regular" w:hAnsi="Times New Roman Regular" w:cs="Times New Roman Regular"/>
                <w:color w:val="auto"/>
                <w:szCs w:val="21"/>
                <w:highlight w:val="none"/>
                <w:lang w:val="en-US"/>
              </w:rPr>
              <w:t>10</w:t>
            </w:r>
            <w:r>
              <w:rPr>
                <w:rFonts w:hint="default" w:ascii="Times New Roman Regular" w:hAnsi="Times New Roman Regular" w:eastAsia="Times New Roman Regular" w:cs="Times New Roman Regular"/>
                <w:i w:val="0"/>
                <w:iCs w:val="0"/>
                <w:color w:val="auto"/>
                <w:kern w:val="0"/>
                <w:sz w:val="21"/>
                <w:szCs w:val="21"/>
                <w:highlight w:val="none"/>
                <w:u w:val="none"/>
                <w:vertAlign w:val="superscript"/>
                <w:lang w:val="en-US" w:eastAsia="zh-CN" w:bidi="ar"/>
              </w:rPr>
              <w:t>-36</w:t>
            </w:r>
          </w:p>
        </w:tc>
      </w:tr>
      <w:tr w14:paraId="7D61BD57">
        <w:trPr>
          <w:trHeight w:val="336" w:hRule="atLeast"/>
        </w:trPr>
        <w:tc>
          <w:tcPr>
            <w:tcW w:w="0" w:type="auto"/>
            <w:tcBorders>
              <w:top w:val="nil"/>
              <w:left w:val="nil"/>
              <w:bottom w:val="nil"/>
              <w:right w:val="nil"/>
            </w:tcBorders>
            <w:shd w:val="clear" w:color="auto" w:fill="auto"/>
            <w:noWrap/>
            <w:vAlign w:val="bottom"/>
          </w:tcPr>
          <w:p w14:paraId="3760C6F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GWAS_CAD_EUR</w:t>
            </w:r>
          </w:p>
        </w:tc>
        <w:tc>
          <w:tcPr>
            <w:tcW w:w="0" w:type="auto"/>
            <w:tcBorders>
              <w:top w:val="nil"/>
              <w:left w:val="nil"/>
              <w:bottom w:val="nil"/>
              <w:right w:val="nil"/>
            </w:tcBorders>
            <w:shd w:val="clear" w:color="auto" w:fill="auto"/>
            <w:noWrap/>
            <w:vAlign w:val="bottom"/>
          </w:tcPr>
          <w:p w14:paraId="5EF1D62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GWAS_LDL-C_EUR</w:t>
            </w:r>
          </w:p>
        </w:tc>
        <w:tc>
          <w:tcPr>
            <w:tcW w:w="0" w:type="auto"/>
            <w:tcBorders>
              <w:top w:val="nil"/>
              <w:left w:val="nil"/>
              <w:bottom w:val="nil"/>
              <w:right w:val="nil"/>
            </w:tcBorders>
            <w:shd w:val="clear" w:color="auto" w:fill="auto"/>
            <w:noWrap/>
            <w:vAlign w:val="bottom"/>
          </w:tcPr>
          <w:p w14:paraId="200FCF1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0.588 </w:t>
            </w:r>
          </w:p>
        </w:tc>
        <w:tc>
          <w:tcPr>
            <w:tcW w:w="0" w:type="auto"/>
            <w:tcBorders>
              <w:top w:val="nil"/>
              <w:left w:val="nil"/>
              <w:bottom w:val="nil"/>
              <w:right w:val="nil"/>
            </w:tcBorders>
            <w:shd w:val="clear" w:color="auto" w:fill="auto"/>
            <w:noWrap/>
            <w:vAlign w:val="bottom"/>
          </w:tcPr>
          <w:p w14:paraId="05D3892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0.503 </w:t>
            </w:r>
          </w:p>
        </w:tc>
        <w:tc>
          <w:tcPr>
            <w:tcW w:w="0" w:type="auto"/>
            <w:tcBorders>
              <w:top w:val="nil"/>
              <w:left w:val="nil"/>
              <w:bottom w:val="nil"/>
              <w:right w:val="nil"/>
            </w:tcBorders>
            <w:shd w:val="clear" w:color="auto" w:fill="auto"/>
            <w:noWrap/>
            <w:vAlign w:val="bottom"/>
          </w:tcPr>
          <w:p w14:paraId="28D48AB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0.672 </w:t>
            </w:r>
          </w:p>
        </w:tc>
        <w:tc>
          <w:tcPr>
            <w:tcW w:w="0" w:type="auto"/>
            <w:tcBorders>
              <w:top w:val="nil"/>
              <w:left w:val="nil"/>
              <w:bottom w:val="nil"/>
              <w:right w:val="nil"/>
            </w:tcBorders>
            <w:shd w:val="clear" w:color="auto" w:fill="auto"/>
            <w:noWrap/>
            <w:vAlign w:val="bottom"/>
          </w:tcPr>
          <w:p w14:paraId="2AC700F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6.10</w:t>
            </w:r>
            <w:r>
              <w:rPr>
                <w:rFonts w:hint="default" w:ascii="Times New Roman Regular" w:hAnsi="Times New Roman Regular" w:cs="Times New Roman Regular"/>
                <w:color w:val="auto"/>
                <w:szCs w:val="21"/>
                <w:highlight w:val="none"/>
                <w:lang w:eastAsia="zh-Hans"/>
              </w:rPr>
              <w:t xml:space="preserve"> × </w:t>
            </w:r>
            <w:r>
              <w:rPr>
                <w:rFonts w:hint="default" w:ascii="Times New Roman Regular" w:hAnsi="Times New Roman Regular" w:cs="Times New Roman Regular"/>
                <w:color w:val="auto"/>
                <w:szCs w:val="21"/>
                <w:highlight w:val="none"/>
                <w:lang w:val="en-US"/>
              </w:rPr>
              <w:t>10</w:t>
            </w:r>
            <w:r>
              <w:rPr>
                <w:rFonts w:hint="default" w:ascii="Times New Roman Regular" w:hAnsi="Times New Roman Regular" w:eastAsia="Times New Roman Regular" w:cs="Times New Roman Regular"/>
                <w:i w:val="0"/>
                <w:iCs w:val="0"/>
                <w:color w:val="auto"/>
                <w:kern w:val="0"/>
                <w:sz w:val="21"/>
                <w:szCs w:val="21"/>
                <w:highlight w:val="none"/>
                <w:u w:val="none"/>
                <w:vertAlign w:val="superscript"/>
                <w:lang w:val="en-US" w:eastAsia="zh-CN" w:bidi="ar"/>
              </w:rPr>
              <w:t>-32</w:t>
            </w:r>
          </w:p>
        </w:tc>
      </w:tr>
      <w:tr w14:paraId="04E600E1">
        <w:trPr>
          <w:trHeight w:val="336" w:hRule="atLeast"/>
        </w:trPr>
        <w:tc>
          <w:tcPr>
            <w:tcW w:w="0" w:type="auto"/>
            <w:tcBorders>
              <w:top w:val="nil"/>
              <w:left w:val="nil"/>
              <w:bottom w:val="nil"/>
              <w:right w:val="nil"/>
            </w:tcBorders>
            <w:shd w:val="clear" w:color="auto" w:fill="auto"/>
            <w:noWrap/>
            <w:vAlign w:val="bottom"/>
          </w:tcPr>
          <w:p w14:paraId="2CA55AB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GWAS_CAD_EUR</w:t>
            </w:r>
          </w:p>
        </w:tc>
        <w:tc>
          <w:tcPr>
            <w:tcW w:w="0" w:type="auto"/>
            <w:tcBorders>
              <w:top w:val="nil"/>
              <w:left w:val="nil"/>
              <w:bottom w:val="nil"/>
              <w:right w:val="nil"/>
            </w:tcBorders>
            <w:shd w:val="clear" w:color="auto" w:fill="auto"/>
            <w:noWrap/>
            <w:vAlign w:val="bottom"/>
          </w:tcPr>
          <w:p w14:paraId="238594B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GWAS_TC_EUR</w:t>
            </w:r>
          </w:p>
        </w:tc>
        <w:tc>
          <w:tcPr>
            <w:tcW w:w="0" w:type="auto"/>
            <w:tcBorders>
              <w:top w:val="nil"/>
              <w:left w:val="nil"/>
              <w:bottom w:val="nil"/>
              <w:right w:val="nil"/>
            </w:tcBorders>
            <w:shd w:val="clear" w:color="auto" w:fill="auto"/>
            <w:noWrap/>
            <w:vAlign w:val="bottom"/>
          </w:tcPr>
          <w:p w14:paraId="23D7F97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0.652 </w:t>
            </w:r>
          </w:p>
        </w:tc>
        <w:tc>
          <w:tcPr>
            <w:tcW w:w="0" w:type="auto"/>
            <w:tcBorders>
              <w:top w:val="nil"/>
              <w:left w:val="nil"/>
              <w:bottom w:val="nil"/>
              <w:right w:val="nil"/>
            </w:tcBorders>
            <w:shd w:val="clear" w:color="auto" w:fill="auto"/>
            <w:noWrap/>
            <w:vAlign w:val="bottom"/>
          </w:tcPr>
          <w:p w14:paraId="2247BC4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0.573 </w:t>
            </w:r>
          </w:p>
        </w:tc>
        <w:tc>
          <w:tcPr>
            <w:tcW w:w="0" w:type="auto"/>
            <w:tcBorders>
              <w:top w:val="nil"/>
              <w:left w:val="nil"/>
              <w:bottom w:val="nil"/>
              <w:right w:val="nil"/>
            </w:tcBorders>
            <w:shd w:val="clear" w:color="auto" w:fill="auto"/>
            <w:noWrap/>
            <w:vAlign w:val="bottom"/>
          </w:tcPr>
          <w:p w14:paraId="54A2906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0.732 </w:t>
            </w:r>
          </w:p>
        </w:tc>
        <w:tc>
          <w:tcPr>
            <w:tcW w:w="0" w:type="auto"/>
            <w:tcBorders>
              <w:top w:val="nil"/>
              <w:left w:val="nil"/>
              <w:bottom w:val="nil"/>
              <w:right w:val="nil"/>
            </w:tcBorders>
            <w:shd w:val="clear" w:color="auto" w:fill="auto"/>
            <w:noWrap/>
            <w:vAlign w:val="bottom"/>
          </w:tcPr>
          <w:p w14:paraId="2764661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1.09</w:t>
            </w:r>
            <w:r>
              <w:rPr>
                <w:rFonts w:hint="default" w:ascii="Times New Roman Regular" w:hAnsi="Times New Roman Regular" w:cs="Times New Roman Regular"/>
                <w:color w:val="auto"/>
                <w:szCs w:val="21"/>
                <w:highlight w:val="none"/>
                <w:lang w:eastAsia="zh-Hans"/>
              </w:rPr>
              <w:t xml:space="preserve"> × </w:t>
            </w:r>
            <w:r>
              <w:rPr>
                <w:rFonts w:hint="default" w:ascii="Times New Roman Regular" w:hAnsi="Times New Roman Regular" w:cs="Times New Roman Regular"/>
                <w:color w:val="auto"/>
                <w:szCs w:val="21"/>
                <w:highlight w:val="none"/>
                <w:lang w:val="en-US"/>
              </w:rPr>
              <w:t>10</w:t>
            </w:r>
            <w:r>
              <w:rPr>
                <w:rFonts w:hint="default" w:ascii="Times New Roman Regular" w:hAnsi="Times New Roman Regular" w:eastAsia="Times New Roman Regular" w:cs="Times New Roman Regular"/>
                <w:i w:val="0"/>
                <w:iCs w:val="0"/>
                <w:color w:val="auto"/>
                <w:kern w:val="0"/>
                <w:sz w:val="21"/>
                <w:szCs w:val="21"/>
                <w:highlight w:val="none"/>
                <w:u w:val="none"/>
                <w:vertAlign w:val="superscript"/>
                <w:lang w:val="en-US" w:eastAsia="zh-CN" w:bidi="ar"/>
              </w:rPr>
              <w:t>-37</w:t>
            </w:r>
          </w:p>
        </w:tc>
      </w:tr>
      <w:tr w14:paraId="28ECC353">
        <w:trPr>
          <w:trHeight w:val="336" w:hRule="atLeast"/>
        </w:trPr>
        <w:tc>
          <w:tcPr>
            <w:tcW w:w="0" w:type="auto"/>
            <w:tcBorders>
              <w:top w:val="nil"/>
              <w:left w:val="nil"/>
              <w:bottom w:val="nil"/>
              <w:right w:val="nil"/>
            </w:tcBorders>
            <w:shd w:val="clear" w:color="auto" w:fill="auto"/>
            <w:noWrap/>
            <w:vAlign w:val="bottom"/>
          </w:tcPr>
          <w:p w14:paraId="5D5FB284">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GWAS_CAD_EUR</w:t>
            </w:r>
          </w:p>
        </w:tc>
        <w:tc>
          <w:tcPr>
            <w:tcW w:w="0" w:type="auto"/>
            <w:tcBorders>
              <w:top w:val="nil"/>
              <w:left w:val="nil"/>
              <w:bottom w:val="nil"/>
              <w:right w:val="nil"/>
            </w:tcBorders>
            <w:shd w:val="clear" w:color="auto" w:fill="auto"/>
            <w:noWrap/>
            <w:vAlign w:val="bottom"/>
          </w:tcPr>
          <w:p w14:paraId="2DBD49D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GWAS_TG_EUR</w:t>
            </w:r>
          </w:p>
        </w:tc>
        <w:tc>
          <w:tcPr>
            <w:tcW w:w="0" w:type="auto"/>
            <w:tcBorders>
              <w:top w:val="nil"/>
              <w:left w:val="nil"/>
              <w:bottom w:val="nil"/>
              <w:right w:val="nil"/>
            </w:tcBorders>
            <w:shd w:val="clear" w:color="auto" w:fill="auto"/>
            <w:noWrap/>
            <w:vAlign w:val="bottom"/>
          </w:tcPr>
          <w:p w14:paraId="07576537">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0.624 </w:t>
            </w:r>
          </w:p>
        </w:tc>
        <w:tc>
          <w:tcPr>
            <w:tcW w:w="0" w:type="auto"/>
            <w:tcBorders>
              <w:top w:val="nil"/>
              <w:left w:val="nil"/>
              <w:bottom w:val="nil"/>
              <w:right w:val="nil"/>
            </w:tcBorders>
            <w:shd w:val="clear" w:color="auto" w:fill="auto"/>
            <w:noWrap/>
            <w:vAlign w:val="bottom"/>
          </w:tcPr>
          <w:p w14:paraId="26C5172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0.467 </w:t>
            </w:r>
          </w:p>
        </w:tc>
        <w:tc>
          <w:tcPr>
            <w:tcW w:w="0" w:type="auto"/>
            <w:tcBorders>
              <w:top w:val="nil"/>
              <w:left w:val="nil"/>
              <w:bottom w:val="nil"/>
              <w:right w:val="nil"/>
            </w:tcBorders>
            <w:shd w:val="clear" w:color="auto" w:fill="auto"/>
            <w:noWrap/>
            <w:vAlign w:val="bottom"/>
          </w:tcPr>
          <w:p w14:paraId="62319C41">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0.782 </w:t>
            </w:r>
          </w:p>
        </w:tc>
        <w:tc>
          <w:tcPr>
            <w:tcW w:w="0" w:type="auto"/>
            <w:tcBorders>
              <w:top w:val="nil"/>
              <w:left w:val="nil"/>
              <w:bottom w:val="nil"/>
              <w:right w:val="nil"/>
            </w:tcBorders>
            <w:shd w:val="clear" w:color="auto" w:fill="auto"/>
            <w:noWrap/>
            <w:vAlign w:val="bottom"/>
          </w:tcPr>
          <w:p w14:paraId="42D4F65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2.78</w:t>
            </w:r>
            <w:r>
              <w:rPr>
                <w:rFonts w:hint="default" w:ascii="Times New Roman Regular" w:hAnsi="Times New Roman Regular" w:cs="Times New Roman Regular"/>
                <w:color w:val="auto"/>
                <w:szCs w:val="21"/>
                <w:highlight w:val="none"/>
                <w:lang w:eastAsia="zh-Hans"/>
              </w:rPr>
              <w:t xml:space="preserve"> × </w:t>
            </w:r>
            <w:r>
              <w:rPr>
                <w:rFonts w:hint="default" w:ascii="Times New Roman Regular" w:hAnsi="Times New Roman Regular" w:cs="Times New Roman Regular"/>
                <w:color w:val="auto"/>
                <w:szCs w:val="21"/>
                <w:highlight w:val="none"/>
                <w:lang w:val="en-US"/>
              </w:rPr>
              <w:t>10</w:t>
            </w:r>
            <w:r>
              <w:rPr>
                <w:rFonts w:hint="default" w:ascii="Times New Roman Regular" w:hAnsi="Times New Roman Regular" w:eastAsia="Times New Roman Regular" w:cs="Times New Roman Regular"/>
                <w:i w:val="0"/>
                <w:iCs w:val="0"/>
                <w:color w:val="auto"/>
                <w:kern w:val="0"/>
                <w:sz w:val="21"/>
                <w:szCs w:val="21"/>
                <w:highlight w:val="none"/>
                <w:u w:val="none"/>
                <w:vertAlign w:val="superscript"/>
                <w:lang w:val="en-US" w:eastAsia="zh-CN" w:bidi="ar"/>
              </w:rPr>
              <w:t>-11</w:t>
            </w:r>
          </w:p>
        </w:tc>
      </w:tr>
      <w:tr w14:paraId="39FB2625">
        <w:trPr>
          <w:trHeight w:val="336" w:hRule="atLeast"/>
        </w:trPr>
        <w:tc>
          <w:tcPr>
            <w:tcW w:w="0" w:type="auto"/>
            <w:tcBorders>
              <w:top w:val="nil"/>
              <w:left w:val="nil"/>
              <w:bottom w:val="nil"/>
              <w:right w:val="nil"/>
            </w:tcBorders>
            <w:shd w:val="clear" w:color="auto" w:fill="auto"/>
            <w:noWrap/>
            <w:vAlign w:val="bottom"/>
          </w:tcPr>
          <w:p w14:paraId="7F24763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GWAS_VTE_EUR</w:t>
            </w:r>
          </w:p>
        </w:tc>
        <w:tc>
          <w:tcPr>
            <w:tcW w:w="0" w:type="auto"/>
            <w:tcBorders>
              <w:top w:val="nil"/>
              <w:left w:val="nil"/>
              <w:bottom w:val="nil"/>
              <w:right w:val="nil"/>
            </w:tcBorders>
            <w:shd w:val="clear" w:color="auto" w:fill="auto"/>
            <w:noWrap/>
            <w:vAlign w:val="bottom"/>
          </w:tcPr>
          <w:p w14:paraId="3162DD3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GWAS_HDL-C_EUR</w:t>
            </w:r>
          </w:p>
        </w:tc>
        <w:tc>
          <w:tcPr>
            <w:tcW w:w="0" w:type="auto"/>
            <w:tcBorders>
              <w:top w:val="nil"/>
              <w:left w:val="nil"/>
              <w:bottom w:val="nil"/>
              <w:right w:val="nil"/>
            </w:tcBorders>
            <w:shd w:val="clear" w:color="auto" w:fill="auto"/>
            <w:noWrap/>
            <w:vAlign w:val="bottom"/>
          </w:tcPr>
          <w:p w14:paraId="105025B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0.170 </w:t>
            </w:r>
          </w:p>
        </w:tc>
        <w:tc>
          <w:tcPr>
            <w:tcW w:w="0" w:type="auto"/>
            <w:tcBorders>
              <w:top w:val="nil"/>
              <w:left w:val="nil"/>
              <w:bottom w:val="nil"/>
              <w:right w:val="nil"/>
            </w:tcBorders>
            <w:shd w:val="clear" w:color="auto" w:fill="auto"/>
            <w:noWrap/>
            <w:vAlign w:val="bottom"/>
          </w:tcPr>
          <w:p w14:paraId="679F55B5">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-0.007 </w:t>
            </w:r>
          </w:p>
        </w:tc>
        <w:tc>
          <w:tcPr>
            <w:tcW w:w="0" w:type="auto"/>
            <w:tcBorders>
              <w:top w:val="nil"/>
              <w:left w:val="nil"/>
              <w:bottom w:val="nil"/>
              <w:right w:val="nil"/>
            </w:tcBorders>
            <w:shd w:val="clear" w:color="auto" w:fill="auto"/>
            <w:noWrap/>
            <w:vAlign w:val="bottom"/>
          </w:tcPr>
          <w:p w14:paraId="2759901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0.348 </w:t>
            </w:r>
          </w:p>
        </w:tc>
        <w:tc>
          <w:tcPr>
            <w:tcW w:w="0" w:type="auto"/>
            <w:tcBorders>
              <w:top w:val="nil"/>
              <w:left w:val="nil"/>
              <w:bottom w:val="nil"/>
              <w:right w:val="nil"/>
            </w:tcBorders>
            <w:shd w:val="clear" w:color="auto" w:fill="auto"/>
            <w:noWrap/>
            <w:vAlign w:val="bottom"/>
          </w:tcPr>
          <w:p w14:paraId="33FBB27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0.056 </w:t>
            </w:r>
          </w:p>
        </w:tc>
      </w:tr>
      <w:tr w14:paraId="5D7255A2">
        <w:trPr>
          <w:trHeight w:val="336" w:hRule="atLeast"/>
        </w:trPr>
        <w:tc>
          <w:tcPr>
            <w:tcW w:w="0" w:type="auto"/>
            <w:tcBorders>
              <w:top w:val="nil"/>
              <w:left w:val="nil"/>
              <w:bottom w:val="nil"/>
              <w:right w:val="nil"/>
            </w:tcBorders>
            <w:shd w:val="clear" w:color="auto" w:fill="auto"/>
            <w:noWrap/>
            <w:vAlign w:val="bottom"/>
          </w:tcPr>
          <w:p w14:paraId="4524D61A">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GWAS_VTE_EUR</w:t>
            </w:r>
          </w:p>
        </w:tc>
        <w:tc>
          <w:tcPr>
            <w:tcW w:w="0" w:type="auto"/>
            <w:tcBorders>
              <w:top w:val="nil"/>
              <w:left w:val="nil"/>
              <w:bottom w:val="nil"/>
              <w:right w:val="nil"/>
            </w:tcBorders>
            <w:shd w:val="clear" w:color="auto" w:fill="auto"/>
            <w:noWrap/>
            <w:vAlign w:val="bottom"/>
          </w:tcPr>
          <w:p w14:paraId="4E95970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GWAS_LDL-C_EUR</w:t>
            </w:r>
          </w:p>
        </w:tc>
        <w:tc>
          <w:tcPr>
            <w:tcW w:w="0" w:type="auto"/>
            <w:tcBorders>
              <w:top w:val="nil"/>
              <w:left w:val="nil"/>
              <w:bottom w:val="nil"/>
              <w:right w:val="nil"/>
            </w:tcBorders>
            <w:shd w:val="clear" w:color="auto" w:fill="auto"/>
            <w:noWrap/>
            <w:vAlign w:val="bottom"/>
          </w:tcPr>
          <w:p w14:paraId="25EA4AE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-0.133 </w:t>
            </w:r>
          </w:p>
        </w:tc>
        <w:tc>
          <w:tcPr>
            <w:tcW w:w="0" w:type="auto"/>
            <w:tcBorders>
              <w:top w:val="nil"/>
              <w:left w:val="nil"/>
              <w:bottom w:val="nil"/>
              <w:right w:val="nil"/>
            </w:tcBorders>
            <w:shd w:val="clear" w:color="auto" w:fill="auto"/>
            <w:noWrap/>
            <w:vAlign w:val="bottom"/>
          </w:tcPr>
          <w:p w14:paraId="5C5C6E38">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-0.298 </w:t>
            </w:r>
          </w:p>
        </w:tc>
        <w:tc>
          <w:tcPr>
            <w:tcW w:w="0" w:type="auto"/>
            <w:tcBorders>
              <w:top w:val="nil"/>
              <w:left w:val="nil"/>
              <w:bottom w:val="nil"/>
              <w:right w:val="nil"/>
            </w:tcBorders>
            <w:shd w:val="clear" w:color="auto" w:fill="auto"/>
            <w:noWrap/>
            <w:vAlign w:val="bottom"/>
          </w:tcPr>
          <w:p w14:paraId="6B99A2D2">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0.022 </w:t>
            </w:r>
          </w:p>
        </w:tc>
        <w:tc>
          <w:tcPr>
            <w:tcW w:w="0" w:type="auto"/>
            <w:tcBorders>
              <w:top w:val="nil"/>
              <w:left w:val="nil"/>
              <w:bottom w:val="nil"/>
              <w:right w:val="nil"/>
            </w:tcBorders>
            <w:shd w:val="clear" w:color="auto" w:fill="auto"/>
            <w:noWrap/>
            <w:vAlign w:val="bottom"/>
          </w:tcPr>
          <w:p w14:paraId="5FC466E3">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0.102 </w:t>
            </w:r>
          </w:p>
        </w:tc>
      </w:tr>
      <w:tr w14:paraId="1BCFDA9B">
        <w:trPr>
          <w:trHeight w:val="336" w:hRule="atLeast"/>
        </w:trPr>
        <w:tc>
          <w:tcPr>
            <w:tcW w:w="0" w:type="auto"/>
            <w:tcBorders>
              <w:top w:val="nil"/>
              <w:left w:val="nil"/>
              <w:bottom w:val="nil"/>
              <w:right w:val="nil"/>
            </w:tcBorders>
            <w:shd w:val="clear" w:color="auto" w:fill="auto"/>
            <w:noWrap/>
            <w:vAlign w:val="bottom"/>
          </w:tcPr>
          <w:p w14:paraId="2F701A6B">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GWAS_VTE_EUR</w:t>
            </w:r>
          </w:p>
        </w:tc>
        <w:tc>
          <w:tcPr>
            <w:tcW w:w="0" w:type="auto"/>
            <w:tcBorders>
              <w:top w:val="nil"/>
              <w:left w:val="nil"/>
              <w:bottom w:val="nil"/>
              <w:right w:val="nil"/>
            </w:tcBorders>
            <w:shd w:val="clear" w:color="auto" w:fill="auto"/>
            <w:noWrap/>
            <w:vAlign w:val="bottom"/>
          </w:tcPr>
          <w:p w14:paraId="75256049">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GWAS_TC_EUR</w:t>
            </w:r>
          </w:p>
        </w:tc>
        <w:tc>
          <w:tcPr>
            <w:tcW w:w="0" w:type="auto"/>
            <w:tcBorders>
              <w:top w:val="nil"/>
              <w:left w:val="nil"/>
              <w:bottom w:val="nil"/>
              <w:right w:val="nil"/>
            </w:tcBorders>
            <w:shd w:val="clear" w:color="auto" w:fill="auto"/>
            <w:noWrap/>
            <w:vAlign w:val="bottom"/>
          </w:tcPr>
          <w:p w14:paraId="6B22CD9C">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-0.213 </w:t>
            </w:r>
          </w:p>
        </w:tc>
        <w:tc>
          <w:tcPr>
            <w:tcW w:w="0" w:type="auto"/>
            <w:tcBorders>
              <w:top w:val="nil"/>
              <w:left w:val="nil"/>
              <w:bottom w:val="nil"/>
              <w:right w:val="nil"/>
            </w:tcBorders>
            <w:shd w:val="clear" w:color="auto" w:fill="auto"/>
            <w:noWrap/>
            <w:vAlign w:val="bottom"/>
          </w:tcPr>
          <w:p w14:paraId="637BAD7D">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-0.373 </w:t>
            </w:r>
          </w:p>
        </w:tc>
        <w:tc>
          <w:tcPr>
            <w:tcW w:w="0" w:type="auto"/>
            <w:tcBorders>
              <w:top w:val="nil"/>
              <w:left w:val="nil"/>
              <w:bottom w:val="nil"/>
              <w:right w:val="nil"/>
            </w:tcBorders>
            <w:shd w:val="clear" w:color="auto" w:fill="auto"/>
            <w:noWrap/>
            <w:vAlign w:val="bottom"/>
          </w:tcPr>
          <w:p w14:paraId="513AE0A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-0.053 </w:t>
            </w:r>
          </w:p>
        </w:tc>
        <w:tc>
          <w:tcPr>
            <w:tcW w:w="0" w:type="auto"/>
            <w:tcBorders>
              <w:top w:val="nil"/>
              <w:left w:val="nil"/>
              <w:bottom w:val="nil"/>
              <w:right w:val="nil"/>
            </w:tcBorders>
            <w:shd w:val="clear" w:color="auto" w:fill="auto"/>
            <w:noWrap/>
            <w:vAlign w:val="bottom"/>
          </w:tcPr>
          <w:p w14:paraId="3F0ADC5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8.49</w:t>
            </w:r>
            <w:r>
              <w:rPr>
                <w:rFonts w:hint="default" w:ascii="Times New Roman Regular" w:hAnsi="Times New Roman Regular" w:cs="Times New Roman Regular"/>
                <w:color w:val="auto"/>
                <w:szCs w:val="21"/>
                <w:highlight w:val="none"/>
                <w:lang w:eastAsia="zh-Hans"/>
              </w:rPr>
              <w:t xml:space="preserve"> × </w:t>
            </w:r>
            <w:r>
              <w:rPr>
                <w:rFonts w:hint="default" w:ascii="Times New Roman Regular" w:hAnsi="Times New Roman Regular" w:cs="Times New Roman Regular"/>
                <w:color w:val="auto"/>
                <w:szCs w:val="21"/>
                <w:highlight w:val="none"/>
                <w:lang w:val="en-US"/>
              </w:rPr>
              <w:t>10</w:t>
            </w:r>
            <w:r>
              <w:rPr>
                <w:rFonts w:hint="default" w:ascii="Times New Roman Regular" w:hAnsi="Times New Roman Regular" w:eastAsia="Times New Roman Regular" w:cs="Times New Roman Regular"/>
                <w:i w:val="0"/>
                <w:iCs w:val="0"/>
                <w:color w:val="auto"/>
                <w:kern w:val="0"/>
                <w:sz w:val="21"/>
                <w:szCs w:val="21"/>
                <w:highlight w:val="none"/>
                <w:u w:val="none"/>
                <w:vertAlign w:val="superscript"/>
                <w:lang w:val="en-US" w:eastAsia="zh-CN" w:bidi="ar"/>
              </w:rPr>
              <w:t>-3</w:t>
            </w:r>
          </w:p>
        </w:tc>
      </w:tr>
      <w:tr w14:paraId="53262DF6">
        <w:trPr>
          <w:trHeight w:val="336" w:hRule="atLeast"/>
        </w:trPr>
        <w:tc>
          <w:tcPr>
            <w:tcW w:w="0" w:type="auto"/>
            <w:tcBorders>
              <w:top w:val="nil"/>
              <w:left w:val="nil"/>
              <w:bottom w:val="single" w:color="auto" w:sz="4" w:space="0"/>
              <w:right w:val="nil"/>
            </w:tcBorders>
            <w:shd w:val="clear" w:color="auto" w:fill="auto"/>
            <w:noWrap/>
            <w:vAlign w:val="bottom"/>
          </w:tcPr>
          <w:p w14:paraId="1ADFA3B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GWAS_VTE_EUR</w:t>
            </w:r>
          </w:p>
        </w:tc>
        <w:tc>
          <w:tcPr>
            <w:tcW w:w="0" w:type="auto"/>
            <w:tcBorders>
              <w:top w:val="nil"/>
              <w:left w:val="nil"/>
              <w:bottom w:val="single" w:color="auto" w:sz="4" w:space="0"/>
              <w:right w:val="nil"/>
            </w:tcBorders>
            <w:shd w:val="clear" w:color="auto" w:fill="auto"/>
            <w:noWrap/>
            <w:vAlign w:val="bottom"/>
          </w:tcPr>
          <w:p w14:paraId="65F4FF1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GWAS_TG_EUR</w:t>
            </w:r>
          </w:p>
        </w:tc>
        <w:tc>
          <w:tcPr>
            <w:tcW w:w="0" w:type="auto"/>
            <w:tcBorders>
              <w:top w:val="nil"/>
              <w:left w:val="nil"/>
              <w:bottom w:val="single" w:color="auto" w:sz="4" w:space="0"/>
              <w:right w:val="nil"/>
            </w:tcBorders>
            <w:shd w:val="clear" w:color="auto" w:fill="auto"/>
            <w:noWrap/>
            <w:vAlign w:val="bottom"/>
          </w:tcPr>
          <w:p w14:paraId="492AEF5F">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-0.155 </w:t>
            </w:r>
          </w:p>
        </w:tc>
        <w:tc>
          <w:tcPr>
            <w:tcW w:w="0" w:type="auto"/>
            <w:tcBorders>
              <w:top w:val="nil"/>
              <w:left w:val="nil"/>
              <w:bottom w:val="single" w:color="auto" w:sz="4" w:space="0"/>
              <w:right w:val="nil"/>
            </w:tcBorders>
            <w:shd w:val="clear" w:color="auto" w:fill="auto"/>
            <w:noWrap/>
            <w:vAlign w:val="bottom"/>
          </w:tcPr>
          <w:p w14:paraId="484A9D96">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-0.409 </w:t>
            </w:r>
          </w:p>
        </w:tc>
        <w:tc>
          <w:tcPr>
            <w:tcW w:w="0" w:type="auto"/>
            <w:tcBorders>
              <w:top w:val="nil"/>
              <w:left w:val="nil"/>
              <w:bottom w:val="single" w:color="auto" w:sz="4" w:space="0"/>
              <w:right w:val="nil"/>
            </w:tcBorders>
            <w:shd w:val="clear" w:color="auto" w:fill="auto"/>
            <w:noWrap/>
            <w:vAlign w:val="bottom"/>
          </w:tcPr>
          <w:p w14:paraId="4E78561E">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0.096 </w:t>
            </w:r>
          </w:p>
        </w:tc>
        <w:tc>
          <w:tcPr>
            <w:tcW w:w="0" w:type="auto"/>
            <w:tcBorders>
              <w:top w:val="nil"/>
              <w:left w:val="nil"/>
              <w:bottom w:val="single" w:color="auto" w:sz="4" w:space="0"/>
              <w:right w:val="nil"/>
            </w:tcBorders>
            <w:shd w:val="clear" w:color="auto" w:fill="auto"/>
            <w:noWrap/>
            <w:vAlign w:val="bottom"/>
          </w:tcPr>
          <w:p w14:paraId="2BEC2AF0">
            <w:pPr>
              <w:keepNext w:val="0"/>
              <w:keepLines w:val="0"/>
              <w:widowControl/>
              <w:suppressLineNumbers w:val="0"/>
              <w:jc w:val="center"/>
              <w:textAlignment w:val="bottom"/>
              <w:rPr>
                <w:rFonts w:hint="default" w:ascii="Times New Roman Regular" w:hAnsi="Times New Roman Regular" w:eastAsia="Times New Roman Regular" w:cs="Times New Roman Regular"/>
                <w:i w:val="0"/>
                <w:iCs w:val="0"/>
                <w:color w:val="auto"/>
                <w:sz w:val="21"/>
                <w:szCs w:val="21"/>
                <w:highlight w:val="none"/>
                <w:u w:val="none"/>
              </w:rPr>
            </w:pPr>
            <w:r>
              <w:rPr>
                <w:rFonts w:hint="default" w:ascii="Times New Roman Regular" w:hAnsi="Times New Roman Regular" w:eastAsia="Times New Roman Regular" w:cs="Times New Roman Regular"/>
                <w:i w:val="0"/>
                <w:iCs w:val="0"/>
                <w:color w:val="auto"/>
                <w:kern w:val="0"/>
                <w:sz w:val="21"/>
                <w:szCs w:val="21"/>
                <w:highlight w:val="none"/>
                <w:u w:val="none"/>
                <w:lang w:val="en-US" w:eastAsia="zh-CN" w:bidi="ar"/>
              </w:rPr>
              <w:t xml:space="preserve">0.216 </w:t>
            </w:r>
          </w:p>
        </w:tc>
      </w:tr>
    </w:tbl>
    <w:p w14:paraId="571D09EF">
      <w:pPr>
        <w:spacing w:line="360" w:lineRule="auto"/>
        <w:rPr>
          <w:rFonts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br w:type="page"/>
      </w:r>
    </w:p>
    <w:p w14:paraId="20DC3A69">
      <w:pPr>
        <w:spacing w:line="360" w:lineRule="auto"/>
        <w:rPr>
          <w:rFonts w:hint="default" w:ascii="Times New Roman Regular" w:hAnsi="Times New Roman Regular" w:cs="Times New Roman Regular" w:eastAsiaTheme="minorEastAsia"/>
          <w:b w:val="0"/>
          <w:bCs w:val="0"/>
          <w:color w:val="auto"/>
          <w:szCs w:val="21"/>
          <w:highlight w:val="none"/>
          <w:lang w:val="en-US" w:eastAsia="zh-CN"/>
        </w:rPr>
      </w:pPr>
      <w:r>
        <w:rPr>
          <w:rFonts w:ascii="Times New Roman Bold" w:hAnsi="Times New Roman Bold" w:cs="Times New Roman Bold"/>
          <w:b/>
          <w:bCs/>
          <w:color w:val="auto"/>
          <w:szCs w:val="21"/>
          <w:highlight w:val="none"/>
        </w:rPr>
        <w:t xml:space="preserve">Supplementary Note </w:t>
      </w:r>
      <w:r>
        <w:rPr>
          <w:rFonts w:hint="default" w:ascii="Times New Roman Bold" w:hAnsi="Times New Roman Bold" w:cs="Times New Roman Bold"/>
          <w:b/>
          <w:bCs/>
          <w:color w:val="auto"/>
          <w:szCs w:val="21"/>
          <w:highlight w:val="none"/>
          <w:lang w:val="en-US" w:eastAsia="zh-CN"/>
        </w:rPr>
        <w:t>3</w:t>
      </w:r>
      <w:r>
        <w:rPr>
          <w:rFonts w:hint="eastAsia" w:ascii="Times New Roman Bold" w:hAnsi="Times New Roman Bold" w:cs="Times New Roman Bold"/>
          <w:b/>
          <w:bCs/>
          <w:color w:val="auto"/>
          <w:szCs w:val="21"/>
          <w:highlight w:val="none"/>
          <w:lang w:val="en-US" w:eastAsia="zh-CN"/>
        </w:rPr>
        <w:t xml:space="preserve">: </w:t>
      </w:r>
      <w:r>
        <w:rPr>
          <w:rFonts w:ascii="Times New Roman Bold" w:hAnsi="Times New Roman Bold" w:cs="Times New Roman Bold"/>
          <w:b/>
          <w:bCs/>
          <w:color w:val="auto"/>
          <w:szCs w:val="21"/>
          <w:highlight w:val="none"/>
        </w:rPr>
        <w:t xml:space="preserve">Additional information on </w:t>
      </w:r>
      <w:r>
        <w:rPr>
          <w:rFonts w:hint="eastAsia" w:ascii="Times New Roman Bold" w:hAnsi="Times New Roman Bold" w:cs="Times New Roman Bold"/>
          <w:b/>
          <w:bCs/>
          <w:color w:val="auto"/>
          <w:szCs w:val="21"/>
          <w:highlight w:val="none"/>
          <w:lang w:val="en-US" w:eastAsia="zh-CN"/>
        </w:rPr>
        <w:t>s</w:t>
      </w:r>
      <w:r>
        <w:rPr>
          <w:rFonts w:hint="eastAsia" w:ascii="Times New Roman Bold" w:hAnsi="Times New Roman Bold" w:cs="Times New Roman Bold"/>
          <w:b/>
          <w:bCs/>
          <w:color w:val="auto"/>
          <w:szCs w:val="21"/>
          <w:highlight w:val="none"/>
        </w:rPr>
        <w:t xml:space="preserve">hared genetic </w:t>
      </w:r>
      <w:r>
        <w:rPr>
          <w:rFonts w:hint="eastAsia" w:ascii="Times New Roman Bold" w:hAnsi="Times New Roman Bold" w:cs="Times New Roman Bold"/>
          <w:b/>
          <w:bCs/>
          <w:color w:val="auto"/>
          <w:szCs w:val="21"/>
          <w:highlight w:val="none"/>
          <w:lang w:val="en-US" w:eastAsia="zh-CN"/>
        </w:rPr>
        <w:t>a</w:t>
      </w:r>
      <w:r>
        <w:rPr>
          <w:rFonts w:hint="eastAsia" w:ascii="Times New Roman Bold" w:hAnsi="Times New Roman Bold" w:cs="Times New Roman Bold"/>
          <w:b/>
          <w:bCs/>
          <w:color w:val="auto"/>
          <w:szCs w:val="21"/>
          <w:highlight w:val="none"/>
        </w:rPr>
        <w:t>rchitecture</w:t>
      </w:r>
      <w:r>
        <w:rPr>
          <w:rFonts w:hint="eastAsia" w:ascii="Times New Roman Bold" w:hAnsi="Times New Roman Bold" w:cs="Times New Roman Bold"/>
          <w:b/>
          <w:bCs/>
          <w:color w:val="auto"/>
          <w:szCs w:val="21"/>
          <w:highlight w:val="none"/>
          <w:lang w:val="en-US" w:eastAsia="zh-CN"/>
        </w:rPr>
        <w:t xml:space="preserve"> between </w:t>
      </w:r>
      <w:r>
        <w:rPr>
          <w:rFonts w:hint="default" w:ascii="Times New Roman Bold" w:hAnsi="Times New Roman Bold" w:cs="Times New Roman Bold"/>
          <w:b/>
          <w:bCs/>
          <w:color w:val="auto"/>
          <w:szCs w:val="21"/>
          <w:highlight w:val="none"/>
          <w:lang w:val="en-US" w:eastAsia="zh-CN"/>
        </w:rPr>
        <w:t>HF and PAD</w:t>
      </w:r>
    </w:p>
    <w:p w14:paraId="5A59951D">
      <w:pPr>
        <w:spacing w:line="360" w:lineRule="auto"/>
        <w:jc w:val="left"/>
        <w:rPr>
          <w:rFonts w:hint="default" w:ascii="Times New Roman Regular" w:hAnsi="Times New Roman Regular" w:cs="Times New Roman Regular"/>
          <w:b w:val="0"/>
          <w:bCs w:val="0"/>
          <w:color w:val="auto"/>
          <w:szCs w:val="21"/>
          <w:highlight w:val="none"/>
        </w:rPr>
      </w:pPr>
      <w:r>
        <w:rPr>
          <w:rFonts w:hint="default" w:ascii="Times New Roman Regular" w:hAnsi="Times New Roman Regular" w:cs="Times New Roman Regular"/>
          <w:b w:val="0"/>
          <w:bCs w:val="0"/>
          <w:color w:val="auto"/>
          <w:szCs w:val="21"/>
          <w:highlight w:val="none"/>
        </w:rPr>
        <w:t>One seemingly contradictory finding in our analysis is the moderately high genome-wide genetic correlation between HF and PAD (</w:t>
      </w:r>
      <w:r>
        <w:rPr>
          <w:rFonts w:hint="default" w:ascii="Times New Roman Italic" w:hAnsi="Times New Roman Italic" w:cs="Times New Roman Italic"/>
          <w:b w:val="0"/>
          <w:bCs w:val="0"/>
          <w:i/>
          <w:iCs/>
          <w:color w:val="auto"/>
          <w:szCs w:val="21"/>
          <w:highlight w:val="none"/>
        </w:rPr>
        <w:t>r</w:t>
      </w:r>
      <w:r>
        <w:rPr>
          <w:rFonts w:hint="default" w:ascii="Times New Roman Italic" w:hAnsi="Times New Roman Italic" w:cs="Times New Roman Italic"/>
          <w:b w:val="0"/>
          <w:bCs w:val="0"/>
          <w:i/>
          <w:iCs/>
          <w:color w:val="auto"/>
          <w:szCs w:val="21"/>
          <w:highlight w:val="none"/>
          <w:vertAlign w:val="subscript"/>
        </w:rPr>
        <w:t>g</w:t>
      </w:r>
      <w:r>
        <w:rPr>
          <w:rFonts w:hint="default" w:ascii="Times New Roman Regular" w:hAnsi="Times New Roman Regular" w:cs="Times New Roman Regular"/>
          <w:b w:val="0"/>
          <w:bCs w:val="0"/>
          <w:color w:val="auto"/>
          <w:szCs w:val="21"/>
          <w:highlight w:val="none"/>
        </w:rPr>
        <w:t xml:space="preserve"> = 0.636, based on LDSC), contrasted with a relatively low Dice coefficient (π12 = 0.280) estimated by MiXeR. This apparent discrepancy arises from the fundamental differences in what these two methods capture. LDSC quantifies the average correlation of effect sizes across the genome, reflecting polygenic sharing at a broad level. In contrast, MiXeR models the proportion of shared causal variants between traits. Notably, all likely causal variants for PAD are fully contained within those for HF (i.e., PAD ⊆ HF), and the proportion of concordant shared variants is estimated to be 1. However, the absolute number of PAD-associated causal variants is relatively low, which suppresses the Dice coefficient, as it is normalized by the average number of causal variants in both traits. Thus, full containment of PAD variants within HF can still result in a low Dice coefficient due to this asymmetry in genetic architecture complexity. Further complexity is revealed by our regional genetic correlation analysis, which identified a heterogeneous pattern: </w:t>
      </w:r>
      <w:r>
        <w:rPr>
          <w:rFonts w:hint="default" w:ascii="Times New Roman Regular" w:hAnsi="Times New Roman Regular" w:cs="Times New Roman Regular"/>
          <w:b w:val="0"/>
          <w:bCs w:val="0"/>
          <w:color w:val="auto"/>
          <w:szCs w:val="21"/>
          <w:highlight w:val="none"/>
          <w:lang w:val="en-US"/>
        </w:rPr>
        <w:t>ten</w:t>
      </w:r>
      <w:r>
        <w:rPr>
          <w:rFonts w:hint="default" w:ascii="Times New Roman Regular" w:hAnsi="Times New Roman Regular" w:cs="Times New Roman Regular"/>
          <w:b w:val="0"/>
          <w:bCs w:val="0"/>
          <w:color w:val="auto"/>
          <w:szCs w:val="21"/>
          <w:highlight w:val="none"/>
        </w:rPr>
        <w:t xml:space="preserve"> genomic regions with positive local </w:t>
      </w:r>
      <w:r>
        <w:rPr>
          <w:rFonts w:hint="default" w:ascii="Times New Roman Italic" w:hAnsi="Times New Roman Italic" w:cs="Times New Roman Italic"/>
          <w:b w:val="0"/>
          <w:bCs w:val="0"/>
          <w:i/>
          <w:iCs/>
          <w:color w:val="auto"/>
          <w:szCs w:val="21"/>
          <w:highlight w:val="none"/>
        </w:rPr>
        <w:t>r</w:t>
      </w:r>
      <w:r>
        <w:rPr>
          <w:rFonts w:hint="default" w:ascii="Times New Roman Italic" w:hAnsi="Times New Roman Italic" w:cs="Times New Roman Italic"/>
          <w:b w:val="0"/>
          <w:bCs w:val="0"/>
          <w:i/>
          <w:iCs/>
          <w:color w:val="auto"/>
          <w:szCs w:val="21"/>
          <w:highlight w:val="none"/>
          <w:vertAlign w:val="subscript"/>
        </w:rPr>
        <w:t>g</w:t>
      </w:r>
      <w:r>
        <w:rPr>
          <w:rFonts w:hint="default" w:ascii="Times New Roman Regular" w:hAnsi="Times New Roman Regular" w:cs="Times New Roman Regular"/>
          <w:b w:val="0"/>
          <w:bCs w:val="0"/>
          <w:i/>
          <w:iCs/>
          <w:color w:val="auto"/>
          <w:szCs w:val="21"/>
          <w:highlight w:val="none"/>
        </w:rPr>
        <w:t xml:space="preserve">s </w:t>
      </w:r>
      <w:r>
        <w:rPr>
          <w:rFonts w:hint="default" w:ascii="Times New Roman Regular" w:hAnsi="Times New Roman Regular" w:cs="Times New Roman Regular"/>
          <w:b w:val="0"/>
          <w:bCs w:val="0"/>
          <w:color w:val="auto"/>
          <w:szCs w:val="21"/>
          <w:highlight w:val="none"/>
        </w:rPr>
        <w:t xml:space="preserve">and </w:t>
      </w:r>
      <w:r>
        <w:rPr>
          <w:rFonts w:hint="default" w:ascii="Times New Roman Regular" w:hAnsi="Times New Roman Regular" w:cs="Times New Roman Regular"/>
          <w:b w:val="0"/>
          <w:bCs w:val="0"/>
          <w:color w:val="auto"/>
          <w:szCs w:val="21"/>
          <w:highlight w:val="none"/>
          <w:lang w:val="en-US"/>
        </w:rPr>
        <w:t>one</w:t>
      </w:r>
      <w:r>
        <w:rPr>
          <w:rFonts w:hint="default" w:ascii="Times New Roman Regular" w:hAnsi="Times New Roman Regular" w:cs="Times New Roman Regular"/>
          <w:b w:val="0"/>
          <w:bCs w:val="0"/>
          <w:color w:val="auto"/>
          <w:szCs w:val="21"/>
          <w:highlight w:val="none"/>
        </w:rPr>
        <w:t xml:space="preserve"> with negative local </w:t>
      </w:r>
      <w:r>
        <w:rPr>
          <w:rFonts w:hint="default" w:ascii="Times New Roman Italic" w:hAnsi="Times New Roman Italic" w:cs="Times New Roman Italic"/>
          <w:b w:val="0"/>
          <w:bCs w:val="0"/>
          <w:i/>
          <w:iCs/>
          <w:color w:val="auto"/>
          <w:szCs w:val="21"/>
          <w:highlight w:val="none"/>
        </w:rPr>
        <w:t>r</w:t>
      </w:r>
      <w:r>
        <w:rPr>
          <w:rFonts w:hint="default" w:ascii="Times New Roman Italic" w:hAnsi="Times New Roman Italic" w:cs="Times New Roman Italic"/>
          <w:b w:val="0"/>
          <w:bCs w:val="0"/>
          <w:i/>
          <w:iCs/>
          <w:color w:val="auto"/>
          <w:szCs w:val="21"/>
          <w:highlight w:val="none"/>
          <w:vertAlign w:val="subscript"/>
        </w:rPr>
        <w:t>g</w:t>
      </w:r>
      <w:r>
        <w:rPr>
          <w:rFonts w:hint="default" w:ascii="Times New Roman Regular" w:hAnsi="Times New Roman Regular" w:cs="Times New Roman Regular"/>
          <w:b w:val="0"/>
          <w:bCs w:val="0"/>
          <w:i/>
          <w:iCs/>
          <w:color w:val="auto"/>
          <w:szCs w:val="21"/>
          <w:highlight w:val="none"/>
        </w:rPr>
        <w:t>s</w:t>
      </w:r>
      <w:r>
        <w:rPr>
          <w:rFonts w:hint="default" w:ascii="Times New Roman Regular" w:hAnsi="Times New Roman Regular" w:cs="Times New Roman Regular"/>
          <w:b w:val="0"/>
          <w:bCs w:val="0"/>
          <w:color w:val="auto"/>
          <w:szCs w:val="21"/>
          <w:highlight w:val="none"/>
        </w:rPr>
        <w:t>. These divergent regional signals suggest that genetic sharing between HF and PAD is not uniform across the genome. Some loci may be predominantly driven by HF-specific variants with little or even opposing effects in PAD, reflecting local architectural heterogeneity that can obscure interpretation of genome-wide correlation metrics. Taken together, these findings support a more nuanced model in which PAD may represent a genetically narrower subset of HF, with more consistent directionality of genetic effects. This implies that while some pathogenic mechanisms are shared, PAD is likely characterized by a more restricted set of pathways or loci contributing to HF risk. Additionally, comorbid cases—where individuals present with both HF and PAD—may blur phenotypic distinctions and contribute to elevated estimates of genetic sharing in methods like LDSC. Overall, these complexities underscore the importance of using complementary analytic approaches when interpreting cross-trait genetic architecture.</w:t>
      </w:r>
    </w:p>
    <w:p w14:paraId="64478DC0">
      <w:pPr>
        <w:rPr>
          <w:rFonts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br w:type="page"/>
      </w:r>
    </w:p>
    <w:p w14:paraId="488784C5">
      <w:pPr>
        <w:spacing w:line="360" w:lineRule="auto"/>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rPr>
        <w:t xml:space="preserve">Supplementary Note </w:t>
      </w:r>
      <w:r>
        <w:rPr>
          <w:rFonts w:hint="default" w:ascii="Times New Roman Bold" w:hAnsi="Times New Roman Bold" w:cs="Times New Roman Bold"/>
          <w:b/>
          <w:bCs/>
          <w:color w:val="auto"/>
          <w:szCs w:val="21"/>
          <w:highlight w:val="none"/>
          <w:lang w:val="en-US"/>
        </w:rPr>
        <w:t>4</w:t>
      </w:r>
      <w:r>
        <w:rPr>
          <w:rFonts w:ascii="Times New Roman Bold" w:hAnsi="Times New Roman Bold" w:cs="Times New Roman Bold"/>
          <w:b/>
          <w:bCs/>
          <w:color w:val="auto"/>
          <w:szCs w:val="21"/>
          <w:highlight w:val="none"/>
        </w:rPr>
        <w:t xml:space="preserve">. Additional information on </w:t>
      </w:r>
      <w:r>
        <w:rPr>
          <w:rFonts w:ascii="Times New Roman Bold" w:hAnsi="Times New Roman Bold" w:cs="Times New Roman Bold"/>
          <w:b/>
          <w:bCs/>
          <w:color w:val="auto"/>
          <w:szCs w:val="21"/>
          <w:highlight w:val="none"/>
          <w:lang w:eastAsia="zh-Hans"/>
        </w:rPr>
        <w:t>MTAG-identified new loci</w:t>
      </w:r>
    </w:p>
    <w:p w14:paraId="54B1D7FE">
      <w:pPr>
        <w:spacing w:line="360" w:lineRule="auto"/>
        <w:jc w:val="left"/>
        <w:rPr>
          <w:rFonts w:ascii="Times New Roman" w:hAnsi="Times New Roman" w:cs="Times New Roman"/>
          <w:color w:val="auto"/>
          <w:szCs w:val="21"/>
          <w:highlight w:val="none"/>
          <w:lang w:eastAsia="zh-Hans"/>
        </w:rPr>
      </w:pPr>
      <w:r>
        <w:rPr>
          <w:rFonts w:ascii="Times New Roman" w:hAnsi="Times New Roman" w:cs="Times New Roman"/>
          <w:color w:val="auto"/>
          <w:szCs w:val="21"/>
          <w:highlight w:val="none"/>
          <w:lang w:eastAsia="zh-Hans"/>
        </w:rPr>
        <w:t xml:space="preserve">We performed multi-trait analyses of CVDs </w:t>
      </w:r>
      <w:r>
        <w:rPr>
          <w:rFonts w:hint="eastAsia" w:ascii="Times New Roman" w:hAnsi="Times New Roman" w:cs="Times New Roman"/>
          <w:color w:val="auto"/>
          <w:szCs w:val="21"/>
          <w:highlight w:val="none"/>
          <w:lang w:eastAsia="zh-Hans"/>
        </w:rPr>
        <w:t>using MTAG, which identified novel variants located in loci previously unassociated with any form of CVD.</w:t>
      </w:r>
    </w:p>
    <w:p w14:paraId="795EDAAF">
      <w:pPr>
        <w:spacing w:line="360" w:lineRule="auto"/>
        <w:jc w:val="left"/>
        <w:rPr>
          <w:rFonts w:ascii="Times New Roman" w:hAnsi="Times New Roman" w:cs="Times New Roman"/>
          <w:color w:val="auto"/>
          <w:szCs w:val="21"/>
          <w:highlight w:val="none"/>
          <w:lang w:eastAsia="zh-Hans"/>
        </w:rPr>
      </w:pPr>
    </w:p>
    <w:p w14:paraId="44983B33">
      <w:pPr>
        <w:spacing w:line="360" w:lineRule="auto"/>
        <w:jc w:val="left"/>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lang w:eastAsia="zh-Hans"/>
        </w:rPr>
        <w:t>Atrial fibrillation (MTAG_AF</w:t>
      </w:r>
      <w:r>
        <w:rPr>
          <w:rFonts w:hint="default" w:ascii="Times New Roman Bold" w:hAnsi="Times New Roman Bold" w:cs="Times New Roman Bold"/>
          <w:b/>
          <w:bCs/>
          <w:color w:val="auto"/>
          <w:szCs w:val="21"/>
          <w:highlight w:val="none"/>
          <w:lang w:eastAsia="zh-Hans"/>
        </w:rPr>
        <w:t>_EUR</w:t>
      </w:r>
      <w:r>
        <w:rPr>
          <w:rFonts w:ascii="Times New Roman Bold" w:hAnsi="Times New Roman Bold" w:cs="Times New Roman Bold"/>
          <w:b/>
          <w:bCs/>
          <w:color w:val="auto"/>
          <w:szCs w:val="21"/>
          <w:highlight w:val="none"/>
          <w:lang w:eastAsia="zh-Hans"/>
        </w:rPr>
        <w:t>)</w:t>
      </w:r>
    </w:p>
    <w:p w14:paraId="6BDFC5F5">
      <w:pPr>
        <w:spacing w:line="360" w:lineRule="auto"/>
        <w:jc w:val="left"/>
        <w:rPr>
          <w:rFonts w:hint="default" w:ascii="Times New Roman Regular" w:hAnsi="Times New Roman Regular" w:cs="Times New Roman Regular"/>
          <w:color w:val="auto"/>
          <w:szCs w:val="21"/>
          <w:highlight w:val="none"/>
          <w:lang w:val="en-US" w:eastAsia="zh-Hans"/>
        </w:rPr>
      </w:pPr>
      <w:r>
        <w:rPr>
          <w:rFonts w:hint="eastAsia" w:ascii="Times New Roman Regular" w:hAnsi="Times New Roman Regular" w:cs="Times New Roman Regular"/>
          <w:color w:val="auto"/>
          <w:szCs w:val="21"/>
          <w:highlight w:val="none"/>
          <w:lang w:eastAsia="zh-Hans"/>
        </w:rPr>
        <w:t>Using FUMA, we identified 191 LD-independent lead SNPs from the MTAG analysis of AF, mapping to 108 independent genomic risk loci (Fig. 3a). Among them, 7 SNPs did not overlap with loci identified in the GWAS of AF, while 3 overlapped with loci reported in other GWAS studies on AF, not limited to those included in this study</w:t>
      </w:r>
      <w:r>
        <w:rPr>
          <w:rFonts w:ascii="Times New Roman Regular" w:hAnsi="Times New Roman Regular" w:cs="Times New Roman Regular"/>
          <w:color w:val="auto"/>
          <w:highlight w:val="none"/>
        </w:rPr>
        <w:fldChar w:fldCharType="begin"/>
      </w:r>
      <w:r>
        <w:rPr>
          <w:rFonts w:hint="default" w:ascii="Times New Roman Regular" w:hAnsi="Times New Roman Regular" w:cs="Times New Roman Regular"/>
          <w:color w:val="auto"/>
          <w:highlight w:val="none"/>
          <w:lang w:eastAsia="zh-CN"/>
        </w:rPr>
        <w:instrText xml:space="preserve"> ADDIN NE.Ref.{A45FC3DD-3EF2-48E3-8470-5A6CE0A27545}</w:instrText>
      </w:r>
      <w:r>
        <w:rPr>
          <w:rFonts w:ascii="Times New Roman Regular" w:hAnsi="Times New Roman Regular" w:cs="Times New Roman Regular"/>
          <w:color w:val="auto"/>
          <w:highlight w:val="none"/>
        </w:rPr>
        <w:fldChar w:fldCharType="separate"/>
      </w:r>
      <w:r>
        <w:rPr>
          <w:rFonts w:hint="default" w:ascii="Times New Roman" w:hAnsi="Times New Roman" w:eastAsia="Times New Roman"/>
          <w:color w:val="auto"/>
          <w:sz w:val="21"/>
          <w:szCs w:val="24"/>
          <w:highlight w:val="none"/>
          <w:vertAlign w:val="superscript"/>
        </w:rPr>
        <w:t>8</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10</w:t>
      </w:r>
      <w:r>
        <w:rPr>
          <w:rFonts w:ascii="Times New Roman Regular" w:hAnsi="Times New Roman Regular" w:cs="Times New Roman Regular"/>
          <w:color w:val="auto"/>
          <w:highlight w:val="none"/>
        </w:rPr>
        <w:fldChar w:fldCharType="end"/>
      </w:r>
      <w:r>
        <w:rPr>
          <w:rFonts w:ascii="Times New Roman Regular" w:hAnsi="Times New Roman Regular" w:cs="Times New Roman Regular"/>
          <w:color w:val="auto"/>
          <w:szCs w:val="21"/>
          <w:highlight w:val="none"/>
          <w:lang w:eastAsia="zh-Hans"/>
        </w:rPr>
        <w:t>.</w:t>
      </w:r>
      <w:r>
        <w:rPr>
          <w:rFonts w:hint="default" w:ascii="Times New Roman Regular" w:hAnsi="Times New Roman Regular" w:cs="Times New Roman Regular"/>
          <w:color w:val="auto"/>
          <w:szCs w:val="21"/>
          <w:highlight w:val="none"/>
          <w:lang w:eastAsia="zh-Hans"/>
        </w:rPr>
        <w:t xml:space="preserve"> Four genomic risk loci (6q23.3, 9q21.3, 9q34.2, and 22q13.2) were considered novel, meaning there were no prior associations with AF.</w:t>
      </w:r>
      <w:r>
        <w:rPr>
          <w:rFonts w:ascii="Times New Roman Regular" w:hAnsi="Times New Roman Regular" w:cs="Times New Roman Regular"/>
          <w:color w:val="auto"/>
          <w:szCs w:val="21"/>
          <w:highlight w:val="none"/>
          <w:lang w:eastAsia="zh-Hans"/>
        </w:rPr>
        <w:t xml:space="preserve"> A newly identified association of an intronic variant, </w:t>
      </w:r>
      <w:r>
        <w:rPr>
          <w:rFonts w:hint="eastAsia" w:ascii="Times New Roman Regular" w:hAnsi="Times New Roman Regular" w:cs="Times New Roman Regular"/>
          <w:color w:val="auto"/>
          <w:szCs w:val="21"/>
          <w:highlight w:val="none"/>
          <w:lang w:eastAsia="zh-Hans"/>
        </w:rPr>
        <w:t>rs57130712</w:t>
      </w:r>
      <w:r>
        <w:rPr>
          <w:rFonts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color w:val="auto"/>
          <w:szCs w:val="21"/>
          <w:highlight w:val="none"/>
          <w:lang w:eastAsia="zh-Hans"/>
        </w:rPr>
        <w:t>was</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located</w:t>
      </w:r>
      <w:r>
        <w:rPr>
          <w:rFonts w:ascii="Times New Roman Regular" w:hAnsi="Times New Roman Regular" w:cs="Times New Roman Regular"/>
          <w:color w:val="auto"/>
          <w:szCs w:val="21"/>
          <w:highlight w:val="none"/>
          <w:lang w:eastAsia="zh-Hans"/>
        </w:rPr>
        <w:t xml:space="preserve"> in</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i/>
          <w:iCs/>
          <w:color w:val="auto"/>
          <w:szCs w:val="21"/>
          <w:highlight w:val="none"/>
          <w:lang w:eastAsia="zh-Hans"/>
        </w:rPr>
        <w:t>SMG6</w:t>
      </w:r>
      <w:r>
        <w:rPr>
          <w:rFonts w:hint="default" w:ascii="Times New Roman Regular" w:hAnsi="Times New Roman Regular" w:cs="Times New Roman Regular"/>
          <w:color w:val="auto"/>
          <w:szCs w:val="21"/>
          <w:highlight w:val="none"/>
          <w:lang w:eastAsia="zh-Hans"/>
        </w:rPr>
        <w:t xml:space="preserve"> gene (</w:t>
      </w:r>
      <w:r>
        <w:rPr>
          <w:rFonts w:hint="default" w:ascii="Times New Roman Regular" w:hAnsi="Times New Roman Regular" w:cs="Times New Roman Regular"/>
          <w:i w:val="0"/>
          <w:iCs w:val="0"/>
          <w:color w:val="auto"/>
          <w:szCs w:val="21"/>
          <w:highlight w:val="none"/>
          <w:lang w:eastAsia="zh-Hans"/>
        </w:rPr>
        <w:t>SMG6</w:t>
      </w:r>
      <w:r>
        <w:rPr>
          <w:rFonts w:hint="default" w:ascii="Times New Roman Regular" w:hAnsi="Times New Roman Regular" w:cs="Times New Roman Regular"/>
          <w:i w:val="0"/>
          <w:iCs w:val="0"/>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 xml:space="preserve">nonsense-mediated mRNA decay factor) </w:t>
      </w:r>
      <w:r>
        <w:rPr>
          <w:rFonts w:ascii="Times New Roman Regular" w:hAnsi="Times New Roman Regular" w:cs="Times New Roman Regular"/>
          <w:color w:val="auto"/>
          <w:szCs w:val="21"/>
          <w:highlight w:val="none"/>
          <w:lang w:eastAsia="zh-Hans"/>
        </w:rPr>
        <w:t xml:space="preserve">on </w:t>
      </w:r>
      <w:r>
        <w:rPr>
          <w:rFonts w:hint="eastAsia" w:ascii="Times New Roman Regular" w:hAnsi="Times New Roman Regular" w:cs="Times New Roman Regular"/>
          <w:color w:val="auto"/>
          <w:szCs w:val="21"/>
          <w:highlight w:val="none"/>
          <w:lang w:eastAsia="zh-Hans"/>
        </w:rPr>
        <w:t>17p13.3</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MTAG_AF</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strike w:val="0"/>
          <w:color w:val="auto"/>
          <w:szCs w:val="21"/>
          <w:highlight w:val="none"/>
          <w:lang w:eastAsia="zh-Hans"/>
        </w:rPr>
        <w:t> = </w:t>
      </w:r>
      <w:r>
        <w:rPr>
          <w:rFonts w:hint="eastAsia" w:ascii="Times New Roman Regular" w:hAnsi="Times New Roman Regular" w:cs="Times New Roman Regular"/>
          <w:color w:val="auto"/>
          <w:szCs w:val="21"/>
          <w:highlight w:val="none"/>
          <w:lang w:eastAsia="zh-Hans"/>
        </w:rPr>
        <w:t>1.53</w:t>
      </w:r>
      <w:r>
        <w:rPr>
          <w:rFonts w:hint="default" w:ascii="Times New Roman Regular" w:hAnsi="Times New Roman Regular" w:cs="Times New Roman Regular"/>
          <w:color w:val="auto"/>
          <w:szCs w:val="21"/>
          <w:highlight w:val="none"/>
          <w:lang w:eastAsia="zh-Hans"/>
        </w:rPr>
        <w:t xml:space="preserve"> × </w:t>
      </w:r>
      <w:r>
        <w:rPr>
          <w:rFonts w:hint="eastAsia" w:ascii="Times New Roman Regular" w:hAnsi="Times New Roman Regular" w:cs="Times New Roman Regular"/>
          <w:color w:val="auto"/>
          <w:szCs w:val="21"/>
          <w:highlight w:val="none"/>
          <w:lang w:eastAsia="zh-Hans"/>
        </w:rPr>
        <w:t>10</w:t>
      </w:r>
      <w:r>
        <w:rPr>
          <w:rFonts w:hint="eastAsia" w:ascii="Times New Roman Regular" w:hAnsi="Times New Roman Regular" w:cs="Times New Roman Regular"/>
          <w:color w:val="auto"/>
          <w:szCs w:val="21"/>
          <w:highlight w:val="none"/>
          <w:vertAlign w:val="superscript"/>
          <w:lang w:eastAsia="zh-Hans"/>
        </w:rPr>
        <w:t>-8</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GWAS_AF</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strike w:val="0"/>
          <w:color w:val="auto"/>
          <w:szCs w:val="21"/>
          <w:highlight w:val="none"/>
          <w:lang w:eastAsia="zh-Hans"/>
        </w:rPr>
        <w:t xml:space="preserve"> = </w:t>
      </w:r>
      <w:r>
        <w:rPr>
          <w:rFonts w:hint="eastAsia" w:ascii="Times New Roman Regular" w:hAnsi="Times New Roman Regular" w:cs="Times New Roman Regular"/>
          <w:strike w:val="0"/>
          <w:color w:val="auto"/>
          <w:szCs w:val="21"/>
          <w:highlight w:val="none"/>
          <w:vertAlign w:val="baseline"/>
          <w:lang w:eastAsia="zh-Hans"/>
        </w:rPr>
        <w:t>3.14</w:t>
      </w:r>
      <w:r>
        <w:rPr>
          <w:rFonts w:hint="default" w:ascii="Times New Roman Regular" w:hAnsi="Times New Roman Regular" w:cs="Times New Roman Regular"/>
          <w:color w:val="auto"/>
          <w:szCs w:val="21"/>
          <w:highlight w:val="none"/>
          <w:lang w:eastAsia="zh-Hans"/>
        </w:rPr>
        <w:t xml:space="preserve"> × </w:t>
      </w:r>
      <w:r>
        <w:rPr>
          <w:rFonts w:hint="eastAsia" w:ascii="Times New Roman Regular" w:hAnsi="Times New Roman Regular" w:cs="Times New Roman Regular"/>
          <w:strike w:val="0"/>
          <w:color w:val="auto"/>
          <w:szCs w:val="21"/>
          <w:highlight w:val="none"/>
          <w:vertAlign w:val="baseline"/>
          <w:lang w:eastAsia="zh-Hans"/>
        </w:rPr>
        <w:t>10</w:t>
      </w:r>
      <w:r>
        <w:rPr>
          <w:rFonts w:hint="eastAsia" w:ascii="Times New Roman Regular" w:hAnsi="Times New Roman Regular" w:cs="Times New Roman Regular"/>
          <w:strike w:val="0"/>
          <w:color w:val="auto"/>
          <w:szCs w:val="21"/>
          <w:highlight w:val="none"/>
          <w:vertAlign w:val="superscript"/>
          <w:lang w:eastAsia="zh-Hans"/>
        </w:rPr>
        <w:t>-7</w:t>
      </w:r>
      <w:r>
        <w:rPr>
          <w:rFonts w:ascii="Times New Roman Regular" w:hAnsi="Times New Roman Regular" w:cs="Times New Roman Regular"/>
          <w:color w:val="auto"/>
          <w:szCs w:val="21"/>
          <w:highlight w:val="none"/>
          <w:lang w:eastAsia="zh-Hans"/>
        </w:rPr>
        <w:t>), which was also identified by CPASSOC results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CPASSOC</w:t>
      </w:r>
      <w:r>
        <w:rPr>
          <w:rFonts w:ascii="Times New Roman Regular" w:hAnsi="Times New Roman Regular" w:cs="Times New Roman Regular"/>
          <w:strike w:val="0"/>
          <w:color w:val="auto"/>
          <w:szCs w:val="21"/>
          <w:highlight w:val="none"/>
          <w:lang w:eastAsia="zh-Hans"/>
        </w:rPr>
        <w:t xml:space="preserve"> = </w:t>
      </w:r>
      <w:r>
        <w:rPr>
          <w:rFonts w:hint="eastAsia" w:ascii="Times New Roman Regular" w:hAnsi="Times New Roman Regular" w:cs="Times New Roman Regular"/>
          <w:color w:val="auto"/>
          <w:szCs w:val="21"/>
          <w:highlight w:val="none"/>
          <w:lang w:eastAsia="zh-Hans"/>
        </w:rPr>
        <w:t>2.16</w:t>
      </w:r>
      <w:r>
        <w:rPr>
          <w:rFonts w:hint="default" w:ascii="Times New Roman Regular" w:hAnsi="Times New Roman Regular" w:cs="Times New Roman Regular"/>
          <w:color w:val="auto"/>
          <w:szCs w:val="21"/>
          <w:highlight w:val="none"/>
          <w:lang w:eastAsia="zh-Hans"/>
        </w:rPr>
        <w:t xml:space="preserve"> × </w:t>
      </w:r>
      <w:r>
        <w:rPr>
          <w:rFonts w:hint="eastAsia" w:ascii="Times New Roman Regular" w:hAnsi="Times New Roman Regular" w:cs="Times New Roman Regular"/>
          <w:color w:val="auto"/>
          <w:szCs w:val="21"/>
          <w:highlight w:val="none"/>
          <w:lang w:eastAsia="zh-Hans"/>
        </w:rPr>
        <w:t>10</w:t>
      </w:r>
      <w:r>
        <w:rPr>
          <w:rFonts w:hint="eastAsia" w:ascii="Times New Roman Regular" w:hAnsi="Times New Roman Regular" w:cs="Times New Roman Regular"/>
          <w:color w:val="auto"/>
          <w:szCs w:val="21"/>
          <w:highlight w:val="none"/>
          <w:vertAlign w:val="superscript"/>
          <w:lang w:eastAsia="zh-Hans"/>
        </w:rPr>
        <w:t>-19</w:t>
      </w:r>
      <w:r>
        <w:rPr>
          <w:rFonts w:ascii="Times New Roman Regular" w:hAnsi="Times New Roman Regular" w:cs="Times New Roman Regular"/>
          <w:color w:val="auto"/>
          <w:szCs w:val="21"/>
          <w:highlight w:val="none"/>
          <w:lang w:eastAsia="zh-Hans"/>
        </w:rPr>
        <w:t>,</w:t>
      </w:r>
      <w:r>
        <w:rPr>
          <w:rFonts w:ascii="Times New Roman Regular" w:hAnsi="Times New Roman Regular" w:cs="Times New Roman Regular"/>
          <w:color w:val="auto"/>
          <w:szCs w:val="21"/>
          <w:highlight w:val="none"/>
          <w:vertAlign w:val="superscript"/>
          <w:lang w:eastAsia="zh-Hans"/>
        </w:rPr>
        <w:t xml:space="preserve"> </w:t>
      </w:r>
      <w:r>
        <w:rPr>
          <w:rFonts w:ascii="Times New Roman Regular" w:hAnsi="Times New Roman Regular" w:cs="Times New Roman Regular"/>
          <w:color w:val="auto"/>
          <w:szCs w:val="21"/>
          <w:highlight w:val="none"/>
          <w:lang w:eastAsia="zh-Hans"/>
        </w:rPr>
        <w:t xml:space="preserve">Supplementary Fig. 7 and 8,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11</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val="en-US" w:eastAsia="zh-Hans"/>
        </w:rPr>
        <w:t xml:space="preserve">and </w:t>
      </w:r>
      <w:r>
        <w:rPr>
          <w:rFonts w:ascii="Times New Roman Regular" w:hAnsi="Times New Roman Regular" w:cs="Times New Roman Regular"/>
          <w:color w:val="auto"/>
          <w:szCs w:val="21"/>
          <w:highlight w:val="none"/>
          <w:lang w:eastAsia="zh-Hans"/>
        </w:rPr>
        <w:t xml:space="preserve">14). </w:t>
      </w:r>
      <w:r>
        <w:rPr>
          <w:rFonts w:hint="eastAsia" w:ascii="Times New Roman Regular" w:hAnsi="Times New Roman Regular" w:cs="Times New Roman Regular"/>
          <w:color w:val="auto"/>
          <w:szCs w:val="21"/>
          <w:highlight w:val="none"/>
          <w:lang w:eastAsia="zh-Hans"/>
        </w:rPr>
        <w:t>Among all the top SNPs, only one (0.93%) was located in exonic regions, while 66 (61.11%) were intronic, and 25 (23.15%) were intergenic.</w:t>
      </w:r>
      <w:r>
        <w:rPr>
          <w:rFonts w:hint="default" w:ascii="Times New Roman Regular" w:hAnsi="Times New Roman Regular" w:cs="Times New Roman Regular"/>
          <w:color w:val="auto"/>
          <w:szCs w:val="21"/>
          <w:highlight w:val="none"/>
          <w:lang w:val="en-US" w:eastAsia="zh-Hans"/>
        </w:rPr>
        <w:t xml:space="preserve"> Notably, 96 (88.89%) of these SNPs were annotated as potentially having regulatory functions.</w:t>
      </w:r>
    </w:p>
    <w:p w14:paraId="3CB59EDE">
      <w:pPr>
        <w:spacing w:line="360" w:lineRule="auto"/>
        <w:jc w:val="left"/>
        <w:rPr>
          <w:rFonts w:hint="eastAsia" w:ascii="Times New Roman Regular" w:hAnsi="Times New Roman Regular" w:cs="Times New Roman Regular"/>
          <w:color w:val="auto"/>
          <w:szCs w:val="21"/>
          <w:highlight w:val="none"/>
          <w:lang w:eastAsia="zh-Hans"/>
        </w:rPr>
      </w:pPr>
    </w:p>
    <w:p w14:paraId="3EA4606F">
      <w:pPr>
        <w:spacing w:line="360" w:lineRule="auto"/>
        <w:jc w:val="left"/>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lang w:eastAsia="zh-Hans"/>
        </w:rPr>
        <w:t>Coronary artery disease (MTAG_CAD</w:t>
      </w:r>
      <w:r>
        <w:rPr>
          <w:rFonts w:hint="default" w:ascii="Times New Roman Bold" w:hAnsi="Times New Roman Bold" w:cs="Times New Roman Bold"/>
          <w:b/>
          <w:bCs/>
          <w:color w:val="auto"/>
          <w:szCs w:val="21"/>
          <w:highlight w:val="none"/>
          <w:lang w:eastAsia="zh-Hans"/>
        </w:rPr>
        <w:t>_EUR</w:t>
      </w:r>
      <w:r>
        <w:rPr>
          <w:rFonts w:ascii="Times New Roman Bold" w:hAnsi="Times New Roman Bold" w:cs="Times New Roman Bold"/>
          <w:b/>
          <w:bCs/>
          <w:color w:val="auto"/>
          <w:szCs w:val="21"/>
          <w:highlight w:val="none"/>
          <w:lang w:eastAsia="zh-Hans"/>
        </w:rPr>
        <w:t>)</w:t>
      </w:r>
    </w:p>
    <w:p w14:paraId="5AD01144">
      <w:pPr>
        <w:spacing w:line="360" w:lineRule="auto"/>
        <w:jc w:val="left"/>
        <w:rPr>
          <w:rFonts w:ascii="Times New Roman Regular" w:hAnsi="Times New Roman Regular" w:cs="Times New Roman Regular"/>
          <w:color w:val="auto"/>
          <w:szCs w:val="21"/>
          <w:highlight w:val="none"/>
          <w:lang w:eastAsia="zh-Hans"/>
        </w:rPr>
      </w:pPr>
      <w:r>
        <w:rPr>
          <w:rFonts w:hint="eastAsia" w:ascii="Times New Roman Regular" w:hAnsi="Times New Roman Regular" w:cs="Times New Roman Regular"/>
          <w:color w:val="auto"/>
          <w:szCs w:val="21"/>
          <w:highlight w:val="none"/>
          <w:lang w:eastAsia="zh-Hans"/>
        </w:rPr>
        <w:t xml:space="preserve">Using FUMA, our MTAG analysis </w:t>
      </w:r>
      <w:r>
        <w:rPr>
          <w:rFonts w:hint="default" w:ascii="Times New Roman Regular" w:hAnsi="Times New Roman Regular" w:cs="Times New Roman Regular"/>
          <w:color w:val="auto"/>
          <w:szCs w:val="21"/>
          <w:highlight w:val="none"/>
          <w:lang w:val="en-US" w:eastAsia="zh-Hans"/>
        </w:rPr>
        <w:t>of</w:t>
      </w:r>
      <w:r>
        <w:rPr>
          <w:rFonts w:hint="eastAsia" w:ascii="Times New Roman Regular" w:hAnsi="Times New Roman Regular" w:cs="Times New Roman Regular"/>
          <w:color w:val="auto"/>
          <w:szCs w:val="21"/>
          <w:highlight w:val="none"/>
          <w:lang w:eastAsia="zh-Hans"/>
        </w:rPr>
        <w:t xml:space="preserve"> CAD identified 295 LD-independent lead SNPs that mapped to 171 independent genomic risk loci (Fig. 3b).</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 xml:space="preserve">Seven SNPs did not overlap with loci identified in the GWAS of CAD, while </w:t>
      </w:r>
      <w:r>
        <w:rPr>
          <w:rFonts w:hint="default" w:ascii="Times New Roman Regular" w:hAnsi="Times New Roman Regular" w:cs="Times New Roman Regular"/>
          <w:color w:val="auto"/>
          <w:szCs w:val="21"/>
          <w:highlight w:val="none"/>
          <w:lang w:val="en-US" w:eastAsia="zh-Hans"/>
        </w:rPr>
        <w:t>four</w:t>
      </w:r>
      <w:r>
        <w:rPr>
          <w:rFonts w:hint="eastAsia" w:ascii="Times New Roman Regular" w:hAnsi="Times New Roman Regular" w:cs="Times New Roman Regular"/>
          <w:color w:val="auto"/>
          <w:szCs w:val="21"/>
          <w:highlight w:val="none"/>
          <w:lang w:eastAsia="zh-Hans"/>
        </w:rPr>
        <w:t xml:space="preserve"> overlapped with loci reported in other GWAS of CAD</w:t>
      </w:r>
      <w:r>
        <w:rPr>
          <w:rFonts w:hint="eastAsia" w:ascii="Times New Roman Regular" w:hAnsi="Times New Roman Regular" w:cs="Times New Roman Regular"/>
          <w:color w:val="auto"/>
          <w:szCs w:val="21"/>
          <w:highlight w:val="none"/>
          <w:lang w:eastAsia="zh-Hans"/>
        </w:rPr>
        <w:fldChar w:fldCharType="begin"/>
      </w:r>
      <w:r>
        <w:rPr>
          <w:rFonts w:hint="eastAsia" w:ascii="Times New Roman Regular" w:hAnsi="Times New Roman Regular" w:cs="Times New Roman Regular"/>
          <w:color w:val="auto"/>
          <w:szCs w:val="21"/>
          <w:highlight w:val="none"/>
          <w:lang w:eastAsia="zh-CN"/>
        </w:rPr>
        <w:instrText xml:space="preserve"> ADDIN NE.Ref.{84A2B5A2-3658-40F9-9BE6-8F0F540959A1}</w:instrText>
      </w:r>
      <w:r>
        <w:rPr>
          <w:rFonts w:hint="eastAsia" w:ascii="Times New Roman Regular" w:hAnsi="Times New Roman Regular" w:cs="Times New Roman Regular"/>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11</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15</w:t>
      </w:r>
      <w:r>
        <w:rPr>
          <w:rFonts w:hint="eastAsia" w:ascii="Times New Roman Regular" w:hAnsi="Times New Roman Regular" w:cs="Times New Roman Regular"/>
          <w:color w:val="auto"/>
          <w:szCs w:val="21"/>
          <w:highlight w:val="none"/>
          <w:lang w:eastAsia="zh-Hans"/>
        </w:rPr>
        <w:fldChar w:fldCharType="end"/>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We identified three novel genomic risk loci (4q23, 11p11.2, and 19p13.11) that have not been previously associated with CAD.</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 xml:space="preserve">Among them, </w:t>
      </w:r>
      <w:r>
        <w:rPr>
          <w:rFonts w:ascii="Times New Roman Regular" w:hAnsi="Times New Roman Regular" w:cs="Times New Roman Regular"/>
          <w:color w:val="auto"/>
          <w:szCs w:val="21"/>
          <w:highlight w:val="none"/>
          <w:lang w:eastAsia="zh-Hans"/>
        </w:rPr>
        <w:t xml:space="preserve">rs2625388 (located on 11p11.2,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MTAG_CAD</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 1.29 × 10</w:t>
      </w:r>
      <w:r>
        <w:rPr>
          <w:rFonts w:ascii="Times New Roman Regular" w:hAnsi="Times New Roman Regular" w:cs="Times New Roman Regular"/>
          <w:color w:val="auto"/>
          <w:szCs w:val="21"/>
          <w:highlight w:val="none"/>
          <w:vertAlign w:val="superscript"/>
          <w:lang w:eastAsia="zh-Hans"/>
        </w:rPr>
        <w:t>-8</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GWAS_CAD</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xml:space="preserve"> = 2.08 × 10</w:t>
      </w:r>
      <w:r>
        <w:rPr>
          <w:rFonts w:ascii="Times New Roman Regular" w:hAnsi="Times New Roman Regular" w:cs="Times New Roman Regular"/>
          <w:color w:val="auto"/>
          <w:szCs w:val="21"/>
          <w:highlight w:val="none"/>
          <w:vertAlign w:val="superscript"/>
          <w:lang w:eastAsia="zh-Hans"/>
        </w:rPr>
        <w:t>-6</w:t>
      </w:r>
      <w:r>
        <w:rPr>
          <w:rFonts w:ascii="Times New Roman Regular" w:hAnsi="Times New Roman Regular" w:cs="Times New Roman Regular"/>
          <w:color w:val="auto"/>
          <w:szCs w:val="21"/>
          <w:highlight w:val="none"/>
          <w:lang w:eastAsia="zh-Hans"/>
        </w:rPr>
        <w:t>)</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 xml:space="preserve">is an intergenic variant mapped to the nearest </w:t>
      </w:r>
      <w:r>
        <w:rPr>
          <w:rFonts w:ascii="Times New Roman Regular" w:hAnsi="Times New Roman Regular" w:cs="Times New Roman Regular" w:eastAsiaTheme="minorEastAsia"/>
          <w:i/>
          <w:iCs/>
          <w:color w:val="auto"/>
          <w:kern w:val="2"/>
          <w:sz w:val="21"/>
          <w:szCs w:val="21"/>
          <w:highlight w:val="none"/>
          <w:lang w:eastAsia="zh-Hans" w:bidi="ar"/>
        </w:rPr>
        <w:t>HSD17B12</w:t>
      </w:r>
      <w:r>
        <w:rPr>
          <w:rFonts w:hint="eastAsia" w:ascii="Times New Roman Regular" w:hAnsi="Times New Roman Regular" w:cs="Times New Roman Regular"/>
          <w:i/>
          <w:iCs/>
          <w:color w:val="auto"/>
          <w:kern w:val="2"/>
          <w:sz w:val="21"/>
          <w:szCs w:val="21"/>
          <w:highlight w:val="none"/>
          <w:lang w:val="en-US" w:eastAsia="zh-CN" w:bidi="ar"/>
        </w:rPr>
        <w:t xml:space="preserve"> </w:t>
      </w:r>
      <w:r>
        <w:rPr>
          <w:rFonts w:hint="eastAsia" w:ascii="Times New Roman Regular" w:hAnsi="Times New Roman Regular" w:cs="Times New Roman Regular"/>
          <w:color w:val="auto"/>
          <w:szCs w:val="21"/>
          <w:highlight w:val="none"/>
          <w:lang w:eastAsia="zh-Hans"/>
        </w:rPr>
        <w:t>gene</w:t>
      </w:r>
      <w:r>
        <w:rPr>
          <w:rFonts w:hint="eastAsia"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color w:val="auto"/>
          <w:szCs w:val="21"/>
          <w:highlight w:val="none"/>
          <w:lang w:val="en-US" w:eastAsia="zh-CN"/>
        </w:rPr>
        <w:t>(</w:t>
      </w:r>
      <w:r>
        <w:rPr>
          <w:rFonts w:hint="eastAsia" w:ascii="Times New Roman Regular" w:hAnsi="Times New Roman Regular" w:cs="Times New Roman Regular"/>
          <w:color w:val="auto"/>
          <w:szCs w:val="21"/>
          <w:highlight w:val="none"/>
          <w:lang w:eastAsia="zh-Hans"/>
        </w:rPr>
        <w:t>hydroxysteroid 17-beta dehydrogenase 12</w:t>
      </w:r>
      <w:r>
        <w:rPr>
          <w:rFonts w:hint="default" w:ascii="Times New Roman Regular" w:hAnsi="Times New Roman Regular" w:cs="Times New Roman Regular"/>
          <w:i w:val="0"/>
          <w:iCs w:val="0"/>
          <w:color w:val="auto"/>
          <w:kern w:val="2"/>
          <w:sz w:val="21"/>
          <w:szCs w:val="21"/>
          <w:highlight w:val="none"/>
          <w:lang w:eastAsia="zh-Hans" w:bidi="ar"/>
        </w:rPr>
        <w:t>)</w:t>
      </w:r>
      <w:r>
        <w:rPr>
          <w:rFonts w:hint="default" w:ascii="Times New Roman Regular" w:hAnsi="Times New Roman Regular" w:cs="Times New Roman Regular"/>
          <w:i w:val="0"/>
          <w:iCs w:val="0"/>
          <w:color w:val="auto"/>
          <w:kern w:val="2"/>
          <w:sz w:val="21"/>
          <w:szCs w:val="21"/>
          <w:highlight w:val="none"/>
          <w:lang w:val="en-US" w:eastAsia="zh-Hans" w:bidi="ar"/>
        </w:rPr>
        <w:t>.</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This variant also acted</w:t>
      </w:r>
      <w:r>
        <w:rPr>
          <w:rFonts w:hint="default" w:ascii="Times New Roman Regular" w:hAnsi="Times New Roman Regular" w:cs="Times New Roman Regular"/>
          <w:color w:val="auto"/>
          <w:szCs w:val="21"/>
          <w:highlight w:val="none"/>
          <w:lang w:val="en-US" w:eastAsia="zh-Hans"/>
        </w:rPr>
        <w:t xml:space="preserve"> as</w:t>
      </w:r>
      <w:r>
        <w:rPr>
          <w:rFonts w:ascii="Times New Roman Regular" w:hAnsi="Times New Roman Regular" w:cs="Times New Roman Regular"/>
          <w:color w:val="auto"/>
          <w:szCs w:val="21"/>
          <w:highlight w:val="none"/>
          <w:lang w:eastAsia="zh-Hans"/>
        </w:rPr>
        <w:t xml:space="preserve"> an eQTL associated with the 10 CVD-related tissues </w:t>
      </w:r>
      <w:r>
        <w:rPr>
          <w:rFonts w:hint="eastAsia" w:ascii="Times New Roman Regular" w:hAnsi="Times New Roman Regular" w:cs="Times New Roman Regular"/>
          <w:color w:val="auto"/>
          <w:szCs w:val="21"/>
          <w:highlight w:val="none"/>
          <w:lang w:eastAsia="zh-Hans"/>
        </w:rPr>
        <w:t>influencing</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HSD17B12</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expression</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with FDR values ranging from</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4.93</w:t>
      </w:r>
      <w:r>
        <w:rPr>
          <w:rFonts w:ascii="Times New Roman Regular" w:hAnsi="Times New Roman Regular" w:cs="Times New Roman Regular"/>
          <w:color w:val="auto"/>
          <w:szCs w:val="21"/>
          <w:highlight w:val="none"/>
          <w:lang w:eastAsia="zh-Hans"/>
        </w:rPr>
        <w:t xml:space="preserve"> × 10</w:t>
      </w:r>
      <w:r>
        <w:rPr>
          <w:rFonts w:ascii="Times New Roman Regular" w:hAnsi="Times New Roman Regular" w:cs="Times New Roman Regular"/>
          <w:color w:val="auto"/>
          <w:szCs w:val="21"/>
          <w:highlight w:val="none"/>
          <w:vertAlign w:val="superscript"/>
          <w:lang w:eastAsia="zh-Hans"/>
        </w:rPr>
        <w:t>-</w:t>
      </w:r>
      <w:r>
        <w:rPr>
          <w:rFonts w:hint="default" w:ascii="Times New Roman Regular" w:hAnsi="Times New Roman Regular" w:cs="Times New Roman Regular"/>
          <w:color w:val="auto"/>
          <w:szCs w:val="21"/>
          <w:highlight w:val="none"/>
          <w:vertAlign w:val="superscript"/>
          <w:lang w:eastAsia="zh-Hans"/>
        </w:rPr>
        <w:t>6</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 xml:space="preserve">in </w:t>
      </w:r>
      <w:r>
        <w:rPr>
          <w:rFonts w:hint="default" w:ascii="Times New Roman Regular" w:hAnsi="Times New Roman Regular" w:cs="Times New Roman Regular"/>
          <w:strike w:val="0"/>
          <w:color w:val="auto"/>
          <w:szCs w:val="21"/>
          <w:highlight w:val="none"/>
          <w:lang w:val="en-US" w:eastAsia="zh-Hans"/>
        </w:rPr>
        <w:t xml:space="preserve">Cells </w:t>
      </w:r>
      <w:r>
        <w:rPr>
          <w:rFonts w:hint="eastAsia" w:ascii="Times New Roman Regular" w:hAnsi="Times New Roman Regular" w:cs="Times New Roman Regular"/>
          <w:color w:val="auto"/>
          <w:szCs w:val="21"/>
          <w:highlight w:val="none"/>
          <w:lang w:eastAsia="zh-Hans"/>
        </w:rPr>
        <w:t xml:space="preserve">EBV-transformed </w:t>
      </w:r>
      <w:r>
        <w:rPr>
          <w:rFonts w:hint="default" w:ascii="Times New Roman Regular" w:hAnsi="Times New Roman Regular" w:cs="Times New Roman Regular"/>
          <w:color w:val="auto"/>
          <w:szCs w:val="21"/>
          <w:highlight w:val="none"/>
          <w:lang w:val="en-US" w:eastAsia="zh-Hans"/>
        </w:rPr>
        <w:t>l</w:t>
      </w:r>
      <w:r>
        <w:rPr>
          <w:rFonts w:hint="eastAsia" w:ascii="Times New Roman Regular" w:hAnsi="Times New Roman Regular" w:cs="Times New Roman Regular"/>
          <w:color w:val="auto"/>
          <w:szCs w:val="21"/>
          <w:highlight w:val="none"/>
          <w:lang w:eastAsia="zh-Hans"/>
        </w:rPr>
        <w:t>ymphocytes to</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1.94</w:t>
      </w:r>
      <w:r>
        <w:rPr>
          <w:rFonts w:ascii="Times New Roman Regular" w:hAnsi="Times New Roman Regular" w:cs="Times New Roman Regular"/>
          <w:color w:val="auto"/>
          <w:szCs w:val="21"/>
          <w:highlight w:val="none"/>
          <w:lang w:eastAsia="zh-Hans"/>
        </w:rPr>
        <w:t xml:space="preserve"> × 10</w:t>
      </w:r>
      <w:r>
        <w:rPr>
          <w:rFonts w:ascii="Times New Roman Regular" w:hAnsi="Times New Roman Regular" w:cs="Times New Roman Regular"/>
          <w:color w:val="auto"/>
          <w:szCs w:val="21"/>
          <w:highlight w:val="none"/>
          <w:vertAlign w:val="superscript"/>
          <w:lang w:eastAsia="zh-Hans"/>
        </w:rPr>
        <w:t>-</w:t>
      </w:r>
      <w:r>
        <w:rPr>
          <w:rFonts w:hint="default" w:ascii="Times New Roman Regular" w:hAnsi="Times New Roman Regular" w:cs="Times New Roman Regular"/>
          <w:color w:val="auto"/>
          <w:szCs w:val="21"/>
          <w:highlight w:val="none"/>
          <w:vertAlign w:val="superscript"/>
          <w:lang w:eastAsia="zh-Hans"/>
        </w:rPr>
        <w:t>118</w:t>
      </w:r>
      <w:r>
        <w:rPr>
          <w:rFonts w:hint="default" w:ascii="Times New Roman Regular" w:hAnsi="Times New Roman Regular" w:cs="Times New Roman Regular"/>
          <w:color w:val="auto"/>
          <w:szCs w:val="21"/>
          <w:highlight w:val="none"/>
          <w:vertAlign w:val="superscript"/>
          <w:lang w:val="en-US" w:eastAsia="zh-Hans"/>
        </w:rPr>
        <w:t xml:space="preserve"> </w:t>
      </w:r>
      <w:r>
        <w:rPr>
          <w:rFonts w:hint="eastAsia" w:ascii="Times New Roman Regular" w:hAnsi="Times New Roman Regular" w:cs="Times New Roman Regular"/>
          <w:color w:val="auto"/>
          <w:szCs w:val="21"/>
          <w:highlight w:val="none"/>
          <w:lang w:eastAsia="zh-Hans"/>
        </w:rPr>
        <w:t xml:space="preserve">in </w:t>
      </w:r>
      <w:r>
        <w:rPr>
          <w:rFonts w:hint="default" w:ascii="Times New Roman Regular" w:hAnsi="Times New Roman Regular" w:cs="Times New Roman Regular"/>
          <w:color w:val="auto"/>
          <w:szCs w:val="21"/>
          <w:highlight w:val="none"/>
          <w:lang w:val="en-US" w:eastAsia="zh-Hans"/>
        </w:rPr>
        <w:t>T</w:t>
      </w:r>
      <w:r>
        <w:rPr>
          <w:rFonts w:hint="eastAsia" w:ascii="Times New Roman Regular" w:hAnsi="Times New Roman Regular" w:cs="Times New Roman Regular"/>
          <w:color w:val="auto"/>
          <w:szCs w:val="21"/>
          <w:highlight w:val="none"/>
          <w:lang w:eastAsia="zh-Hans"/>
        </w:rPr>
        <w:t>ibial</w:t>
      </w:r>
      <w:r>
        <w:rPr>
          <w:rFonts w:hint="default" w:ascii="Times New Roman Regular" w:hAnsi="Times New Roman Regular" w:cs="Times New Roman Regular"/>
          <w:color w:val="auto"/>
          <w:szCs w:val="21"/>
          <w:highlight w:val="none"/>
          <w:lang w:val="en-US" w:eastAsia="zh-Hans"/>
        </w:rPr>
        <w:t xml:space="preserve"> A</w:t>
      </w:r>
      <w:r>
        <w:rPr>
          <w:rFonts w:hint="eastAsia" w:ascii="Times New Roman Regular" w:hAnsi="Times New Roman Regular" w:cs="Times New Roman Regular"/>
          <w:color w:val="auto"/>
          <w:szCs w:val="21"/>
          <w:highlight w:val="none"/>
          <w:lang w:eastAsia="zh-Hans"/>
        </w:rPr>
        <w:t>rtery tissue</w:t>
      </w:r>
      <w:r>
        <w:rPr>
          <w:rFonts w:hint="default" w:ascii="Times New Roman Regular" w:hAnsi="Times New Roman Regular" w:cs="Times New Roman Regular"/>
          <w:color w:val="auto"/>
          <w:szCs w:val="21"/>
          <w:highlight w:val="none"/>
          <w:lang w:val="en-US" w:eastAsia="zh-Hans"/>
        </w:rPr>
        <w:t xml:space="preserve">, </w:t>
      </w:r>
      <w:r>
        <w:rPr>
          <w:rFonts w:ascii="Times New Roman Regular" w:hAnsi="Times New Roman Regular" w:cs="Times New Roman Regular"/>
          <w:color w:val="auto"/>
          <w:szCs w:val="21"/>
          <w:highlight w:val="none"/>
          <w:lang w:eastAsia="zh-Hans"/>
        </w:rPr>
        <w:t xml:space="preserve">which was also identified by CPASSOC </w:t>
      </w:r>
      <w:r>
        <w:rPr>
          <w:rFonts w:hint="eastAsia" w:ascii="Times New Roman Regular" w:hAnsi="Times New Roman Regular" w:cs="Times New Roman Regular"/>
          <w:color w:val="auto"/>
          <w:szCs w:val="21"/>
          <w:highlight w:val="none"/>
          <w:lang w:eastAsia="zh-Hans"/>
        </w:rPr>
        <w:t>analysis</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CPASSOC</w:t>
      </w:r>
      <w:r>
        <w:rPr>
          <w:rFonts w:ascii="Times New Roman Regular" w:hAnsi="Times New Roman Regular" w:cs="Times New Roman Regular"/>
          <w:color w:val="auto"/>
          <w:szCs w:val="21"/>
          <w:highlight w:val="none"/>
          <w:lang w:eastAsia="zh-Hans"/>
        </w:rPr>
        <w:t xml:space="preserve"> = 1.06 × 10</w:t>
      </w:r>
      <w:r>
        <w:rPr>
          <w:rFonts w:ascii="Times New Roman Regular" w:hAnsi="Times New Roman Regular" w:cs="Times New Roman Regular"/>
          <w:color w:val="auto"/>
          <w:szCs w:val="21"/>
          <w:highlight w:val="none"/>
          <w:vertAlign w:val="superscript"/>
          <w:lang w:eastAsia="zh-Hans"/>
        </w:rPr>
        <w:t>-9</w:t>
      </w:r>
      <w:r>
        <w:rPr>
          <w:rFonts w:ascii="Times New Roman Regular" w:hAnsi="Times New Roman Regular" w:cs="Times New Roman Regular"/>
          <w:color w:val="auto"/>
          <w:szCs w:val="21"/>
          <w:highlight w:val="none"/>
          <w:lang w:eastAsia="zh-Hans"/>
        </w:rPr>
        <w:t>,</w:t>
      </w:r>
      <w:r>
        <w:rPr>
          <w:rFonts w:ascii="Times New Roman Regular" w:hAnsi="Times New Roman Regular" w:cs="Times New Roman Regular"/>
          <w:color w:val="auto"/>
          <w:szCs w:val="21"/>
          <w:highlight w:val="none"/>
          <w:vertAlign w:val="superscript"/>
          <w:lang w:eastAsia="zh-Hans"/>
        </w:rPr>
        <w:t xml:space="preserve"> </w:t>
      </w:r>
      <w:r>
        <w:rPr>
          <w:rFonts w:ascii="Times New Roman Regular" w:hAnsi="Times New Roman Regular" w:cs="Times New Roman Regular"/>
          <w:color w:val="auto"/>
          <w:szCs w:val="21"/>
          <w:highlight w:val="none"/>
          <w:lang w:eastAsia="zh-Hans"/>
        </w:rPr>
        <w:t xml:space="preserve">Supplementary Fig. 7 and 8,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11</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val="en-US" w:eastAsia="zh-Hans"/>
        </w:rPr>
        <w:t xml:space="preserve">and </w:t>
      </w:r>
      <w:r>
        <w:rPr>
          <w:rFonts w:ascii="Times New Roman Regular" w:hAnsi="Times New Roman Regular" w:cs="Times New Roman Regular"/>
          <w:color w:val="auto"/>
          <w:szCs w:val="21"/>
          <w:highlight w:val="none"/>
          <w:lang w:eastAsia="zh-Hans"/>
        </w:rPr>
        <w:t xml:space="preserve">14). </w:t>
      </w:r>
      <w:r>
        <w:rPr>
          <w:rFonts w:hint="eastAsia" w:ascii="Times New Roman Regular" w:hAnsi="Times New Roman Regular" w:cs="Times New Roman Regular"/>
          <w:color w:val="auto"/>
          <w:szCs w:val="21"/>
          <w:highlight w:val="none"/>
          <w:lang w:eastAsia="zh-Hans"/>
        </w:rPr>
        <w:t>Among all the top SNPs, 11 (6.43%) were located in exonic regions, 87 (50.88%) in intronic regions, and 49 (28.65%) in intergenic regions. Notably, 138 (80.70%) of these SNPs were annotated as potentially having regulatory functions.</w:t>
      </w:r>
      <w:r>
        <w:rPr>
          <w:rFonts w:ascii="Times New Roman Regular" w:hAnsi="Times New Roman Regular" w:cs="Times New Roman Regular"/>
          <w:color w:val="auto"/>
          <w:szCs w:val="21"/>
          <w:highlight w:val="none"/>
          <w:lang w:eastAsia="zh-Hans"/>
        </w:rPr>
        <w:t xml:space="preserve"> </w:t>
      </w:r>
    </w:p>
    <w:p w14:paraId="47C33C04">
      <w:pPr>
        <w:spacing w:line="360" w:lineRule="auto"/>
        <w:jc w:val="left"/>
        <w:rPr>
          <w:rFonts w:hint="eastAsia" w:ascii="Times New Roman Regular" w:hAnsi="Times New Roman Regular" w:cs="Times New Roman Regular"/>
          <w:color w:val="auto"/>
          <w:szCs w:val="21"/>
          <w:highlight w:val="none"/>
          <w:lang w:eastAsia="zh-Hans"/>
        </w:rPr>
      </w:pPr>
    </w:p>
    <w:p w14:paraId="05C3D24E">
      <w:pPr>
        <w:spacing w:line="360" w:lineRule="auto"/>
        <w:jc w:val="left"/>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lang w:eastAsia="zh-Hans"/>
        </w:rPr>
        <w:t>Venous thromboembolism (MTAG_VTE</w:t>
      </w:r>
      <w:r>
        <w:rPr>
          <w:rFonts w:hint="default" w:ascii="Times New Roman Bold" w:hAnsi="Times New Roman Bold" w:cs="Times New Roman Bold"/>
          <w:b/>
          <w:bCs/>
          <w:color w:val="auto"/>
          <w:szCs w:val="21"/>
          <w:highlight w:val="none"/>
          <w:lang w:eastAsia="zh-Hans"/>
        </w:rPr>
        <w:t>_EUR</w:t>
      </w:r>
      <w:r>
        <w:rPr>
          <w:rFonts w:ascii="Times New Roman Bold" w:hAnsi="Times New Roman Bold" w:cs="Times New Roman Bold"/>
          <w:b/>
          <w:bCs/>
          <w:color w:val="auto"/>
          <w:szCs w:val="21"/>
          <w:highlight w:val="none"/>
          <w:lang w:eastAsia="zh-Hans"/>
        </w:rPr>
        <w:t>)</w:t>
      </w:r>
    </w:p>
    <w:p w14:paraId="153BA21E">
      <w:pPr>
        <w:spacing w:line="360" w:lineRule="auto"/>
        <w:jc w:val="left"/>
        <w:rPr>
          <w:rFonts w:ascii="Times New Roman Regular" w:hAnsi="Times New Roman Regular" w:cs="Times New Roman Regular"/>
          <w:strike w:val="0"/>
          <w:color w:val="auto"/>
          <w:szCs w:val="21"/>
          <w:highlight w:val="none"/>
          <w:lang w:eastAsia="zh-Hans"/>
        </w:rPr>
      </w:pPr>
      <w:r>
        <w:rPr>
          <w:rFonts w:hint="eastAsia" w:ascii="Times New Roman Regular" w:hAnsi="Times New Roman Regular" w:cs="Times New Roman Regular"/>
          <w:strike w:val="0"/>
          <w:color w:val="auto"/>
          <w:szCs w:val="21"/>
          <w:highlight w:val="none"/>
          <w:lang w:eastAsia="zh-Hans"/>
        </w:rPr>
        <w:t>For VTE, we identified 176 LD-independent lead SNPs from the MTAG results, which were mapped to 72 independent genomic risk loci using FUMA (Fig. 3c).</w:t>
      </w:r>
      <w:r>
        <w:rPr>
          <w:rFonts w:hint="default" w:ascii="Times New Roman Regular" w:hAnsi="Times New Roman Regular" w:cs="Times New Roman Regular"/>
          <w:strike w:val="0"/>
          <w:color w:val="auto"/>
          <w:szCs w:val="21"/>
          <w:highlight w:val="none"/>
          <w:lang w:val="en-US" w:eastAsia="zh-Hans"/>
        </w:rPr>
        <w:t xml:space="preserve"> </w:t>
      </w:r>
      <w:r>
        <w:rPr>
          <w:rFonts w:hint="eastAsia" w:ascii="Times New Roman Regular" w:hAnsi="Times New Roman Regular" w:cs="Times New Roman Regular"/>
          <w:strike w:val="0"/>
          <w:color w:val="auto"/>
          <w:szCs w:val="21"/>
          <w:highlight w:val="none"/>
          <w:lang w:eastAsia="zh-Hans"/>
        </w:rPr>
        <w:t>Among these, 7 loci (1p31.1, 4q25, 4q31.22, 6p21.31, 14q32.31, 16q22.2, and 17q21.31) were not found in the GWAS result of VTE, and none of them overlapped with previously reported loci in other GWAS studies</w:t>
      </w:r>
      <w:r>
        <w:rPr>
          <w:rFonts w:hint="eastAsia" w:ascii="Times New Roman Regular" w:hAnsi="Times New Roman Regular" w:cs="Times New Roman Regular"/>
          <w:strike w:val="0"/>
          <w:color w:val="auto"/>
          <w:szCs w:val="21"/>
          <w:highlight w:val="none"/>
          <w:lang w:val="en-US" w:eastAsia="zh-CN"/>
        </w:rPr>
        <w:t xml:space="preserve"> </w:t>
      </w:r>
      <w:r>
        <w:rPr>
          <w:rFonts w:hint="eastAsia" w:ascii="Times New Roman Regular" w:hAnsi="Times New Roman Regular" w:cs="Times New Roman Regular"/>
          <w:strike w:val="0"/>
          <w:color w:val="auto"/>
          <w:szCs w:val="21"/>
          <w:highlight w:val="none"/>
          <w:lang w:eastAsia="zh-Hans"/>
        </w:rPr>
        <w:t>of VTE.</w:t>
      </w:r>
      <w:r>
        <w:rPr>
          <w:rFonts w:hint="default" w:ascii="Times New Roman Regular" w:hAnsi="Times New Roman Regular" w:cs="Times New Roman Regular"/>
          <w:strike w:val="0"/>
          <w:color w:val="auto"/>
          <w:szCs w:val="21"/>
          <w:highlight w:val="none"/>
          <w:lang w:val="en-US" w:eastAsia="zh-Hans"/>
        </w:rPr>
        <w:t xml:space="preserve"> </w:t>
      </w:r>
      <w:r>
        <w:rPr>
          <w:rFonts w:ascii="Times New Roman Regular" w:hAnsi="Times New Roman Regular" w:cs="Times New Roman Regular"/>
          <w:strike w:val="0"/>
          <w:color w:val="auto"/>
          <w:szCs w:val="21"/>
          <w:highlight w:val="none"/>
          <w:lang w:eastAsia="zh-Hans"/>
        </w:rPr>
        <w:t xml:space="preserve">For example, </w:t>
      </w:r>
      <w:r>
        <w:rPr>
          <w:rFonts w:hint="eastAsia" w:ascii="Times New Roman Regular" w:hAnsi="Times New Roman Regular" w:cs="Times New Roman Regular"/>
          <w:strike w:val="0"/>
          <w:color w:val="auto"/>
          <w:szCs w:val="21"/>
          <w:highlight w:val="none"/>
          <w:lang w:eastAsia="zh-Hans"/>
        </w:rPr>
        <w:t>rs3213422</w:t>
      </w:r>
      <w:r>
        <w:rPr>
          <w:rFonts w:ascii="Times New Roman Regular" w:hAnsi="Times New Roman Regular" w:cs="Times New Roman Regular"/>
          <w:strike w:val="0"/>
          <w:color w:val="auto"/>
          <w:szCs w:val="21"/>
          <w:highlight w:val="none"/>
          <w:lang w:eastAsia="zh-Hans"/>
        </w:rPr>
        <w:t xml:space="preserve"> (located on </w:t>
      </w:r>
      <w:r>
        <w:rPr>
          <w:rFonts w:hint="default" w:ascii="Times New Roman Regular" w:hAnsi="Times New Roman Regular" w:cs="Times New Roman Regular"/>
          <w:strike w:val="0"/>
          <w:color w:val="auto"/>
          <w:szCs w:val="21"/>
          <w:highlight w:val="none"/>
          <w:lang w:eastAsia="zh-Hans"/>
        </w:rPr>
        <w:t>16</w:t>
      </w:r>
      <w:r>
        <w:rPr>
          <w:rFonts w:ascii="Times New Roman Regular" w:hAnsi="Times New Roman Regular" w:cs="Times New Roman Regular"/>
          <w:strike w:val="0"/>
          <w:color w:val="auto"/>
          <w:szCs w:val="21"/>
          <w:highlight w:val="none"/>
          <w:lang w:eastAsia="zh-Hans"/>
        </w:rPr>
        <w:t>q</w:t>
      </w:r>
      <w:r>
        <w:rPr>
          <w:rFonts w:hint="default" w:ascii="Times New Roman Regular" w:hAnsi="Times New Roman Regular" w:cs="Times New Roman Regular"/>
          <w:strike w:val="0"/>
          <w:color w:val="auto"/>
          <w:szCs w:val="21"/>
          <w:highlight w:val="none"/>
          <w:lang w:eastAsia="zh-Hans"/>
        </w:rPr>
        <w:t>22.2</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MTAG_</w:t>
      </w:r>
      <w:r>
        <w:rPr>
          <w:rFonts w:hint="eastAsia" w:ascii="Times New Roman Regular" w:hAnsi="Times New Roman Regular" w:cs="Times New Roman Regular"/>
          <w:strike w:val="0"/>
          <w:color w:val="auto"/>
          <w:szCs w:val="21"/>
          <w:highlight w:val="none"/>
          <w:vertAlign w:val="subscript"/>
          <w:lang w:val="en-US" w:eastAsia="zh-Hans"/>
        </w:rPr>
        <w:t>VTE</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strike w:val="0"/>
          <w:color w:val="auto"/>
          <w:szCs w:val="21"/>
          <w:highlight w:val="none"/>
          <w:lang w:eastAsia="zh-Hans"/>
        </w:rPr>
        <w:t> = </w:t>
      </w:r>
      <w:r>
        <w:rPr>
          <w:rFonts w:hint="eastAsia" w:ascii="Times New Roman Regular" w:hAnsi="Times New Roman Regular" w:cs="Times New Roman Regular"/>
          <w:strike w:val="0"/>
          <w:color w:val="auto"/>
          <w:szCs w:val="21"/>
          <w:highlight w:val="none"/>
          <w:lang w:eastAsia="zh-Hans"/>
        </w:rPr>
        <w:t>7.98</w:t>
      </w:r>
      <w:r>
        <w:rPr>
          <w:rFonts w:hint="default" w:ascii="Times New Roman Regular" w:hAnsi="Times New Roman Regular" w:cs="Times New Roman Regular"/>
          <w:color w:val="auto"/>
          <w:szCs w:val="21"/>
          <w:highlight w:val="none"/>
          <w:lang w:eastAsia="zh-Hans"/>
        </w:rPr>
        <w:t xml:space="preserve"> × </w:t>
      </w:r>
      <w:r>
        <w:rPr>
          <w:rFonts w:ascii="Times New Roman Regular" w:hAnsi="Times New Roman Regular" w:cs="Times New Roman Regular"/>
          <w:strike w:val="0"/>
          <w:color w:val="auto"/>
          <w:szCs w:val="21"/>
          <w:highlight w:val="none"/>
          <w:lang w:eastAsia="zh-Hans"/>
        </w:rPr>
        <w:t>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9</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GWAS_</w:t>
      </w:r>
      <w:r>
        <w:rPr>
          <w:rFonts w:hint="default" w:ascii="Times New Roman Regular" w:hAnsi="Times New Roman Regular" w:cs="Times New Roman Regular"/>
          <w:strike w:val="0"/>
          <w:color w:val="auto"/>
          <w:szCs w:val="21"/>
          <w:highlight w:val="none"/>
          <w:vertAlign w:val="subscript"/>
          <w:lang w:eastAsia="zh-Hans"/>
        </w:rPr>
        <w:t>VTE_EUR</w:t>
      </w:r>
      <w:r>
        <w:rPr>
          <w:rFonts w:ascii="Times New Roman Regular" w:hAnsi="Times New Roman Regular" w:cs="Times New Roman Regular"/>
          <w:strike w:val="0"/>
          <w:color w:val="auto"/>
          <w:szCs w:val="21"/>
          <w:highlight w:val="none"/>
          <w:lang w:eastAsia="zh-Hans"/>
        </w:rPr>
        <w:t xml:space="preserve"> = </w:t>
      </w:r>
      <w:r>
        <w:rPr>
          <w:rFonts w:hint="eastAsia" w:ascii="Times New Roman Regular" w:hAnsi="Times New Roman Regular" w:cs="Times New Roman Regular"/>
          <w:strike w:val="0"/>
          <w:color w:val="auto"/>
          <w:szCs w:val="21"/>
          <w:highlight w:val="none"/>
          <w:lang w:eastAsia="zh-Hans"/>
        </w:rPr>
        <w:t>2.45</w:t>
      </w:r>
      <w:r>
        <w:rPr>
          <w:rFonts w:hint="default" w:ascii="Times New Roman Regular" w:hAnsi="Times New Roman Regular" w:cs="Times New Roman Regular"/>
          <w:color w:val="auto"/>
          <w:szCs w:val="21"/>
          <w:highlight w:val="none"/>
          <w:lang w:eastAsia="zh-Hans"/>
        </w:rPr>
        <w:t xml:space="preserve"> × </w:t>
      </w:r>
      <w:r>
        <w:rPr>
          <w:rFonts w:ascii="Times New Roman Regular" w:hAnsi="Times New Roman Regular" w:cs="Times New Roman Regular"/>
          <w:strike w:val="0"/>
          <w:color w:val="auto"/>
          <w:szCs w:val="21"/>
          <w:highlight w:val="none"/>
          <w:lang w:eastAsia="zh-Hans"/>
        </w:rPr>
        <w:t>10</w:t>
      </w:r>
      <w:r>
        <w:rPr>
          <w:rFonts w:ascii="Times New Roman Regular" w:hAnsi="Times New Roman Regular" w:cs="Times New Roman Regular"/>
          <w:strike w:val="0"/>
          <w:color w:val="auto"/>
          <w:szCs w:val="21"/>
          <w:highlight w:val="none"/>
          <w:vertAlign w:val="superscript"/>
          <w:lang w:eastAsia="zh-Hans"/>
        </w:rPr>
        <w:t>-8</w:t>
      </w:r>
      <w:r>
        <w:rPr>
          <w:rFonts w:ascii="Times New Roman Regular" w:hAnsi="Times New Roman Regular" w:cs="Times New Roman Regular"/>
          <w:strike w:val="0"/>
          <w:color w:val="auto"/>
          <w:szCs w:val="21"/>
          <w:highlight w:val="none"/>
          <w:lang w:eastAsia="zh-Hans"/>
        </w:rPr>
        <w:t>)</w:t>
      </w:r>
      <w:r>
        <w:rPr>
          <w:rFonts w:hint="default" w:ascii="Times New Roman Regular" w:hAnsi="Times New Roman Regular" w:cs="Times New Roman Regular"/>
          <w:strike w:val="0"/>
          <w:color w:val="auto"/>
          <w:szCs w:val="21"/>
          <w:highlight w:val="none"/>
          <w:lang w:val="en-US" w:eastAsia="zh-Hans"/>
        </w:rPr>
        <w:t xml:space="preserve"> </w:t>
      </w:r>
      <w:r>
        <w:rPr>
          <w:rFonts w:hint="eastAsia" w:ascii="Times New Roman Regular" w:hAnsi="Times New Roman Regular" w:cs="Times New Roman Regular"/>
          <w:strike w:val="0"/>
          <w:color w:val="auto"/>
          <w:szCs w:val="21"/>
          <w:highlight w:val="none"/>
          <w:lang w:eastAsia="zh-Hans"/>
        </w:rPr>
        <w:t>is an exonic variant mapped to the dihydroorotate dehydrogenase (quinone) gene</w:t>
      </w:r>
      <w:r>
        <w:rPr>
          <w:rFonts w:hint="default" w:ascii="Times New Roman Regular" w:hAnsi="Times New Roman Regular" w:cs="Times New Roman Regular"/>
          <w:strike w:val="0"/>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eastAsia="zh-Hans"/>
        </w:rPr>
        <w:t>(</w:t>
      </w:r>
      <w:r>
        <w:rPr>
          <w:rFonts w:hint="default" w:ascii="Times New Roman Italic" w:hAnsi="Times New Roman Italic" w:cs="Times New Roman Italic"/>
          <w:i/>
          <w:iCs/>
          <w:strike w:val="0"/>
          <w:color w:val="auto"/>
          <w:szCs w:val="21"/>
          <w:highlight w:val="none"/>
          <w:lang w:eastAsia="zh-Hans"/>
        </w:rPr>
        <w:t>DHODH</w:t>
      </w:r>
      <w:r>
        <w:rPr>
          <w:rFonts w:hint="default" w:ascii="Times New Roman Regular" w:hAnsi="Times New Roman Regular" w:cs="Times New Roman Regular"/>
          <w:strike w:val="0"/>
          <w:color w:val="auto"/>
          <w:szCs w:val="21"/>
          <w:highlight w:val="none"/>
          <w:lang w:eastAsia="zh-Hans"/>
        </w:rPr>
        <w:t>)</w:t>
      </w:r>
      <w:r>
        <w:rPr>
          <w:rFonts w:hint="default" w:ascii="Times New Roman Regular" w:hAnsi="Times New Roman Regular" w:cs="Times New Roman Regular"/>
          <w:strike w:val="0"/>
          <w:color w:val="auto"/>
          <w:szCs w:val="21"/>
          <w:highlight w:val="none"/>
          <w:lang w:val="en-US" w:eastAsia="zh-Hans"/>
        </w:rPr>
        <w:t xml:space="preserve">. It was also an eQTL associated with 7 out of 10 CVD-related tissues influencing </w:t>
      </w:r>
      <w:r>
        <w:rPr>
          <w:rFonts w:hint="default" w:ascii="Times New Roman Italic" w:hAnsi="Times New Roman Italic" w:cs="Times New Roman Italic"/>
          <w:i/>
          <w:iCs/>
          <w:strike w:val="0"/>
          <w:color w:val="auto"/>
          <w:szCs w:val="21"/>
          <w:highlight w:val="none"/>
          <w:lang w:val="en-US" w:eastAsia="zh-Hans"/>
        </w:rPr>
        <w:t>DHODH</w:t>
      </w:r>
      <w:r>
        <w:rPr>
          <w:rFonts w:hint="default" w:ascii="Times New Roman Regular" w:hAnsi="Times New Roman Regular" w:cs="Times New Roman Regular"/>
          <w:strike w:val="0"/>
          <w:color w:val="auto"/>
          <w:szCs w:val="21"/>
          <w:highlight w:val="none"/>
          <w:lang w:val="en-US" w:eastAsia="zh-Hans"/>
        </w:rPr>
        <w:t xml:space="preserve">, excluding Liver, Cells EBV-transformed lymphocytes, and Whole Blood, with </w:t>
      </w:r>
      <w:r>
        <w:rPr>
          <w:rFonts w:ascii="Times New Roman Regular" w:hAnsi="Times New Roman Regular" w:cs="Times New Roman Regular"/>
          <w:i/>
          <w:iCs/>
          <w:strike w:val="0"/>
          <w:color w:val="auto"/>
          <w:szCs w:val="21"/>
          <w:highlight w:val="none"/>
          <w:lang w:eastAsia="zh-Hans"/>
        </w:rPr>
        <w:t xml:space="preserve">FDR </w:t>
      </w:r>
      <w:r>
        <w:rPr>
          <w:rFonts w:hint="eastAsia" w:ascii="Times New Roman Regular" w:hAnsi="Times New Roman Regular" w:cs="Times New Roman Regular"/>
          <w:i w:val="0"/>
          <w:iCs w:val="0"/>
          <w:strike w:val="0"/>
          <w:color w:val="auto"/>
          <w:szCs w:val="21"/>
          <w:highlight w:val="none"/>
          <w:lang w:eastAsia="zh-Hans"/>
        </w:rPr>
        <w:t>values</w:t>
      </w:r>
      <w:r>
        <w:rPr>
          <w:rFonts w:hint="default" w:ascii="Times New Roman Regular" w:hAnsi="Times New Roman Regular" w:cs="Times New Roman Regular"/>
          <w:i/>
          <w:iCs/>
          <w:strike w:val="0"/>
          <w:color w:val="auto"/>
          <w:szCs w:val="21"/>
          <w:highlight w:val="none"/>
          <w:lang w:val="en-US" w:eastAsia="zh-Hans"/>
        </w:rPr>
        <w:t xml:space="preserve"> </w:t>
      </w:r>
      <w:r>
        <w:rPr>
          <w:rFonts w:ascii="Times New Roman Regular" w:hAnsi="Times New Roman Regular" w:cs="Times New Roman Regular"/>
          <w:strike w:val="0"/>
          <w:color w:val="auto"/>
          <w:szCs w:val="21"/>
          <w:highlight w:val="none"/>
          <w:lang w:eastAsia="zh-Hans"/>
        </w:rPr>
        <w:t xml:space="preserve">ranged from </w:t>
      </w:r>
      <w:r>
        <w:rPr>
          <w:rFonts w:hint="eastAsia" w:ascii="Times New Roman Regular" w:hAnsi="Times New Roman Regular" w:cs="Times New Roman Regular"/>
          <w:strike w:val="0"/>
          <w:color w:val="auto"/>
          <w:szCs w:val="21"/>
          <w:highlight w:val="none"/>
          <w:lang w:eastAsia="zh-Hans"/>
        </w:rPr>
        <w:t>7.</w:t>
      </w:r>
      <w:r>
        <w:rPr>
          <w:rFonts w:hint="default" w:ascii="Times New Roman Regular" w:hAnsi="Times New Roman Regular" w:cs="Times New Roman Regular"/>
          <w:strike w:val="0"/>
          <w:color w:val="auto"/>
          <w:szCs w:val="21"/>
          <w:highlight w:val="none"/>
          <w:lang w:eastAsia="zh-Hans"/>
        </w:rPr>
        <w:t>12</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7</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 xml:space="preserve">in </w:t>
      </w:r>
      <w:r>
        <w:rPr>
          <w:rFonts w:hint="default" w:ascii="Times New Roman Regular" w:hAnsi="Times New Roman Regular" w:cs="Times New Roman Regular"/>
          <w:strike w:val="0"/>
          <w:color w:val="auto"/>
          <w:szCs w:val="21"/>
          <w:highlight w:val="none"/>
          <w:lang w:val="en-US" w:eastAsia="zh-Hans"/>
        </w:rPr>
        <w:t>H</w:t>
      </w:r>
      <w:r>
        <w:rPr>
          <w:rFonts w:hint="eastAsia" w:ascii="Times New Roman Regular" w:hAnsi="Times New Roman Regular" w:cs="Times New Roman Regular"/>
          <w:strike w:val="0"/>
          <w:color w:val="auto"/>
          <w:szCs w:val="21"/>
          <w:highlight w:val="none"/>
          <w:lang w:eastAsia="zh-Hans"/>
        </w:rPr>
        <w:t>eart</w:t>
      </w:r>
      <w:r>
        <w:rPr>
          <w:rFonts w:hint="default" w:ascii="Times New Roman Regular" w:hAnsi="Times New Roman Regular" w:cs="Times New Roman Regular"/>
          <w:strike w:val="0"/>
          <w:color w:val="auto"/>
          <w:szCs w:val="21"/>
          <w:highlight w:val="none"/>
          <w:lang w:val="en-US" w:eastAsia="zh-Hans"/>
        </w:rPr>
        <w:t xml:space="preserve"> </w:t>
      </w:r>
      <w:r>
        <w:rPr>
          <w:rFonts w:hint="eastAsia" w:ascii="Times New Roman Regular" w:hAnsi="Times New Roman Regular" w:cs="Times New Roman Regular"/>
          <w:strike w:val="0"/>
          <w:color w:val="auto"/>
          <w:szCs w:val="21"/>
          <w:highlight w:val="none"/>
          <w:lang w:eastAsia="zh-Hans"/>
        </w:rPr>
        <w:t>Atrial</w:t>
      </w:r>
      <w:r>
        <w:rPr>
          <w:rFonts w:hint="default" w:ascii="Times New Roman Regular" w:hAnsi="Times New Roman Regular" w:cs="Times New Roman Regular"/>
          <w:strike w:val="0"/>
          <w:color w:val="auto"/>
          <w:szCs w:val="21"/>
          <w:highlight w:val="none"/>
          <w:lang w:val="en-US" w:eastAsia="zh-Hans"/>
        </w:rPr>
        <w:t xml:space="preserve"> </w:t>
      </w:r>
      <w:r>
        <w:rPr>
          <w:rFonts w:hint="eastAsia" w:ascii="Times New Roman Regular" w:hAnsi="Times New Roman Regular" w:cs="Times New Roman Regular"/>
          <w:strike w:val="0"/>
          <w:color w:val="auto"/>
          <w:szCs w:val="21"/>
          <w:highlight w:val="none"/>
          <w:lang w:eastAsia="zh-Hans"/>
        </w:rPr>
        <w:t>Appendage to</w:t>
      </w:r>
      <w:r>
        <w:rPr>
          <w:rFonts w:ascii="Times New Roman Regular" w:hAnsi="Times New Roman Regular" w:cs="Times New Roman Regular"/>
          <w:strike w:val="0"/>
          <w:color w:val="auto"/>
          <w:szCs w:val="21"/>
          <w:highlight w:val="none"/>
          <w:lang w:eastAsia="zh-Hans"/>
        </w:rPr>
        <w:t xml:space="preserve"> </w:t>
      </w:r>
      <w:r>
        <w:rPr>
          <w:rFonts w:hint="default" w:ascii="Times New Roman Regular" w:hAnsi="Times New Roman Regular" w:cs="Times New Roman Regular"/>
          <w:strike w:val="0"/>
          <w:color w:val="auto"/>
          <w:szCs w:val="21"/>
          <w:highlight w:val="none"/>
          <w:lang w:eastAsia="zh-Hans"/>
        </w:rPr>
        <w:t>1.51</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62</w:t>
      </w:r>
      <w:r>
        <w:rPr>
          <w:rFonts w:hint="default" w:ascii="Times New Roman Regular" w:hAnsi="Times New Roman Regular" w:cs="Times New Roman Regular"/>
          <w:strike w:val="0"/>
          <w:color w:val="auto"/>
          <w:szCs w:val="21"/>
          <w:highlight w:val="none"/>
          <w:vertAlign w:val="superscript"/>
          <w:lang w:val="en-US" w:eastAsia="zh-Hans"/>
        </w:rPr>
        <w:t xml:space="preserve"> </w:t>
      </w:r>
      <w:r>
        <w:rPr>
          <w:rFonts w:hint="default" w:ascii="Times New Roman Regular" w:hAnsi="Times New Roman Regular" w:cs="Times New Roman Regular"/>
          <w:strike w:val="0"/>
          <w:color w:val="auto"/>
          <w:szCs w:val="21"/>
          <w:highlight w:val="none"/>
          <w:vertAlign w:val="baseline"/>
          <w:lang w:val="en-US" w:eastAsia="zh-Hans"/>
        </w:rPr>
        <w:t>in Artery Tibia</w:t>
      </w:r>
      <w:r>
        <w:rPr>
          <w:rFonts w:ascii="Times New Roman Regular" w:hAnsi="Times New Roman Regular" w:cs="Times New Roman Regular"/>
          <w:strike w:val="0"/>
          <w:color w:val="auto"/>
          <w:szCs w:val="21"/>
          <w:highlight w:val="none"/>
          <w:lang w:eastAsia="zh-Hans"/>
        </w:rPr>
        <w:t xml:space="preserve">), which was also identified by CPASSOC </w:t>
      </w:r>
      <w:r>
        <w:rPr>
          <w:rFonts w:hint="eastAsia" w:ascii="Times New Roman Regular" w:hAnsi="Times New Roman Regular" w:cs="Times New Roman Regular"/>
          <w:strike w:val="0"/>
          <w:color w:val="auto"/>
          <w:szCs w:val="21"/>
          <w:highlight w:val="none"/>
          <w:lang w:eastAsia="zh-Hans"/>
        </w:rPr>
        <w:t>analysis</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CPASSOC</w:t>
      </w:r>
      <w:r>
        <w:rPr>
          <w:rFonts w:ascii="Times New Roman Regular" w:hAnsi="Times New Roman Regular" w:cs="Times New Roman Regular"/>
          <w:strike w:val="0"/>
          <w:color w:val="auto"/>
          <w:szCs w:val="21"/>
          <w:highlight w:val="none"/>
          <w:lang w:eastAsia="zh-Hans"/>
        </w:rPr>
        <w:t xml:space="preserve"> = </w:t>
      </w:r>
      <w:r>
        <w:rPr>
          <w:rFonts w:hint="default" w:ascii="Times New Roman Regular" w:hAnsi="Times New Roman Regular" w:cs="Times New Roman Regular"/>
          <w:strike w:val="0"/>
          <w:color w:val="auto"/>
          <w:szCs w:val="21"/>
          <w:highlight w:val="none"/>
          <w:lang w:eastAsia="zh-Hans"/>
        </w:rPr>
        <w:t>3.34</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11</w:t>
      </w:r>
      <w:r>
        <w:rPr>
          <w:rFonts w:ascii="Times New Roman Regular" w:hAnsi="Times New Roman Regular" w:cs="Times New Roman Regular"/>
          <w:strike w:val="0"/>
          <w:color w:val="auto"/>
          <w:szCs w:val="21"/>
          <w:highlight w:val="none"/>
          <w:lang w:eastAsia="zh-Hans"/>
        </w:rPr>
        <w:t>,</w:t>
      </w:r>
      <w:r>
        <w:rPr>
          <w:rFonts w:ascii="Times New Roman Regular" w:hAnsi="Times New Roman Regular" w:cs="Times New Roman Regular"/>
          <w:strike w:val="0"/>
          <w:color w:val="auto"/>
          <w:szCs w:val="21"/>
          <w:highlight w:val="none"/>
          <w:vertAlign w:val="superscript"/>
          <w:lang w:eastAsia="zh-Hans"/>
        </w:rPr>
        <w:t xml:space="preserve"> </w:t>
      </w:r>
      <w:r>
        <w:rPr>
          <w:rFonts w:ascii="Times New Roman Regular" w:hAnsi="Times New Roman Regular" w:cs="Times New Roman Regular"/>
          <w:strike w:val="0"/>
          <w:color w:val="auto"/>
          <w:szCs w:val="21"/>
          <w:highlight w:val="none"/>
          <w:lang w:eastAsia="zh-Hans"/>
        </w:rPr>
        <w:t xml:space="preserve">Supplementary Fig. 7 and 8, </w:t>
      </w:r>
      <w:r>
        <w:rPr>
          <w:rFonts w:ascii="Times New Roman Regular" w:hAnsi="Times New Roman Regular" w:cs="Times New Roman Regular"/>
          <w:strike w:val="0"/>
          <w:color w:val="auto"/>
          <w:szCs w:val="21"/>
          <w:highlight w:val="none"/>
          <w:lang w:val="en-US" w:eastAsia="zh-Hans"/>
        </w:rPr>
        <w:t>Supplementary Data</w:t>
      </w:r>
      <w:r>
        <w:rPr>
          <w:rFonts w:ascii="Times New Roman Regular" w:hAnsi="Times New Roman Regular" w:cs="Times New Roman Regular"/>
          <w:strike w:val="0"/>
          <w:color w:val="auto"/>
          <w:szCs w:val="21"/>
          <w:highlight w:val="none"/>
          <w:lang w:eastAsia="zh-Hans"/>
        </w:rPr>
        <w:t xml:space="preserve"> 11</w:t>
      </w:r>
      <w:r>
        <w:rPr>
          <w:rFonts w:hint="default" w:ascii="Times New Roman Regular" w:hAnsi="Times New Roman Regular" w:cs="Times New Roman Regular"/>
          <w:strike w:val="0"/>
          <w:color w:val="auto"/>
          <w:szCs w:val="21"/>
          <w:highlight w:val="none"/>
          <w:lang w:val="en-US" w:eastAsia="zh-Hans"/>
        </w:rPr>
        <w:t xml:space="preserve"> and</w:t>
      </w:r>
      <w:r>
        <w:rPr>
          <w:rFonts w:ascii="Times New Roman Regular" w:hAnsi="Times New Roman Regular" w:cs="Times New Roman Regular"/>
          <w:strike w:val="0"/>
          <w:color w:val="auto"/>
          <w:szCs w:val="21"/>
          <w:highlight w:val="none"/>
          <w:lang w:eastAsia="zh-Hans"/>
        </w:rPr>
        <w:t xml:space="preserve"> 14). </w:t>
      </w:r>
      <w:r>
        <w:rPr>
          <w:rFonts w:hint="eastAsia" w:ascii="Times New Roman Regular" w:hAnsi="Times New Roman Regular" w:cs="Times New Roman Regular"/>
          <w:strike w:val="0"/>
          <w:color w:val="auto"/>
          <w:szCs w:val="21"/>
          <w:highlight w:val="none"/>
          <w:lang w:eastAsia="zh-Hans"/>
        </w:rPr>
        <w:t>Among all the top SNPs, 63 (87.50%) were annotated as potentially having regulatory functions. Specifically, 9 (12.50%) were located in exonic regions, 40 (55.56%) in intronic regions, and 12 (16.67%) in intergenic regions.</w:t>
      </w:r>
    </w:p>
    <w:p w14:paraId="4975E8D2">
      <w:pPr>
        <w:spacing w:line="360" w:lineRule="auto"/>
        <w:jc w:val="left"/>
        <w:rPr>
          <w:rFonts w:hint="eastAsia" w:ascii="Times New Roman Regular" w:hAnsi="Times New Roman Regular" w:cs="Times New Roman Regular"/>
          <w:strike w:val="0"/>
          <w:color w:val="auto"/>
          <w:szCs w:val="21"/>
          <w:highlight w:val="none"/>
          <w:lang w:eastAsia="zh-Hans"/>
        </w:rPr>
      </w:pPr>
    </w:p>
    <w:p w14:paraId="6977A089">
      <w:pPr>
        <w:spacing w:line="360" w:lineRule="auto"/>
        <w:jc w:val="left"/>
        <w:rPr>
          <w:rFonts w:hint="eastAsia" w:ascii="Times New Roman Bold" w:hAnsi="Times New Roman Bold" w:cs="Times New Roman Bold"/>
          <w:b/>
          <w:bCs/>
          <w:strike w:val="0"/>
          <w:color w:val="auto"/>
          <w:szCs w:val="21"/>
          <w:highlight w:val="none"/>
          <w:lang w:eastAsia="zh-Hans"/>
        </w:rPr>
      </w:pPr>
      <w:r>
        <w:rPr>
          <w:rFonts w:ascii="Times New Roman Bold" w:hAnsi="Times New Roman Bold" w:cs="Times New Roman Bold"/>
          <w:b/>
          <w:bCs/>
          <w:strike w:val="0"/>
          <w:color w:val="auto"/>
          <w:szCs w:val="21"/>
          <w:highlight w:val="none"/>
          <w:lang w:eastAsia="zh-Hans"/>
        </w:rPr>
        <w:t>Heart failure (MTAG_HF</w:t>
      </w:r>
      <w:r>
        <w:rPr>
          <w:rFonts w:hint="default" w:ascii="Times New Roman Bold" w:hAnsi="Times New Roman Bold" w:cs="Times New Roman Bold"/>
          <w:b/>
          <w:bCs/>
          <w:strike w:val="0"/>
          <w:color w:val="auto"/>
          <w:szCs w:val="21"/>
          <w:highlight w:val="none"/>
          <w:lang w:eastAsia="zh-Hans"/>
        </w:rPr>
        <w:t>_EUR</w:t>
      </w:r>
      <w:r>
        <w:rPr>
          <w:rFonts w:ascii="Times New Roman Bold" w:hAnsi="Times New Roman Bold" w:cs="Times New Roman Bold"/>
          <w:b/>
          <w:bCs/>
          <w:strike w:val="0"/>
          <w:color w:val="auto"/>
          <w:szCs w:val="21"/>
          <w:highlight w:val="none"/>
          <w:lang w:eastAsia="zh-Hans"/>
        </w:rPr>
        <w:t>)</w:t>
      </w:r>
    </w:p>
    <w:p w14:paraId="6D6CD1B1">
      <w:pPr>
        <w:spacing w:line="360" w:lineRule="auto"/>
        <w:jc w:val="left"/>
        <w:rPr>
          <w:rFonts w:ascii="Times New Roman Regular" w:hAnsi="Times New Roman Regular" w:cs="Times New Roman Regular"/>
          <w:strike w:val="0"/>
          <w:color w:val="auto"/>
          <w:szCs w:val="21"/>
          <w:highlight w:val="none"/>
          <w:lang w:eastAsia="zh-Hans"/>
        </w:rPr>
      </w:pPr>
      <w:r>
        <w:rPr>
          <w:rFonts w:hint="eastAsia" w:ascii="Times New Roman Regular" w:hAnsi="Times New Roman Regular" w:cs="Times New Roman Regular"/>
          <w:strike w:val="0"/>
          <w:color w:val="auto"/>
          <w:szCs w:val="21"/>
          <w:highlight w:val="none"/>
          <w:lang w:eastAsia="zh-Hans"/>
        </w:rPr>
        <w:t xml:space="preserve">Using FUMA, we identified 14 LD-independent lead SNPs from the MTAG results for HF, which </w:t>
      </w:r>
      <w:r>
        <w:rPr>
          <w:rFonts w:hint="default" w:ascii="Times New Roman Regular" w:hAnsi="Times New Roman Regular" w:cs="Times New Roman Regular"/>
          <w:strike w:val="0"/>
          <w:color w:val="auto"/>
          <w:szCs w:val="21"/>
          <w:highlight w:val="none"/>
          <w:lang w:val="en-US" w:eastAsia="zh-Hans"/>
        </w:rPr>
        <w:t xml:space="preserve">were </w:t>
      </w:r>
      <w:r>
        <w:rPr>
          <w:rFonts w:hint="eastAsia" w:ascii="Times New Roman Regular" w:hAnsi="Times New Roman Regular" w:cs="Times New Roman Regular"/>
          <w:strike w:val="0"/>
          <w:color w:val="auto"/>
          <w:szCs w:val="21"/>
          <w:highlight w:val="none"/>
          <w:lang w:eastAsia="zh-Hans"/>
        </w:rPr>
        <w:t>mapped to 13 independent genomic risk loci (Fig. 3d).</w:t>
      </w:r>
      <w:r>
        <w:rPr>
          <w:rFonts w:hint="default" w:ascii="Times New Roman Regular" w:hAnsi="Times New Roman Regular" w:cs="Times New Roman Regular"/>
          <w:strike w:val="0"/>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eastAsia="zh-Hans"/>
        </w:rPr>
        <w:t>Four loci did not overlap with those identified in the GWAS results for HF, although two of them overlapped with loci reported in other GWAS studies of HF</w:t>
      </w:r>
      <w:r>
        <w:rPr>
          <w:rFonts w:hint="default" w:ascii="Times New Roman Regular" w:hAnsi="Times New Roman Regular" w:cs="Times New Roman Regular"/>
          <w:strike w:val="0"/>
          <w:color w:val="auto"/>
          <w:szCs w:val="21"/>
          <w:highlight w:val="none"/>
          <w:lang w:eastAsia="zh-Hans"/>
        </w:rPr>
        <w:fldChar w:fldCharType="begin"/>
      </w:r>
      <w:r>
        <w:rPr>
          <w:rFonts w:hint="eastAsia" w:ascii="Times New Roman Regular" w:hAnsi="Times New Roman Regular" w:cs="Times New Roman Regular"/>
          <w:strike w:val="0"/>
          <w:color w:val="auto"/>
          <w:szCs w:val="21"/>
          <w:highlight w:val="none"/>
          <w:lang w:eastAsia="zh-CN"/>
        </w:rPr>
        <w:instrText xml:space="preserve"> ADDIN NE.Ref.{4566EBB0-46D9-44CC-AC02-268076EF52BD}</w:instrText>
      </w:r>
      <w:r>
        <w:rPr>
          <w:rFonts w:hint="default" w:ascii="Times New Roman Regular" w:hAnsi="Times New Roman Regular" w:cs="Times New Roman Regular"/>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16</w:t>
      </w:r>
      <w:r>
        <w:rPr>
          <w:rFonts w:hint="default" w:ascii="Times New Roman Regular" w:hAnsi="Times New Roman Regular" w:cs="Times New Roman Regular"/>
          <w:strike w:val="0"/>
          <w:color w:val="auto"/>
          <w:szCs w:val="21"/>
          <w:highlight w:val="none"/>
          <w:lang w:eastAsia="zh-Hans"/>
        </w:rPr>
        <w:fldChar w:fldCharType="end"/>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val="en-US" w:eastAsia="zh-Hans"/>
        </w:rPr>
        <w:t>Two genomic risk loci (17q22 and 19p13.2) were considered novel.</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A newly identified association involving the intronic variant rs8081247</w:t>
      </w:r>
      <w:r>
        <w:rPr>
          <w:rFonts w:ascii="Times New Roman Regular" w:hAnsi="Times New Roman Regular" w:cs="Times New Roman Regular"/>
          <w:strike w:val="0"/>
          <w:color w:val="auto"/>
          <w:szCs w:val="21"/>
          <w:highlight w:val="none"/>
          <w:lang w:eastAsia="zh-Hans"/>
        </w:rPr>
        <w:t xml:space="preserve"> (located on </w:t>
      </w:r>
      <w:r>
        <w:rPr>
          <w:rFonts w:hint="eastAsia" w:ascii="Times New Roman Regular" w:hAnsi="Times New Roman Regular" w:cs="Times New Roman Regular"/>
          <w:strike w:val="0"/>
          <w:color w:val="auto"/>
          <w:szCs w:val="21"/>
          <w:highlight w:val="none"/>
          <w:lang w:eastAsia="zh-Hans"/>
        </w:rPr>
        <w:t>17q22</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MTAG_</w:t>
      </w:r>
      <w:r>
        <w:rPr>
          <w:rFonts w:hint="default" w:ascii="Times New Roman Regular" w:hAnsi="Times New Roman Regular" w:cs="Times New Roman Regular"/>
          <w:strike w:val="0"/>
          <w:color w:val="auto"/>
          <w:szCs w:val="21"/>
          <w:highlight w:val="none"/>
          <w:vertAlign w:val="subscript"/>
          <w:lang w:eastAsia="zh-Hans"/>
        </w:rPr>
        <w:t>H</w:t>
      </w:r>
      <w:r>
        <w:rPr>
          <w:rFonts w:ascii="Times New Roman Regular" w:hAnsi="Times New Roman Regular" w:cs="Times New Roman Regular"/>
          <w:strike w:val="0"/>
          <w:color w:val="auto"/>
          <w:szCs w:val="21"/>
          <w:highlight w:val="none"/>
          <w:vertAlign w:val="subscript"/>
          <w:lang w:eastAsia="zh-Hans"/>
        </w:rPr>
        <w:t>F</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strike w:val="0"/>
          <w:color w:val="auto"/>
          <w:szCs w:val="21"/>
          <w:highlight w:val="none"/>
          <w:lang w:eastAsia="zh-Hans"/>
        </w:rPr>
        <w:t> = </w:t>
      </w:r>
      <w:r>
        <w:rPr>
          <w:rFonts w:hint="default" w:ascii="Times New Roman Regular" w:hAnsi="Times New Roman Regular" w:cs="Times New Roman Regular"/>
          <w:strike w:val="0"/>
          <w:color w:val="auto"/>
          <w:szCs w:val="21"/>
          <w:highlight w:val="none"/>
          <w:lang w:eastAsia="zh-Hans"/>
        </w:rPr>
        <w:t>3.30</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-9</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GWAS_</w:t>
      </w:r>
      <w:r>
        <w:rPr>
          <w:rFonts w:hint="default" w:ascii="Times New Roman Regular" w:hAnsi="Times New Roman Regular" w:cs="Times New Roman Regular"/>
          <w:strike w:val="0"/>
          <w:color w:val="auto"/>
          <w:szCs w:val="21"/>
          <w:highlight w:val="none"/>
          <w:vertAlign w:val="subscript"/>
          <w:lang w:eastAsia="zh-Hans"/>
        </w:rPr>
        <w:t>H</w:t>
      </w:r>
      <w:r>
        <w:rPr>
          <w:rFonts w:ascii="Times New Roman Regular" w:hAnsi="Times New Roman Regular" w:cs="Times New Roman Regular"/>
          <w:strike w:val="0"/>
          <w:color w:val="auto"/>
          <w:szCs w:val="21"/>
          <w:highlight w:val="none"/>
          <w:vertAlign w:val="subscript"/>
          <w:lang w:eastAsia="zh-Hans"/>
        </w:rPr>
        <w:t>F</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strike w:val="0"/>
          <w:color w:val="auto"/>
          <w:szCs w:val="21"/>
          <w:highlight w:val="none"/>
          <w:lang w:eastAsia="zh-Hans"/>
        </w:rPr>
        <w:t xml:space="preserve"> = </w:t>
      </w:r>
      <w:r>
        <w:rPr>
          <w:rFonts w:hint="default" w:ascii="Times New Roman Regular" w:hAnsi="Times New Roman Regular" w:cs="Times New Roman Regular"/>
          <w:strike w:val="0"/>
          <w:color w:val="auto"/>
          <w:szCs w:val="21"/>
          <w:highlight w:val="none"/>
          <w:lang w:eastAsia="zh-Hans"/>
        </w:rPr>
        <w:t>6.73</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7</w:t>
      </w:r>
      <w:r>
        <w:rPr>
          <w:rFonts w:ascii="Times New Roman Regular" w:hAnsi="Times New Roman Regular" w:cs="Times New Roman Regular"/>
          <w:strike w:val="0"/>
          <w:color w:val="auto"/>
          <w:szCs w:val="21"/>
          <w:highlight w:val="none"/>
          <w:lang w:eastAsia="zh-Hans"/>
        </w:rPr>
        <w:t>)</w:t>
      </w:r>
      <w:r>
        <w:rPr>
          <w:rFonts w:hint="default" w:ascii="Times New Roman Regular" w:hAnsi="Times New Roman Regular" w:cs="Times New Roman Regular"/>
          <w:strike w:val="0"/>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eastAsia="zh-Hans"/>
        </w:rPr>
        <w:t>was</w:t>
      </w:r>
      <w:r>
        <w:rPr>
          <w:rFonts w:ascii="Times New Roman Regular" w:hAnsi="Times New Roman Regular" w:cs="Times New Roman Regular"/>
          <w:strike w:val="0"/>
          <w:color w:val="auto"/>
          <w:szCs w:val="21"/>
          <w:highlight w:val="none"/>
          <w:lang w:eastAsia="zh-Hans"/>
        </w:rPr>
        <w:t xml:space="preserve"> mapped to the </w:t>
      </w:r>
      <w:r>
        <w:rPr>
          <w:rFonts w:hint="eastAsia" w:ascii="Times New Roman Regular" w:hAnsi="Times New Roman Regular" w:cs="Times New Roman Regular"/>
          <w:strike w:val="0"/>
          <w:color w:val="auto"/>
          <w:szCs w:val="21"/>
          <w:highlight w:val="none"/>
          <w:lang w:eastAsia="zh-Hans"/>
        </w:rPr>
        <w:t>heat shock transcription factor 5</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gene</w:t>
      </w:r>
      <w:r>
        <w:rPr>
          <w:rFonts w:hint="default" w:ascii="Times New Roman Regular" w:hAnsi="Times New Roman Regular" w:cs="Times New Roman Regular"/>
          <w:strike w:val="0"/>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i/>
          <w:iCs/>
          <w:strike w:val="0"/>
          <w:color w:val="auto"/>
          <w:szCs w:val="21"/>
          <w:highlight w:val="none"/>
          <w:lang w:eastAsia="zh-Hans"/>
        </w:rPr>
        <w:t>HSF5</w:t>
      </w:r>
      <w:r>
        <w:rPr>
          <w:rFonts w:hint="default" w:ascii="Times New Roman Regular" w:hAnsi="Times New Roman Regular" w:cs="Times New Roman Regular"/>
          <w:i w:val="0"/>
          <w:iCs w:val="0"/>
          <w:strike w:val="0"/>
          <w:color w:val="auto"/>
          <w:szCs w:val="21"/>
          <w:highlight w:val="none"/>
          <w:lang w:eastAsia="zh-Hans"/>
        </w:rPr>
        <w:t>)</w:t>
      </w:r>
      <w:r>
        <w:rPr>
          <w:rFonts w:ascii="Times New Roman Regular" w:hAnsi="Times New Roman Regular" w:cs="Times New Roman Regular"/>
          <w:strike w:val="0"/>
          <w:color w:val="auto"/>
          <w:szCs w:val="21"/>
          <w:highlight w:val="none"/>
          <w:lang w:eastAsia="zh-Hans"/>
        </w:rPr>
        <w:t xml:space="preserve">, which was also identified by CPASSOC </w:t>
      </w:r>
      <w:r>
        <w:rPr>
          <w:rFonts w:hint="eastAsia" w:ascii="Times New Roman Regular" w:hAnsi="Times New Roman Regular" w:cs="Times New Roman Regular"/>
          <w:strike w:val="0"/>
          <w:color w:val="auto"/>
          <w:szCs w:val="21"/>
          <w:highlight w:val="none"/>
          <w:lang w:eastAsia="zh-Hans"/>
        </w:rPr>
        <w:t>analysis</w:t>
      </w:r>
      <w:r>
        <w:rPr>
          <w:rFonts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i/>
          <w:iCs/>
          <w:strike w:val="0"/>
          <w:color w:val="auto"/>
          <w:szCs w:val="21"/>
          <w:highlight w:val="none"/>
          <w:lang w:eastAsia="zh-Hans"/>
        </w:rPr>
        <w:t>P</w:t>
      </w:r>
      <w:r>
        <w:rPr>
          <w:rFonts w:ascii="Times New Roman Regular" w:hAnsi="Times New Roman Regular" w:cs="Times New Roman Regular"/>
          <w:strike w:val="0"/>
          <w:color w:val="auto"/>
          <w:szCs w:val="21"/>
          <w:highlight w:val="none"/>
          <w:vertAlign w:val="subscript"/>
          <w:lang w:eastAsia="zh-Hans"/>
        </w:rPr>
        <w:t>CPASSOC</w:t>
      </w:r>
      <w:r>
        <w:rPr>
          <w:rFonts w:ascii="Times New Roman Regular" w:hAnsi="Times New Roman Regular" w:cs="Times New Roman Regular"/>
          <w:strike w:val="0"/>
          <w:color w:val="auto"/>
          <w:szCs w:val="21"/>
          <w:highlight w:val="none"/>
          <w:lang w:eastAsia="zh-Hans"/>
        </w:rPr>
        <w:t xml:space="preserve"> = </w:t>
      </w:r>
      <w:r>
        <w:rPr>
          <w:rFonts w:hint="default" w:ascii="Times New Roman Regular" w:hAnsi="Times New Roman Regular" w:cs="Times New Roman Regular"/>
          <w:strike w:val="0"/>
          <w:color w:val="auto"/>
          <w:szCs w:val="21"/>
          <w:highlight w:val="none"/>
          <w:lang w:eastAsia="zh-Hans"/>
        </w:rPr>
        <w:t>3.91</w:t>
      </w:r>
      <w:r>
        <w:rPr>
          <w:rFonts w:ascii="Times New Roman Regular" w:hAnsi="Times New Roman Regular" w:cs="Times New Roman Regular"/>
          <w:strike w:val="0"/>
          <w:color w:val="auto"/>
          <w:szCs w:val="21"/>
          <w:highlight w:val="none"/>
          <w:lang w:eastAsia="zh-Hans"/>
        </w:rPr>
        <w:t xml:space="preserve">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10</w:t>
      </w:r>
      <w:r>
        <w:rPr>
          <w:rFonts w:ascii="Times New Roman Regular" w:hAnsi="Times New Roman Regular" w:cs="Times New Roman Regular"/>
          <w:strike w:val="0"/>
          <w:color w:val="auto"/>
          <w:szCs w:val="21"/>
          <w:highlight w:val="none"/>
          <w:lang w:eastAsia="zh-Hans"/>
        </w:rPr>
        <w:t>,</w:t>
      </w:r>
      <w:r>
        <w:rPr>
          <w:rFonts w:ascii="Times New Roman Regular" w:hAnsi="Times New Roman Regular" w:cs="Times New Roman Regular"/>
          <w:strike w:val="0"/>
          <w:color w:val="auto"/>
          <w:szCs w:val="21"/>
          <w:highlight w:val="none"/>
          <w:vertAlign w:val="superscript"/>
          <w:lang w:eastAsia="zh-Hans"/>
        </w:rPr>
        <w:t xml:space="preserve"> </w:t>
      </w:r>
      <w:r>
        <w:rPr>
          <w:rFonts w:ascii="Times New Roman Regular" w:hAnsi="Times New Roman Regular" w:cs="Times New Roman Regular"/>
          <w:strike w:val="0"/>
          <w:color w:val="auto"/>
          <w:szCs w:val="21"/>
          <w:highlight w:val="none"/>
          <w:lang w:eastAsia="zh-Hans"/>
        </w:rPr>
        <w:t xml:space="preserve">Supplementary Fig. 7 and 8,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11</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strike w:val="0"/>
          <w:color w:val="auto"/>
          <w:szCs w:val="21"/>
          <w:highlight w:val="none"/>
          <w:lang w:val="en-US" w:eastAsia="zh-Hans"/>
        </w:rPr>
        <w:t xml:space="preserve">and </w:t>
      </w:r>
      <w:r>
        <w:rPr>
          <w:rFonts w:ascii="Times New Roman Regular" w:hAnsi="Times New Roman Regular" w:cs="Times New Roman Regular"/>
          <w:color w:val="auto"/>
          <w:szCs w:val="21"/>
          <w:highlight w:val="none"/>
          <w:lang w:eastAsia="zh-Hans"/>
        </w:rPr>
        <w:t>14</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Among all the top SNPs, none were located in exonic regions. Of these, 7 (53.85%) were intronic, 3 (23.08%) were intergenic, and 8 (61.54%) were annotated as potentially having regulatory functions.</w:t>
      </w:r>
    </w:p>
    <w:p w14:paraId="3D7F81B0">
      <w:pPr>
        <w:spacing w:line="360" w:lineRule="auto"/>
        <w:jc w:val="left"/>
        <w:rPr>
          <w:rFonts w:hint="eastAsia" w:ascii="Times New Roman Regular" w:hAnsi="Times New Roman Regular" w:cs="Times New Roman Regular"/>
          <w:strike w:val="0"/>
          <w:color w:val="auto"/>
          <w:szCs w:val="21"/>
          <w:highlight w:val="none"/>
          <w:lang w:eastAsia="zh-Hans"/>
        </w:rPr>
      </w:pPr>
    </w:p>
    <w:p w14:paraId="1DC4E848">
      <w:pPr>
        <w:spacing w:line="360" w:lineRule="auto"/>
        <w:jc w:val="left"/>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lang w:eastAsia="zh-Hans"/>
        </w:rPr>
        <w:t>Peripheral artery disease (MTAG_PAD</w:t>
      </w:r>
      <w:r>
        <w:rPr>
          <w:rFonts w:hint="default" w:ascii="Times New Roman Bold" w:hAnsi="Times New Roman Bold" w:cs="Times New Roman Bold"/>
          <w:b/>
          <w:bCs/>
          <w:color w:val="auto"/>
          <w:szCs w:val="21"/>
          <w:highlight w:val="none"/>
          <w:lang w:eastAsia="zh-Hans"/>
        </w:rPr>
        <w:t>_EUR</w:t>
      </w:r>
      <w:r>
        <w:rPr>
          <w:rFonts w:ascii="Times New Roman Bold" w:hAnsi="Times New Roman Bold" w:cs="Times New Roman Bold"/>
          <w:b/>
          <w:bCs/>
          <w:color w:val="auto"/>
          <w:szCs w:val="21"/>
          <w:highlight w:val="none"/>
          <w:lang w:eastAsia="zh-Hans"/>
        </w:rPr>
        <w:t>)</w:t>
      </w:r>
    </w:p>
    <w:p w14:paraId="69E04CC2">
      <w:pPr>
        <w:spacing w:line="360" w:lineRule="auto"/>
        <w:jc w:val="left"/>
        <w:rPr>
          <w:rFonts w:ascii="Times New Roman Regular" w:hAnsi="Times New Roman Regular" w:cs="Times New Roman Regular"/>
          <w:color w:val="auto"/>
          <w:szCs w:val="21"/>
          <w:highlight w:val="none"/>
          <w:lang w:eastAsia="zh-Hans"/>
        </w:rPr>
      </w:pPr>
      <w:r>
        <w:rPr>
          <w:rFonts w:hint="eastAsia" w:ascii="Times New Roman Regular" w:hAnsi="Times New Roman Regular" w:cs="Times New Roman Regular"/>
          <w:color w:val="auto"/>
          <w:szCs w:val="21"/>
          <w:highlight w:val="none"/>
          <w:lang w:eastAsia="zh-Hans"/>
        </w:rPr>
        <w:t>Using FUMA, we identified 43 LD-independent lead SNPs from the MTAG results for PAD, which were</w:t>
      </w:r>
      <w:r>
        <w:rPr>
          <w:rFonts w:hint="default" w:ascii="Times New Roman Regular" w:hAnsi="Times New Roman Regular" w:cs="Times New Roman Regular"/>
          <w:color w:val="auto"/>
          <w:szCs w:val="21"/>
          <w:highlight w:val="none"/>
          <w:lang w:val="en-US" w:eastAsia="zh-Hans"/>
        </w:rPr>
        <w:t xml:space="preserve"> </w:t>
      </w:r>
      <w:r>
        <w:rPr>
          <w:rFonts w:hint="eastAsia" w:ascii="Times New Roman Regular" w:hAnsi="Times New Roman Regular" w:cs="Times New Roman Regular"/>
          <w:color w:val="auto"/>
          <w:szCs w:val="21"/>
          <w:highlight w:val="none"/>
          <w:lang w:eastAsia="zh-Hans"/>
        </w:rPr>
        <w:t>mapped to 37 independent genomic risk loci (Fig. 3e).</w:t>
      </w:r>
      <w:r>
        <w:rPr>
          <w:rFonts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color w:val="auto"/>
          <w:szCs w:val="21"/>
          <w:highlight w:val="none"/>
          <w:lang w:eastAsia="zh-Hans"/>
        </w:rPr>
        <w:t>Of these, 33 loci did not overlap with those identified in the GWAS results for PAD, among which 3 overlapped with loci reported in other GWAS studies</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of PAD</w:t>
      </w:r>
      <w:r>
        <w:rPr>
          <w:rFonts w:hint="default" w:ascii="Times New Roman Regular" w:hAnsi="Times New Roman Regular" w:cs="Times New Roman Regular"/>
          <w:color w:val="auto"/>
          <w:szCs w:val="21"/>
          <w:highlight w:val="none"/>
          <w:lang w:eastAsia="zh-Hans"/>
        </w:rPr>
        <w:fldChar w:fldCharType="begin"/>
      </w:r>
      <w:r>
        <w:rPr>
          <w:rFonts w:hint="eastAsia" w:ascii="Times New Roman Regular" w:hAnsi="Times New Roman Regular" w:cs="Times New Roman Regular"/>
          <w:color w:val="auto"/>
          <w:szCs w:val="21"/>
          <w:highlight w:val="none"/>
          <w:lang w:eastAsia="zh-CN"/>
        </w:rPr>
        <w:instrText xml:space="preserve"> ADDIN NE.Ref.{EF3CF490-6880-4577-83EA-A50503FE8574}</w:instrText>
      </w:r>
      <w:r>
        <w:rPr>
          <w:rFonts w:hint="default" w:ascii="Times New Roman Regular" w:hAnsi="Times New Roman Regular" w:cs="Times New Roman Regular"/>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7</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17</w:t>
      </w:r>
      <w:r>
        <w:rPr>
          <w:rFonts w:hint="default" w:ascii="Times New Roman Regular" w:hAnsi="Times New Roman Regular" w:cs="Times New Roman Regular"/>
          <w:color w:val="auto"/>
          <w:szCs w:val="21"/>
          <w:highlight w:val="none"/>
          <w:lang w:eastAsia="zh-Hans"/>
        </w:rPr>
        <w:fldChar w:fldCharType="end"/>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 xml:space="preserve">We also identified 30 novel genomic risk loci, including one variant located downstream region of </w:t>
      </w:r>
      <w:r>
        <w:rPr>
          <w:rFonts w:hint="default" w:ascii="Times New Roman Italic" w:hAnsi="Times New Roman Italic" w:cs="Times New Roman Italic"/>
          <w:i/>
          <w:iCs/>
          <w:color w:val="auto"/>
          <w:szCs w:val="21"/>
          <w:highlight w:val="none"/>
          <w:lang w:eastAsia="zh-Hans"/>
        </w:rPr>
        <w:t>KLK13</w:t>
      </w:r>
      <w:r>
        <w:rPr>
          <w:rFonts w:hint="eastAsia" w:ascii="Times New Roman Regular" w:hAnsi="Times New Roman Regular" w:cs="Times New Roman Regular"/>
          <w:color w:val="auto"/>
          <w:szCs w:val="21"/>
          <w:highlight w:val="none"/>
          <w:lang w:eastAsia="zh-Hans"/>
        </w:rPr>
        <w:t>, two variants in the 3</w:t>
      </w:r>
      <w:r>
        <w:rPr>
          <w:rFonts w:hint="eastAsia" w:ascii="Times New Roman Regular" w:hAnsi="Times New Roman Regular" w:cs="Times New Roman Regular"/>
          <w:strike w:val="0"/>
          <w:color w:val="auto"/>
          <w:sz w:val="21"/>
          <w:szCs w:val="21"/>
          <w:highlight w:val="none"/>
          <w:lang w:val="en-AU"/>
        </w:rPr>
        <w:t>'</w:t>
      </w:r>
      <w:r>
        <w:rPr>
          <w:rFonts w:hint="eastAsia" w:ascii="Times New Roman Regular" w:hAnsi="Times New Roman Regular" w:cs="Times New Roman Regular"/>
          <w:color w:val="auto"/>
          <w:szCs w:val="21"/>
          <w:highlight w:val="none"/>
          <w:lang w:eastAsia="zh-Hans"/>
        </w:rPr>
        <w:t xml:space="preserve"> untranslated regions (3</w:t>
      </w:r>
      <w:r>
        <w:rPr>
          <w:rFonts w:hint="eastAsia" w:ascii="Times New Roman Regular" w:hAnsi="Times New Roman Regular" w:cs="Times New Roman Regular"/>
          <w:strike w:val="0"/>
          <w:color w:val="auto"/>
          <w:sz w:val="21"/>
          <w:szCs w:val="21"/>
          <w:highlight w:val="none"/>
          <w:lang w:val="en-AU"/>
        </w:rPr>
        <w:t>'</w:t>
      </w:r>
      <w:r>
        <w:rPr>
          <w:rFonts w:hint="eastAsia" w:ascii="Times New Roman Regular" w:hAnsi="Times New Roman Regular" w:cs="Times New Roman Regular"/>
          <w:color w:val="auto"/>
          <w:szCs w:val="21"/>
          <w:highlight w:val="none"/>
          <w:lang w:eastAsia="zh-Hans"/>
        </w:rPr>
        <w:t xml:space="preserve"> UTRs) of </w:t>
      </w:r>
      <w:r>
        <w:rPr>
          <w:rFonts w:hint="default" w:ascii="Times New Roman Italic" w:hAnsi="Times New Roman Italic" w:cs="Times New Roman Italic"/>
          <w:i/>
          <w:iCs/>
          <w:color w:val="auto"/>
          <w:szCs w:val="21"/>
          <w:highlight w:val="none"/>
          <w:lang w:eastAsia="zh-Hans"/>
        </w:rPr>
        <w:t>DPYD</w:t>
      </w:r>
      <w:r>
        <w:rPr>
          <w:rFonts w:hint="eastAsia" w:ascii="Times New Roman Regular" w:hAnsi="Times New Roman Regular" w:cs="Times New Roman Regular"/>
          <w:color w:val="auto"/>
          <w:szCs w:val="21"/>
          <w:highlight w:val="none"/>
          <w:lang w:eastAsia="zh-Hans"/>
        </w:rPr>
        <w:t xml:space="preserve"> and </w:t>
      </w:r>
      <w:r>
        <w:rPr>
          <w:rFonts w:hint="default" w:ascii="Times New Roman Italic" w:hAnsi="Times New Roman Italic" w:cs="Times New Roman Italic"/>
          <w:i/>
          <w:iCs/>
          <w:color w:val="auto"/>
          <w:szCs w:val="21"/>
          <w:highlight w:val="none"/>
          <w:lang w:eastAsia="zh-Hans"/>
        </w:rPr>
        <w:t>KCNK</w:t>
      </w:r>
      <w:r>
        <w:rPr>
          <w:rFonts w:hint="eastAsia" w:ascii="Times New Roman Regular" w:hAnsi="Times New Roman Regular" w:cs="Times New Roman Regular"/>
          <w:color w:val="auto"/>
          <w:szCs w:val="21"/>
          <w:highlight w:val="none"/>
          <w:lang w:eastAsia="zh-Hans"/>
        </w:rPr>
        <w:t>, five intronic variants, eleven intergenic variants, and three ncRNA-intronic variants.</w:t>
      </w:r>
      <w:r>
        <w:rPr>
          <w:rFonts w:ascii="Times New Roman Regular" w:hAnsi="Times New Roman Regular" w:cs="Times New Roman Regular"/>
          <w:color w:val="auto"/>
          <w:szCs w:val="21"/>
          <w:highlight w:val="none"/>
          <w:lang w:eastAsia="zh-Hans"/>
        </w:rPr>
        <w:t xml:space="preserve"> For example, rs348662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MTAG_</w:t>
      </w:r>
      <w:r>
        <w:rPr>
          <w:rFonts w:hint="default" w:ascii="Times New Roman Regular" w:hAnsi="Times New Roman Regular" w:cs="Times New Roman Regular"/>
          <w:color w:val="auto"/>
          <w:szCs w:val="21"/>
          <w:highlight w:val="none"/>
          <w:vertAlign w:val="subscript"/>
          <w:lang w:eastAsia="zh-Hans"/>
        </w:rPr>
        <w:t>P</w:t>
      </w:r>
      <w:r>
        <w:rPr>
          <w:rFonts w:ascii="Times New Roman Regular" w:hAnsi="Times New Roman Regular" w:cs="Times New Roman Regular"/>
          <w:color w:val="auto"/>
          <w:szCs w:val="21"/>
          <w:highlight w:val="none"/>
          <w:vertAlign w:val="subscript"/>
          <w:lang w:eastAsia="zh-Hans"/>
        </w:rPr>
        <w:t>AD</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 1.14 × 10</w:t>
      </w:r>
      <w:r>
        <w:rPr>
          <w:rFonts w:ascii="Times New Roman Regular" w:hAnsi="Times New Roman Regular" w:cs="Times New Roman Regular"/>
          <w:color w:val="auto"/>
          <w:szCs w:val="21"/>
          <w:highlight w:val="none"/>
          <w:vertAlign w:val="superscript"/>
          <w:lang w:eastAsia="zh-Hans"/>
        </w:rPr>
        <w:t>-8</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GWAS_</w:t>
      </w:r>
      <w:r>
        <w:rPr>
          <w:rFonts w:hint="default" w:ascii="Times New Roman Regular" w:hAnsi="Times New Roman Regular" w:cs="Times New Roman Regular"/>
          <w:color w:val="auto"/>
          <w:szCs w:val="21"/>
          <w:highlight w:val="none"/>
          <w:vertAlign w:val="subscript"/>
          <w:lang w:eastAsia="zh-Hans"/>
        </w:rPr>
        <w:t>P</w:t>
      </w:r>
      <w:r>
        <w:rPr>
          <w:rFonts w:ascii="Times New Roman Regular" w:hAnsi="Times New Roman Regular" w:cs="Times New Roman Regular"/>
          <w:color w:val="auto"/>
          <w:szCs w:val="21"/>
          <w:highlight w:val="none"/>
          <w:vertAlign w:val="subscript"/>
          <w:lang w:eastAsia="zh-Hans"/>
        </w:rPr>
        <w:t>AD</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xml:space="preserve"> = 7.22 × 10</w:t>
      </w:r>
      <w:r>
        <w:rPr>
          <w:rFonts w:ascii="Times New Roman Regular" w:hAnsi="Times New Roman Regular" w:cs="Times New Roman Regular"/>
          <w:color w:val="auto"/>
          <w:szCs w:val="21"/>
          <w:highlight w:val="none"/>
          <w:vertAlign w:val="superscript"/>
          <w:lang w:eastAsia="zh-Hans"/>
        </w:rPr>
        <w:t>-8</w:t>
      </w:r>
      <w:r>
        <w:rPr>
          <w:rFonts w:ascii="Times New Roman Regular" w:hAnsi="Times New Roman Regular" w:cs="Times New Roman Regular"/>
          <w:color w:val="auto"/>
          <w:szCs w:val="21"/>
          <w:highlight w:val="none"/>
          <w:lang w:eastAsia="zh-Hans"/>
        </w:rPr>
        <w:t xml:space="preserve">), an intronic variant, </w:t>
      </w:r>
      <w:r>
        <w:rPr>
          <w:rFonts w:hint="default" w:ascii="Times New Roman Regular" w:hAnsi="Times New Roman Regular" w:cs="Times New Roman Regular"/>
          <w:color w:val="auto"/>
          <w:szCs w:val="21"/>
          <w:highlight w:val="none"/>
          <w:lang w:eastAsia="zh-Hans"/>
        </w:rPr>
        <w:t>was mapped to</w:t>
      </w:r>
      <w:r>
        <w:rPr>
          <w:rFonts w:ascii="Times New Roman Regular" w:hAnsi="Times New Roman Regular" w:cs="Times New Roman Regular"/>
          <w:color w:val="auto"/>
          <w:szCs w:val="21"/>
          <w:highlight w:val="none"/>
          <w:lang w:eastAsia="zh-Hans"/>
        </w:rPr>
        <w:t xml:space="preserve"> TAFA chemokine</w:t>
      </w:r>
      <w:r>
        <w:rPr>
          <w:rFonts w:hint="default" w:ascii="Times New Roman Regular" w:hAnsi="Times New Roman Regular" w:cs="Times New Roman Regular"/>
          <w:color w:val="auto"/>
          <w:szCs w:val="21"/>
          <w:highlight w:val="none"/>
          <w:lang w:val="en-US" w:eastAsia="zh-Hans"/>
        </w:rPr>
        <w:t>-</w:t>
      </w:r>
      <w:r>
        <w:rPr>
          <w:rFonts w:ascii="Times New Roman Regular" w:hAnsi="Times New Roman Regular" w:cs="Times New Roman Regular"/>
          <w:color w:val="auto"/>
          <w:szCs w:val="21"/>
          <w:highlight w:val="none"/>
          <w:lang w:eastAsia="zh-Hans"/>
        </w:rPr>
        <w:t>like family member 2 gene</w:t>
      </w:r>
      <w:r>
        <w:rPr>
          <w:rFonts w:hint="default" w:ascii="Times New Roman Regular" w:hAnsi="Times New Roman Regular" w:cs="Times New Roman Regular"/>
          <w:color w:val="auto"/>
          <w:szCs w:val="21"/>
          <w:highlight w:val="none"/>
          <w:lang w:val="en-US" w:eastAsia="zh-Hans"/>
        </w:rPr>
        <w:t xml:space="preserve"> </w:t>
      </w:r>
      <w:r>
        <w:rPr>
          <w:rFonts w:ascii="Times New Roman Regular" w:hAnsi="Times New Roman Regular" w:cs="Times New Roman Regular"/>
          <w:color w:val="auto"/>
          <w:szCs w:val="21"/>
          <w:highlight w:val="none"/>
          <w:lang w:eastAsia="zh-Hans"/>
        </w:rPr>
        <w:t>(</w:t>
      </w:r>
      <w:r>
        <w:rPr>
          <w:rFonts w:ascii="Times New Roman Regular" w:hAnsi="Times New Roman Regular" w:cs="Times New Roman Regular"/>
          <w:i/>
          <w:iCs/>
          <w:color w:val="auto"/>
          <w:szCs w:val="21"/>
          <w:highlight w:val="none"/>
          <w:lang w:eastAsia="zh-Hans"/>
        </w:rPr>
        <w:t>TAFA2</w:t>
      </w:r>
      <w:r>
        <w:rPr>
          <w:rFonts w:ascii="Times New Roman Regular" w:hAnsi="Times New Roman Regular" w:cs="Times New Roman Regular"/>
          <w:color w:val="auto"/>
          <w:szCs w:val="21"/>
          <w:highlight w:val="none"/>
          <w:lang w:eastAsia="zh-Hans"/>
        </w:rPr>
        <w:t>)</w:t>
      </w:r>
      <w:r>
        <w:rPr>
          <w:rFonts w:hint="default" w:ascii="Times New Roman Regular" w:hAnsi="Times New Roman Regular" w:cs="Times New Roman Regular"/>
          <w:color w:val="auto"/>
          <w:szCs w:val="21"/>
          <w:highlight w:val="none"/>
          <w:lang w:val="en-US" w:eastAsia="zh-Hans"/>
        </w:rPr>
        <w:t xml:space="preserve"> </w:t>
      </w:r>
      <w:r>
        <w:rPr>
          <w:rFonts w:ascii="Times New Roman Regular" w:hAnsi="Times New Roman Regular" w:cs="Times New Roman Regular"/>
          <w:color w:val="auto"/>
          <w:szCs w:val="21"/>
          <w:highlight w:val="none"/>
          <w:lang w:eastAsia="zh-Hans"/>
        </w:rPr>
        <w:t xml:space="preserve">on 12q14.1, which was also identified by CPASSOC </w:t>
      </w:r>
      <w:r>
        <w:rPr>
          <w:rFonts w:hint="eastAsia" w:ascii="Times New Roman Regular" w:hAnsi="Times New Roman Regular" w:cs="Times New Roman Regular"/>
          <w:color w:val="auto"/>
          <w:szCs w:val="21"/>
          <w:highlight w:val="none"/>
          <w:lang w:eastAsia="zh-Hans"/>
        </w:rPr>
        <w:t>analysis</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CPASSOC</w:t>
      </w:r>
      <w:r>
        <w:rPr>
          <w:rFonts w:ascii="Times New Roman Regular" w:hAnsi="Times New Roman Regular" w:cs="Times New Roman Regular"/>
          <w:color w:val="auto"/>
          <w:szCs w:val="21"/>
          <w:highlight w:val="none"/>
          <w:lang w:eastAsia="zh-Hans"/>
        </w:rPr>
        <w:t xml:space="preserve"> = 1.14 × 10</w:t>
      </w:r>
      <w:r>
        <w:rPr>
          <w:rFonts w:ascii="Times New Roman Regular" w:hAnsi="Times New Roman Regular" w:cs="Times New Roman Regular"/>
          <w:color w:val="auto"/>
          <w:szCs w:val="21"/>
          <w:highlight w:val="none"/>
          <w:vertAlign w:val="superscript"/>
          <w:lang w:eastAsia="zh-Hans"/>
        </w:rPr>
        <w:t>-10</w:t>
      </w:r>
      <w:r>
        <w:rPr>
          <w:rFonts w:ascii="Times New Roman Regular" w:hAnsi="Times New Roman Regular" w:cs="Times New Roman Regular"/>
          <w:color w:val="auto"/>
          <w:szCs w:val="21"/>
          <w:highlight w:val="none"/>
          <w:lang w:eastAsia="zh-Hans"/>
        </w:rPr>
        <w:t>,</w:t>
      </w:r>
      <w:r>
        <w:rPr>
          <w:rFonts w:ascii="Times New Roman Regular" w:hAnsi="Times New Roman Regular" w:cs="Times New Roman Regular"/>
          <w:color w:val="auto"/>
          <w:szCs w:val="21"/>
          <w:highlight w:val="none"/>
          <w:vertAlign w:val="superscript"/>
          <w:lang w:eastAsia="zh-Hans"/>
        </w:rPr>
        <w:t xml:space="preserve"> </w:t>
      </w:r>
      <w:r>
        <w:rPr>
          <w:rFonts w:ascii="Times New Roman Regular" w:hAnsi="Times New Roman Regular" w:cs="Times New Roman Regular"/>
          <w:color w:val="auto"/>
          <w:szCs w:val="21"/>
          <w:highlight w:val="none"/>
          <w:lang w:eastAsia="zh-Hans"/>
        </w:rPr>
        <w:t xml:space="preserve">Supplementary Fig. 7 and 8,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11</w:t>
      </w:r>
      <w:r>
        <w:rPr>
          <w:rFonts w:hint="default" w:ascii="Times New Roman Regular" w:hAnsi="Times New Roman Regular" w:cs="Times New Roman Regular"/>
          <w:color w:val="auto"/>
          <w:szCs w:val="21"/>
          <w:highlight w:val="none"/>
          <w:lang w:val="en-US" w:eastAsia="zh-Hans"/>
        </w:rPr>
        <w:t xml:space="preserve"> and </w:t>
      </w:r>
      <w:r>
        <w:rPr>
          <w:rFonts w:ascii="Times New Roman Regular" w:hAnsi="Times New Roman Regular" w:cs="Times New Roman Regular"/>
          <w:color w:val="auto"/>
          <w:szCs w:val="21"/>
          <w:highlight w:val="none"/>
          <w:lang w:eastAsia="zh-Hans"/>
        </w:rPr>
        <w:t xml:space="preserve">14). </w:t>
      </w:r>
      <w:r>
        <w:rPr>
          <w:rFonts w:hint="eastAsia" w:ascii="Times New Roman Regular" w:hAnsi="Times New Roman Regular" w:cs="Times New Roman Regular"/>
          <w:color w:val="auto"/>
          <w:szCs w:val="21"/>
          <w:highlight w:val="none"/>
          <w:lang w:eastAsia="zh-Hans"/>
        </w:rPr>
        <w:t>Among all the top SNPs, none were located in exonic regions. Of these, 11 (29.73%) were intronic, 15 (40.54%) were intergenic, and 30 (81.08%) were annotated as potentially having regulatory functions.</w:t>
      </w:r>
    </w:p>
    <w:p w14:paraId="0E583444">
      <w:pPr>
        <w:spacing w:line="360" w:lineRule="auto"/>
        <w:jc w:val="left"/>
        <w:rPr>
          <w:rFonts w:hint="eastAsia" w:ascii="Times New Roman Regular" w:hAnsi="Times New Roman Regular" w:cs="Times New Roman Regular"/>
          <w:color w:val="auto"/>
          <w:szCs w:val="21"/>
          <w:highlight w:val="none"/>
          <w:lang w:eastAsia="zh-Hans"/>
        </w:rPr>
      </w:pPr>
    </w:p>
    <w:p w14:paraId="1B29EFE4">
      <w:pPr>
        <w:spacing w:line="360" w:lineRule="auto"/>
        <w:jc w:val="left"/>
        <w:rPr>
          <w:rFonts w:hint="eastAsia" w:ascii="Times New Roman Bold" w:hAnsi="Times New Roman Bold" w:cs="Times New Roman Bold"/>
          <w:b/>
          <w:bCs/>
          <w:color w:val="auto"/>
          <w:szCs w:val="21"/>
          <w:highlight w:val="none"/>
          <w:lang w:eastAsia="zh-Hans"/>
        </w:rPr>
      </w:pPr>
      <w:r>
        <w:rPr>
          <w:rFonts w:ascii="Times New Roman Bold" w:hAnsi="Times New Roman Bold" w:cs="Times New Roman Bold"/>
          <w:b/>
          <w:bCs/>
          <w:color w:val="auto"/>
          <w:szCs w:val="21"/>
          <w:highlight w:val="none"/>
          <w:lang w:eastAsia="zh-Hans"/>
        </w:rPr>
        <w:t>Stroke (MTAG_Stroke</w:t>
      </w:r>
      <w:r>
        <w:rPr>
          <w:rFonts w:hint="default" w:ascii="Times New Roman Bold" w:hAnsi="Times New Roman Bold" w:cs="Times New Roman Bold"/>
          <w:b/>
          <w:bCs/>
          <w:color w:val="auto"/>
          <w:szCs w:val="21"/>
          <w:highlight w:val="none"/>
          <w:lang w:eastAsia="zh-Hans"/>
        </w:rPr>
        <w:t>_EUR</w:t>
      </w:r>
      <w:r>
        <w:rPr>
          <w:rFonts w:ascii="Times New Roman Bold" w:hAnsi="Times New Roman Bold" w:cs="Times New Roman Bold"/>
          <w:b/>
          <w:bCs/>
          <w:color w:val="auto"/>
          <w:szCs w:val="21"/>
          <w:highlight w:val="none"/>
          <w:lang w:eastAsia="zh-Hans"/>
        </w:rPr>
        <w:t>)</w:t>
      </w:r>
    </w:p>
    <w:p w14:paraId="16F97DB4">
      <w:pPr>
        <w:spacing w:line="360" w:lineRule="auto"/>
        <w:jc w:val="left"/>
        <w:rPr>
          <w:rFonts w:hint="eastAsia" w:ascii="Times New Roman Regular" w:hAnsi="Times New Roman Regular" w:cs="Times New Roman Regular"/>
          <w:color w:val="auto"/>
          <w:szCs w:val="21"/>
          <w:highlight w:val="none"/>
          <w:lang w:eastAsia="zh-Hans"/>
        </w:rPr>
      </w:pPr>
      <w:r>
        <w:rPr>
          <w:rFonts w:hint="eastAsia" w:ascii="Times New Roman Regular" w:hAnsi="Times New Roman Regular" w:cs="Times New Roman Regular"/>
          <w:color w:val="auto"/>
          <w:szCs w:val="21"/>
          <w:highlight w:val="none"/>
          <w:lang w:eastAsia="zh-Hans"/>
        </w:rPr>
        <w:t xml:space="preserve">We identified 20 LD-independent lead SNPs from the MTAG analysis of </w:t>
      </w:r>
      <w:r>
        <w:rPr>
          <w:rFonts w:hint="default" w:ascii="Times New Roman Regular" w:hAnsi="Times New Roman Regular" w:cs="Times New Roman Regular"/>
          <w:color w:val="auto"/>
          <w:szCs w:val="21"/>
          <w:highlight w:val="none"/>
          <w:lang w:val="en-US" w:eastAsia="zh-Hans"/>
        </w:rPr>
        <w:t>s</w:t>
      </w:r>
      <w:r>
        <w:rPr>
          <w:rFonts w:hint="eastAsia" w:ascii="Times New Roman Regular" w:hAnsi="Times New Roman Regular" w:cs="Times New Roman Regular"/>
          <w:color w:val="auto"/>
          <w:szCs w:val="21"/>
          <w:highlight w:val="none"/>
          <w:lang w:eastAsia="zh-Hans"/>
        </w:rPr>
        <w:t>troke, which were mapped to 18 distinct genomic risk loci using FUMA (Fig. 3f).</w:t>
      </w:r>
      <w:r>
        <w:rPr>
          <w:rFonts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color w:val="auto"/>
          <w:szCs w:val="21"/>
          <w:highlight w:val="none"/>
          <w:lang w:eastAsia="zh-Hans"/>
        </w:rPr>
        <w:t>Among these, 7 did not overlap with loci identified in the GWAS of stroke, whereas 4 overlapped with loci reported in previous GWAS studies of stroke</w:t>
      </w:r>
      <w:r>
        <w:rPr>
          <w:rFonts w:hint="default" w:ascii="Times New Roman Regular" w:hAnsi="Times New Roman Regular" w:cs="Times New Roman Regular"/>
          <w:color w:val="auto"/>
          <w:szCs w:val="21"/>
          <w:highlight w:val="none"/>
          <w:lang w:eastAsia="zh-Hans"/>
        </w:rPr>
        <w:fldChar w:fldCharType="begin"/>
      </w:r>
      <w:r>
        <w:rPr>
          <w:rFonts w:hint="eastAsia" w:ascii="Times New Roman Regular" w:hAnsi="Times New Roman Regular" w:cs="Times New Roman Regular"/>
          <w:color w:val="auto"/>
          <w:szCs w:val="21"/>
          <w:highlight w:val="none"/>
          <w:lang w:eastAsia="zh-CN"/>
        </w:rPr>
        <w:instrText xml:space="preserve"> ADDIN NE.Ref.{913EBB34-9E30-484F-B00B-06B6C9CE4AE0}</w:instrText>
      </w:r>
      <w:r>
        <w:rPr>
          <w:rFonts w:hint="default" w:ascii="Times New Roman Regular" w:hAnsi="Times New Roman Regular" w:cs="Times New Roman Regular"/>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8</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18</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19</w:t>
      </w:r>
      <w:r>
        <w:rPr>
          <w:rFonts w:hint="default" w:ascii="Times New Roman Regular" w:hAnsi="Times New Roman Regular" w:cs="Times New Roman Regular"/>
          <w:color w:val="auto"/>
          <w:szCs w:val="21"/>
          <w:highlight w:val="none"/>
          <w:lang w:eastAsia="zh-Hans"/>
        </w:rPr>
        <w:fldChar w:fldCharType="end"/>
      </w:r>
      <w:r>
        <w:rPr>
          <w:rFonts w:hint="default"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val="en-US" w:eastAsia="zh-Hans"/>
        </w:rPr>
        <w:t>Three genomic risk loci—6p21.2, 11p11.2, and 17p11.2—were considered novel.</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color w:val="auto"/>
          <w:szCs w:val="21"/>
          <w:highlight w:val="none"/>
          <w:lang w:eastAsia="zh-Hans"/>
        </w:rPr>
        <w:t>For example, rs7944241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MTAG_</w:t>
      </w:r>
      <w:r>
        <w:rPr>
          <w:rFonts w:hint="default" w:ascii="Times New Roman Regular" w:hAnsi="Times New Roman Regular" w:cs="Times New Roman Regular"/>
          <w:color w:val="auto"/>
          <w:szCs w:val="21"/>
          <w:highlight w:val="none"/>
          <w:vertAlign w:val="subscript"/>
          <w:lang w:eastAsia="zh-Hans"/>
        </w:rPr>
        <w:t>Stroke</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 5.57 × 10</w:t>
      </w:r>
      <w:r>
        <w:rPr>
          <w:rFonts w:ascii="Times New Roman Regular" w:hAnsi="Times New Roman Regular" w:cs="Times New Roman Regular"/>
          <w:color w:val="auto"/>
          <w:szCs w:val="21"/>
          <w:highlight w:val="none"/>
          <w:vertAlign w:val="superscript"/>
          <w:lang w:eastAsia="zh-Hans"/>
        </w:rPr>
        <w:t>-9</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GWAS_</w:t>
      </w:r>
      <w:r>
        <w:rPr>
          <w:rFonts w:hint="default" w:ascii="Times New Roman Regular" w:hAnsi="Times New Roman Regular" w:cs="Times New Roman Regular"/>
          <w:color w:val="auto"/>
          <w:szCs w:val="21"/>
          <w:highlight w:val="none"/>
          <w:vertAlign w:val="subscript"/>
          <w:lang w:eastAsia="zh-Hans"/>
        </w:rPr>
        <w:t>Stroke</w:t>
      </w:r>
      <w:r>
        <w:rPr>
          <w:rFonts w:hint="default" w:ascii="Times New Roman Regular" w:hAnsi="Times New Roman Regular" w:cs="Times New Roman Regular"/>
          <w:strike w:val="0"/>
          <w:color w:val="auto"/>
          <w:szCs w:val="21"/>
          <w:highlight w:val="none"/>
          <w:vertAlign w:val="subscript"/>
          <w:lang w:eastAsia="zh-Hans"/>
        </w:rPr>
        <w:t>_EUR</w:t>
      </w:r>
      <w:r>
        <w:rPr>
          <w:rFonts w:ascii="Times New Roman Regular" w:hAnsi="Times New Roman Regular" w:cs="Times New Roman Regular"/>
          <w:color w:val="auto"/>
          <w:szCs w:val="21"/>
          <w:highlight w:val="none"/>
          <w:lang w:eastAsia="zh-Hans"/>
        </w:rPr>
        <w:t xml:space="preserve"> = 5.19 × 10</w:t>
      </w:r>
      <w:r>
        <w:rPr>
          <w:rFonts w:ascii="Times New Roman Regular" w:hAnsi="Times New Roman Regular" w:cs="Times New Roman Regular"/>
          <w:color w:val="auto"/>
          <w:szCs w:val="21"/>
          <w:highlight w:val="none"/>
          <w:vertAlign w:val="superscript"/>
          <w:lang w:eastAsia="zh-Hans"/>
        </w:rPr>
        <w:t>-5</w:t>
      </w:r>
      <w:r>
        <w:rPr>
          <w:rFonts w:ascii="Times New Roman Regular" w:hAnsi="Times New Roman Regular" w:cs="Times New Roman Regular"/>
          <w:color w:val="auto"/>
          <w:szCs w:val="21"/>
          <w:highlight w:val="none"/>
          <w:lang w:eastAsia="zh-Hans"/>
        </w:rPr>
        <w:t>)</w:t>
      </w:r>
      <w:r>
        <w:rPr>
          <w:rFonts w:hint="eastAsia" w:ascii="Times New Roman Regular" w:hAnsi="Times New Roman Regular" w:cs="Times New Roman Regular"/>
          <w:color w:val="auto"/>
          <w:szCs w:val="21"/>
          <w:highlight w:val="none"/>
          <w:lang w:eastAsia="zh-Hans"/>
        </w:rPr>
        <w:t>, an intergenic variant located at the novel genomic locus 11p11.2, was mapped to the nearest gene,</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HSD17B12</w:t>
      </w:r>
      <w:r>
        <w:rPr>
          <w:rFonts w:hint="eastAsia" w:ascii="Times New Roman Regular" w:hAnsi="Times New Roman Regular" w:cs="Times New Roman Regular"/>
          <w:color w:val="auto"/>
          <w:szCs w:val="21"/>
          <w:highlight w:val="none"/>
          <w:lang w:eastAsia="zh-Hans"/>
        </w:rPr>
        <w:t xml:space="preserve">. It also functioned as an eQTL associated with </w:t>
      </w:r>
      <w:r>
        <w:rPr>
          <w:rFonts w:hint="default" w:ascii="Times New Roman Italic" w:hAnsi="Times New Roman Italic" w:cs="Times New Roman Italic"/>
          <w:i/>
          <w:iCs/>
          <w:color w:val="auto"/>
          <w:szCs w:val="21"/>
          <w:highlight w:val="none"/>
          <w:lang w:eastAsia="zh-Hans"/>
        </w:rPr>
        <w:t>HSD17B12</w:t>
      </w:r>
      <w:r>
        <w:rPr>
          <w:rFonts w:hint="eastAsia" w:ascii="Times New Roman Regular" w:hAnsi="Times New Roman Regular" w:cs="Times New Roman Regular"/>
          <w:color w:val="auto"/>
          <w:szCs w:val="21"/>
          <w:highlight w:val="none"/>
          <w:lang w:eastAsia="zh-Hans"/>
        </w:rPr>
        <w:t xml:space="preserve"> expression in 10 cardiovascular-related tissues, with FDR values ranging from</w:t>
      </w:r>
      <w:r>
        <w:rPr>
          <w:rFonts w:ascii="Times New Roman Regular" w:hAnsi="Times New Roman Regular" w:cs="Times New Roman Regular"/>
          <w:color w:val="auto"/>
          <w:szCs w:val="21"/>
          <w:highlight w:val="none"/>
          <w:lang w:eastAsia="zh-Hans"/>
        </w:rPr>
        <w:t xml:space="preserve"> </w:t>
      </w:r>
      <w:r>
        <w:rPr>
          <w:rFonts w:hint="eastAsia" w:ascii="Times New Roman Regular" w:hAnsi="Times New Roman Regular" w:cs="Times New Roman Regular"/>
          <w:color w:val="auto"/>
          <w:szCs w:val="21"/>
          <w:highlight w:val="none"/>
          <w:lang w:eastAsia="zh-Hans"/>
        </w:rPr>
        <w:t>7.80</w:t>
      </w:r>
      <w:r>
        <w:rPr>
          <w:rFonts w:ascii="Times New Roman Regular" w:hAnsi="Times New Roman Regular" w:cs="Times New Roman Regular"/>
          <w:color w:val="auto"/>
          <w:szCs w:val="21"/>
          <w:highlight w:val="none"/>
          <w:lang w:eastAsia="zh-Hans"/>
        </w:rPr>
        <w:t xml:space="preserve"> × 10</w:t>
      </w:r>
      <w:r>
        <w:rPr>
          <w:rFonts w:ascii="Times New Roman Regular" w:hAnsi="Times New Roman Regular" w:cs="Times New Roman Regular"/>
          <w:color w:val="auto"/>
          <w:szCs w:val="21"/>
          <w:highlight w:val="none"/>
          <w:vertAlign w:val="superscript"/>
          <w:lang w:eastAsia="zh-Hans"/>
        </w:rPr>
        <w:t>-</w:t>
      </w:r>
      <w:r>
        <w:rPr>
          <w:rFonts w:hint="default" w:ascii="Times New Roman Regular" w:hAnsi="Times New Roman Regular" w:cs="Times New Roman Regular"/>
          <w:color w:val="auto"/>
          <w:szCs w:val="21"/>
          <w:highlight w:val="none"/>
          <w:vertAlign w:val="superscript"/>
          <w:lang w:eastAsia="zh-Hans"/>
        </w:rPr>
        <w:t>14</w:t>
      </w:r>
      <w:r>
        <w:rPr>
          <w:rFonts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color w:val="auto"/>
          <w:szCs w:val="21"/>
          <w:highlight w:val="none"/>
          <w:lang w:val="en-US" w:eastAsia="zh-Hans"/>
        </w:rPr>
        <w:t xml:space="preserve">in liver </w:t>
      </w:r>
      <w:r>
        <w:rPr>
          <w:rFonts w:ascii="Times New Roman Regular" w:hAnsi="Times New Roman Regular" w:cs="Times New Roman Regular"/>
          <w:color w:val="auto"/>
          <w:szCs w:val="21"/>
          <w:highlight w:val="none"/>
          <w:lang w:eastAsia="zh-Hans"/>
        </w:rPr>
        <w:t xml:space="preserve">to </w:t>
      </w:r>
      <w:r>
        <w:rPr>
          <w:rFonts w:hint="default" w:ascii="Times New Roman Regular" w:hAnsi="Times New Roman Regular" w:cs="Times New Roman Regular"/>
          <w:color w:val="auto"/>
          <w:szCs w:val="21"/>
          <w:highlight w:val="none"/>
          <w:lang w:eastAsia="zh-Hans"/>
        </w:rPr>
        <w:t>2.00</w:t>
      </w:r>
      <w:r>
        <w:rPr>
          <w:rFonts w:ascii="Times New Roman Regular" w:hAnsi="Times New Roman Regular" w:cs="Times New Roman Regular"/>
          <w:color w:val="auto"/>
          <w:szCs w:val="21"/>
          <w:highlight w:val="none"/>
          <w:lang w:eastAsia="zh-Hans"/>
        </w:rPr>
        <w:t xml:space="preserve"> × 10</w:t>
      </w:r>
      <w:r>
        <w:rPr>
          <w:rFonts w:ascii="Times New Roman Regular" w:hAnsi="Times New Roman Regular" w:cs="Times New Roman Regular"/>
          <w:color w:val="auto"/>
          <w:szCs w:val="21"/>
          <w:highlight w:val="none"/>
          <w:vertAlign w:val="superscript"/>
          <w:lang w:eastAsia="zh-Hans"/>
        </w:rPr>
        <w:t>-</w:t>
      </w:r>
      <w:r>
        <w:rPr>
          <w:rFonts w:hint="default" w:ascii="Times New Roman Regular" w:hAnsi="Times New Roman Regular" w:cs="Times New Roman Regular"/>
          <w:color w:val="auto"/>
          <w:szCs w:val="21"/>
          <w:highlight w:val="none"/>
          <w:vertAlign w:val="superscript"/>
          <w:lang w:eastAsia="zh-Hans"/>
        </w:rPr>
        <w:t>120</w:t>
      </w:r>
      <w:r>
        <w:rPr>
          <w:rFonts w:hint="default" w:ascii="Times New Roman Regular" w:hAnsi="Times New Roman Regular" w:cs="Times New Roman Regular"/>
          <w:color w:val="auto"/>
          <w:szCs w:val="21"/>
          <w:highlight w:val="none"/>
          <w:vertAlign w:val="superscript"/>
          <w:lang w:val="en-US" w:eastAsia="zh-Hans"/>
        </w:rPr>
        <w:t xml:space="preserve"> </w:t>
      </w:r>
      <w:r>
        <w:rPr>
          <w:rFonts w:hint="default" w:ascii="Times New Roman Regular" w:hAnsi="Times New Roman Regular" w:cs="Times New Roman Regular"/>
          <w:color w:val="auto"/>
          <w:szCs w:val="21"/>
          <w:highlight w:val="none"/>
          <w:vertAlign w:val="baseline"/>
          <w:lang w:val="en-US" w:eastAsia="zh-Hans"/>
        </w:rPr>
        <w:t>in whole blood</w:t>
      </w:r>
      <w:r>
        <w:rPr>
          <w:rFonts w:ascii="Times New Roman Regular" w:hAnsi="Times New Roman Regular" w:cs="Times New Roman Regular"/>
          <w:color w:val="auto"/>
          <w:szCs w:val="21"/>
          <w:highlight w:val="none"/>
          <w:lang w:eastAsia="zh-Hans"/>
        </w:rPr>
        <w:t xml:space="preserve">, which </w:t>
      </w:r>
      <w:r>
        <w:rPr>
          <w:rFonts w:hint="eastAsia" w:ascii="Times New Roman Regular" w:hAnsi="Times New Roman Regular" w:cs="Times New Roman Regular"/>
          <w:color w:val="auto"/>
          <w:szCs w:val="21"/>
          <w:highlight w:val="none"/>
          <w:lang w:eastAsia="zh-Hans"/>
        </w:rPr>
        <w:t>was further confirmed by</w:t>
      </w:r>
      <w:r>
        <w:rPr>
          <w:rFonts w:ascii="Times New Roman Regular" w:hAnsi="Times New Roman Regular" w:cs="Times New Roman Regular"/>
          <w:color w:val="auto"/>
          <w:szCs w:val="21"/>
          <w:highlight w:val="none"/>
          <w:lang w:eastAsia="zh-Hans"/>
        </w:rPr>
        <w:t xml:space="preserve"> CPASSOC </w:t>
      </w:r>
      <w:r>
        <w:rPr>
          <w:rFonts w:hint="eastAsia" w:ascii="Times New Roman Regular" w:hAnsi="Times New Roman Regular" w:cs="Times New Roman Regular"/>
          <w:color w:val="auto"/>
          <w:szCs w:val="21"/>
          <w:highlight w:val="none"/>
          <w:lang w:eastAsia="zh-Hans"/>
        </w:rPr>
        <w:t>analysis</w:t>
      </w:r>
      <w:r>
        <w:rPr>
          <w:rFonts w:ascii="Times New Roman Regular" w:hAnsi="Times New Roman Regular" w:cs="Times New Roman Regular"/>
          <w:color w:val="auto"/>
          <w:szCs w:val="21"/>
          <w:highlight w:val="none"/>
          <w:lang w:eastAsia="zh-Hans"/>
        </w:rPr>
        <w:t xml:space="preserve"> (</w:t>
      </w:r>
      <w:r>
        <w:rPr>
          <w:rFonts w:ascii="Times New Roman Regular" w:hAnsi="Times New Roman Regular" w:cs="Times New Roman Regular"/>
          <w:i/>
          <w:iCs/>
          <w:color w:val="auto"/>
          <w:szCs w:val="21"/>
          <w:highlight w:val="none"/>
          <w:lang w:eastAsia="zh-Hans"/>
        </w:rPr>
        <w:t>P</w:t>
      </w:r>
      <w:r>
        <w:rPr>
          <w:rFonts w:ascii="Times New Roman Regular" w:hAnsi="Times New Roman Regular" w:cs="Times New Roman Regular"/>
          <w:color w:val="auto"/>
          <w:szCs w:val="21"/>
          <w:highlight w:val="none"/>
          <w:vertAlign w:val="subscript"/>
          <w:lang w:eastAsia="zh-Hans"/>
        </w:rPr>
        <w:t>CPASSOC</w:t>
      </w:r>
      <w:r>
        <w:rPr>
          <w:rFonts w:ascii="Times New Roman Regular" w:hAnsi="Times New Roman Regular" w:cs="Times New Roman Regular"/>
          <w:color w:val="auto"/>
          <w:szCs w:val="21"/>
          <w:highlight w:val="none"/>
          <w:lang w:eastAsia="zh-Hans"/>
        </w:rPr>
        <w:t xml:space="preserve"> = 1.06 × 10</w:t>
      </w:r>
      <w:r>
        <w:rPr>
          <w:rFonts w:ascii="Times New Roman Regular" w:hAnsi="Times New Roman Regular" w:cs="Times New Roman Regular"/>
          <w:color w:val="auto"/>
          <w:szCs w:val="21"/>
          <w:highlight w:val="none"/>
          <w:vertAlign w:val="superscript"/>
          <w:lang w:eastAsia="zh-Hans"/>
        </w:rPr>
        <w:t>-9</w:t>
      </w:r>
      <w:r>
        <w:rPr>
          <w:rFonts w:ascii="Times New Roman Regular" w:hAnsi="Times New Roman Regular" w:cs="Times New Roman Regular"/>
          <w:color w:val="auto"/>
          <w:szCs w:val="21"/>
          <w:highlight w:val="none"/>
          <w:lang w:eastAsia="zh-Hans"/>
        </w:rPr>
        <w:t>,</w:t>
      </w:r>
      <w:r>
        <w:rPr>
          <w:rFonts w:ascii="Times New Roman Regular" w:hAnsi="Times New Roman Regular" w:cs="Times New Roman Regular"/>
          <w:color w:val="auto"/>
          <w:szCs w:val="21"/>
          <w:highlight w:val="none"/>
          <w:vertAlign w:val="superscript"/>
          <w:lang w:eastAsia="zh-Hans"/>
        </w:rPr>
        <w:t xml:space="preserve"> </w:t>
      </w:r>
      <w:r>
        <w:rPr>
          <w:rFonts w:ascii="Times New Roman Regular" w:hAnsi="Times New Roman Regular" w:cs="Times New Roman Regular"/>
          <w:color w:val="auto"/>
          <w:szCs w:val="21"/>
          <w:highlight w:val="none"/>
          <w:lang w:eastAsia="zh-Hans"/>
        </w:rPr>
        <w:t xml:space="preserve">Supplementary Fig. 7 and 8,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11, and </w:t>
      </w:r>
      <w:r>
        <w:rPr>
          <w:rFonts w:ascii="Times New Roman Regular" w:hAnsi="Times New Roman Regular" w:cs="Times New Roman Regular"/>
          <w:color w:val="auto"/>
          <w:szCs w:val="21"/>
          <w:highlight w:val="none"/>
          <w:lang w:val="en-US" w:eastAsia="zh-Hans"/>
        </w:rPr>
        <w:t>Supplementary Data</w:t>
      </w:r>
      <w:r>
        <w:rPr>
          <w:rFonts w:ascii="Times New Roman Regular" w:hAnsi="Times New Roman Regular" w:cs="Times New Roman Regular"/>
          <w:color w:val="auto"/>
          <w:szCs w:val="21"/>
          <w:highlight w:val="none"/>
          <w:lang w:eastAsia="zh-Hans"/>
        </w:rPr>
        <w:t xml:space="preserve"> 14). </w:t>
      </w:r>
      <w:r>
        <w:rPr>
          <w:rFonts w:hint="eastAsia" w:ascii="Times New Roman Regular" w:hAnsi="Times New Roman Regular" w:cs="Times New Roman Regular"/>
          <w:color w:val="auto"/>
          <w:szCs w:val="21"/>
          <w:highlight w:val="none"/>
          <w:lang w:eastAsia="zh-Hans"/>
        </w:rPr>
        <w:t>Among all the top SNPs, only one (5.56%) was located in exonic regions, while 7 (38.89%) were intronic, 6 (33.33%) were intergenic, and 14 (77.78%) were annotated as potentially regulatory.</w:t>
      </w:r>
    </w:p>
    <w:p w14:paraId="38C5B528">
      <w:pPr>
        <w:spacing w:line="360" w:lineRule="auto"/>
        <w:jc w:val="left"/>
        <w:rPr>
          <w:rFonts w:hint="eastAsia" w:ascii="Times New Roman Regular" w:hAnsi="Times New Roman Regular" w:cs="Times New Roman Regular"/>
          <w:color w:val="auto"/>
          <w:szCs w:val="21"/>
          <w:highlight w:val="none"/>
          <w:lang w:eastAsia="zh-Hans"/>
        </w:rPr>
      </w:pPr>
    </w:p>
    <w:p w14:paraId="379A6C69">
      <w:pPr>
        <w:spacing w:line="360" w:lineRule="auto"/>
        <w:jc w:val="left"/>
        <w:rPr>
          <w:rFonts w:hint="eastAsia" w:ascii="Times New Roman Regular" w:hAnsi="Times New Roman Regular" w:cs="Times New Roman Regular"/>
          <w:color w:val="auto"/>
          <w:szCs w:val="21"/>
          <w:highlight w:val="none"/>
          <w:lang w:eastAsia="zh-Hans"/>
        </w:rPr>
      </w:pPr>
    </w:p>
    <w:p w14:paraId="2F5D1128">
      <w:pPr>
        <w:spacing w:line="360" w:lineRule="auto"/>
        <w:jc w:val="left"/>
        <w:rPr>
          <w:rFonts w:hint="eastAsia" w:ascii="Times New Roman Regular" w:hAnsi="Times New Roman Regular" w:cs="Times New Roman Regular"/>
          <w:color w:val="auto"/>
          <w:szCs w:val="21"/>
          <w:highlight w:val="none"/>
          <w:lang w:eastAsia="zh-Hans"/>
        </w:rPr>
        <w:sectPr>
          <w:pgSz w:w="11906" w:h="16838"/>
          <w:pgMar w:top="1440" w:right="1800" w:bottom="1440" w:left="1800" w:header="851" w:footer="992" w:gutter="0"/>
          <w:lnNumType w:countBy="0" w:restart="continuous"/>
          <w:cols w:space="425" w:num="1"/>
          <w:docGrid w:type="lines" w:linePitch="312" w:charSpace="0"/>
        </w:sectPr>
      </w:pPr>
    </w:p>
    <w:p w14:paraId="5F5BB0DC">
      <w:pPr>
        <w:spacing w:line="360" w:lineRule="auto"/>
        <w:jc w:val="left"/>
        <w:rPr>
          <w:color w:val="auto"/>
          <w:highlight w:val="none"/>
        </w:rPr>
      </w:pPr>
      <w:r>
        <w:rPr>
          <w:rFonts w:ascii="Times New Roman Bold" w:hAnsi="Times New Roman Bold" w:cs="Times New Roman Bold"/>
          <w:b/>
          <w:bCs/>
          <w:color w:val="auto"/>
          <w:highlight w:val="none"/>
        </w:rPr>
        <w:t xml:space="preserve">Supplementary Table </w:t>
      </w:r>
      <w:r>
        <w:rPr>
          <w:rFonts w:hint="default" w:ascii="Times New Roman Bold" w:hAnsi="Times New Roman Bold" w:cs="Times New Roman Bold"/>
          <w:b/>
          <w:bCs/>
          <w:color w:val="auto"/>
          <w:highlight w:val="none"/>
          <w:lang w:val="en-US"/>
        </w:rPr>
        <w:t>2</w:t>
      </w:r>
      <w:r>
        <w:rPr>
          <w:rFonts w:ascii="Times New Roman Bold" w:hAnsi="Times New Roman Bold" w:cs="Times New Roman Bold"/>
          <w:b/>
          <w:bCs/>
          <w:color w:val="auto"/>
          <w:highlight w:val="none"/>
        </w:rPr>
        <w:t>. Novel genomic loci and corresponding top independent variants identified by FUMA.</w:t>
      </w:r>
    </w:p>
    <w:tbl>
      <w:tblPr>
        <w:tblStyle w:val="6"/>
        <w:tblW w:w="13996" w:type="dxa"/>
        <w:jc w:val="center"/>
        <w:tblLayout w:type="fixed"/>
        <w:tblCellMar>
          <w:top w:w="0" w:type="dxa"/>
          <w:left w:w="108" w:type="dxa"/>
          <w:bottom w:w="0" w:type="dxa"/>
          <w:right w:w="108" w:type="dxa"/>
        </w:tblCellMar>
      </w:tblPr>
      <w:tblGrid>
        <w:gridCol w:w="733"/>
        <w:gridCol w:w="1788"/>
        <w:gridCol w:w="1412"/>
        <w:gridCol w:w="2177"/>
        <w:gridCol w:w="1027"/>
        <w:gridCol w:w="1011"/>
        <w:gridCol w:w="1168"/>
        <w:gridCol w:w="1069"/>
        <w:gridCol w:w="1473"/>
        <w:gridCol w:w="2138"/>
      </w:tblGrid>
      <w:tr w14:paraId="732A19BB">
        <w:trPr>
          <w:trHeight w:val="351" w:hRule="atLeast"/>
          <w:jc w:val="center"/>
        </w:trPr>
        <w:tc>
          <w:tcPr>
            <w:tcW w:w="733" w:type="dxa"/>
            <w:tcBorders>
              <w:top w:val="single" w:color="000000" w:sz="8" w:space="0"/>
              <w:left w:val="nil"/>
              <w:bottom w:val="single" w:color="000000" w:sz="8" w:space="0"/>
              <w:right w:val="nil"/>
            </w:tcBorders>
            <w:shd w:val="clear" w:color="auto" w:fill="auto"/>
            <w:noWrap/>
            <w:vAlign w:val="center"/>
          </w:tcPr>
          <w:p w14:paraId="7791A4D0">
            <w:pPr>
              <w:widowControl/>
              <w:spacing w:line="240" w:lineRule="auto"/>
              <w:jc w:val="center"/>
              <w:textAlignment w:val="center"/>
              <w:rPr>
                <w:rFonts w:hint="default" w:ascii="Times New Roman Bold" w:hAnsi="Times New Roman Bold" w:eastAsia="宋体" w:cs="Times New Roman Bold"/>
                <w:b/>
                <w:bCs/>
                <w:color w:val="auto"/>
                <w:sz w:val="18"/>
                <w:szCs w:val="18"/>
                <w:highlight w:val="none"/>
              </w:rPr>
            </w:pPr>
            <w:r>
              <w:rPr>
                <w:rFonts w:hint="default" w:ascii="Times New Roman Bold" w:hAnsi="Times New Roman Bold" w:eastAsia="宋体" w:cs="Times New Roman Bold"/>
                <w:b/>
                <w:bCs/>
                <w:color w:val="auto"/>
                <w:sz w:val="18"/>
                <w:szCs w:val="18"/>
                <w:highlight w:val="none"/>
              </w:rPr>
              <w:t>Locus</w:t>
            </w:r>
          </w:p>
        </w:tc>
        <w:tc>
          <w:tcPr>
            <w:tcW w:w="1788" w:type="dxa"/>
            <w:tcBorders>
              <w:top w:val="single" w:color="000000" w:sz="8" w:space="0"/>
              <w:left w:val="nil"/>
              <w:bottom w:val="single" w:color="000000" w:sz="8" w:space="0"/>
              <w:right w:val="nil"/>
            </w:tcBorders>
            <w:shd w:val="clear" w:color="auto" w:fill="auto"/>
            <w:noWrap/>
            <w:vAlign w:val="center"/>
          </w:tcPr>
          <w:p w14:paraId="4244E699">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sz w:val="18"/>
                <w:szCs w:val="18"/>
                <w:highlight w:val="none"/>
              </w:rPr>
              <w:t>Trait</w:t>
            </w:r>
          </w:p>
        </w:tc>
        <w:tc>
          <w:tcPr>
            <w:tcW w:w="1412" w:type="dxa"/>
            <w:tcBorders>
              <w:top w:val="single" w:color="000000" w:sz="8" w:space="0"/>
              <w:left w:val="nil"/>
              <w:bottom w:val="single" w:color="000000" w:sz="8" w:space="0"/>
              <w:right w:val="nil"/>
            </w:tcBorders>
            <w:shd w:val="clear" w:color="auto" w:fill="auto"/>
            <w:noWrap/>
            <w:vAlign w:val="center"/>
          </w:tcPr>
          <w:p w14:paraId="45D4ADEC">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Top LeadSNP</w:t>
            </w:r>
          </w:p>
        </w:tc>
        <w:tc>
          <w:tcPr>
            <w:tcW w:w="2177" w:type="dxa"/>
            <w:tcBorders>
              <w:top w:val="single" w:color="000000" w:sz="8" w:space="0"/>
              <w:left w:val="nil"/>
              <w:bottom w:val="single" w:color="000000" w:sz="8" w:space="0"/>
              <w:right w:val="nil"/>
            </w:tcBorders>
            <w:shd w:val="clear" w:color="auto" w:fill="auto"/>
            <w:noWrap/>
            <w:vAlign w:val="center"/>
          </w:tcPr>
          <w:p w14:paraId="51E54598">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Genomic risk loci</w:t>
            </w:r>
          </w:p>
        </w:tc>
        <w:tc>
          <w:tcPr>
            <w:tcW w:w="1027" w:type="dxa"/>
            <w:tcBorders>
              <w:top w:val="single" w:color="000000" w:sz="8" w:space="0"/>
              <w:left w:val="nil"/>
              <w:bottom w:val="single" w:color="000000" w:sz="8" w:space="0"/>
              <w:right w:val="nil"/>
            </w:tcBorders>
            <w:shd w:val="clear" w:color="auto" w:fill="auto"/>
            <w:noWrap/>
            <w:vAlign w:val="center"/>
          </w:tcPr>
          <w:p w14:paraId="3E28B569">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Region</w:t>
            </w:r>
          </w:p>
        </w:tc>
        <w:tc>
          <w:tcPr>
            <w:tcW w:w="1011" w:type="dxa"/>
            <w:tcBorders>
              <w:top w:val="single" w:color="000000" w:sz="8" w:space="0"/>
              <w:left w:val="nil"/>
              <w:bottom w:val="single" w:color="000000" w:sz="8" w:space="0"/>
              <w:right w:val="nil"/>
            </w:tcBorders>
            <w:shd w:val="clear" w:color="auto" w:fill="auto"/>
            <w:noWrap/>
            <w:vAlign w:val="center"/>
          </w:tcPr>
          <w:p w14:paraId="33050A71">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GWAS</w:t>
            </w:r>
          </w:p>
        </w:tc>
        <w:tc>
          <w:tcPr>
            <w:tcW w:w="1168" w:type="dxa"/>
            <w:tcBorders>
              <w:top w:val="single" w:color="000000" w:sz="8" w:space="0"/>
              <w:left w:val="nil"/>
              <w:bottom w:val="single" w:color="000000" w:sz="8" w:space="0"/>
              <w:right w:val="nil"/>
            </w:tcBorders>
            <w:shd w:val="clear" w:color="auto" w:fill="auto"/>
            <w:noWrap/>
            <w:vAlign w:val="center"/>
          </w:tcPr>
          <w:p w14:paraId="5798663E">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MTAG</w:t>
            </w:r>
          </w:p>
        </w:tc>
        <w:tc>
          <w:tcPr>
            <w:tcW w:w="1069" w:type="dxa"/>
            <w:tcBorders>
              <w:top w:val="single" w:color="000000" w:sz="8" w:space="0"/>
              <w:left w:val="nil"/>
              <w:bottom w:val="single" w:color="000000" w:sz="8" w:space="0"/>
              <w:right w:val="nil"/>
            </w:tcBorders>
            <w:shd w:val="clear" w:color="auto" w:fill="auto"/>
            <w:noWrap/>
            <w:vAlign w:val="center"/>
          </w:tcPr>
          <w:p w14:paraId="3E018719">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CPASSOC</w:t>
            </w:r>
          </w:p>
        </w:tc>
        <w:tc>
          <w:tcPr>
            <w:tcW w:w="1473" w:type="dxa"/>
            <w:tcBorders>
              <w:top w:val="single" w:color="000000" w:sz="8" w:space="0"/>
              <w:left w:val="nil"/>
              <w:bottom w:val="single" w:color="000000" w:sz="8" w:space="0"/>
              <w:right w:val="nil"/>
            </w:tcBorders>
            <w:shd w:val="clear" w:color="auto" w:fill="auto"/>
            <w:noWrap/>
            <w:vAlign w:val="center"/>
          </w:tcPr>
          <w:p w14:paraId="362D3C39">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Variant annotion</w:t>
            </w:r>
          </w:p>
        </w:tc>
        <w:tc>
          <w:tcPr>
            <w:tcW w:w="2138" w:type="dxa"/>
            <w:tcBorders>
              <w:top w:val="single" w:color="000000" w:sz="8" w:space="0"/>
              <w:left w:val="nil"/>
              <w:bottom w:val="single" w:color="000000" w:sz="8" w:space="0"/>
              <w:right w:val="nil"/>
            </w:tcBorders>
            <w:shd w:val="clear" w:color="auto" w:fill="auto"/>
            <w:noWrap/>
            <w:vAlign w:val="center"/>
          </w:tcPr>
          <w:p w14:paraId="27FC8AFA">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MappedGene</w:t>
            </w:r>
          </w:p>
        </w:tc>
      </w:tr>
      <w:tr w14:paraId="5DB7C431">
        <w:trPr>
          <w:trHeight w:val="90" w:hRule="atLeast"/>
          <w:jc w:val="center"/>
        </w:trPr>
        <w:tc>
          <w:tcPr>
            <w:tcW w:w="733" w:type="dxa"/>
            <w:tcBorders>
              <w:top w:val="nil"/>
              <w:left w:val="nil"/>
              <w:bottom w:val="nil"/>
              <w:right w:val="nil"/>
            </w:tcBorders>
            <w:shd w:val="clear" w:color="auto" w:fill="auto"/>
            <w:noWrap/>
            <w:vAlign w:val="center"/>
          </w:tcPr>
          <w:p w14:paraId="3AFA41A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52</w:t>
            </w:r>
          </w:p>
        </w:tc>
        <w:tc>
          <w:tcPr>
            <w:tcW w:w="1788" w:type="dxa"/>
            <w:tcBorders>
              <w:top w:val="nil"/>
              <w:left w:val="nil"/>
              <w:bottom w:val="nil"/>
              <w:right w:val="nil"/>
            </w:tcBorders>
            <w:shd w:val="clear" w:color="auto" w:fill="auto"/>
            <w:noWrap/>
            <w:vAlign w:val="center"/>
          </w:tcPr>
          <w:p w14:paraId="2BE1503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2C9143D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rs4896104</w:t>
            </w:r>
          </w:p>
        </w:tc>
        <w:tc>
          <w:tcPr>
            <w:tcW w:w="2177" w:type="dxa"/>
            <w:tcBorders>
              <w:top w:val="nil"/>
              <w:left w:val="nil"/>
              <w:bottom w:val="nil"/>
              <w:right w:val="nil"/>
            </w:tcBorders>
            <w:shd w:val="clear" w:color="auto" w:fill="auto"/>
            <w:noWrap/>
            <w:vAlign w:val="center"/>
          </w:tcPr>
          <w:p w14:paraId="7E00B99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6:135087658-135123836</w:t>
            </w:r>
          </w:p>
        </w:tc>
        <w:tc>
          <w:tcPr>
            <w:tcW w:w="1027" w:type="dxa"/>
            <w:tcBorders>
              <w:top w:val="nil"/>
              <w:left w:val="nil"/>
              <w:bottom w:val="nil"/>
              <w:right w:val="nil"/>
            </w:tcBorders>
            <w:shd w:val="clear" w:color="auto" w:fill="auto"/>
            <w:noWrap/>
            <w:vAlign w:val="center"/>
          </w:tcPr>
          <w:p w14:paraId="6593D31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6q23.3</w:t>
            </w:r>
          </w:p>
        </w:tc>
        <w:tc>
          <w:tcPr>
            <w:tcW w:w="1011" w:type="dxa"/>
            <w:tcBorders>
              <w:top w:val="nil"/>
              <w:left w:val="nil"/>
              <w:bottom w:val="nil"/>
              <w:right w:val="nil"/>
            </w:tcBorders>
            <w:shd w:val="clear" w:color="auto" w:fill="auto"/>
            <w:noWrap/>
            <w:vAlign w:val="center"/>
          </w:tcPr>
          <w:p w14:paraId="632C71C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7.51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1168" w:type="dxa"/>
            <w:tcBorders>
              <w:top w:val="nil"/>
              <w:left w:val="nil"/>
              <w:bottom w:val="nil"/>
              <w:right w:val="nil"/>
            </w:tcBorders>
            <w:shd w:val="clear" w:color="auto" w:fill="auto"/>
            <w:noWrap/>
            <w:vAlign w:val="center"/>
          </w:tcPr>
          <w:p w14:paraId="1C2DA39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7.61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0CBFCAA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5.34 × 10</w:t>
            </w:r>
            <w:r>
              <w:rPr>
                <w:rFonts w:ascii="Times New Roman Regular" w:hAnsi="Times New Roman Regular" w:eastAsia="宋体" w:cs="Times New Roman Regular"/>
                <w:color w:val="auto"/>
                <w:kern w:val="0"/>
                <w:sz w:val="18"/>
                <w:szCs w:val="18"/>
                <w:highlight w:val="none"/>
                <w:vertAlign w:val="superscript"/>
                <w:lang w:bidi="ar"/>
              </w:rPr>
              <w:t>-6</w:t>
            </w:r>
          </w:p>
        </w:tc>
        <w:tc>
          <w:tcPr>
            <w:tcW w:w="1473" w:type="dxa"/>
            <w:tcBorders>
              <w:top w:val="nil"/>
              <w:left w:val="nil"/>
              <w:bottom w:val="nil"/>
              <w:right w:val="nil"/>
            </w:tcBorders>
            <w:shd w:val="clear" w:color="auto" w:fill="auto"/>
            <w:noWrap/>
            <w:vAlign w:val="center"/>
          </w:tcPr>
          <w:p w14:paraId="52BD740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3C9667F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 xml:space="preserve">FAM8A6P, MEMO1P2 </w:t>
            </w:r>
          </w:p>
        </w:tc>
      </w:tr>
      <w:tr w14:paraId="621E9998">
        <w:trPr>
          <w:trHeight w:val="336" w:hRule="atLeast"/>
          <w:jc w:val="center"/>
        </w:trPr>
        <w:tc>
          <w:tcPr>
            <w:tcW w:w="733" w:type="dxa"/>
            <w:tcBorders>
              <w:top w:val="nil"/>
              <w:left w:val="nil"/>
              <w:bottom w:val="nil"/>
              <w:right w:val="nil"/>
            </w:tcBorders>
            <w:shd w:val="clear" w:color="auto" w:fill="auto"/>
            <w:noWrap/>
            <w:vAlign w:val="center"/>
          </w:tcPr>
          <w:p w14:paraId="3B4F778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65</w:t>
            </w:r>
          </w:p>
        </w:tc>
        <w:tc>
          <w:tcPr>
            <w:tcW w:w="1788" w:type="dxa"/>
            <w:tcBorders>
              <w:top w:val="nil"/>
              <w:left w:val="nil"/>
              <w:bottom w:val="nil"/>
              <w:right w:val="nil"/>
            </w:tcBorders>
            <w:shd w:val="clear" w:color="auto" w:fill="auto"/>
            <w:noWrap/>
            <w:vAlign w:val="center"/>
          </w:tcPr>
          <w:p w14:paraId="5FC2DF8A">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2640A063">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rs2891168</w:t>
            </w:r>
          </w:p>
        </w:tc>
        <w:tc>
          <w:tcPr>
            <w:tcW w:w="2177" w:type="dxa"/>
            <w:tcBorders>
              <w:top w:val="nil"/>
              <w:left w:val="nil"/>
              <w:bottom w:val="nil"/>
              <w:right w:val="nil"/>
            </w:tcBorders>
            <w:shd w:val="clear" w:color="auto" w:fill="auto"/>
            <w:noWrap/>
            <w:vAlign w:val="center"/>
          </w:tcPr>
          <w:p w14:paraId="5D984563">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9:22065002-22125503</w:t>
            </w:r>
          </w:p>
        </w:tc>
        <w:tc>
          <w:tcPr>
            <w:tcW w:w="1027" w:type="dxa"/>
            <w:tcBorders>
              <w:top w:val="nil"/>
              <w:left w:val="nil"/>
              <w:bottom w:val="nil"/>
              <w:right w:val="nil"/>
            </w:tcBorders>
            <w:shd w:val="clear" w:color="auto" w:fill="auto"/>
            <w:noWrap/>
            <w:vAlign w:val="bottom"/>
          </w:tcPr>
          <w:p w14:paraId="4AC2583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9p21.3</w:t>
            </w:r>
          </w:p>
        </w:tc>
        <w:tc>
          <w:tcPr>
            <w:tcW w:w="1011" w:type="dxa"/>
            <w:tcBorders>
              <w:top w:val="nil"/>
              <w:left w:val="nil"/>
              <w:bottom w:val="nil"/>
              <w:right w:val="nil"/>
            </w:tcBorders>
            <w:shd w:val="clear" w:color="auto" w:fill="auto"/>
            <w:noWrap/>
            <w:vAlign w:val="bottom"/>
          </w:tcPr>
          <w:p w14:paraId="53EBC3D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2.08</w:t>
            </w:r>
            <w:r>
              <w:rPr>
                <w:rFonts w:hint="default" w:ascii="Times New Roman Regular" w:hAnsi="Times New Roman Regular" w:eastAsia="宋体" w:cs="Times New Roman Regular"/>
                <w:color w:val="auto"/>
                <w:kern w:val="0"/>
                <w:sz w:val="18"/>
                <w:szCs w:val="18"/>
                <w:highlight w:val="none"/>
                <w:lang w:bidi="ar"/>
              </w:rPr>
              <w:t xml:space="preserve"> </w:t>
            </w:r>
            <w:r>
              <w:rPr>
                <w:rFonts w:ascii="Times New Roman Regular" w:hAnsi="Times New Roman Regular" w:eastAsia="宋体" w:cs="Times New Roman Regular"/>
                <w:color w:val="auto"/>
                <w:kern w:val="0"/>
                <w:sz w:val="18"/>
                <w:szCs w:val="18"/>
                <w:highlight w:val="none"/>
                <w:lang w:bidi="ar"/>
              </w:rPr>
              <w:t>×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bottom"/>
          </w:tcPr>
          <w:p w14:paraId="7228F5D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4.68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781BF2B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1473" w:type="dxa"/>
            <w:tcBorders>
              <w:top w:val="nil"/>
              <w:left w:val="nil"/>
              <w:bottom w:val="nil"/>
              <w:right w:val="nil"/>
            </w:tcBorders>
            <w:shd w:val="clear" w:color="auto" w:fill="auto"/>
            <w:noWrap/>
            <w:vAlign w:val="center"/>
          </w:tcPr>
          <w:p w14:paraId="73B67907">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sz w:val="18"/>
                <w:szCs w:val="18"/>
                <w:highlight w:val="none"/>
              </w:rPr>
              <w:t>ncRNA_intronic</w:t>
            </w:r>
          </w:p>
        </w:tc>
        <w:tc>
          <w:tcPr>
            <w:tcW w:w="2138" w:type="dxa"/>
            <w:tcBorders>
              <w:top w:val="nil"/>
              <w:left w:val="nil"/>
              <w:bottom w:val="nil"/>
              <w:right w:val="nil"/>
            </w:tcBorders>
            <w:shd w:val="clear" w:color="auto" w:fill="auto"/>
            <w:noWrap/>
            <w:vAlign w:val="center"/>
          </w:tcPr>
          <w:p w14:paraId="33F5E9D2">
            <w:pPr>
              <w:widowControl/>
              <w:spacing w:line="240" w:lineRule="auto"/>
              <w:jc w:val="center"/>
              <w:textAlignment w:val="center"/>
              <w:rPr>
                <w:rFonts w:hint="default"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sz w:val="18"/>
                <w:szCs w:val="18"/>
                <w:highlight w:val="none"/>
              </w:rPr>
              <w:t>CDKN2B-AS1</w:t>
            </w:r>
          </w:p>
        </w:tc>
      </w:tr>
      <w:tr w14:paraId="32D09AD4">
        <w:trPr>
          <w:trHeight w:val="336" w:hRule="atLeast"/>
          <w:jc w:val="center"/>
        </w:trPr>
        <w:tc>
          <w:tcPr>
            <w:tcW w:w="733" w:type="dxa"/>
            <w:tcBorders>
              <w:top w:val="nil"/>
              <w:left w:val="nil"/>
              <w:bottom w:val="nil"/>
              <w:right w:val="nil"/>
            </w:tcBorders>
            <w:shd w:val="clear" w:color="auto" w:fill="auto"/>
            <w:noWrap/>
            <w:vAlign w:val="center"/>
          </w:tcPr>
          <w:p w14:paraId="4F14D05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67</w:t>
            </w:r>
          </w:p>
        </w:tc>
        <w:tc>
          <w:tcPr>
            <w:tcW w:w="1788" w:type="dxa"/>
            <w:tcBorders>
              <w:top w:val="nil"/>
              <w:left w:val="nil"/>
              <w:bottom w:val="nil"/>
              <w:right w:val="nil"/>
            </w:tcBorders>
            <w:shd w:val="clear" w:color="auto" w:fill="auto"/>
            <w:noWrap/>
            <w:vAlign w:val="center"/>
          </w:tcPr>
          <w:p w14:paraId="0DFAC40C">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2A167A4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rs635634</w:t>
            </w:r>
          </w:p>
        </w:tc>
        <w:tc>
          <w:tcPr>
            <w:tcW w:w="2177" w:type="dxa"/>
            <w:tcBorders>
              <w:top w:val="nil"/>
              <w:left w:val="nil"/>
              <w:bottom w:val="nil"/>
              <w:right w:val="nil"/>
            </w:tcBorders>
            <w:shd w:val="clear" w:color="auto" w:fill="auto"/>
            <w:noWrap/>
            <w:vAlign w:val="center"/>
          </w:tcPr>
          <w:p w14:paraId="53D62B5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9:136132908-136330428</w:t>
            </w:r>
          </w:p>
        </w:tc>
        <w:tc>
          <w:tcPr>
            <w:tcW w:w="1027" w:type="dxa"/>
            <w:tcBorders>
              <w:top w:val="nil"/>
              <w:left w:val="nil"/>
              <w:bottom w:val="nil"/>
              <w:right w:val="nil"/>
            </w:tcBorders>
            <w:shd w:val="clear" w:color="auto" w:fill="auto"/>
            <w:noWrap/>
            <w:vAlign w:val="bottom"/>
          </w:tcPr>
          <w:p w14:paraId="3D98724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9q34.2</w:t>
            </w:r>
          </w:p>
        </w:tc>
        <w:tc>
          <w:tcPr>
            <w:tcW w:w="1011" w:type="dxa"/>
            <w:tcBorders>
              <w:top w:val="nil"/>
              <w:left w:val="nil"/>
              <w:bottom w:val="nil"/>
              <w:right w:val="nil"/>
            </w:tcBorders>
            <w:shd w:val="clear" w:color="auto" w:fill="auto"/>
            <w:noWrap/>
            <w:vAlign w:val="bottom"/>
          </w:tcPr>
          <w:p w14:paraId="4E897AC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 xml:space="preserve">2.74 </w:t>
            </w:r>
            <w:r>
              <w:rPr>
                <w:rFonts w:ascii="Times New Roman Regular" w:hAnsi="Times New Roman Regular" w:eastAsia="宋体" w:cs="Times New Roman Regular"/>
                <w:color w:val="auto"/>
                <w:kern w:val="0"/>
                <w:sz w:val="18"/>
                <w:szCs w:val="18"/>
                <w:highlight w:val="none"/>
                <w:lang w:bidi="ar"/>
              </w:rPr>
              <w:t>×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bottom"/>
          </w:tcPr>
          <w:p w14:paraId="33A9F3D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3.81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22</w:t>
            </w:r>
          </w:p>
        </w:tc>
        <w:tc>
          <w:tcPr>
            <w:tcW w:w="1069" w:type="dxa"/>
            <w:tcBorders>
              <w:top w:val="nil"/>
              <w:left w:val="nil"/>
              <w:bottom w:val="nil"/>
              <w:right w:val="nil"/>
            </w:tcBorders>
            <w:shd w:val="clear" w:color="auto" w:fill="auto"/>
            <w:noWrap/>
            <w:vAlign w:val="center"/>
          </w:tcPr>
          <w:p w14:paraId="78ECCBC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1473" w:type="dxa"/>
            <w:tcBorders>
              <w:top w:val="nil"/>
              <w:left w:val="nil"/>
              <w:bottom w:val="nil"/>
              <w:right w:val="nil"/>
            </w:tcBorders>
            <w:shd w:val="clear" w:color="auto" w:fill="auto"/>
            <w:noWrap/>
            <w:vAlign w:val="center"/>
          </w:tcPr>
          <w:p w14:paraId="352FFD89">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5523F595">
            <w:pPr>
              <w:widowControl/>
              <w:spacing w:line="240" w:lineRule="auto"/>
              <w:jc w:val="center"/>
              <w:textAlignment w:val="center"/>
              <w:rPr>
                <w:rFonts w:hint="default"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sz w:val="18"/>
                <w:szCs w:val="18"/>
                <w:highlight w:val="none"/>
              </w:rPr>
              <w:t>ABO, SURF6</w:t>
            </w:r>
          </w:p>
        </w:tc>
      </w:tr>
      <w:tr w14:paraId="7F2126CF">
        <w:trPr>
          <w:trHeight w:val="336" w:hRule="atLeast"/>
          <w:jc w:val="center"/>
        </w:trPr>
        <w:tc>
          <w:tcPr>
            <w:tcW w:w="733" w:type="dxa"/>
            <w:tcBorders>
              <w:top w:val="nil"/>
              <w:left w:val="nil"/>
              <w:bottom w:val="nil"/>
              <w:right w:val="nil"/>
            </w:tcBorders>
            <w:shd w:val="clear" w:color="auto" w:fill="auto"/>
            <w:noWrap/>
            <w:vAlign w:val="center"/>
          </w:tcPr>
          <w:p w14:paraId="60B2E8C3">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color w:val="auto"/>
                <w:kern w:val="0"/>
                <w:sz w:val="18"/>
                <w:szCs w:val="18"/>
                <w:highlight w:val="none"/>
                <w:lang w:bidi="ar"/>
              </w:rPr>
              <w:t>98</w:t>
            </w:r>
          </w:p>
        </w:tc>
        <w:tc>
          <w:tcPr>
            <w:tcW w:w="1788" w:type="dxa"/>
            <w:tcBorders>
              <w:top w:val="nil"/>
              <w:left w:val="nil"/>
              <w:bottom w:val="nil"/>
              <w:right w:val="nil"/>
            </w:tcBorders>
            <w:shd w:val="clear" w:color="auto" w:fill="auto"/>
            <w:noWrap/>
            <w:vAlign w:val="center"/>
          </w:tcPr>
          <w:p w14:paraId="7CDACD0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bottom"/>
          </w:tcPr>
          <w:p w14:paraId="3FD2692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rs57130712</w:t>
            </w:r>
          </w:p>
        </w:tc>
        <w:tc>
          <w:tcPr>
            <w:tcW w:w="2177" w:type="dxa"/>
            <w:tcBorders>
              <w:top w:val="nil"/>
              <w:left w:val="nil"/>
              <w:bottom w:val="nil"/>
              <w:right w:val="nil"/>
            </w:tcBorders>
            <w:shd w:val="clear" w:color="auto" w:fill="auto"/>
            <w:noWrap/>
            <w:vAlign w:val="center"/>
          </w:tcPr>
          <w:p w14:paraId="4A62D97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17:2015612-2205923</w:t>
            </w:r>
          </w:p>
        </w:tc>
        <w:tc>
          <w:tcPr>
            <w:tcW w:w="1027" w:type="dxa"/>
            <w:tcBorders>
              <w:top w:val="nil"/>
              <w:left w:val="nil"/>
              <w:bottom w:val="nil"/>
              <w:right w:val="nil"/>
            </w:tcBorders>
            <w:shd w:val="clear" w:color="auto" w:fill="auto"/>
            <w:noWrap/>
            <w:vAlign w:val="bottom"/>
          </w:tcPr>
          <w:p w14:paraId="027B94D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17p13.3</w:t>
            </w:r>
          </w:p>
        </w:tc>
        <w:tc>
          <w:tcPr>
            <w:tcW w:w="1011" w:type="dxa"/>
            <w:tcBorders>
              <w:top w:val="nil"/>
              <w:left w:val="nil"/>
              <w:bottom w:val="nil"/>
              <w:right w:val="nil"/>
            </w:tcBorders>
            <w:shd w:val="clear" w:color="auto" w:fill="auto"/>
            <w:noWrap/>
            <w:vAlign w:val="center"/>
          </w:tcPr>
          <w:p w14:paraId="05798EA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eastAsia="zh-CN" w:bidi="ar"/>
              </w:rPr>
            </w:pPr>
            <w:r>
              <w:rPr>
                <w:rFonts w:hint="default" w:ascii="Times New Roman Regular" w:hAnsi="Times New Roman Regular" w:eastAsia="宋体" w:cs="Times New Roman Regular"/>
                <w:color w:val="auto"/>
                <w:kern w:val="0"/>
                <w:sz w:val="18"/>
                <w:szCs w:val="18"/>
                <w:highlight w:val="none"/>
                <w:lang w:bidi="ar"/>
              </w:rPr>
              <w:t xml:space="preserve">3.14 </w:t>
            </w:r>
            <w:r>
              <w:rPr>
                <w:rFonts w:ascii="Times New Roman Regular" w:hAnsi="Times New Roman Regular" w:eastAsia="宋体" w:cs="Times New Roman Regular"/>
                <w:color w:val="auto"/>
                <w:kern w:val="0"/>
                <w:sz w:val="18"/>
                <w:szCs w:val="18"/>
                <w:highlight w:val="none"/>
                <w:lang w:bidi="ar"/>
              </w:rPr>
              <w:t>×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bottom"/>
          </w:tcPr>
          <w:p w14:paraId="160C186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1.53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5F0E367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eastAsia="zh-CN" w:bidi="ar"/>
              </w:rPr>
            </w:pPr>
            <w:r>
              <w:rPr>
                <w:rFonts w:hint="default" w:ascii="Times New Roman Regular" w:hAnsi="Times New Roman Regular" w:eastAsia="宋体" w:cs="Times New Roman Regular"/>
                <w:i w:val="0"/>
                <w:iCs w:val="0"/>
                <w:color w:val="auto"/>
                <w:kern w:val="0"/>
                <w:sz w:val="18"/>
                <w:szCs w:val="18"/>
                <w:highlight w:val="none"/>
                <w:u w:val="none"/>
                <w:lang w:eastAsia="zh-CN" w:bidi="ar"/>
              </w:rPr>
              <w:t>2.16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19</w:t>
            </w:r>
          </w:p>
        </w:tc>
        <w:tc>
          <w:tcPr>
            <w:tcW w:w="1473" w:type="dxa"/>
            <w:tcBorders>
              <w:top w:val="nil"/>
              <w:left w:val="nil"/>
              <w:bottom w:val="nil"/>
              <w:right w:val="nil"/>
            </w:tcBorders>
            <w:shd w:val="clear" w:color="auto" w:fill="auto"/>
            <w:noWrap/>
            <w:vAlign w:val="center"/>
          </w:tcPr>
          <w:p w14:paraId="06AAB2C5">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2D321B75">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hint="default" w:ascii="Times New Roman Regular" w:hAnsi="Times New Roman Regular" w:eastAsia="宋体" w:cs="Times New Roman Regular"/>
                <w:color w:val="auto"/>
                <w:kern w:val="0"/>
                <w:sz w:val="18"/>
                <w:szCs w:val="18"/>
                <w:highlight w:val="none"/>
                <w:lang w:bidi="ar"/>
              </w:rPr>
              <w:t>SMG6</w:t>
            </w:r>
          </w:p>
        </w:tc>
      </w:tr>
      <w:tr w14:paraId="664C457B">
        <w:trPr>
          <w:trHeight w:val="336" w:hRule="atLeast"/>
          <w:jc w:val="center"/>
        </w:trPr>
        <w:tc>
          <w:tcPr>
            <w:tcW w:w="733" w:type="dxa"/>
            <w:tcBorders>
              <w:top w:val="nil"/>
              <w:left w:val="nil"/>
              <w:bottom w:val="nil"/>
              <w:right w:val="nil"/>
            </w:tcBorders>
            <w:shd w:val="clear" w:color="auto" w:fill="auto"/>
            <w:noWrap/>
            <w:vAlign w:val="center"/>
          </w:tcPr>
          <w:p w14:paraId="4FE6E203">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45</w:t>
            </w:r>
          </w:p>
        </w:tc>
        <w:tc>
          <w:tcPr>
            <w:tcW w:w="1788" w:type="dxa"/>
            <w:tcBorders>
              <w:top w:val="nil"/>
              <w:left w:val="nil"/>
              <w:bottom w:val="nil"/>
              <w:right w:val="nil"/>
            </w:tcBorders>
            <w:shd w:val="clear" w:color="auto" w:fill="auto"/>
            <w:noWrap/>
            <w:vAlign w:val="center"/>
          </w:tcPr>
          <w:p w14:paraId="737F854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620EE84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rs35864506</w:t>
            </w:r>
          </w:p>
        </w:tc>
        <w:tc>
          <w:tcPr>
            <w:tcW w:w="2177" w:type="dxa"/>
            <w:tcBorders>
              <w:top w:val="nil"/>
              <w:left w:val="nil"/>
              <w:bottom w:val="nil"/>
              <w:right w:val="nil"/>
            </w:tcBorders>
            <w:shd w:val="clear" w:color="auto" w:fill="auto"/>
            <w:noWrap/>
            <w:vAlign w:val="center"/>
          </w:tcPr>
          <w:p w14:paraId="44DB104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4:100293109-100321443</w:t>
            </w:r>
          </w:p>
        </w:tc>
        <w:tc>
          <w:tcPr>
            <w:tcW w:w="1027" w:type="dxa"/>
            <w:tcBorders>
              <w:top w:val="nil"/>
              <w:left w:val="nil"/>
              <w:bottom w:val="nil"/>
              <w:right w:val="nil"/>
            </w:tcBorders>
            <w:shd w:val="clear" w:color="auto" w:fill="auto"/>
            <w:noWrap/>
            <w:vAlign w:val="center"/>
          </w:tcPr>
          <w:p w14:paraId="5D60D98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4q23</w:t>
            </w:r>
          </w:p>
        </w:tc>
        <w:tc>
          <w:tcPr>
            <w:tcW w:w="1011" w:type="dxa"/>
            <w:tcBorders>
              <w:top w:val="nil"/>
              <w:left w:val="nil"/>
              <w:bottom w:val="nil"/>
              <w:right w:val="nil"/>
            </w:tcBorders>
            <w:shd w:val="clear" w:color="auto" w:fill="auto"/>
            <w:noWrap/>
            <w:vAlign w:val="center"/>
          </w:tcPr>
          <w:p w14:paraId="24637C6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2.40 × 10</w:t>
            </w:r>
            <w:r>
              <w:rPr>
                <w:rFonts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center"/>
          </w:tcPr>
          <w:p w14:paraId="6352840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6.97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6537471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2.48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473" w:type="dxa"/>
            <w:tcBorders>
              <w:top w:val="nil"/>
              <w:left w:val="nil"/>
              <w:bottom w:val="nil"/>
              <w:right w:val="nil"/>
            </w:tcBorders>
            <w:shd w:val="clear" w:color="auto" w:fill="auto"/>
            <w:noWrap/>
            <w:vAlign w:val="center"/>
          </w:tcPr>
          <w:p w14:paraId="55D8D77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7BB4187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ADH1C, ADH7</w:t>
            </w:r>
          </w:p>
        </w:tc>
      </w:tr>
      <w:tr w14:paraId="6B97D6CC">
        <w:trPr>
          <w:trHeight w:val="353" w:hRule="atLeast"/>
          <w:jc w:val="center"/>
        </w:trPr>
        <w:tc>
          <w:tcPr>
            <w:tcW w:w="733" w:type="dxa"/>
            <w:tcBorders>
              <w:top w:val="nil"/>
              <w:left w:val="nil"/>
              <w:bottom w:val="nil"/>
              <w:right w:val="nil"/>
            </w:tcBorders>
            <w:shd w:val="clear" w:color="auto" w:fill="auto"/>
            <w:noWrap/>
            <w:vAlign w:val="center"/>
          </w:tcPr>
          <w:p w14:paraId="2238832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109</w:t>
            </w:r>
          </w:p>
        </w:tc>
        <w:tc>
          <w:tcPr>
            <w:tcW w:w="1788" w:type="dxa"/>
            <w:tcBorders>
              <w:top w:val="nil"/>
              <w:left w:val="nil"/>
              <w:bottom w:val="nil"/>
              <w:right w:val="nil"/>
            </w:tcBorders>
            <w:shd w:val="clear" w:color="auto" w:fill="auto"/>
            <w:noWrap/>
            <w:vAlign w:val="center"/>
          </w:tcPr>
          <w:p w14:paraId="6D2C0D7E">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12912CBB">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rs2625388</w:t>
            </w:r>
          </w:p>
        </w:tc>
        <w:tc>
          <w:tcPr>
            <w:tcW w:w="2177" w:type="dxa"/>
            <w:tcBorders>
              <w:top w:val="nil"/>
              <w:left w:val="nil"/>
              <w:bottom w:val="nil"/>
              <w:right w:val="nil"/>
            </w:tcBorders>
            <w:shd w:val="clear" w:color="auto" w:fill="auto"/>
            <w:noWrap/>
            <w:vAlign w:val="center"/>
          </w:tcPr>
          <w:p w14:paraId="75504606">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11:43599791-43810235</w:t>
            </w:r>
          </w:p>
        </w:tc>
        <w:tc>
          <w:tcPr>
            <w:tcW w:w="1027" w:type="dxa"/>
            <w:tcBorders>
              <w:top w:val="nil"/>
              <w:left w:val="nil"/>
              <w:bottom w:val="nil"/>
              <w:right w:val="nil"/>
            </w:tcBorders>
            <w:shd w:val="clear" w:color="auto" w:fill="auto"/>
            <w:noWrap/>
            <w:vAlign w:val="center"/>
          </w:tcPr>
          <w:p w14:paraId="54530E6D">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11p11.2</w:t>
            </w:r>
          </w:p>
        </w:tc>
        <w:tc>
          <w:tcPr>
            <w:tcW w:w="1011" w:type="dxa"/>
            <w:tcBorders>
              <w:top w:val="nil"/>
              <w:left w:val="nil"/>
              <w:bottom w:val="nil"/>
              <w:right w:val="nil"/>
            </w:tcBorders>
            <w:shd w:val="clear" w:color="auto" w:fill="auto"/>
            <w:noWrap/>
            <w:vAlign w:val="center"/>
          </w:tcPr>
          <w:p w14:paraId="0A1F2B51">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2.08 × 10</w:t>
            </w:r>
            <w:r>
              <w:rPr>
                <w:rFonts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3C14991F">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1.29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0AD7A829">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1.06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473" w:type="dxa"/>
            <w:tcBorders>
              <w:top w:val="nil"/>
              <w:left w:val="nil"/>
              <w:bottom w:val="nil"/>
              <w:right w:val="nil"/>
            </w:tcBorders>
            <w:shd w:val="clear" w:color="auto" w:fill="auto"/>
            <w:noWrap/>
            <w:vAlign w:val="center"/>
          </w:tcPr>
          <w:p w14:paraId="7E85DE35">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6ED0EA89">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MIR129-2, HSD17B12</w:t>
            </w:r>
          </w:p>
        </w:tc>
      </w:tr>
      <w:tr w14:paraId="7E2E9539">
        <w:trPr>
          <w:trHeight w:val="336" w:hRule="atLeast"/>
          <w:jc w:val="center"/>
        </w:trPr>
        <w:tc>
          <w:tcPr>
            <w:tcW w:w="733" w:type="dxa"/>
            <w:tcBorders>
              <w:top w:val="nil"/>
              <w:left w:val="nil"/>
              <w:bottom w:val="nil"/>
              <w:right w:val="nil"/>
            </w:tcBorders>
            <w:shd w:val="clear" w:color="auto" w:fill="auto"/>
            <w:noWrap/>
            <w:vAlign w:val="center"/>
          </w:tcPr>
          <w:p w14:paraId="5713464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57</w:t>
            </w:r>
          </w:p>
        </w:tc>
        <w:tc>
          <w:tcPr>
            <w:tcW w:w="1788" w:type="dxa"/>
            <w:tcBorders>
              <w:top w:val="nil"/>
              <w:left w:val="nil"/>
              <w:bottom w:val="nil"/>
              <w:right w:val="nil"/>
            </w:tcBorders>
            <w:shd w:val="clear" w:color="auto" w:fill="auto"/>
            <w:noWrap/>
            <w:vAlign w:val="center"/>
          </w:tcPr>
          <w:p w14:paraId="12965262">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2B81D0C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rs3745318</w:t>
            </w:r>
          </w:p>
        </w:tc>
        <w:tc>
          <w:tcPr>
            <w:tcW w:w="2177" w:type="dxa"/>
            <w:tcBorders>
              <w:top w:val="nil"/>
              <w:left w:val="nil"/>
              <w:bottom w:val="nil"/>
              <w:right w:val="nil"/>
            </w:tcBorders>
            <w:shd w:val="clear" w:color="auto" w:fill="auto"/>
            <w:noWrap/>
            <w:vAlign w:val="center"/>
          </w:tcPr>
          <w:p w14:paraId="301405D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19:16415993-16443718</w:t>
            </w:r>
          </w:p>
        </w:tc>
        <w:tc>
          <w:tcPr>
            <w:tcW w:w="1027" w:type="dxa"/>
            <w:tcBorders>
              <w:top w:val="nil"/>
              <w:left w:val="nil"/>
              <w:bottom w:val="nil"/>
              <w:right w:val="nil"/>
            </w:tcBorders>
            <w:shd w:val="clear" w:color="auto" w:fill="auto"/>
            <w:noWrap/>
            <w:vAlign w:val="center"/>
          </w:tcPr>
          <w:p w14:paraId="1CD5FBF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19p13.11</w:t>
            </w:r>
          </w:p>
        </w:tc>
        <w:tc>
          <w:tcPr>
            <w:tcW w:w="1011" w:type="dxa"/>
            <w:tcBorders>
              <w:top w:val="nil"/>
              <w:left w:val="nil"/>
              <w:bottom w:val="nil"/>
              <w:right w:val="nil"/>
            </w:tcBorders>
            <w:shd w:val="clear" w:color="auto" w:fill="auto"/>
            <w:noWrap/>
            <w:vAlign w:val="center"/>
          </w:tcPr>
          <w:p w14:paraId="15F55B8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ascii="Times New Roman Regular" w:hAnsi="Times New Roman Regular" w:eastAsia="宋体" w:cs="Times New Roman Regular"/>
                <w:color w:val="auto"/>
                <w:kern w:val="0"/>
                <w:sz w:val="18"/>
                <w:szCs w:val="18"/>
                <w:highlight w:val="none"/>
                <w:lang w:bidi="ar"/>
              </w:rPr>
              <w:t>6.54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168" w:type="dxa"/>
            <w:tcBorders>
              <w:top w:val="nil"/>
              <w:left w:val="nil"/>
              <w:bottom w:val="nil"/>
              <w:right w:val="nil"/>
            </w:tcBorders>
            <w:shd w:val="clear" w:color="auto" w:fill="auto"/>
            <w:noWrap/>
            <w:vAlign w:val="center"/>
          </w:tcPr>
          <w:p w14:paraId="5DB65BB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1.58</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0A39E15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4.74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473" w:type="dxa"/>
            <w:tcBorders>
              <w:top w:val="nil"/>
              <w:left w:val="nil"/>
              <w:bottom w:val="nil"/>
              <w:right w:val="nil"/>
            </w:tcBorders>
            <w:shd w:val="clear" w:color="auto" w:fill="auto"/>
            <w:noWrap/>
            <w:vAlign w:val="center"/>
          </w:tcPr>
          <w:p w14:paraId="063468F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ascii="Times New Roman Regular" w:hAnsi="Times New Roman Regular" w:eastAsia="宋体" w:cs="Times New Roman Regular"/>
                <w:color w:val="auto"/>
                <w:kern w:val="0"/>
                <w:sz w:val="18"/>
                <w:szCs w:val="18"/>
                <w:highlight w:val="none"/>
                <w:lang w:bidi="ar"/>
              </w:rPr>
              <w:t>exonic</w:t>
            </w:r>
          </w:p>
        </w:tc>
        <w:tc>
          <w:tcPr>
            <w:tcW w:w="2138" w:type="dxa"/>
            <w:tcBorders>
              <w:top w:val="nil"/>
              <w:left w:val="nil"/>
              <w:bottom w:val="nil"/>
              <w:right w:val="nil"/>
            </w:tcBorders>
            <w:shd w:val="clear" w:color="auto" w:fill="auto"/>
            <w:noWrap/>
            <w:vAlign w:val="center"/>
          </w:tcPr>
          <w:p w14:paraId="7A7C3FC7">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sz w:val="18"/>
                <w:szCs w:val="18"/>
                <w:highlight w:val="none"/>
              </w:rPr>
              <w:t>KLF2</w:t>
            </w:r>
          </w:p>
        </w:tc>
      </w:tr>
      <w:tr w14:paraId="24F833C2">
        <w:trPr>
          <w:trHeight w:val="336" w:hRule="atLeast"/>
          <w:jc w:val="center"/>
        </w:trPr>
        <w:tc>
          <w:tcPr>
            <w:tcW w:w="733" w:type="dxa"/>
            <w:tcBorders>
              <w:top w:val="nil"/>
              <w:left w:val="nil"/>
              <w:bottom w:val="nil"/>
              <w:right w:val="nil"/>
            </w:tcBorders>
            <w:shd w:val="clear" w:color="auto" w:fill="auto"/>
            <w:noWrap/>
            <w:vAlign w:val="center"/>
          </w:tcPr>
          <w:p w14:paraId="02630B8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w:t>
            </w:r>
          </w:p>
        </w:tc>
        <w:tc>
          <w:tcPr>
            <w:tcW w:w="1788" w:type="dxa"/>
            <w:tcBorders>
              <w:top w:val="nil"/>
              <w:left w:val="nil"/>
              <w:bottom w:val="nil"/>
              <w:right w:val="nil"/>
            </w:tcBorders>
            <w:shd w:val="clear" w:color="auto" w:fill="auto"/>
            <w:noWrap/>
            <w:vAlign w:val="center"/>
          </w:tcPr>
          <w:p w14:paraId="454F3D05">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MTAG_VTE</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79F2ED75">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rs34517439</w:t>
            </w:r>
          </w:p>
        </w:tc>
        <w:tc>
          <w:tcPr>
            <w:tcW w:w="2177" w:type="dxa"/>
            <w:tcBorders>
              <w:top w:val="nil"/>
              <w:left w:val="nil"/>
              <w:bottom w:val="nil"/>
              <w:right w:val="nil"/>
            </w:tcBorders>
            <w:shd w:val="clear" w:color="auto" w:fill="auto"/>
            <w:noWrap/>
            <w:vAlign w:val="center"/>
          </w:tcPr>
          <w:p w14:paraId="1BD67E24">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1:77967507-78450517</w:t>
            </w:r>
          </w:p>
        </w:tc>
        <w:tc>
          <w:tcPr>
            <w:tcW w:w="1027" w:type="dxa"/>
            <w:tcBorders>
              <w:top w:val="nil"/>
              <w:left w:val="nil"/>
              <w:bottom w:val="nil"/>
              <w:right w:val="nil"/>
            </w:tcBorders>
            <w:shd w:val="clear" w:color="auto" w:fill="auto"/>
            <w:noWrap/>
            <w:vAlign w:val="center"/>
          </w:tcPr>
          <w:p w14:paraId="002FF360">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1p31.1</w:t>
            </w:r>
          </w:p>
        </w:tc>
        <w:tc>
          <w:tcPr>
            <w:tcW w:w="1011" w:type="dxa"/>
            <w:tcBorders>
              <w:top w:val="nil"/>
              <w:left w:val="nil"/>
              <w:bottom w:val="nil"/>
              <w:right w:val="nil"/>
            </w:tcBorders>
            <w:shd w:val="clear" w:color="auto" w:fill="auto"/>
            <w:noWrap/>
            <w:vAlign w:val="center"/>
          </w:tcPr>
          <w:p w14:paraId="11C91635">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7.22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168" w:type="dxa"/>
            <w:tcBorders>
              <w:top w:val="nil"/>
              <w:left w:val="nil"/>
              <w:bottom w:val="nil"/>
              <w:right w:val="nil"/>
            </w:tcBorders>
            <w:shd w:val="clear" w:color="auto" w:fill="auto"/>
            <w:noWrap/>
            <w:vAlign w:val="center"/>
          </w:tcPr>
          <w:p w14:paraId="763C12FD">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1.14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432AC813">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4.11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473" w:type="dxa"/>
            <w:tcBorders>
              <w:top w:val="nil"/>
              <w:left w:val="nil"/>
              <w:bottom w:val="nil"/>
              <w:right w:val="nil"/>
            </w:tcBorders>
            <w:shd w:val="clear" w:color="auto" w:fill="auto"/>
            <w:noWrap/>
            <w:vAlign w:val="center"/>
          </w:tcPr>
          <w:p w14:paraId="499719A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7B5B9DB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eastAsia="zh-Hans" w:bidi="ar"/>
              </w:rPr>
            </w:pPr>
            <w:r>
              <w:rPr>
                <w:rFonts w:ascii="Times New Roman Regular" w:hAnsi="Times New Roman Regular" w:eastAsia="宋体" w:cs="Times New Roman Regular"/>
                <w:color w:val="auto"/>
                <w:kern w:val="0"/>
                <w:sz w:val="18"/>
                <w:szCs w:val="18"/>
                <w:highlight w:val="none"/>
                <w:lang w:bidi="ar"/>
              </w:rPr>
              <w:t>DNAJB4</w:t>
            </w:r>
          </w:p>
        </w:tc>
      </w:tr>
      <w:tr w14:paraId="7719A072">
        <w:trPr>
          <w:trHeight w:val="340" w:hRule="atLeast"/>
          <w:jc w:val="center"/>
        </w:trPr>
        <w:tc>
          <w:tcPr>
            <w:tcW w:w="733" w:type="dxa"/>
            <w:tcBorders>
              <w:top w:val="nil"/>
              <w:left w:val="nil"/>
              <w:bottom w:val="nil"/>
              <w:right w:val="nil"/>
            </w:tcBorders>
            <w:shd w:val="clear" w:color="auto" w:fill="auto"/>
            <w:noWrap/>
            <w:vAlign w:val="center"/>
          </w:tcPr>
          <w:p w14:paraId="3765573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18</w:t>
            </w:r>
          </w:p>
        </w:tc>
        <w:tc>
          <w:tcPr>
            <w:tcW w:w="1788" w:type="dxa"/>
            <w:tcBorders>
              <w:top w:val="nil"/>
              <w:left w:val="nil"/>
              <w:bottom w:val="nil"/>
              <w:right w:val="nil"/>
            </w:tcBorders>
            <w:shd w:val="clear" w:color="auto" w:fill="auto"/>
            <w:noWrap/>
            <w:vAlign w:val="center"/>
          </w:tcPr>
          <w:p w14:paraId="00959A21">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MTAG_VTE</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bottom"/>
          </w:tcPr>
          <w:p w14:paraId="371FE59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rs2466455</w:t>
            </w:r>
          </w:p>
        </w:tc>
        <w:tc>
          <w:tcPr>
            <w:tcW w:w="2177" w:type="dxa"/>
            <w:tcBorders>
              <w:top w:val="nil"/>
              <w:left w:val="nil"/>
              <w:bottom w:val="nil"/>
              <w:right w:val="nil"/>
            </w:tcBorders>
            <w:shd w:val="clear" w:color="auto" w:fill="auto"/>
            <w:noWrap/>
            <w:vAlign w:val="center"/>
          </w:tcPr>
          <w:p w14:paraId="071FB04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4:111665783-111718067</w:t>
            </w:r>
          </w:p>
        </w:tc>
        <w:tc>
          <w:tcPr>
            <w:tcW w:w="1027" w:type="dxa"/>
            <w:tcBorders>
              <w:top w:val="nil"/>
              <w:left w:val="nil"/>
              <w:bottom w:val="nil"/>
              <w:right w:val="nil"/>
            </w:tcBorders>
            <w:shd w:val="clear" w:color="auto" w:fill="auto"/>
            <w:noWrap/>
            <w:vAlign w:val="bottom"/>
          </w:tcPr>
          <w:p w14:paraId="03007D6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4q25</w:t>
            </w:r>
          </w:p>
        </w:tc>
        <w:tc>
          <w:tcPr>
            <w:tcW w:w="1011" w:type="dxa"/>
            <w:tcBorders>
              <w:top w:val="nil"/>
              <w:left w:val="nil"/>
              <w:bottom w:val="nil"/>
              <w:right w:val="nil"/>
            </w:tcBorders>
            <w:shd w:val="clear" w:color="auto" w:fill="auto"/>
            <w:noWrap/>
            <w:vAlign w:val="center"/>
          </w:tcPr>
          <w:p w14:paraId="4CB0721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9.42</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w:t>
            </w:r>
          </w:p>
        </w:tc>
        <w:tc>
          <w:tcPr>
            <w:tcW w:w="1168" w:type="dxa"/>
            <w:tcBorders>
              <w:top w:val="nil"/>
              <w:left w:val="nil"/>
              <w:bottom w:val="nil"/>
              <w:right w:val="nil"/>
            </w:tcBorders>
            <w:shd w:val="clear" w:color="auto" w:fill="auto"/>
            <w:noWrap/>
            <w:vAlign w:val="bottom"/>
          </w:tcPr>
          <w:p w14:paraId="1CEEF09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9.81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1A801D3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1473" w:type="dxa"/>
            <w:tcBorders>
              <w:top w:val="nil"/>
              <w:left w:val="nil"/>
              <w:bottom w:val="nil"/>
              <w:right w:val="nil"/>
            </w:tcBorders>
            <w:shd w:val="clear" w:color="auto" w:fill="auto"/>
            <w:noWrap/>
            <w:vAlign w:val="bottom"/>
          </w:tcPr>
          <w:p w14:paraId="0947334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intergenic</w:t>
            </w:r>
          </w:p>
        </w:tc>
        <w:tc>
          <w:tcPr>
            <w:tcW w:w="2138" w:type="dxa"/>
            <w:tcBorders>
              <w:top w:val="nil"/>
              <w:left w:val="nil"/>
              <w:bottom w:val="nil"/>
              <w:right w:val="nil"/>
            </w:tcBorders>
            <w:shd w:val="clear" w:color="auto" w:fill="auto"/>
            <w:vAlign w:val="center"/>
          </w:tcPr>
          <w:p w14:paraId="7432050A">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kern w:val="0"/>
                <w:sz w:val="18"/>
                <w:szCs w:val="18"/>
                <w:highlight w:val="none"/>
                <w:lang w:bidi="ar"/>
              </w:rPr>
              <w:t>PITX2, MIR297</w:t>
            </w:r>
          </w:p>
        </w:tc>
      </w:tr>
      <w:tr w14:paraId="1F956DBC">
        <w:trPr>
          <w:trHeight w:val="340" w:hRule="atLeast"/>
          <w:jc w:val="center"/>
        </w:trPr>
        <w:tc>
          <w:tcPr>
            <w:tcW w:w="733" w:type="dxa"/>
            <w:tcBorders>
              <w:top w:val="nil"/>
              <w:left w:val="nil"/>
              <w:bottom w:val="nil"/>
              <w:right w:val="nil"/>
            </w:tcBorders>
            <w:shd w:val="clear" w:color="auto" w:fill="auto"/>
            <w:noWrap/>
            <w:vAlign w:val="center"/>
          </w:tcPr>
          <w:p w14:paraId="7448A23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19</w:t>
            </w:r>
          </w:p>
        </w:tc>
        <w:tc>
          <w:tcPr>
            <w:tcW w:w="1788" w:type="dxa"/>
            <w:tcBorders>
              <w:top w:val="nil"/>
              <w:left w:val="nil"/>
              <w:bottom w:val="nil"/>
              <w:right w:val="nil"/>
            </w:tcBorders>
            <w:shd w:val="clear" w:color="auto" w:fill="auto"/>
            <w:noWrap/>
            <w:vAlign w:val="center"/>
          </w:tcPr>
          <w:p w14:paraId="25DC78C0">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MTAG_VTE</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bottom"/>
          </w:tcPr>
          <w:p w14:paraId="4E95FBD7">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rs4835410</w:t>
            </w:r>
          </w:p>
        </w:tc>
        <w:tc>
          <w:tcPr>
            <w:tcW w:w="2177" w:type="dxa"/>
            <w:tcBorders>
              <w:top w:val="nil"/>
              <w:left w:val="nil"/>
              <w:bottom w:val="nil"/>
              <w:right w:val="nil"/>
            </w:tcBorders>
            <w:shd w:val="clear" w:color="auto" w:fill="auto"/>
            <w:noWrap/>
            <w:vAlign w:val="center"/>
          </w:tcPr>
          <w:p w14:paraId="39FEC27F">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4:148364908-148427893</w:t>
            </w:r>
          </w:p>
        </w:tc>
        <w:tc>
          <w:tcPr>
            <w:tcW w:w="1027" w:type="dxa"/>
            <w:tcBorders>
              <w:top w:val="nil"/>
              <w:left w:val="nil"/>
              <w:bottom w:val="nil"/>
              <w:right w:val="nil"/>
            </w:tcBorders>
            <w:shd w:val="clear" w:color="auto" w:fill="auto"/>
            <w:noWrap/>
            <w:vAlign w:val="bottom"/>
          </w:tcPr>
          <w:p w14:paraId="478B53D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4q31.22</w:t>
            </w:r>
          </w:p>
        </w:tc>
        <w:tc>
          <w:tcPr>
            <w:tcW w:w="1011" w:type="dxa"/>
            <w:tcBorders>
              <w:top w:val="nil"/>
              <w:left w:val="nil"/>
              <w:bottom w:val="nil"/>
              <w:right w:val="nil"/>
            </w:tcBorders>
            <w:shd w:val="clear" w:color="auto" w:fill="auto"/>
            <w:noWrap/>
            <w:vAlign w:val="center"/>
          </w:tcPr>
          <w:p w14:paraId="3E6E060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4.18</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bottom"/>
          </w:tcPr>
          <w:p w14:paraId="5B20664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6.03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7EC1CFD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4.35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14</w:t>
            </w:r>
          </w:p>
        </w:tc>
        <w:tc>
          <w:tcPr>
            <w:tcW w:w="1473" w:type="dxa"/>
            <w:tcBorders>
              <w:top w:val="nil"/>
              <w:left w:val="nil"/>
              <w:bottom w:val="nil"/>
              <w:right w:val="nil"/>
            </w:tcBorders>
            <w:shd w:val="clear" w:color="auto" w:fill="auto"/>
            <w:noWrap/>
            <w:vAlign w:val="bottom"/>
          </w:tcPr>
          <w:p w14:paraId="5278DBB7">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intronic</w:t>
            </w:r>
          </w:p>
        </w:tc>
        <w:tc>
          <w:tcPr>
            <w:tcW w:w="2138" w:type="dxa"/>
            <w:tcBorders>
              <w:top w:val="nil"/>
              <w:left w:val="nil"/>
              <w:bottom w:val="nil"/>
              <w:right w:val="nil"/>
            </w:tcBorders>
            <w:shd w:val="clear" w:color="auto" w:fill="auto"/>
            <w:vAlign w:val="center"/>
          </w:tcPr>
          <w:p w14:paraId="0D94EC5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EDNRA</w:t>
            </w:r>
          </w:p>
        </w:tc>
      </w:tr>
      <w:tr w14:paraId="2373858D">
        <w:trPr>
          <w:trHeight w:val="340" w:hRule="atLeast"/>
          <w:jc w:val="center"/>
        </w:trPr>
        <w:tc>
          <w:tcPr>
            <w:tcW w:w="733" w:type="dxa"/>
            <w:tcBorders>
              <w:top w:val="nil"/>
              <w:left w:val="nil"/>
              <w:bottom w:val="nil"/>
              <w:right w:val="nil"/>
            </w:tcBorders>
            <w:shd w:val="clear" w:color="auto" w:fill="auto"/>
            <w:noWrap/>
            <w:vAlign w:val="center"/>
          </w:tcPr>
          <w:p w14:paraId="6A03B28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25</w:t>
            </w:r>
          </w:p>
        </w:tc>
        <w:tc>
          <w:tcPr>
            <w:tcW w:w="1788" w:type="dxa"/>
            <w:tcBorders>
              <w:top w:val="nil"/>
              <w:left w:val="nil"/>
              <w:bottom w:val="nil"/>
              <w:right w:val="nil"/>
            </w:tcBorders>
            <w:shd w:val="clear" w:color="auto" w:fill="auto"/>
            <w:noWrap/>
            <w:vAlign w:val="center"/>
          </w:tcPr>
          <w:p w14:paraId="73C1CC7D">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MTAG_VTE</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bottom"/>
          </w:tcPr>
          <w:p w14:paraId="18F139F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rs6907508</w:t>
            </w:r>
          </w:p>
        </w:tc>
        <w:tc>
          <w:tcPr>
            <w:tcW w:w="2177" w:type="dxa"/>
            <w:tcBorders>
              <w:top w:val="nil"/>
              <w:left w:val="nil"/>
              <w:bottom w:val="nil"/>
              <w:right w:val="nil"/>
            </w:tcBorders>
            <w:shd w:val="clear" w:color="auto" w:fill="auto"/>
            <w:noWrap/>
            <w:vAlign w:val="center"/>
          </w:tcPr>
          <w:p w14:paraId="4655B191">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6:34548206-34831761</w:t>
            </w:r>
          </w:p>
        </w:tc>
        <w:tc>
          <w:tcPr>
            <w:tcW w:w="1027" w:type="dxa"/>
            <w:tcBorders>
              <w:top w:val="nil"/>
              <w:left w:val="nil"/>
              <w:bottom w:val="nil"/>
              <w:right w:val="nil"/>
            </w:tcBorders>
            <w:shd w:val="clear" w:color="auto" w:fill="auto"/>
            <w:noWrap/>
            <w:vAlign w:val="bottom"/>
          </w:tcPr>
          <w:p w14:paraId="3028062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6p21.31</w:t>
            </w:r>
          </w:p>
        </w:tc>
        <w:tc>
          <w:tcPr>
            <w:tcW w:w="1011" w:type="dxa"/>
            <w:tcBorders>
              <w:top w:val="nil"/>
              <w:left w:val="nil"/>
              <w:bottom w:val="nil"/>
              <w:right w:val="nil"/>
            </w:tcBorders>
            <w:shd w:val="clear" w:color="auto" w:fill="auto"/>
            <w:noWrap/>
            <w:vAlign w:val="center"/>
          </w:tcPr>
          <w:p w14:paraId="331D11E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2.14</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bottom"/>
          </w:tcPr>
          <w:p w14:paraId="6D21F53F">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8.17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4D7BE73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2.24</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13</w:t>
            </w:r>
          </w:p>
        </w:tc>
        <w:tc>
          <w:tcPr>
            <w:tcW w:w="1473" w:type="dxa"/>
            <w:tcBorders>
              <w:top w:val="nil"/>
              <w:left w:val="nil"/>
              <w:bottom w:val="nil"/>
              <w:right w:val="nil"/>
            </w:tcBorders>
            <w:shd w:val="clear" w:color="auto" w:fill="auto"/>
            <w:noWrap/>
            <w:vAlign w:val="bottom"/>
          </w:tcPr>
          <w:p w14:paraId="793807F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intronic</w:t>
            </w:r>
          </w:p>
        </w:tc>
        <w:tc>
          <w:tcPr>
            <w:tcW w:w="2138" w:type="dxa"/>
            <w:tcBorders>
              <w:top w:val="nil"/>
              <w:left w:val="nil"/>
              <w:bottom w:val="nil"/>
              <w:right w:val="nil"/>
            </w:tcBorders>
            <w:shd w:val="clear" w:color="auto" w:fill="auto"/>
            <w:vAlign w:val="center"/>
          </w:tcPr>
          <w:p w14:paraId="5445A9D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ILRUN</w:t>
            </w:r>
          </w:p>
        </w:tc>
      </w:tr>
      <w:tr w14:paraId="06D267CF">
        <w:trPr>
          <w:trHeight w:val="340" w:hRule="atLeast"/>
          <w:jc w:val="center"/>
        </w:trPr>
        <w:tc>
          <w:tcPr>
            <w:tcW w:w="733" w:type="dxa"/>
            <w:tcBorders>
              <w:top w:val="nil"/>
              <w:left w:val="nil"/>
              <w:bottom w:val="nil"/>
              <w:right w:val="nil"/>
            </w:tcBorders>
            <w:shd w:val="clear" w:color="auto" w:fill="auto"/>
            <w:noWrap/>
            <w:vAlign w:val="center"/>
          </w:tcPr>
          <w:p w14:paraId="1579B48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color w:val="auto"/>
                <w:kern w:val="0"/>
                <w:sz w:val="18"/>
                <w:szCs w:val="18"/>
                <w:highlight w:val="none"/>
                <w:lang w:bidi="ar"/>
              </w:rPr>
              <w:t>50</w:t>
            </w:r>
          </w:p>
        </w:tc>
        <w:tc>
          <w:tcPr>
            <w:tcW w:w="1788" w:type="dxa"/>
            <w:tcBorders>
              <w:top w:val="nil"/>
              <w:left w:val="nil"/>
              <w:bottom w:val="nil"/>
              <w:right w:val="nil"/>
            </w:tcBorders>
            <w:shd w:val="clear" w:color="auto" w:fill="auto"/>
            <w:noWrap/>
            <w:vAlign w:val="center"/>
          </w:tcPr>
          <w:p w14:paraId="7268EECA">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MTAG_VTE</w:t>
            </w:r>
            <w:r>
              <w:rPr>
                <w:rFonts w:hint="default" w:ascii="Times New Roman Regular" w:hAnsi="Times New Roman Regular" w:eastAsia="宋体" w:cs="Times New Roman Regular"/>
                <w:color w:val="auto"/>
                <w:kern w:val="0"/>
                <w:sz w:val="18"/>
                <w:szCs w:val="18"/>
                <w:highlight w:val="none"/>
                <w:lang w:bidi="ar"/>
              </w:rPr>
              <w:t>_EUR</w:t>
            </w:r>
          </w:p>
        </w:tc>
        <w:tc>
          <w:tcPr>
            <w:tcW w:w="1412" w:type="dxa"/>
            <w:tcBorders>
              <w:top w:val="nil"/>
              <w:left w:val="nil"/>
              <w:bottom w:val="nil"/>
              <w:right w:val="nil"/>
            </w:tcBorders>
            <w:shd w:val="clear" w:color="auto" w:fill="auto"/>
            <w:noWrap/>
            <w:vAlign w:val="center"/>
          </w:tcPr>
          <w:p w14:paraId="4F45D114">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rs7144340</w:t>
            </w:r>
          </w:p>
        </w:tc>
        <w:tc>
          <w:tcPr>
            <w:tcW w:w="2177" w:type="dxa"/>
            <w:tcBorders>
              <w:top w:val="nil"/>
              <w:left w:val="nil"/>
              <w:bottom w:val="nil"/>
              <w:right w:val="nil"/>
            </w:tcBorders>
            <w:shd w:val="clear" w:color="auto" w:fill="auto"/>
            <w:noWrap/>
            <w:vAlign w:val="center"/>
          </w:tcPr>
          <w:p w14:paraId="74DC184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14:103058769-103209153</w:t>
            </w:r>
          </w:p>
        </w:tc>
        <w:tc>
          <w:tcPr>
            <w:tcW w:w="1027" w:type="dxa"/>
            <w:tcBorders>
              <w:top w:val="nil"/>
              <w:left w:val="nil"/>
              <w:bottom w:val="nil"/>
              <w:right w:val="nil"/>
            </w:tcBorders>
            <w:shd w:val="clear" w:color="auto" w:fill="auto"/>
            <w:noWrap/>
            <w:vAlign w:val="center"/>
          </w:tcPr>
          <w:p w14:paraId="4B519E43">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14q32.31</w:t>
            </w:r>
          </w:p>
        </w:tc>
        <w:tc>
          <w:tcPr>
            <w:tcW w:w="1011" w:type="dxa"/>
            <w:tcBorders>
              <w:top w:val="nil"/>
              <w:left w:val="nil"/>
              <w:bottom w:val="nil"/>
              <w:right w:val="nil"/>
            </w:tcBorders>
            <w:shd w:val="clear" w:color="auto" w:fill="auto"/>
            <w:noWrap/>
            <w:vAlign w:val="center"/>
          </w:tcPr>
          <w:p w14:paraId="0602E40E">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8.11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168" w:type="dxa"/>
            <w:tcBorders>
              <w:top w:val="nil"/>
              <w:left w:val="nil"/>
              <w:bottom w:val="nil"/>
              <w:right w:val="nil"/>
            </w:tcBorders>
            <w:shd w:val="clear" w:color="auto" w:fill="auto"/>
            <w:noWrap/>
            <w:vAlign w:val="center"/>
          </w:tcPr>
          <w:p w14:paraId="7E4AB0DC">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1.22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4E8D8F67">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2.92 × 10</w:t>
            </w:r>
            <w:r>
              <w:rPr>
                <w:rFonts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3E7D5875">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ncRNA_exonic</w:t>
            </w:r>
          </w:p>
        </w:tc>
        <w:tc>
          <w:tcPr>
            <w:tcW w:w="2138" w:type="dxa"/>
            <w:tcBorders>
              <w:top w:val="nil"/>
              <w:left w:val="nil"/>
              <w:bottom w:val="nil"/>
              <w:right w:val="nil"/>
            </w:tcBorders>
            <w:shd w:val="clear" w:color="auto" w:fill="auto"/>
            <w:vAlign w:val="center"/>
          </w:tcPr>
          <w:p w14:paraId="39D78F64">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RPL23AP11</w:t>
            </w:r>
          </w:p>
        </w:tc>
      </w:tr>
      <w:tr w14:paraId="1CA6509F">
        <w:trPr>
          <w:trHeight w:val="340" w:hRule="atLeast"/>
          <w:jc w:val="center"/>
        </w:trPr>
        <w:tc>
          <w:tcPr>
            <w:tcW w:w="733" w:type="dxa"/>
            <w:tcBorders>
              <w:top w:val="nil"/>
              <w:left w:val="nil"/>
              <w:bottom w:val="nil"/>
              <w:right w:val="nil"/>
            </w:tcBorders>
            <w:shd w:val="clear" w:color="auto" w:fill="auto"/>
            <w:noWrap/>
            <w:vAlign w:val="center"/>
          </w:tcPr>
          <w:p w14:paraId="03B6E1D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56</w:t>
            </w:r>
          </w:p>
        </w:tc>
        <w:tc>
          <w:tcPr>
            <w:tcW w:w="1788" w:type="dxa"/>
            <w:tcBorders>
              <w:top w:val="nil"/>
              <w:left w:val="nil"/>
              <w:bottom w:val="nil"/>
              <w:right w:val="nil"/>
            </w:tcBorders>
            <w:shd w:val="clear" w:color="auto" w:fill="auto"/>
            <w:noWrap/>
            <w:vAlign w:val="center"/>
          </w:tcPr>
          <w:p w14:paraId="5A41E22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ascii="Times New Roman Regular" w:hAnsi="Times New Roman Regular" w:eastAsia="宋体" w:cs="Times New Roman Regular"/>
                <w:color w:val="auto"/>
                <w:kern w:val="0"/>
                <w:sz w:val="18"/>
                <w:szCs w:val="18"/>
                <w:highlight w:val="none"/>
                <w:u w:val="none"/>
                <w:lang w:bidi="ar"/>
              </w:rPr>
              <w:t>MTAG_VTE</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bottom"/>
          </w:tcPr>
          <w:p w14:paraId="0C16614E">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rs3213422</w:t>
            </w:r>
          </w:p>
        </w:tc>
        <w:tc>
          <w:tcPr>
            <w:tcW w:w="2177" w:type="dxa"/>
            <w:tcBorders>
              <w:top w:val="nil"/>
              <w:left w:val="nil"/>
              <w:bottom w:val="nil"/>
              <w:right w:val="nil"/>
            </w:tcBorders>
            <w:shd w:val="clear" w:color="auto" w:fill="auto"/>
            <w:noWrap/>
            <w:vAlign w:val="center"/>
          </w:tcPr>
          <w:p w14:paraId="6FC208F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16:72030970-72051369</w:t>
            </w:r>
          </w:p>
        </w:tc>
        <w:tc>
          <w:tcPr>
            <w:tcW w:w="1027" w:type="dxa"/>
            <w:tcBorders>
              <w:top w:val="nil"/>
              <w:left w:val="nil"/>
              <w:bottom w:val="nil"/>
              <w:right w:val="nil"/>
            </w:tcBorders>
            <w:shd w:val="clear" w:color="auto" w:fill="auto"/>
            <w:noWrap/>
            <w:vAlign w:val="bottom"/>
          </w:tcPr>
          <w:p w14:paraId="75A3C9F2">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16q22.2</w:t>
            </w:r>
          </w:p>
        </w:tc>
        <w:tc>
          <w:tcPr>
            <w:tcW w:w="1011" w:type="dxa"/>
            <w:tcBorders>
              <w:top w:val="nil"/>
              <w:left w:val="nil"/>
              <w:bottom w:val="nil"/>
              <w:right w:val="nil"/>
            </w:tcBorders>
            <w:shd w:val="clear" w:color="auto" w:fill="auto"/>
            <w:noWrap/>
            <w:vAlign w:val="center"/>
          </w:tcPr>
          <w:p w14:paraId="2E5C4CA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7.98</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168" w:type="dxa"/>
            <w:tcBorders>
              <w:top w:val="nil"/>
              <w:left w:val="nil"/>
              <w:bottom w:val="nil"/>
              <w:right w:val="nil"/>
            </w:tcBorders>
            <w:shd w:val="clear" w:color="auto" w:fill="auto"/>
            <w:noWrap/>
            <w:vAlign w:val="bottom"/>
          </w:tcPr>
          <w:p w14:paraId="4D483AED">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2.45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2310877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3.34</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11</w:t>
            </w:r>
          </w:p>
        </w:tc>
        <w:tc>
          <w:tcPr>
            <w:tcW w:w="1473" w:type="dxa"/>
            <w:tcBorders>
              <w:top w:val="nil"/>
              <w:left w:val="nil"/>
              <w:bottom w:val="nil"/>
              <w:right w:val="nil"/>
            </w:tcBorders>
            <w:shd w:val="clear" w:color="auto" w:fill="auto"/>
            <w:noWrap/>
            <w:vAlign w:val="bottom"/>
          </w:tcPr>
          <w:p w14:paraId="78DF1ED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exonic</w:t>
            </w:r>
          </w:p>
        </w:tc>
        <w:tc>
          <w:tcPr>
            <w:tcW w:w="2138" w:type="dxa"/>
            <w:tcBorders>
              <w:top w:val="nil"/>
              <w:left w:val="nil"/>
              <w:bottom w:val="nil"/>
              <w:right w:val="nil"/>
            </w:tcBorders>
            <w:shd w:val="clear" w:color="auto" w:fill="auto"/>
            <w:vAlign w:val="center"/>
          </w:tcPr>
          <w:p w14:paraId="17734C5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DHODH</w:t>
            </w:r>
          </w:p>
        </w:tc>
      </w:tr>
      <w:tr w14:paraId="6933FB8F">
        <w:trPr>
          <w:trHeight w:val="340" w:hRule="atLeast"/>
          <w:jc w:val="center"/>
        </w:trPr>
        <w:tc>
          <w:tcPr>
            <w:tcW w:w="733" w:type="dxa"/>
            <w:tcBorders>
              <w:top w:val="nil"/>
              <w:left w:val="nil"/>
              <w:bottom w:val="nil"/>
              <w:right w:val="nil"/>
            </w:tcBorders>
            <w:shd w:val="clear" w:color="auto" w:fill="auto"/>
            <w:noWrap/>
            <w:vAlign w:val="center"/>
          </w:tcPr>
          <w:p w14:paraId="27E2BE7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61</w:t>
            </w:r>
          </w:p>
        </w:tc>
        <w:tc>
          <w:tcPr>
            <w:tcW w:w="1788" w:type="dxa"/>
            <w:tcBorders>
              <w:top w:val="nil"/>
              <w:left w:val="nil"/>
              <w:bottom w:val="nil"/>
              <w:right w:val="nil"/>
            </w:tcBorders>
            <w:shd w:val="clear" w:color="auto" w:fill="auto"/>
            <w:noWrap/>
            <w:vAlign w:val="center"/>
          </w:tcPr>
          <w:p w14:paraId="44983AB2">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ascii="Times New Roman Regular" w:hAnsi="Times New Roman Regular" w:eastAsia="宋体" w:cs="Times New Roman Regular"/>
                <w:color w:val="auto"/>
                <w:kern w:val="0"/>
                <w:sz w:val="18"/>
                <w:szCs w:val="18"/>
                <w:highlight w:val="none"/>
                <w:u w:val="none"/>
                <w:lang w:bidi="ar"/>
              </w:rPr>
              <w:t>MTAG_VTE</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bottom"/>
          </w:tcPr>
          <w:p w14:paraId="75A697D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rs199457</w:t>
            </w:r>
          </w:p>
        </w:tc>
        <w:tc>
          <w:tcPr>
            <w:tcW w:w="2177" w:type="dxa"/>
            <w:tcBorders>
              <w:top w:val="nil"/>
              <w:left w:val="nil"/>
              <w:bottom w:val="nil"/>
              <w:right w:val="nil"/>
            </w:tcBorders>
            <w:shd w:val="clear" w:color="auto" w:fill="auto"/>
            <w:noWrap/>
            <w:vAlign w:val="center"/>
          </w:tcPr>
          <w:p w14:paraId="36607C1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17:43795573-44865603</w:t>
            </w:r>
          </w:p>
        </w:tc>
        <w:tc>
          <w:tcPr>
            <w:tcW w:w="1027" w:type="dxa"/>
            <w:tcBorders>
              <w:top w:val="nil"/>
              <w:left w:val="nil"/>
              <w:bottom w:val="nil"/>
              <w:right w:val="nil"/>
            </w:tcBorders>
            <w:shd w:val="clear" w:color="auto" w:fill="auto"/>
            <w:noWrap/>
            <w:vAlign w:val="bottom"/>
          </w:tcPr>
          <w:p w14:paraId="6E2E23F7">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17q21.31</w:t>
            </w:r>
          </w:p>
        </w:tc>
        <w:tc>
          <w:tcPr>
            <w:tcW w:w="1011" w:type="dxa"/>
            <w:tcBorders>
              <w:top w:val="nil"/>
              <w:left w:val="nil"/>
              <w:bottom w:val="nil"/>
              <w:right w:val="nil"/>
            </w:tcBorders>
            <w:shd w:val="clear" w:color="auto" w:fill="auto"/>
            <w:noWrap/>
            <w:vAlign w:val="center"/>
          </w:tcPr>
          <w:p w14:paraId="52F4EC7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6.35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bottom"/>
          </w:tcPr>
          <w:p w14:paraId="37F116E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1.38</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0F027C8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4.29</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11</w:t>
            </w:r>
          </w:p>
        </w:tc>
        <w:tc>
          <w:tcPr>
            <w:tcW w:w="1473" w:type="dxa"/>
            <w:tcBorders>
              <w:top w:val="nil"/>
              <w:left w:val="nil"/>
              <w:bottom w:val="nil"/>
              <w:right w:val="nil"/>
            </w:tcBorders>
            <w:shd w:val="clear" w:color="auto" w:fill="auto"/>
            <w:noWrap/>
            <w:vAlign w:val="bottom"/>
          </w:tcPr>
          <w:p w14:paraId="147ED4B9">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intronic</w:t>
            </w:r>
          </w:p>
        </w:tc>
        <w:tc>
          <w:tcPr>
            <w:tcW w:w="2138" w:type="dxa"/>
            <w:tcBorders>
              <w:top w:val="nil"/>
              <w:left w:val="nil"/>
              <w:bottom w:val="nil"/>
              <w:right w:val="nil"/>
            </w:tcBorders>
            <w:shd w:val="clear" w:color="auto" w:fill="auto"/>
            <w:vAlign w:val="center"/>
          </w:tcPr>
          <w:p w14:paraId="4C59C3E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NSF</w:t>
            </w:r>
          </w:p>
        </w:tc>
      </w:tr>
      <w:tr w14:paraId="37BA53CA">
        <w:trPr>
          <w:trHeight w:val="90" w:hRule="atLeast"/>
          <w:jc w:val="center"/>
        </w:trPr>
        <w:tc>
          <w:tcPr>
            <w:tcW w:w="733" w:type="dxa"/>
            <w:tcBorders>
              <w:top w:val="nil"/>
              <w:left w:val="nil"/>
              <w:bottom w:val="nil"/>
              <w:right w:val="nil"/>
            </w:tcBorders>
            <w:shd w:val="clear" w:color="auto" w:fill="auto"/>
            <w:noWrap/>
            <w:vAlign w:val="center"/>
          </w:tcPr>
          <w:p w14:paraId="30202F3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1</w:t>
            </w:r>
          </w:p>
        </w:tc>
        <w:tc>
          <w:tcPr>
            <w:tcW w:w="1788" w:type="dxa"/>
            <w:tcBorders>
              <w:top w:val="nil"/>
              <w:left w:val="nil"/>
              <w:bottom w:val="nil"/>
              <w:right w:val="nil"/>
            </w:tcBorders>
            <w:shd w:val="clear" w:color="auto" w:fill="auto"/>
            <w:noWrap/>
            <w:vAlign w:val="center"/>
          </w:tcPr>
          <w:p w14:paraId="62F82D4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ascii="Times New Roman Regular" w:hAnsi="Times New Roman Regular" w:eastAsia="宋体" w:cs="Times New Roman Regular"/>
                <w:color w:val="auto"/>
                <w:kern w:val="0"/>
                <w:sz w:val="18"/>
                <w:szCs w:val="18"/>
                <w:highlight w:val="none"/>
                <w:u w:val="none"/>
                <w:lang w:bidi="ar"/>
              </w:rPr>
              <w:t>MTAG_HF</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bottom"/>
          </w:tcPr>
          <w:p w14:paraId="3B913AD7">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rs8081247</w:t>
            </w:r>
          </w:p>
        </w:tc>
        <w:tc>
          <w:tcPr>
            <w:tcW w:w="2177" w:type="dxa"/>
            <w:tcBorders>
              <w:top w:val="nil"/>
              <w:left w:val="nil"/>
              <w:bottom w:val="nil"/>
              <w:right w:val="nil"/>
            </w:tcBorders>
            <w:shd w:val="clear" w:color="auto" w:fill="auto"/>
            <w:noWrap/>
            <w:vAlign w:val="center"/>
          </w:tcPr>
          <w:p w14:paraId="749307C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17:56393633-57142657</w:t>
            </w:r>
          </w:p>
        </w:tc>
        <w:tc>
          <w:tcPr>
            <w:tcW w:w="1027" w:type="dxa"/>
            <w:tcBorders>
              <w:top w:val="nil"/>
              <w:left w:val="nil"/>
              <w:bottom w:val="nil"/>
              <w:right w:val="nil"/>
            </w:tcBorders>
            <w:shd w:val="clear" w:color="auto" w:fill="auto"/>
            <w:noWrap/>
            <w:vAlign w:val="bottom"/>
          </w:tcPr>
          <w:p w14:paraId="6997960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17q22</w:t>
            </w:r>
          </w:p>
        </w:tc>
        <w:tc>
          <w:tcPr>
            <w:tcW w:w="1011" w:type="dxa"/>
            <w:tcBorders>
              <w:top w:val="nil"/>
              <w:left w:val="nil"/>
              <w:bottom w:val="nil"/>
              <w:right w:val="nil"/>
            </w:tcBorders>
            <w:shd w:val="clear" w:color="auto" w:fill="auto"/>
            <w:noWrap/>
            <w:vAlign w:val="center"/>
          </w:tcPr>
          <w:p w14:paraId="488127E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6.73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bottom"/>
          </w:tcPr>
          <w:p w14:paraId="1E1100B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3.30</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i w:val="0"/>
                <w:iCs w:val="0"/>
                <w:color w:val="auto"/>
                <w:kern w:val="0"/>
                <w:sz w:val="18"/>
                <w:szCs w:val="18"/>
                <w:highlight w:val="none"/>
                <w:u w:val="none"/>
                <w:vertAlign w:val="superscript"/>
                <w:lang w:eastAsia="zh-CN" w:bidi="ar"/>
              </w:rPr>
              <w:t>9</w:t>
            </w:r>
          </w:p>
        </w:tc>
        <w:tc>
          <w:tcPr>
            <w:tcW w:w="1069" w:type="dxa"/>
            <w:tcBorders>
              <w:top w:val="nil"/>
              <w:left w:val="nil"/>
              <w:bottom w:val="nil"/>
              <w:right w:val="nil"/>
            </w:tcBorders>
            <w:shd w:val="clear" w:color="auto" w:fill="auto"/>
            <w:noWrap/>
            <w:vAlign w:val="center"/>
          </w:tcPr>
          <w:p w14:paraId="1ED7BB6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3.91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bottom"/>
          </w:tcPr>
          <w:p w14:paraId="55A6B0B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intronic</w:t>
            </w:r>
          </w:p>
        </w:tc>
        <w:tc>
          <w:tcPr>
            <w:tcW w:w="2138" w:type="dxa"/>
            <w:tcBorders>
              <w:top w:val="nil"/>
              <w:left w:val="nil"/>
              <w:bottom w:val="nil"/>
              <w:right w:val="nil"/>
            </w:tcBorders>
            <w:shd w:val="clear" w:color="auto" w:fill="auto"/>
            <w:vAlign w:val="center"/>
          </w:tcPr>
          <w:p w14:paraId="63949F7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u w:val="none"/>
                <w:lang w:val="en-US" w:eastAsia="zh-Hans" w:bidi="ar"/>
              </w:rPr>
            </w:pPr>
            <w:r>
              <w:rPr>
                <w:rFonts w:hint="eastAsia" w:ascii="Times New Roman Regular" w:hAnsi="Times New Roman Regular" w:eastAsia="宋体" w:cs="Times New Roman Regular"/>
                <w:color w:val="auto"/>
                <w:kern w:val="0"/>
                <w:sz w:val="18"/>
                <w:szCs w:val="18"/>
                <w:highlight w:val="none"/>
                <w:u w:val="none"/>
                <w:lang w:val="en-US" w:eastAsia="zh-Hans" w:bidi="ar"/>
              </w:rPr>
              <w:t>HSF5</w:t>
            </w:r>
          </w:p>
        </w:tc>
      </w:tr>
      <w:tr w14:paraId="0AE6A5C2">
        <w:trPr>
          <w:trHeight w:val="336" w:hRule="atLeast"/>
          <w:jc w:val="center"/>
        </w:trPr>
        <w:tc>
          <w:tcPr>
            <w:tcW w:w="733" w:type="dxa"/>
            <w:tcBorders>
              <w:top w:val="nil"/>
              <w:left w:val="nil"/>
              <w:bottom w:val="nil"/>
              <w:right w:val="nil"/>
            </w:tcBorders>
            <w:shd w:val="clear" w:color="auto" w:fill="auto"/>
            <w:noWrap/>
            <w:vAlign w:val="center"/>
          </w:tcPr>
          <w:p w14:paraId="34238387">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13</w:t>
            </w:r>
          </w:p>
        </w:tc>
        <w:tc>
          <w:tcPr>
            <w:tcW w:w="1788" w:type="dxa"/>
            <w:tcBorders>
              <w:top w:val="nil"/>
              <w:left w:val="nil"/>
              <w:bottom w:val="nil"/>
              <w:right w:val="nil"/>
            </w:tcBorders>
            <w:shd w:val="clear" w:color="auto" w:fill="auto"/>
            <w:noWrap/>
            <w:vAlign w:val="center"/>
          </w:tcPr>
          <w:p w14:paraId="06516DD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ascii="Times New Roman Regular" w:hAnsi="Times New Roman Regular" w:eastAsia="宋体" w:cs="Times New Roman Regular"/>
                <w:color w:val="auto"/>
                <w:kern w:val="0"/>
                <w:sz w:val="18"/>
                <w:szCs w:val="18"/>
                <w:highlight w:val="none"/>
                <w:u w:val="none"/>
                <w:lang w:bidi="ar"/>
              </w:rPr>
              <w:t>MTAG_HF</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bottom"/>
          </w:tcPr>
          <w:p w14:paraId="02E522A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rs12151108</w:t>
            </w:r>
          </w:p>
        </w:tc>
        <w:tc>
          <w:tcPr>
            <w:tcW w:w="2177" w:type="dxa"/>
            <w:tcBorders>
              <w:top w:val="nil"/>
              <w:left w:val="nil"/>
              <w:bottom w:val="nil"/>
              <w:right w:val="nil"/>
            </w:tcBorders>
            <w:shd w:val="clear" w:color="auto" w:fill="auto"/>
            <w:noWrap/>
            <w:vAlign w:val="center"/>
          </w:tcPr>
          <w:p w14:paraId="0A3284D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19:11186412-11210912</w:t>
            </w:r>
          </w:p>
        </w:tc>
        <w:tc>
          <w:tcPr>
            <w:tcW w:w="1027" w:type="dxa"/>
            <w:tcBorders>
              <w:top w:val="nil"/>
              <w:left w:val="nil"/>
              <w:bottom w:val="nil"/>
              <w:right w:val="nil"/>
            </w:tcBorders>
            <w:shd w:val="clear" w:color="auto" w:fill="auto"/>
            <w:noWrap/>
            <w:vAlign w:val="bottom"/>
          </w:tcPr>
          <w:p w14:paraId="13C7851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19p13.2</w:t>
            </w:r>
          </w:p>
        </w:tc>
        <w:tc>
          <w:tcPr>
            <w:tcW w:w="1011" w:type="dxa"/>
            <w:tcBorders>
              <w:top w:val="nil"/>
              <w:left w:val="nil"/>
              <w:bottom w:val="nil"/>
              <w:right w:val="nil"/>
            </w:tcBorders>
            <w:shd w:val="clear" w:color="auto" w:fill="auto"/>
            <w:noWrap/>
            <w:vAlign w:val="center"/>
          </w:tcPr>
          <w:p w14:paraId="3633A8C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9.06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bottom"/>
          </w:tcPr>
          <w:p w14:paraId="77E6E727">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2.08</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i w:val="0"/>
                <w:iCs w:val="0"/>
                <w:color w:val="auto"/>
                <w:kern w:val="0"/>
                <w:sz w:val="18"/>
                <w:szCs w:val="18"/>
                <w:highlight w:val="none"/>
                <w:u w:val="none"/>
                <w:vertAlign w:val="superscript"/>
                <w:lang w:eastAsia="zh-CN" w:bidi="ar"/>
              </w:rPr>
              <w:t>10</w:t>
            </w:r>
          </w:p>
        </w:tc>
        <w:tc>
          <w:tcPr>
            <w:tcW w:w="1069" w:type="dxa"/>
            <w:tcBorders>
              <w:top w:val="nil"/>
              <w:left w:val="nil"/>
              <w:bottom w:val="nil"/>
              <w:right w:val="nil"/>
            </w:tcBorders>
            <w:shd w:val="clear" w:color="auto" w:fill="auto"/>
            <w:noWrap/>
            <w:vAlign w:val="center"/>
          </w:tcPr>
          <w:p w14:paraId="5DCBF4E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color w:val="auto"/>
                <w:kern w:val="0"/>
                <w:sz w:val="18"/>
                <w:szCs w:val="18"/>
                <w:highlight w:val="none"/>
                <w:u w:val="none"/>
                <w:lang w:bidi="ar"/>
              </w:rPr>
              <w:t>NA</w:t>
            </w:r>
          </w:p>
        </w:tc>
        <w:tc>
          <w:tcPr>
            <w:tcW w:w="1473" w:type="dxa"/>
            <w:tcBorders>
              <w:top w:val="nil"/>
              <w:left w:val="nil"/>
              <w:bottom w:val="nil"/>
              <w:right w:val="nil"/>
            </w:tcBorders>
            <w:shd w:val="clear" w:color="auto" w:fill="auto"/>
            <w:noWrap/>
            <w:vAlign w:val="bottom"/>
          </w:tcPr>
          <w:p w14:paraId="073D48D4">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intergenic</w:t>
            </w:r>
          </w:p>
        </w:tc>
        <w:tc>
          <w:tcPr>
            <w:tcW w:w="2138" w:type="dxa"/>
            <w:tcBorders>
              <w:top w:val="nil"/>
              <w:left w:val="nil"/>
              <w:bottom w:val="nil"/>
              <w:right w:val="nil"/>
            </w:tcBorders>
            <w:shd w:val="clear" w:color="auto" w:fill="auto"/>
            <w:noWrap/>
            <w:vAlign w:val="center"/>
          </w:tcPr>
          <w:p w14:paraId="2DD7AC9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eastAsia" w:ascii="Times New Roman Regular" w:hAnsi="Times New Roman Regular" w:eastAsia="宋体" w:cs="Times New Roman Regular"/>
                <w:color w:val="auto"/>
                <w:kern w:val="0"/>
                <w:sz w:val="18"/>
                <w:szCs w:val="18"/>
                <w:highlight w:val="none"/>
                <w:u w:val="none"/>
                <w:lang w:bidi="ar"/>
              </w:rPr>
              <w:t>SMARCA4</w:t>
            </w:r>
            <w:r>
              <w:rPr>
                <w:rFonts w:hint="default" w:ascii="Times New Roman Regular" w:hAnsi="Times New Roman Regular" w:eastAsia="宋体" w:cs="Times New Roman Regular"/>
                <w:color w:val="auto"/>
                <w:kern w:val="0"/>
                <w:sz w:val="18"/>
                <w:szCs w:val="18"/>
                <w:highlight w:val="none"/>
                <w:u w:val="none"/>
                <w:lang w:bidi="ar"/>
              </w:rPr>
              <w:t>, LDLR-AS1</w:t>
            </w:r>
          </w:p>
        </w:tc>
      </w:tr>
      <w:tr w14:paraId="27E990A7">
        <w:trPr>
          <w:trHeight w:val="336" w:hRule="atLeast"/>
          <w:jc w:val="center"/>
        </w:trPr>
        <w:tc>
          <w:tcPr>
            <w:tcW w:w="733" w:type="dxa"/>
            <w:tcBorders>
              <w:top w:val="nil"/>
              <w:left w:val="nil"/>
              <w:bottom w:val="nil"/>
              <w:right w:val="nil"/>
            </w:tcBorders>
            <w:shd w:val="clear" w:color="auto" w:fill="auto"/>
            <w:noWrap/>
            <w:vAlign w:val="center"/>
          </w:tcPr>
          <w:p w14:paraId="3842C6C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w:t>
            </w:r>
          </w:p>
        </w:tc>
        <w:tc>
          <w:tcPr>
            <w:tcW w:w="1788" w:type="dxa"/>
            <w:tcBorders>
              <w:top w:val="nil"/>
              <w:left w:val="nil"/>
              <w:bottom w:val="nil"/>
              <w:right w:val="nil"/>
            </w:tcBorders>
            <w:shd w:val="clear" w:color="auto" w:fill="auto"/>
            <w:noWrap/>
            <w:vAlign w:val="center"/>
          </w:tcPr>
          <w:p w14:paraId="0843260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2D9A15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rs17465651</w:t>
            </w:r>
          </w:p>
        </w:tc>
        <w:tc>
          <w:tcPr>
            <w:tcW w:w="2177" w:type="dxa"/>
            <w:tcBorders>
              <w:top w:val="nil"/>
              <w:left w:val="nil"/>
              <w:bottom w:val="nil"/>
              <w:right w:val="nil"/>
            </w:tcBorders>
            <w:shd w:val="clear" w:color="auto" w:fill="auto"/>
            <w:noWrap/>
            <w:vAlign w:val="center"/>
          </w:tcPr>
          <w:p w14:paraId="345B4C2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1:38386727-38461821</w:t>
            </w:r>
          </w:p>
        </w:tc>
        <w:tc>
          <w:tcPr>
            <w:tcW w:w="1027" w:type="dxa"/>
            <w:tcBorders>
              <w:top w:val="nil"/>
              <w:left w:val="nil"/>
              <w:bottom w:val="nil"/>
              <w:right w:val="nil"/>
            </w:tcBorders>
            <w:shd w:val="clear" w:color="auto" w:fill="auto"/>
            <w:noWrap/>
            <w:vAlign w:val="center"/>
          </w:tcPr>
          <w:p w14:paraId="2A46CC4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1p34.3</w:t>
            </w:r>
          </w:p>
        </w:tc>
        <w:tc>
          <w:tcPr>
            <w:tcW w:w="1011" w:type="dxa"/>
            <w:tcBorders>
              <w:top w:val="nil"/>
              <w:left w:val="nil"/>
              <w:bottom w:val="nil"/>
              <w:right w:val="nil"/>
            </w:tcBorders>
            <w:shd w:val="clear" w:color="auto" w:fill="auto"/>
            <w:noWrap/>
            <w:vAlign w:val="center"/>
          </w:tcPr>
          <w:p w14:paraId="0CE2E80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8.40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748A947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1.51</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7E77362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1.64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12</w:t>
            </w:r>
          </w:p>
        </w:tc>
        <w:tc>
          <w:tcPr>
            <w:tcW w:w="1473" w:type="dxa"/>
            <w:tcBorders>
              <w:top w:val="nil"/>
              <w:left w:val="nil"/>
              <w:bottom w:val="nil"/>
              <w:right w:val="nil"/>
            </w:tcBorders>
            <w:shd w:val="clear" w:color="auto" w:fill="auto"/>
            <w:noWrap/>
            <w:vAlign w:val="center"/>
          </w:tcPr>
          <w:p w14:paraId="05BFBB4E">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4E20797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INPP5B, SF3A3</w:t>
            </w:r>
          </w:p>
        </w:tc>
      </w:tr>
      <w:tr w14:paraId="24D21E92">
        <w:trPr>
          <w:trHeight w:val="336" w:hRule="atLeast"/>
          <w:jc w:val="center"/>
        </w:trPr>
        <w:tc>
          <w:tcPr>
            <w:tcW w:w="733" w:type="dxa"/>
            <w:tcBorders>
              <w:top w:val="nil"/>
              <w:left w:val="nil"/>
              <w:bottom w:val="nil"/>
              <w:right w:val="nil"/>
            </w:tcBorders>
            <w:shd w:val="clear" w:color="auto" w:fill="auto"/>
            <w:noWrap/>
            <w:vAlign w:val="center"/>
          </w:tcPr>
          <w:p w14:paraId="26ECC04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w:t>
            </w:r>
          </w:p>
        </w:tc>
        <w:tc>
          <w:tcPr>
            <w:tcW w:w="1788" w:type="dxa"/>
            <w:tcBorders>
              <w:top w:val="nil"/>
              <w:left w:val="nil"/>
              <w:bottom w:val="nil"/>
              <w:right w:val="nil"/>
            </w:tcBorders>
            <w:shd w:val="clear" w:color="auto" w:fill="auto"/>
            <w:noWrap/>
            <w:vAlign w:val="center"/>
          </w:tcPr>
          <w:p w14:paraId="6881D8A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602A865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rs2455016</w:t>
            </w:r>
          </w:p>
        </w:tc>
        <w:tc>
          <w:tcPr>
            <w:tcW w:w="2177" w:type="dxa"/>
            <w:tcBorders>
              <w:top w:val="nil"/>
              <w:left w:val="nil"/>
              <w:bottom w:val="nil"/>
              <w:right w:val="nil"/>
            </w:tcBorders>
            <w:shd w:val="clear" w:color="auto" w:fill="auto"/>
            <w:noWrap/>
            <w:vAlign w:val="center"/>
          </w:tcPr>
          <w:p w14:paraId="42201A5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1:66555792-66593672</w:t>
            </w:r>
          </w:p>
        </w:tc>
        <w:tc>
          <w:tcPr>
            <w:tcW w:w="1027" w:type="dxa"/>
            <w:tcBorders>
              <w:top w:val="nil"/>
              <w:left w:val="nil"/>
              <w:bottom w:val="nil"/>
              <w:right w:val="nil"/>
            </w:tcBorders>
            <w:shd w:val="clear" w:color="auto" w:fill="auto"/>
            <w:noWrap/>
            <w:vAlign w:val="center"/>
          </w:tcPr>
          <w:p w14:paraId="1DAF89F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1p31.3</w:t>
            </w:r>
          </w:p>
        </w:tc>
        <w:tc>
          <w:tcPr>
            <w:tcW w:w="1011" w:type="dxa"/>
            <w:tcBorders>
              <w:top w:val="nil"/>
              <w:left w:val="nil"/>
              <w:bottom w:val="nil"/>
              <w:right w:val="nil"/>
            </w:tcBorders>
            <w:shd w:val="clear" w:color="auto" w:fill="auto"/>
            <w:noWrap/>
            <w:vAlign w:val="center"/>
          </w:tcPr>
          <w:p w14:paraId="18FC6EF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1.90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08D8DF2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1.83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1F6CBEE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686F485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57E144B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PDE4B</w:t>
            </w:r>
          </w:p>
        </w:tc>
      </w:tr>
      <w:tr w14:paraId="0F512022">
        <w:trPr>
          <w:trHeight w:val="336" w:hRule="atLeast"/>
          <w:jc w:val="center"/>
        </w:trPr>
        <w:tc>
          <w:tcPr>
            <w:tcW w:w="733" w:type="dxa"/>
            <w:tcBorders>
              <w:top w:val="nil"/>
              <w:left w:val="nil"/>
              <w:bottom w:val="nil"/>
              <w:right w:val="nil"/>
            </w:tcBorders>
            <w:shd w:val="clear" w:color="auto" w:fill="auto"/>
            <w:noWrap/>
            <w:vAlign w:val="center"/>
          </w:tcPr>
          <w:p w14:paraId="735AD20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w:t>
            </w:r>
          </w:p>
        </w:tc>
        <w:tc>
          <w:tcPr>
            <w:tcW w:w="1788" w:type="dxa"/>
            <w:tcBorders>
              <w:top w:val="nil"/>
              <w:left w:val="nil"/>
              <w:bottom w:val="nil"/>
              <w:right w:val="nil"/>
            </w:tcBorders>
            <w:shd w:val="clear" w:color="auto" w:fill="auto"/>
            <w:noWrap/>
            <w:vAlign w:val="center"/>
          </w:tcPr>
          <w:p w14:paraId="04BD4F6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DDE648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rs1042482</w:t>
            </w:r>
          </w:p>
        </w:tc>
        <w:tc>
          <w:tcPr>
            <w:tcW w:w="2177" w:type="dxa"/>
            <w:tcBorders>
              <w:top w:val="nil"/>
              <w:left w:val="nil"/>
              <w:bottom w:val="nil"/>
              <w:right w:val="nil"/>
            </w:tcBorders>
            <w:shd w:val="clear" w:color="auto" w:fill="auto"/>
            <w:noWrap/>
            <w:vAlign w:val="center"/>
          </w:tcPr>
          <w:p w14:paraId="7935E05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1:97491891-97577502</w:t>
            </w:r>
          </w:p>
        </w:tc>
        <w:tc>
          <w:tcPr>
            <w:tcW w:w="1027" w:type="dxa"/>
            <w:tcBorders>
              <w:top w:val="nil"/>
              <w:left w:val="nil"/>
              <w:bottom w:val="nil"/>
              <w:right w:val="nil"/>
            </w:tcBorders>
            <w:shd w:val="clear" w:color="auto" w:fill="auto"/>
            <w:noWrap/>
            <w:vAlign w:val="center"/>
          </w:tcPr>
          <w:p w14:paraId="09E24D3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1p21.3</w:t>
            </w:r>
          </w:p>
        </w:tc>
        <w:tc>
          <w:tcPr>
            <w:tcW w:w="1011" w:type="dxa"/>
            <w:tcBorders>
              <w:top w:val="nil"/>
              <w:left w:val="nil"/>
              <w:bottom w:val="nil"/>
              <w:right w:val="nil"/>
            </w:tcBorders>
            <w:shd w:val="clear" w:color="auto" w:fill="auto"/>
            <w:noWrap/>
            <w:vAlign w:val="center"/>
          </w:tcPr>
          <w:p w14:paraId="257B636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8.60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58CF7ED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6.59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3A7B503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2.73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473" w:type="dxa"/>
            <w:tcBorders>
              <w:top w:val="nil"/>
              <w:left w:val="nil"/>
              <w:bottom w:val="nil"/>
              <w:right w:val="nil"/>
            </w:tcBorders>
            <w:shd w:val="clear" w:color="auto" w:fill="auto"/>
            <w:noWrap/>
            <w:vAlign w:val="center"/>
          </w:tcPr>
          <w:p w14:paraId="4F93C6D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UTR3</w:t>
            </w:r>
          </w:p>
        </w:tc>
        <w:tc>
          <w:tcPr>
            <w:tcW w:w="2138" w:type="dxa"/>
            <w:tcBorders>
              <w:top w:val="nil"/>
              <w:left w:val="nil"/>
              <w:bottom w:val="nil"/>
              <w:right w:val="nil"/>
            </w:tcBorders>
            <w:shd w:val="clear" w:color="auto" w:fill="auto"/>
            <w:noWrap/>
            <w:vAlign w:val="center"/>
          </w:tcPr>
          <w:p w14:paraId="1C4C9FD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DPYD</w:t>
            </w:r>
          </w:p>
        </w:tc>
      </w:tr>
      <w:tr w14:paraId="72B2A53F">
        <w:trPr>
          <w:trHeight w:val="336" w:hRule="atLeast"/>
          <w:jc w:val="center"/>
        </w:trPr>
        <w:tc>
          <w:tcPr>
            <w:tcW w:w="733" w:type="dxa"/>
            <w:tcBorders>
              <w:top w:val="nil"/>
              <w:left w:val="nil"/>
              <w:bottom w:val="nil"/>
              <w:right w:val="nil"/>
            </w:tcBorders>
            <w:shd w:val="clear" w:color="auto" w:fill="auto"/>
            <w:noWrap/>
            <w:vAlign w:val="center"/>
          </w:tcPr>
          <w:p w14:paraId="5A4D765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w:t>
            </w:r>
          </w:p>
        </w:tc>
        <w:tc>
          <w:tcPr>
            <w:tcW w:w="1788" w:type="dxa"/>
            <w:tcBorders>
              <w:top w:val="nil"/>
              <w:left w:val="nil"/>
              <w:bottom w:val="nil"/>
              <w:right w:val="nil"/>
            </w:tcBorders>
            <w:shd w:val="clear" w:color="auto" w:fill="auto"/>
            <w:noWrap/>
            <w:vAlign w:val="center"/>
          </w:tcPr>
          <w:p w14:paraId="683F5A7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168CD5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rs1627854</w:t>
            </w:r>
          </w:p>
        </w:tc>
        <w:tc>
          <w:tcPr>
            <w:tcW w:w="2177" w:type="dxa"/>
            <w:tcBorders>
              <w:top w:val="nil"/>
              <w:left w:val="nil"/>
              <w:bottom w:val="nil"/>
              <w:right w:val="nil"/>
            </w:tcBorders>
            <w:shd w:val="clear" w:color="auto" w:fill="auto"/>
            <w:noWrap/>
            <w:vAlign w:val="center"/>
          </w:tcPr>
          <w:p w14:paraId="612A92E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2:26937669-26957737</w:t>
            </w:r>
          </w:p>
        </w:tc>
        <w:tc>
          <w:tcPr>
            <w:tcW w:w="1027" w:type="dxa"/>
            <w:tcBorders>
              <w:top w:val="nil"/>
              <w:left w:val="nil"/>
              <w:bottom w:val="nil"/>
              <w:right w:val="nil"/>
            </w:tcBorders>
            <w:shd w:val="clear" w:color="auto" w:fill="auto"/>
            <w:noWrap/>
            <w:vAlign w:val="center"/>
          </w:tcPr>
          <w:p w14:paraId="64DB64F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2p23.3</w:t>
            </w:r>
          </w:p>
        </w:tc>
        <w:tc>
          <w:tcPr>
            <w:tcW w:w="1011" w:type="dxa"/>
            <w:tcBorders>
              <w:top w:val="nil"/>
              <w:left w:val="nil"/>
              <w:bottom w:val="nil"/>
              <w:right w:val="nil"/>
            </w:tcBorders>
            <w:shd w:val="clear" w:color="auto" w:fill="auto"/>
            <w:noWrap/>
            <w:vAlign w:val="center"/>
          </w:tcPr>
          <w:p w14:paraId="31D64D2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1.90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21881AD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1.65</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-11</w:t>
            </w:r>
          </w:p>
        </w:tc>
        <w:tc>
          <w:tcPr>
            <w:tcW w:w="1069" w:type="dxa"/>
            <w:tcBorders>
              <w:top w:val="nil"/>
              <w:left w:val="nil"/>
              <w:bottom w:val="nil"/>
              <w:right w:val="nil"/>
            </w:tcBorders>
            <w:shd w:val="clear" w:color="auto" w:fill="auto"/>
            <w:noWrap/>
            <w:vAlign w:val="center"/>
          </w:tcPr>
          <w:p w14:paraId="6B846AD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576CE4F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UTR3</w:t>
            </w:r>
          </w:p>
        </w:tc>
        <w:tc>
          <w:tcPr>
            <w:tcW w:w="2138" w:type="dxa"/>
            <w:tcBorders>
              <w:top w:val="nil"/>
              <w:left w:val="nil"/>
              <w:bottom w:val="nil"/>
              <w:right w:val="nil"/>
            </w:tcBorders>
            <w:shd w:val="clear" w:color="auto" w:fill="auto"/>
            <w:noWrap/>
            <w:vAlign w:val="center"/>
          </w:tcPr>
          <w:p w14:paraId="46C1050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KCNK3</w:t>
            </w:r>
          </w:p>
        </w:tc>
      </w:tr>
      <w:tr w14:paraId="5321756B">
        <w:trPr>
          <w:trHeight w:val="336" w:hRule="atLeast"/>
          <w:jc w:val="center"/>
        </w:trPr>
        <w:tc>
          <w:tcPr>
            <w:tcW w:w="733" w:type="dxa"/>
            <w:tcBorders>
              <w:top w:val="nil"/>
              <w:left w:val="nil"/>
              <w:bottom w:val="nil"/>
              <w:right w:val="nil"/>
            </w:tcBorders>
            <w:shd w:val="clear" w:color="auto" w:fill="auto"/>
            <w:noWrap/>
            <w:vAlign w:val="center"/>
          </w:tcPr>
          <w:p w14:paraId="462CC0F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w:t>
            </w:r>
          </w:p>
        </w:tc>
        <w:tc>
          <w:tcPr>
            <w:tcW w:w="1788" w:type="dxa"/>
            <w:tcBorders>
              <w:top w:val="nil"/>
              <w:left w:val="nil"/>
              <w:bottom w:val="nil"/>
              <w:right w:val="nil"/>
            </w:tcBorders>
            <w:shd w:val="clear" w:color="auto" w:fill="auto"/>
            <w:noWrap/>
            <w:vAlign w:val="center"/>
          </w:tcPr>
          <w:p w14:paraId="5928CFB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6A30C4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rs6752766</w:t>
            </w:r>
          </w:p>
        </w:tc>
        <w:tc>
          <w:tcPr>
            <w:tcW w:w="2177" w:type="dxa"/>
            <w:tcBorders>
              <w:top w:val="nil"/>
              <w:left w:val="nil"/>
              <w:bottom w:val="nil"/>
              <w:right w:val="nil"/>
            </w:tcBorders>
            <w:shd w:val="clear" w:color="auto" w:fill="auto"/>
            <w:noWrap/>
            <w:vAlign w:val="center"/>
          </w:tcPr>
          <w:p w14:paraId="562B214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2:72169353-72190463</w:t>
            </w:r>
          </w:p>
        </w:tc>
        <w:tc>
          <w:tcPr>
            <w:tcW w:w="1027" w:type="dxa"/>
            <w:tcBorders>
              <w:top w:val="nil"/>
              <w:left w:val="nil"/>
              <w:bottom w:val="nil"/>
              <w:right w:val="nil"/>
            </w:tcBorders>
            <w:shd w:val="clear" w:color="auto" w:fill="auto"/>
            <w:noWrap/>
            <w:vAlign w:val="center"/>
          </w:tcPr>
          <w:p w14:paraId="20A1DB9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2p13.2</w:t>
            </w:r>
          </w:p>
        </w:tc>
        <w:tc>
          <w:tcPr>
            <w:tcW w:w="1011" w:type="dxa"/>
            <w:tcBorders>
              <w:top w:val="nil"/>
              <w:left w:val="nil"/>
              <w:bottom w:val="nil"/>
              <w:right w:val="nil"/>
            </w:tcBorders>
            <w:shd w:val="clear" w:color="auto" w:fill="auto"/>
            <w:noWrap/>
            <w:vAlign w:val="center"/>
          </w:tcPr>
          <w:p w14:paraId="5E88082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56D8409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1.96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1B39053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42F70F5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7650C83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DYSF, RPS20P10</w:t>
            </w:r>
          </w:p>
        </w:tc>
      </w:tr>
      <w:tr w14:paraId="49BFD77E">
        <w:trPr>
          <w:trHeight w:val="336" w:hRule="atLeast"/>
          <w:jc w:val="center"/>
        </w:trPr>
        <w:tc>
          <w:tcPr>
            <w:tcW w:w="733" w:type="dxa"/>
            <w:tcBorders>
              <w:top w:val="nil"/>
              <w:left w:val="nil"/>
              <w:bottom w:val="nil"/>
              <w:right w:val="nil"/>
            </w:tcBorders>
            <w:shd w:val="clear" w:color="auto" w:fill="auto"/>
            <w:noWrap/>
            <w:vAlign w:val="center"/>
          </w:tcPr>
          <w:p w14:paraId="3737F1E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w:t>
            </w:r>
          </w:p>
        </w:tc>
        <w:tc>
          <w:tcPr>
            <w:tcW w:w="1788" w:type="dxa"/>
            <w:tcBorders>
              <w:top w:val="nil"/>
              <w:left w:val="nil"/>
              <w:bottom w:val="nil"/>
              <w:right w:val="nil"/>
            </w:tcBorders>
            <w:shd w:val="clear" w:color="auto" w:fill="auto"/>
            <w:noWrap/>
            <w:vAlign w:val="center"/>
          </w:tcPr>
          <w:p w14:paraId="75004C4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4C17F83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rs58693850</w:t>
            </w:r>
          </w:p>
        </w:tc>
        <w:tc>
          <w:tcPr>
            <w:tcW w:w="2177" w:type="dxa"/>
            <w:tcBorders>
              <w:top w:val="nil"/>
              <w:left w:val="nil"/>
              <w:bottom w:val="nil"/>
              <w:right w:val="nil"/>
            </w:tcBorders>
            <w:shd w:val="clear" w:color="auto" w:fill="auto"/>
            <w:noWrap/>
            <w:vAlign w:val="center"/>
          </w:tcPr>
          <w:p w14:paraId="5971E59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2:130618119-130639545</w:t>
            </w:r>
          </w:p>
        </w:tc>
        <w:tc>
          <w:tcPr>
            <w:tcW w:w="1027" w:type="dxa"/>
            <w:tcBorders>
              <w:top w:val="nil"/>
              <w:left w:val="nil"/>
              <w:bottom w:val="nil"/>
              <w:right w:val="nil"/>
            </w:tcBorders>
            <w:shd w:val="clear" w:color="auto" w:fill="auto"/>
            <w:noWrap/>
            <w:vAlign w:val="center"/>
          </w:tcPr>
          <w:p w14:paraId="22E24F3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2q21.1</w:t>
            </w:r>
          </w:p>
        </w:tc>
        <w:tc>
          <w:tcPr>
            <w:tcW w:w="1011" w:type="dxa"/>
            <w:tcBorders>
              <w:top w:val="nil"/>
              <w:left w:val="nil"/>
              <w:bottom w:val="nil"/>
              <w:right w:val="nil"/>
            </w:tcBorders>
            <w:shd w:val="clear" w:color="auto" w:fill="auto"/>
            <w:noWrap/>
            <w:vAlign w:val="center"/>
          </w:tcPr>
          <w:p w14:paraId="3658660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3.60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0FC9D6D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3.89 × 10</w:t>
            </w:r>
            <w:r>
              <w:rPr>
                <w:rFonts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4BF74BA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511E973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ncRNA_intronic</w:t>
            </w:r>
          </w:p>
        </w:tc>
        <w:tc>
          <w:tcPr>
            <w:tcW w:w="2138" w:type="dxa"/>
            <w:tcBorders>
              <w:top w:val="nil"/>
              <w:left w:val="nil"/>
              <w:bottom w:val="nil"/>
              <w:right w:val="nil"/>
            </w:tcBorders>
            <w:shd w:val="clear" w:color="auto" w:fill="auto"/>
            <w:noWrap/>
            <w:vAlign w:val="center"/>
          </w:tcPr>
          <w:p w14:paraId="2096925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LINC02572</w:t>
            </w:r>
          </w:p>
        </w:tc>
      </w:tr>
      <w:tr w14:paraId="53C28E57">
        <w:trPr>
          <w:trHeight w:val="336" w:hRule="atLeast"/>
          <w:jc w:val="center"/>
        </w:trPr>
        <w:tc>
          <w:tcPr>
            <w:tcW w:w="733" w:type="dxa"/>
            <w:tcBorders>
              <w:top w:val="nil"/>
              <w:left w:val="nil"/>
              <w:bottom w:val="nil"/>
              <w:right w:val="nil"/>
            </w:tcBorders>
            <w:shd w:val="clear" w:color="auto" w:fill="auto"/>
            <w:noWrap/>
            <w:vAlign w:val="center"/>
          </w:tcPr>
          <w:p w14:paraId="06EA860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7</w:t>
            </w:r>
          </w:p>
        </w:tc>
        <w:tc>
          <w:tcPr>
            <w:tcW w:w="1788" w:type="dxa"/>
            <w:tcBorders>
              <w:top w:val="nil"/>
              <w:left w:val="nil"/>
              <w:bottom w:val="nil"/>
              <w:right w:val="nil"/>
            </w:tcBorders>
            <w:shd w:val="clear" w:color="auto" w:fill="auto"/>
            <w:noWrap/>
            <w:vAlign w:val="center"/>
          </w:tcPr>
          <w:p w14:paraId="7692DDA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BD0BD0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rs9859308</w:t>
            </w:r>
          </w:p>
        </w:tc>
        <w:tc>
          <w:tcPr>
            <w:tcW w:w="2177" w:type="dxa"/>
            <w:tcBorders>
              <w:top w:val="nil"/>
              <w:left w:val="nil"/>
              <w:bottom w:val="nil"/>
              <w:right w:val="nil"/>
            </w:tcBorders>
            <w:shd w:val="clear" w:color="auto" w:fill="auto"/>
            <w:noWrap/>
            <w:vAlign w:val="center"/>
          </w:tcPr>
          <w:p w14:paraId="596DFBB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3:126140654-126140654</w:t>
            </w:r>
          </w:p>
        </w:tc>
        <w:tc>
          <w:tcPr>
            <w:tcW w:w="1027" w:type="dxa"/>
            <w:tcBorders>
              <w:top w:val="nil"/>
              <w:left w:val="nil"/>
              <w:bottom w:val="nil"/>
              <w:right w:val="nil"/>
            </w:tcBorders>
            <w:shd w:val="clear" w:color="auto" w:fill="auto"/>
            <w:noWrap/>
            <w:vAlign w:val="center"/>
          </w:tcPr>
          <w:p w14:paraId="5FC7DC0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3q21.3</w:t>
            </w:r>
          </w:p>
        </w:tc>
        <w:tc>
          <w:tcPr>
            <w:tcW w:w="1011" w:type="dxa"/>
            <w:tcBorders>
              <w:top w:val="nil"/>
              <w:left w:val="nil"/>
              <w:bottom w:val="nil"/>
              <w:right w:val="nil"/>
            </w:tcBorders>
            <w:shd w:val="clear" w:color="auto" w:fill="auto"/>
            <w:noWrap/>
            <w:vAlign w:val="center"/>
          </w:tcPr>
          <w:p w14:paraId="4354C3A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2.70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-3</w:t>
            </w:r>
          </w:p>
        </w:tc>
        <w:tc>
          <w:tcPr>
            <w:tcW w:w="1168" w:type="dxa"/>
            <w:tcBorders>
              <w:top w:val="nil"/>
              <w:left w:val="nil"/>
              <w:bottom w:val="nil"/>
              <w:right w:val="nil"/>
            </w:tcBorders>
            <w:shd w:val="clear" w:color="auto" w:fill="auto"/>
            <w:noWrap/>
            <w:vAlign w:val="center"/>
          </w:tcPr>
          <w:p w14:paraId="612ACEF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5.24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209BE2B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2.43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473" w:type="dxa"/>
            <w:tcBorders>
              <w:top w:val="nil"/>
              <w:left w:val="nil"/>
              <w:bottom w:val="nil"/>
              <w:right w:val="nil"/>
            </w:tcBorders>
            <w:shd w:val="clear" w:color="auto" w:fill="auto"/>
            <w:noWrap/>
            <w:vAlign w:val="center"/>
          </w:tcPr>
          <w:p w14:paraId="1E5C7C3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15D9995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CCDC37</w:t>
            </w:r>
          </w:p>
        </w:tc>
      </w:tr>
      <w:tr w14:paraId="7D8719BB">
        <w:trPr>
          <w:trHeight w:val="336" w:hRule="atLeast"/>
          <w:jc w:val="center"/>
        </w:trPr>
        <w:tc>
          <w:tcPr>
            <w:tcW w:w="733" w:type="dxa"/>
            <w:tcBorders>
              <w:top w:val="nil"/>
              <w:left w:val="nil"/>
              <w:bottom w:val="nil"/>
              <w:right w:val="nil"/>
            </w:tcBorders>
            <w:shd w:val="clear" w:color="auto" w:fill="auto"/>
            <w:noWrap/>
            <w:vAlign w:val="center"/>
          </w:tcPr>
          <w:p w14:paraId="361CAB9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8</w:t>
            </w:r>
          </w:p>
        </w:tc>
        <w:tc>
          <w:tcPr>
            <w:tcW w:w="1788" w:type="dxa"/>
            <w:tcBorders>
              <w:top w:val="nil"/>
              <w:left w:val="nil"/>
              <w:bottom w:val="nil"/>
              <w:right w:val="nil"/>
            </w:tcBorders>
            <w:shd w:val="clear" w:color="auto" w:fill="auto"/>
            <w:noWrap/>
            <w:vAlign w:val="center"/>
          </w:tcPr>
          <w:p w14:paraId="61C50C2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4A0F36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rs4696937</w:t>
            </w:r>
          </w:p>
        </w:tc>
        <w:tc>
          <w:tcPr>
            <w:tcW w:w="2177" w:type="dxa"/>
            <w:tcBorders>
              <w:top w:val="nil"/>
              <w:left w:val="nil"/>
              <w:bottom w:val="nil"/>
              <w:right w:val="nil"/>
            </w:tcBorders>
            <w:shd w:val="clear" w:color="auto" w:fill="auto"/>
            <w:noWrap/>
            <w:vAlign w:val="center"/>
          </w:tcPr>
          <w:p w14:paraId="331EEAC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4:19316688-19791040</w:t>
            </w:r>
          </w:p>
        </w:tc>
        <w:tc>
          <w:tcPr>
            <w:tcW w:w="1027" w:type="dxa"/>
            <w:tcBorders>
              <w:top w:val="nil"/>
              <w:left w:val="nil"/>
              <w:bottom w:val="nil"/>
              <w:right w:val="nil"/>
            </w:tcBorders>
            <w:shd w:val="clear" w:color="auto" w:fill="auto"/>
            <w:noWrap/>
            <w:vAlign w:val="center"/>
          </w:tcPr>
          <w:p w14:paraId="4EEB048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4p15.31</w:t>
            </w:r>
          </w:p>
        </w:tc>
        <w:tc>
          <w:tcPr>
            <w:tcW w:w="1011" w:type="dxa"/>
            <w:tcBorders>
              <w:top w:val="nil"/>
              <w:left w:val="nil"/>
              <w:bottom w:val="nil"/>
              <w:right w:val="nil"/>
            </w:tcBorders>
            <w:shd w:val="clear" w:color="auto" w:fill="auto"/>
            <w:noWrap/>
            <w:vAlign w:val="center"/>
          </w:tcPr>
          <w:p w14:paraId="3DC01ED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79E55C1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7C44365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6F2D6A6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79C8DA5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RNA5SP157, RPL21P46</w:t>
            </w:r>
          </w:p>
        </w:tc>
      </w:tr>
      <w:tr w14:paraId="4EBF12A1">
        <w:trPr>
          <w:trHeight w:val="336" w:hRule="atLeast"/>
          <w:jc w:val="center"/>
        </w:trPr>
        <w:tc>
          <w:tcPr>
            <w:tcW w:w="733" w:type="dxa"/>
            <w:tcBorders>
              <w:top w:val="nil"/>
              <w:left w:val="nil"/>
              <w:bottom w:val="nil"/>
              <w:right w:val="nil"/>
            </w:tcBorders>
            <w:shd w:val="clear" w:color="auto" w:fill="auto"/>
            <w:noWrap/>
            <w:vAlign w:val="center"/>
          </w:tcPr>
          <w:p w14:paraId="33D695C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9</w:t>
            </w:r>
          </w:p>
        </w:tc>
        <w:tc>
          <w:tcPr>
            <w:tcW w:w="1788" w:type="dxa"/>
            <w:tcBorders>
              <w:top w:val="nil"/>
              <w:left w:val="nil"/>
              <w:bottom w:val="nil"/>
              <w:right w:val="nil"/>
            </w:tcBorders>
            <w:shd w:val="clear" w:color="auto" w:fill="auto"/>
            <w:noWrap/>
            <w:vAlign w:val="center"/>
          </w:tcPr>
          <w:p w14:paraId="12CE3A7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747C69B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rs7689774</w:t>
            </w:r>
          </w:p>
        </w:tc>
        <w:tc>
          <w:tcPr>
            <w:tcW w:w="2177" w:type="dxa"/>
            <w:tcBorders>
              <w:top w:val="nil"/>
              <w:left w:val="nil"/>
              <w:bottom w:val="nil"/>
              <w:right w:val="nil"/>
            </w:tcBorders>
            <w:shd w:val="clear" w:color="auto" w:fill="auto"/>
            <w:noWrap/>
            <w:vAlign w:val="center"/>
          </w:tcPr>
          <w:p w14:paraId="59A8FA3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4:111665783-111718067</w:t>
            </w:r>
          </w:p>
        </w:tc>
        <w:tc>
          <w:tcPr>
            <w:tcW w:w="1027" w:type="dxa"/>
            <w:tcBorders>
              <w:top w:val="nil"/>
              <w:left w:val="nil"/>
              <w:bottom w:val="nil"/>
              <w:right w:val="nil"/>
            </w:tcBorders>
            <w:shd w:val="clear" w:color="auto" w:fill="auto"/>
            <w:noWrap/>
            <w:vAlign w:val="center"/>
          </w:tcPr>
          <w:p w14:paraId="59CEED8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4q25</w:t>
            </w:r>
          </w:p>
        </w:tc>
        <w:tc>
          <w:tcPr>
            <w:tcW w:w="1011" w:type="dxa"/>
            <w:tcBorders>
              <w:top w:val="nil"/>
              <w:left w:val="nil"/>
              <w:bottom w:val="nil"/>
              <w:right w:val="nil"/>
            </w:tcBorders>
            <w:shd w:val="clear" w:color="auto" w:fill="auto"/>
            <w:noWrap/>
            <w:vAlign w:val="center"/>
          </w:tcPr>
          <w:p w14:paraId="3E3240C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4.00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w:t>
            </w:r>
          </w:p>
        </w:tc>
        <w:tc>
          <w:tcPr>
            <w:tcW w:w="1168" w:type="dxa"/>
            <w:tcBorders>
              <w:top w:val="nil"/>
              <w:left w:val="nil"/>
              <w:bottom w:val="nil"/>
              <w:right w:val="nil"/>
            </w:tcBorders>
            <w:shd w:val="clear" w:color="auto" w:fill="auto"/>
            <w:noWrap/>
            <w:vAlign w:val="center"/>
          </w:tcPr>
          <w:p w14:paraId="294A808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4.27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15</w:t>
            </w:r>
          </w:p>
        </w:tc>
        <w:tc>
          <w:tcPr>
            <w:tcW w:w="1069" w:type="dxa"/>
            <w:tcBorders>
              <w:top w:val="nil"/>
              <w:left w:val="nil"/>
              <w:bottom w:val="nil"/>
              <w:right w:val="nil"/>
            </w:tcBorders>
            <w:shd w:val="clear" w:color="auto" w:fill="auto"/>
            <w:noWrap/>
            <w:vAlign w:val="center"/>
          </w:tcPr>
          <w:p w14:paraId="6147823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1473" w:type="dxa"/>
            <w:tcBorders>
              <w:top w:val="nil"/>
              <w:left w:val="nil"/>
              <w:bottom w:val="nil"/>
              <w:right w:val="nil"/>
            </w:tcBorders>
            <w:shd w:val="clear" w:color="auto" w:fill="auto"/>
            <w:noWrap/>
            <w:vAlign w:val="center"/>
          </w:tcPr>
          <w:p w14:paraId="6C8A319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1F79DAF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PITX2, MIR297</w:t>
            </w:r>
          </w:p>
        </w:tc>
      </w:tr>
      <w:tr w14:paraId="251395C7">
        <w:trPr>
          <w:trHeight w:val="336" w:hRule="atLeast"/>
          <w:jc w:val="center"/>
        </w:trPr>
        <w:tc>
          <w:tcPr>
            <w:tcW w:w="733" w:type="dxa"/>
            <w:tcBorders>
              <w:top w:val="nil"/>
              <w:left w:val="nil"/>
              <w:bottom w:val="nil"/>
              <w:right w:val="nil"/>
            </w:tcBorders>
            <w:shd w:val="clear" w:color="auto" w:fill="auto"/>
            <w:noWrap/>
            <w:vAlign w:val="center"/>
          </w:tcPr>
          <w:p w14:paraId="4FF3639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0</w:t>
            </w:r>
          </w:p>
        </w:tc>
        <w:tc>
          <w:tcPr>
            <w:tcW w:w="1788" w:type="dxa"/>
            <w:tcBorders>
              <w:top w:val="nil"/>
              <w:left w:val="nil"/>
              <w:bottom w:val="nil"/>
              <w:right w:val="nil"/>
            </w:tcBorders>
            <w:shd w:val="clear" w:color="auto" w:fill="auto"/>
            <w:noWrap/>
            <w:vAlign w:val="center"/>
          </w:tcPr>
          <w:p w14:paraId="19FCC33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6A9DC3D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rs17226273</w:t>
            </w:r>
          </w:p>
        </w:tc>
        <w:tc>
          <w:tcPr>
            <w:tcW w:w="2177" w:type="dxa"/>
            <w:tcBorders>
              <w:top w:val="nil"/>
              <w:left w:val="nil"/>
              <w:bottom w:val="nil"/>
              <w:right w:val="nil"/>
            </w:tcBorders>
            <w:shd w:val="clear" w:color="auto" w:fill="auto"/>
            <w:noWrap/>
            <w:vAlign w:val="center"/>
          </w:tcPr>
          <w:p w14:paraId="17A613B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4:183028642-183036418</w:t>
            </w:r>
          </w:p>
        </w:tc>
        <w:tc>
          <w:tcPr>
            <w:tcW w:w="1027" w:type="dxa"/>
            <w:tcBorders>
              <w:top w:val="nil"/>
              <w:left w:val="nil"/>
              <w:bottom w:val="nil"/>
              <w:right w:val="nil"/>
            </w:tcBorders>
            <w:shd w:val="clear" w:color="auto" w:fill="auto"/>
            <w:noWrap/>
            <w:vAlign w:val="center"/>
          </w:tcPr>
          <w:p w14:paraId="2F6F769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4q34.3</w:t>
            </w:r>
          </w:p>
        </w:tc>
        <w:tc>
          <w:tcPr>
            <w:tcW w:w="1011" w:type="dxa"/>
            <w:tcBorders>
              <w:top w:val="nil"/>
              <w:left w:val="nil"/>
              <w:bottom w:val="nil"/>
              <w:right w:val="nil"/>
            </w:tcBorders>
            <w:shd w:val="clear" w:color="auto" w:fill="auto"/>
            <w:noWrap/>
            <w:vAlign w:val="center"/>
          </w:tcPr>
          <w:p w14:paraId="5A9422E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6.30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1ED7AD1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6.78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3F3A313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6E1F5A4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63E9D0C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CCNHP1, TENM3-AS1</w:t>
            </w:r>
          </w:p>
        </w:tc>
      </w:tr>
      <w:tr w14:paraId="4F55187E">
        <w:trPr>
          <w:trHeight w:val="336" w:hRule="atLeast"/>
          <w:jc w:val="center"/>
        </w:trPr>
        <w:tc>
          <w:tcPr>
            <w:tcW w:w="733" w:type="dxa"/>
            <w:tcBorders>
              <w:top w:val="nil"/>
              <w:left w:val="nil"/>
              <w:bottom w:val="nil"/>
              <w:right w:val="nil"/>
            </w:tcBorders>
            <w:shd w:val="clear" w:color="auto" w:fill="auto"/>
            <w:noWrap/>
            <w:vAlign w:val="center"/>
          </w:tcPr>
          <w:p w14:paraId="5CA5517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11</w:t>
            </w:r>
          </w:p>
        </w:tc>
        <w:tc>
          <w:tcPr>
            <w:tcW w:w="1788" w:type="dxa"/>
            <w:tcBorders>
              <w:top w:val="nil"/>
              <w:left w:val="nil"/>
              <w:bottom w:val="nil"/>
              <w:right w:val="nil"/>
            </w:tcBorders>
            <w:shd w:val="clear" w:color="auto" w:fill="auto"/>
            <w:noWrap/>
            <w:vAlign w:val="center"/>
          </w:tcPr>
          <w:p w14:paraId="6BE56DC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F8CA33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rs6898648</w:t>
            </w:r>
          </w:p>
        </w:tc>
        <w:tc>
          <w:tcPr>
            <w:tcW w:w="2177" w:type="dxa"/>
            <w:tcBorders>
              <w:top w:val="nil"/>
              <w:left w:val="nil"/>
              <w:bottom w:val="nil"/>
              <w:right w:val="nil"/>
            </w:tcBorders>
            <w:shd w:val="clear" w:color="auto" w:fill="auto"/>
            <w:noWrap/>
            <w:vAlign w:val="center"/>
          </w:tcPr>
          <w:p w14:paraId="58143D2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5:89254428-89406502</w:t>
            </w:r>
          </w:p>
        </w:tc>
        <w:tc>
          <w:tcPr>
            <w:tcW w:w="1027" w:type="dxa"/>
            <w:tcBorders>
              <w:top w:val="nil"/>
              <w:left w:val="nil"/>
              <w:bottom w:val="nil"/>
              <w:right w:val="nil"/>
            </w:tcBorders>
            <w:shd w:val="clear" w:color="auto" w:fill="auto"/>
            <w:noWrap/>
            <w:vAlign w:val="center"/>
          </w:tcPr>
          <w:p w14:paraId="419DE64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5q14.3</w:t>
            </w:r>
          </w:p>
        </w:tc>
        <w:tc>
          <w:tcPr>
            <w:tcW w:w="1011" w:type="dxa"/>
            <w:tcBorders>
              <w:top w:val="nil"/>
              <w:left w:val="nil"/>
              <w:bottom w:val="nil"/>
              <w:right w:val="nil"/>
            </w:tcBorders>
            <w:shd w:val="clear" w:color="auto" w:fill="auto"/>
            <w:noWrap/>
            <w:vAlign w:val="center"/>
          </w:tcPr>
          <w:p w14:paraId="2C2CC58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7.80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19F55B5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2.12 × 10</w:t>
            </w:r>
            <w:r>
              <w:rPr>
                <w:rFonts w:ascii="Times New Roman Regular" w:hAnsi="Times New Roman Regular" w:eastAsia="宋体" w:cs="Times New Roman Regular"/>
                <w:color w:val="auto"/>
                <w:kern w:val="0"/>
                <w:sz w:val="18"/>
                <w:szCs w:val="18"/>
                <w:highlight w:val="none"/>
                <w:vertAlign w:val="superscript"/>
                <w:lang w:bidi="ar"/>
              </w:rPr>
              <w:t>-12</w:t>
            </w:r>
          </w:p>
        </w:tc>
        <w:tc>
          <w:tcPr>
            <w:tcW w:w="1069" w:type="dxa"/>
            <w:tcBorders>
              <w:top w:val="nil"/>
              <w:left w:val="nil"/>
              <w:bottom w:val="nil"/>
              <w:right w:val="nil"/>
            </w:tcBorders>
            <w:shd w:val="clear" w:color="auto" w:fill="auto"/>
            <w:noWrap/>
            <w:vAlign w:val="center"/>
          </w:tcPr>
          <w:p w14:paraId="06B5835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4442A62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2EB6E07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MEF2C-AS1, MIR3660</w:t>
            </w:r>
          </w:p>
        </w:tc>
      </w:tr>
      <w:tr w14:paraId="06346EDE">
        <w:trPr>
          <w:trHeight w:val="336" w:hRule="atLeast"/>
          <w:jc w:val="center"/>
        </w:trPr>
        <w:tc>
          <w:tcPr>
            <w:tcW w:w="733" w:type="dxa"/>
            <w:tcBorders>
              <w:top w:val="nil"/>
              <w:left w:val="nil"/>
              <w:bottom w:val="nil"/>
              <w:right w:val="nil"/>
            </w:tcBorders>
            <w:shd w:val="clear" w:color="auto" w:fill="auto"/>
            <w:noWrap/>
            <w:vAlign w:val="center"/>
          </w:tcPr>
          <w:p w14:paraId="46235A3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2</w:t>
            </w:r>
          </w:p>
        </w:tc>
        <w:tc>
          <w:tcPr>
            <w:tcW w:w="1788" w:type="dxa"/>
            <w:tcBorders>
              <w:top w:val="nil"/>
              <w:left w:val="nil"/>
              <w:bottom w:val="nil"/>
              <w:right w:val="nil"/>
            </w:tcBorders>
            <w:shd w:val="clear" w:color="auto" w:fill="auto"/>
            <w:noWrap/>
            <w:vAlign w:val="center"/>
          </w:tcPr>
          <w:p w14:paraId="2474949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C66C25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rs27657</w:t>
            </w:r>
          </w:p>
        </w:tc>
        <w:tc>
          <w:tcPr>
            <w:tcW w:w="2177" w:type="dxa"/>
            <w:tcBorders>
              <w:top w:val="nil"/>
              <w:left w:val="nil"/>
              <w:bottom w:val="nil"/>
              <w:right w:val="nil"/>
            </w:tcBorders>
            <w:shd w:val="clear" w:color="auto" w:fill="auto"/>
            <w:noWrap/>
            <w:vAlign w:val="center"/>
          </w:tcPr>
          <w:p w14:paraId="2CA3DCD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5:89806058-90021292</w:t>
            </w:r>
          </w:p>
        </w:tc>
        <w:tc>
          <w:tcPr>
            <w:tcW w:w="1027" w:type="dxa"/>
            <w:tcBorders>
              <w:top w:val="nil"/>
              <w:left w:val="nil"/>
              <w:bottom w:val="nil"/>
              <w:right w:val="nil"/>
            </w:tcBorders>
            <w:shd w:val="clear" w:color="auto" w:fill="auto"/>
            <w:noWrap/>
            <w:vAlign w:val="center"/>
          </w:tcPr>
          <w:p w14:paraId="323EC0B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5q14.3</w:t>
            </w:r>
          </w:p>
        </w:tc>
        <w:tc>
          <w:tcPr>
            <w:tcW w:w="1011" w:type="dxa"/>
            <w:tcBorders>
              <w:top w:val="nil"/>
              <w:left w:val="nil"/>
              <w:bottom w:val="nil"/>
              <w:right w:val="nil"/>
            </w:tcBorders>
            <w:shd w:val="clear" w:color="auto" w:fill="auto"/>
            <w:noWrap/>
            <w:vAlign w:val="center"/>
          </w:tcPr>
          <w:p w14:paraId="6646C68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654CD20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2.66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2D3C239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3DCD15A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48A2386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GPR98</w:t>
            </w:r>
          </w:p>
        </w:tc>
      </w:tr>
      <w:tr w14:paraId="4AAD1B54">
        <w:trPr>
          <w:trHeight w:val="336" w:hRule="atLeast"/>
          <w:jc w:val="center"/>
        </w:trPr>
        <w:tc>
          <w:tcPr>
            <w:tcW w:w="733" w:type="dxa"/>
            <w:tcBorders>
              <w:top w:val="nil"/>
              <w:left w:val="nil"/>
              <w:bottom w:val="nil"/>
              <w:right w:val="nil"/>
            </w:tcBorders>
            <w:shd w:val="clear" w:color="auto" w:fill="auto"/>
            <w:noWrap/>
            <w:vAlign w:val="center"/>
          </w:tcPr>
          <w:p w14:paraId="26F8B0C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3</w:t>
            </w:r>
          </w:p>
        </w:tc>
        <w:tc>
          <w:tcPr>
            <w:tcW w:w="1788" w:type="dxa"/>
            <w:tcBorders>
              <w:top w:val="nil"/>
              <w:left w:val="nil"/>
              <w:bottom w:val="nil"/>
              <w:right w:val="nil"/>
            </w:tcBorders>
            <w:shd w:val="clear" w:color="auto" w:fill="auto"/>
            <w:noWrap/>
            <w:vAlign w:val="center"/>
          </w:tcPr>
          <w:p w14:paraId="414BFD3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254FDF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rs277871</w:t>
            </w:r>
          </w:p>
        </w:tc>
        <w:tc>
          <w:tcPr>
            <w:tcW w:w="2177" w:type="dxa"/>
            <w:tcBorders>
              <w:top w:val="nil"/>
              <w:left w:val="nil"/>
              <w:bottom w:val="nil"/>
              <w:right w:val="nil"/>
            </w:tcBorders>
            <w:shd w:val="clear" w:color="auto" w:fill="auto"/>
            <w:noWrap/>
            <w:vAlign w:val="center"/>
          </w:tcPr>
          <w:p w14:paraId="07E5F0E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5:100057207-100291657</w:t>
            </w:r>
          </w:p>
        </w:tc>
        <w:tc>
          <w:tcPr>
            <w:tcW w:w="1027" w:type="dxa"/>
            <w:tcBorders>
              <w:top w:val="nil"/>
              <w:left w:val="nil"/>
              <w:bottom w:val="nil"/>
              <w:right w:val="nil"/>
            </w:tcBorders>
            <w:shd w:val="clear" w:color="auto" w:fill="auto"/>
            <w:noWrap/>
            <w:vAlign w:val="center"/>
          </w:tcPr>
          <w:p w14:paraId="23BE756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5q21.1</w:t>
            </w:r>
          </w:p>
        </w:tc>
        <w:tc>
          <w:tcPr>
            <w:tcW w:w="1011" w:type="dxa"/>
            <w:tcBorders>
              <w:top w:val="nil"/>
              <w:left w:val="nil"/>
              <w:bottom w:val="nil"/>
              <w:right w:val="nil"/>
            </w:tcBorders>
            <w:shd w:val="clear" w:color="auto" w:fill="auto"/>
            <w:noWrap/>
            <w:vAlign w:val="center"/>
          </w:tcPr>
          <w:p w14:paraId="1A868A4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3.50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5CF78CB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7.25</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65C74B9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7BD1FB8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33E45B0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RN7SKP62, ST8SIA4</w:t>
            </w:r>
          </w:p>
        </w:tc>
      </w:tr>
      <w:tr w14:paraId="65313157">
        <w:trPr>
          <w:trHeight w:val="336" w:hRule="atLeast"/>
          <w:jc w:val="center"/>
        </w:trPr>
        <w:tc>
          <w:tcPr>
            <w:tcW w:w="733" w:type="dxa"/>
            <w:tcBorders>
              <w:top w:val="nil"/>
              <w:left w:val="nil"/>
              <w:bottom w:val="nil"/>
              <w:right w:val="nil"/>
            </w:tcBorders>
            <w:shd w:val="clear" w:color="auto" w:fill="auto"/>
            <w:noWrap/>
            <w:vAlign w:val="center"/>
          </w:tcPr>
          <w:p w14:paraId="5E45B0D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14</w:t>
            </w:r>
          </w:p>
        </w:tc>
        <w:tc>
          <w:tcPr>
            <w:tcW w:w="1788" w:type="dxa"/>
            <w:tcBorders>
              <w:top w:val="nil"/>
              <w:left w:val="nil"/>
              <w:bottom w:val="nil"/>
              <w:right w:val="nil"/>
            </w:tcBorders>
            <w:shd w:val="clear" w:color="auto" w:fill="auto"/>
            <w:noWrap/>
            <w:vAlign w:val="center"/>
          </w:tcPr>
          <w:p w14:paraId="5D94150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74A1B11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rs2071303</w:t>
            </w:r>
          </w:p>
        </w:tc>
        <w:tc>
          <w:tcPr>
            <w:tcW w:w="2177" w:type="dxa"/>
            <w:tcBorders>
              <w:top w:val="nil"/>
              <w:left w:val="nil"/>
              <w:bottom w:val="nil"/>
              <w:right w:val="nil"/>
            </w:tcBorders>
            <w:shd w:val="clear" w:color="auto" w:fill="auto"/>
            <w:noWrap/>
            <w:vAlign w:val="center"/>
          </w:tcPr>
          <w:p w14:paraId="7A34B87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6:26091336-26114702</w:t>
            </w:r>
          </w:p>
        </w:tc>
        <w:tc>
          <w:tcPr>
            <w:tcW w:w="1027" w:type="dxa"/>
            <w:tcBorders>
              <w:top w:val="nil"/>
              <w:left w:val="nil"/>
              <w:bottom w:val="nil"/>
              <w:right w:val="nil"/>
            </w:tcBorders>
            <w:shd w:val="clear" w:color="auto" w:fill="auto"/>
            <w:noWrap/>
            <w:vAlign w:val="center"/>
          </w:tcPr>
          <w:p w14:paraId="75CD5C2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6p22.2</w:t>
            </w:r>
          </w:p>
        </w:tc>
        <w:tc>
          <w:tcPr>
            <w:tcW w:w="1011" w:type="dxa"/>
            <w:tcBorders>
              <w:top w:val="nil"/>
              <w:left w:val="nil"/>
              <w:bottom w:val="nil"/>
              <w:right w:val="nil"/>
            </w:tcBorders>
            <w:shd w:val="clear" w:color="auto" w:fill="auto"/>
            <w:noWrap/>
            <w:vAlign w:val="center"/>
          </w:tcPr>
          <w:p w14:paraId="1664CD7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1E27298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403305A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1.17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5C607564">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5448B6E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HFE</w:t>
            </w:r>
          </w:p>
        </w:tc>
      </w:tr>
      <w:tr w14:paraId="6CE2C194">
        <w:trPr>
          <w:trHeight w:val="336" w:hRule="atLeast"/>
          <w:jc w:val="center"/>
        </w:trPr>
        <w:tc>
          <w:tcPr>
            <w:tcW w:w="733" w:type="dxa"/>
            <w:tcBorders>
              <w:top w:val="nil"/>
              <w:left w:val="nil"/>
              <w:bottom w:val="nil"/>
              <w:right w:val="nil"/>
            </w:tcBorders>
            <w:shd w:val="clear" w:color="auto" w:fill="auto"/>
            <w:noWrap/>
            <w:vAlign w:val="center"/>
          </w:tcPr>
          <w:p w14:paraId="0BB5F71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5</w:t>
            </w:r>
          </w:p>
        </w:tc>
        <w:tc>
          <w:tcPr>
            <w:tcW w:w="1788" w:type="dxa"/>
            <w:tcBorders>
              <w:top w:val="nil"/>
              <w:left w:val="nil"/>
              <w:bottom w:val="nil"/>
              <w:right w:val="nil"/>
            </w:tcBorders>
            <w:shd w:val="clear" w:color="auto" w:fill="auto"/>
            <w:noWrap/>
            <w:vAlign w:val="center"/>
          </w:tcPr>
          <w:p w14:paraId="1D823B0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34981E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rs947138</w:t>
            </w:r>
          </w:p>
        </w:tc>
        <w:tc>
          <w:tcPr>
            <w:tcW w:w="2177" w:type="dxa"/>
            <w:tcBorders>
              <w:top w:val="nil"/>
              <w:left w:val="nil"/>
              <w:bottom w:val="nil"/>
              <w:right w:val="nil"/>
            </w:tcBorders>
            <w:shd w:val="clear" w:color="auto" w:fill="auto"/>
            <w:noWrap/>
            <w:vAlign w:val="center"/>
          </w:tcPr>
          <w:p w14:paraId="5B52AE2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6:119048567-119069825</w:t>
            </w:r>
          </w:p>
        </w:tc>
        <w:tc>
          <w:tcPr>
            <w:tcW w:w="1027" w:type="dxa"/>
            <w:tcBorders>
              <w:top w:val="nil"/>
              <w:left w:val="nil"/>
              <w:bottom w:val="nil"/>
              <w:right w:val="nil"/>
            </w:tcBorders>
            <w:shd w:val="clear" w:color="auto" w:fill="auto"/>
            <w:noWrap/>
            <w:vAlign w:val="center"/>
          </w:tcPr>
          <w:p w14:paraId="41C0A5A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6q22.31</w:t>
            </w:r>
          </w:p>
        </w:tc>
        <w:tc>
          <w:tcPr>
            <w:tcW w:w="1011" w:type="dxa"/>
            <w:tcBorders>
              <w:top w:val="nil"/>
              <w:left w:val="nil"/>
              <w:bottom w:val="nil"/>
              <w:right w:val="nil"/>
            </w:tcBorders>
            <w:shd w:val="clear" w:color="auto" w:fill="auto"/>
            <w:noWrap/>
            <w:vAlign w:val="center"/>
          </w:tcPr>
          <w:p w14:paraId="71585FC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4.30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7E6453C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9.42</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27182C9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00FEF71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66AD1AF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CEP85L, SELENOKP3</w:t>
            </w:r>
          </w:p>
        </w:tc>
      </w:tr>
      <w:tr w14:paraId="49D9E673">
        <w:trPr>
          <w:trHeight w:val="336" w:hRule="atLeast"/>
          <w:jc w:val="center"/>
        </w:trPr>
        <w:tc>
          <w:tcPr>
            <w:tcW w:w="733" w:type="dxa"/>
            <w:tcBorders>
              <w:top w:val="nil"/>
              <w:left w:val="nil"/>
              <w:bottom w:val="nil"/>
              <w:right w:val="nil"/>
            </w:tcBorders>
            <w:shd w:val="clear" w:color="auto" w:fill="auto"/>
            <w:noWrap/>
            <w:vAlign w:val="center"/>
          </w:tcPr>
          <w:p w14:paraId="3C44B6F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17</w:t>
            </w:r>
          </w:p>
        </w:tc>
        <w:tc>
          <w:tcPr>
            <w:tcW w:w="1788" w:type="dxa"/>
            <w:tcBorders>
              <w:top w:val="nil"/>
              <w:left w:val="nil"/>
              <w:bottom w:val="nil"/>
              <w:right w:val="nil"/>
            </w:tcBorders>
            <w:shd w:val="clear" w:color="auto" w:fill="auto"/>
            <w:noWrap/>
            <w:vAlign w:val="center"/>
          </w:tcPr>
          <w:p w14:paraId="1799CFB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F0F487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rs11984041</w:t>
            </w:r>
          </w:p>
        </w:tc>
        <w:tc>
          <w:tcPr>
            <w:tcW w:w="2177" w:type="dxa"/>
            <w:tcBorders>
              <w:top w:val="nil"/>
              <w:left w:val="nil"/>
              <w:bottom w:val="nil"/>
              <w:right w:val="nil"/>
            </w:tcBorders>
            <w:shd w:val="clear" w:color="auto" w:fill="auto"/>
            <w:noWrap/>
            <w:vAlign w:val="center"/>
          </w:tcPr>
          <w:p w14:paraId="4E61E68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7:19031935-19060333</w:t>
            </w:r>
          </w:p>
        </w:tc>
        <w:tc>
          <w:tcPr>
            <w:tcW w:w="1027" w:type="dxa"/>
            <w:tcBorders>
              <w:top w:val="nil"/>
              <w:left w:val="nil"/>
              <w:bottom w:val="nil"/>
              <w:right w:val="nil"/>
            </w:tcBorders>
            <w:shd w:val="clear" w:color="auto" w:fill="auto"/>
            <w:noWrap/>
            <w:vAlign w:val="center"/>
          </w:tcPr>
          <w:p w14:paraId="170FAF6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7p21.1</w:t>
            </w:r>
          </w:p>
        </w:tc>
        <w:tc>
          <w:tcPr>
            <w:tcW w:w="1011" w:type="dxa"/>
            <w:tcBorders>
              <w:top w:val="nil"/>
              <w:left w:val="nil"/>
              <w:bottom w:val="nil"/>
              <w:right w:val="nil"/>
            </w:tcBorders>
            <w:shd w:val="clear" w:color="auto" w:fill="auto"/>
            <w:noWrap/>
            <w:vAlign w:val="center"/>
          </w:tcPr>
          <w:p w14:paraId="4630509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7.20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nil"/>
              <w:right w:val="nil"/>
            </w:tcBorders>
            <w:shd w:val="clear" w:color="auto" w:fill="auto"/>
            <w:noWrap/>
            <w:vAlign w:val="center"/>
          </w:tcPr>
          <w:p w14:paraId="64AE4A8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8.28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w:t>
            </w:r>
            <w:r>
              <w:rPr>
                <w:rFonts w:hint="default" w:ascii="Times New Roman Regular" w:hAnsi="Times New Roman Regular" w:eastAsia="宋体" w:cs="Times New Roman Regular"/>
                <w:color w:val="auto"/>
                <w:kern w:val="0"/>
                <w:sz w:val="18"/>
                <w:szCs w:val="18"/>
                <w:highlight w:val="none"/>
                <w:vertAlign w:val="superscript"/>
                <w:lang w:bidi="ar"/>
              </w:rPr>
              <w:t>1</w:t>
            </w:r>
          </w:p>
        </w:tc>
        <w:tc>
          <w:tcPr>
            <w:tcW w:w="1069" w:type="dxa"/>
            <w:tcBorders>
              <w:top w:val="nil"/>
              <w:left w:val="nil"/>
              <w:bottom w:val="nil"/>
              <w:right w:val="nil"/>
            </w:tcBorders>
            <w:shd w:val="clear" w:color="auto" w:fill="auto"/>
            <w:noWrap/>
            <w:vAlign w:val="center"/>
          </w:tcPr>
          <w:p w14:paraId="0CD7DFF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9.00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15</w:t>
            </w:r>
          </w:p>
        </w:tc>
        <w:tc>
          <w:tcPr>
            <w:tcW w:w="1473" w:type="dxa"/>
            <w:tcBorders>
              <w:top w:val="nil"/>
              <w:left w:val="nil"/>
              <w:bottom w:val="nil"/>
              <w:right w:val="nil"/>
            </w:tcBorders>
            <w:shd w:val="clear" w:color="auto" w:fill="auto"/>
            <w:noWrap/>
            <w:vAlign w:val="center"/>
          </w:tcPr>
          <w:p w14:paraId="7945B88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4B18E94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HDAC9</w:t>
            </w:r>
          </w:p>
        </w:tc>
      </w:tr>
      <w:tr w14:paraId="7D3CFB97">
        <w:trPr>
          <w:trHeight w:val="336" w:hRule="atLeast"/>
          <w:jc w:val="center"/>
        </w:trPr>
        <w:tc>
          <w:tcPr>
            <w:tcW w:w="733" w:type="dxa"/>
            <w:tcBorders>
              <w:top w:val="nil"/>
              <w:left w:val="nil"/>
              <w:bottom w:val="nil"/>
              <w:right w:val="nil"/>
            </w:tcBorders>
            <w:shd w:val="clear" w:color="auto" w:fill="auto"/>
            <w:noWrap/>
            <w:vAlign w:val="center"/>
          </w:tcPr>
          <w:p w14:paraId="27C4074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18</w:t>
            </w:r>
          </w:p>
        </w:tc>
        <w:tc>
          <w:tcPr>
            <w:tcW w:w="1788" w:type="dxa"/>
            <w:tcBorders>
              <w:top w:val="nil"/>
              <w:left w:val="nil"/>
              <w:bottom w:val="nil"/>
              <w:right w:val="nil"/>
            </w:tcBorders>
            <w:shd w:val="clear" w:color="auto" w:fill="auto"/>
            <w:noWrap/>
            <w:vAlign w:val="center"/>
          </w:tcPr>
          <w:p w14:paraId="077FE7B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92C936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rs320692</w:t>
            </w:r>
          </w:p>
        </w:tc>
        <w:tc>
          <w:tcPr>
            <w:tcW w:w="2177" w:type="dxa"/>
            <w:tcBorders>
              <w:top w:val="nil"/>
              <w:left w:val="nil"/>
              <w:bottom w:val="nil"/>
              <w:right w:val="nil"/>
            </w:tcBorders>
            <w:shd w:val="clear" w:color="auto" w:fill="auto"/>
            <w:noWrap/>
            <w:vAlign w:val="center"/>
          </w:tcPr>
          <w:p w14:paraId="1B47331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7:137039328-137081525</w:t>
            </w:r>
          </w:p>
        </w:tc>
        <w:tc>
          <w:tcPr>
            <w:tcW w:w="1027" w:type="dxa"/>
            <w:tcBorders>
              <w:top w:val="nil"/>
              <w:left w:val="nil"/>
              <w:bottom w:val="nil"/>
              <w:right w:val="nil"/>
            </w:tcBorders>
            <w:shd w:val="clear" w:color="auto" w:fill="auto"/>
            <w:noWrap/>
            <w:vAlign w:val="center"/>
          </w:tcPr>
          <w:p w14:paraId="0CE0E4E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7q33</w:t>
            </w:r>
          </w:p>
        </w:tc>
        <w:tc>
          <w:tcPr>
            <w:tcW w:w="1011" w:type="dxa"/>
            <w:tcBorders>
              <w:top w:val="nil"/>
              <w:left w:val="nil"/>
              <w:bottom w:val="nil"/>
              <w:right w:val="nil"/>
            </w:tcBorders>
            <w:shd w:val="clear" w:color="auto" w:fill="auto"/>
            <w:noWrap/>
            <w:vAlign w:val="center"/>
          </w:tcPr>
          <w:p w14:paraId="409B581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2DBFD4A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1.09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11FA052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195BDDF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5C1927B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PTN, DGKI</w:t>
            </w:r>
          </w:p>
        </w:tc>
      </w:tr>
      <w:tr w14:paraId="71C7F756">
        <w:trPr>
          <w:trHeight w:val="336" w:hRule="atLeast"/>
          <w:jc w:val="center"/>
        </w:trPr>
        <w:tc>
          <w:tcPr>
            <w:tcW w:w="733" w:type="dxa"/>
            <w:tcBorders>
              <w:top w:val="nil"/>
              <w:left w:val="nil"/>
              <w:bottom w:val="nil"/>
              <w:right w:val="nil"/>
            </w:tcBorders>
            <w:shd w:val="clear" w:color="auto" w:fill="auto"/>
            <w:noWrap/>
            <w:vAlign w:val="center"/>
          </w:tcPr>
          <w:p w14:paraId="3D2DD4E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19</w:t>
            </w:r>
          </w:p>
        </w:tc>
        <w:tc>
          <w:tcPr>
            <w:tcW w:w="1788" w:type="dxa"/>
            <w:tcBorders>
              <w:top w:val="nil"/>
              <w:left w:val="nil"/>
              <w:bottom w:val="nil"/>
              <w:right w:val="nil"/>
            </w:tcBorders>
            <w:shd w:val="clear" w:color="auto" w:fill="auto"/>
            <w:noWrap/>
            <w:vAlign w:val="center"/>
          </w:tcPr>
          <w:p w14:paraId="5E73C09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661875C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rs922049</w:t>
            </w:r>
          </w:p>
        </w:tc>
        <w:tc>
          <w:tcPr>
            <w:tcW w:w="2177" w:type="dxa"/>
            <w:tcBorders>
              <w:top w:val="nil"/>
              <w:left w:val="nil"/>
              <w:bottom w:val="nil"/>
              <w:right w:val="nil"/>
            </w:tcBorders>
            <w:shd w:val="clear" w:color="auto" w:fill="auto"/>
            <w:noWrap/>
            <w:vAlign w:val="center"/>
          </w:tcPr>
          <w:p w14:paraId="35DFC40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8:9156468-9221080</w:t>
            </w:r>
          </w:p>
        </w:tc>
        <w:tc>
          <w:tcPr>
            <w:tcW w:w="1027" w:type="dxa"/>
            <w:tcBorders>
              <w:top w:val="nil"/>
              <w:left w:val="nil"/>
              <w:bottom w:val="nil"/>
              <w:right w:val="nil"/>
            </w:tcBorders>
            <w:shd w:val="clear" w:color="auto" w:fill="auto"/>
            <w:noWrap/>
            <w:vAlign w:val="center"/>
          </w:tcPr>
          <w:p w14:paraId="06D2ADB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8p23.1</w:t>
            </w:r>
          </w:p>
        </w:tc>
        <w:tc>
          <w:tcPr>
            <w:tcW w:w="1011" w:type="dxa"/>
            <w:tcBorders>
              <w:top w:val="nil"/>
              <w:left w:val="nil"/>
              <w:bottom w:val="nil"/>
              <w:right w:val="nil"/>
            </w:tcBorders>
            <w:shd w:val="clear" w:color="auto" w:fill="auto"/>
            <w:noWrap/>
            <w:vAlign w:val="center"/>
          </w:tcPr>
          <w:p w14:paraId="51BD41E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1.10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59D5441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4.13</w:t>
            </w:r>
            <w:r>
              <w:rPr>
                <w:rFonts w:ascii="Times New Roman Regular" w:hAnsi="Times New Roman Regular" w:eastAsia="宋体" w:cs="Times New Roman Regular"/>
                <w:color w:val="auto"/>
                <w:kern w:val="0"/>
                <w:sz w:val="18"/>
                <w:szCs w:val="18"/>
                <w:highlight w:val="none"/>
                <w:lang w:bidi="ar"/>
              </w:rPr>
              <w:t>×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5F4C4F2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7D45FBE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66A494A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LOC157273, RNU6-526P</w:t>
            </w:r>
          </w:p>
        </w:tc>
      </w:tr>
      <w:tr w14:paraId="1DCC3A19">
        <w:trPr>
          <w:trHeight w:val="336" w:hRule="atLeast"/>
          <w:jc w:val="center"/>
        </w:trPr>
        <w:tc>
          <w:tcPr>
            <w:tcW w:w="733" w:type="dxa"/>
            <w:tcBorders>
              <w:top w:val="nil"/>
              <w:left w:val="nil"/>
              <w:bottom w:val="nil"/>
              <w:right w:val="nil"/>
            </w:tcBorders>
            <w:shd w:val="clear" w:color="auto" w:fill="auto"/>
            <w:noWrap/>
            <w:vAlign w:val="center"/>
          </w:tcPr>
          <w:p w14:paraId="6C334EE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20</w:t>
            </w:r>
          </w:p>
        </w:tc>
        <w:tc>
          <w:tcPr>
            <w:tcW w:w="1788" w:type="dxa"/>
            <w:tcBorders>
              <w:top w:val="nil"/>
              <w:left w:val="nil"/>
              <w:bottom w:val="nil"/>
              <w:right w:val="nil"/>
            </w:tcBorders>
            <w:shd w:val="clear" w:color="auto" w:fill="auto"/>
            <w:noWrap/>
            <w:vAlign w:val="center"/>
          </w:tcPr>
          <w:p w14:paraId="404F3CF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C8FA66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rs2001337</w:t>
            </w:r>
          </w:p>
        </w:tc>
        <w:tc>
          <w:tcPr>
            <w:tcW w:w="2177" w:type="dxa"/>
            <w:tcBorders>
              <w:top w:val="nil"/>
              <w:left w:val="nil"/>
              <w:bottom w:val="nil"/>
              <w:right w:val="nil"/>
            </w:tcBorders>
            <w:shd w:val="clear" w:color="auto" w:fill="auto"/>
            <w:noWrap/>
            <w:vAlign w:val="center"/>
          </w:tcPr>
          <w:p w14:paraId="39AFAF2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8:10220412-10277982</w:t>
            </w:r>
          </w:p>
        </w:tc>
        <w:tc>
          <w:tcPr>
            <w:tcW w:w="1027" w:type="dxa"/>
            <w:tcBorders>
              <w:top w:val="nil"/>
              <w:left w:val="nil"/>
              <w:bottom w:val="nil"/>
              <w:right w:val="nil"/>
            </w:tcBorders>
            <w:shd w:val="clear" w:color="auto" w:fill="auto"/>
            <w:noWrap/>
            <w:vAlign w:val="center"/>
          </w:tcPr>
          <w:p w14:paraId="06D4711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8p23.1</w:t>
            </w:r>
          </w:p>
        </w:tc>
        <w:tc>
          <w:tcPr>
            <w:tcW w:w="1011" w:type="dxa"/>
            <w:tcBorders>
              <w:top w:val="nil"/>
              <w:left w:val="nil"/>
              <w:bottom w:val="nil"/>
              <w:right w:val="nil"/>
            </w:tcBorders>
            <w:shd w:val="clear" w:color="auto" w:fill="auto"/>
            <w:noWrap/>
            <w:vAlign w:val="center"/>
          </w:tcPr>
          <w:p w14:paraId="02DBB44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3E4554F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1.34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1069" w:type="dxa"/>
            <w:tcBorders>
              <w:top w:val="nil"/>
              <w:left w:val="nil"/>
              <w:bottom w:val="nil"/>
              <w:right w:val="nil"/>
            </w:tcBorders>
            <w:shd w:val="clear" w:color="auto" w:fill="auto"/>
            <w:noWrap/>
            <w:vAlign w:val="center"/>
          </w:tcPr>
          <w:p w14:paraId="66F2012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5CA01AC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4F649C8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MSRA</w:t>
            </w:r>
          </w:p>
        </w:tc>
      </w:tr>
      <w:tr w14:paraId="0683FA89">
        <w:trPr>
          <w:trHeight w:val="353" w:hRule="atLeast"/>
          <w:jc w:val="center"/>
        </w:trPr>
        <w:tc>
          <w:tcPr>
            <w:tcW w:w="733" w:type="dxa"/>
            <w:tcBorders>
              <w:top w:val="nil"/>
              <w:left w:val="nil"/>
              <w:bottom w:val="nil"/>
              <w:right w:val="nil"/>
            </w:tcBorders>
            <w:shd w:val="clear" w:color="auto" w:fill="auto"/>
            <w:noWrap/>
            <w:vAlign w:val="center"/>
          </w:tcPr>
          <w:p w14:paraId="4D5FF37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3</w:t>
            </w:r>
          </w:p>
        </w:tc>
        <w:tc>
          <w:tcPr>
            <w:tcW w:w="1788" w:type="dxa"/>
            <w:tcBorders>
              <w:top w:val="nil"/>
              <w:left w:val="nil"/>
              <w:bottom w:val="nil"/>
              <w:right w:val="nil"/>
            </w:tcBorders>
            <w:shd w:val="clear" w:color="auto" w:fill="auto"/>
            <w:noWrap/>
            <w:vAlign w:val="center"/>
          </w:tcPr>
          <w:p w14:paraId="6C39C48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75A3291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rs6480406</w:t>
            </w:r>
          </w:p>
        </w:tc>
        <w:tc>
          <w:tcPr>
            <w:tcW w:w="2177" w:type="dxa"/>
            <w:tcBorders>
              <w:top w:val="nil"/>
              <w:left w:val="nil"/>
              <w:bottom w:val="nil"/>
              <w:right w:val="nil"/>
            </w:tcBorders>
            <w:shd w:val="clear" w:color="auto" w:fill="auto"/>
            <w:noWrap/>
            <w:vAlign w:val="center"/>
          </w:tcPr>
          <w:p w14:paraId="3E47520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10:71178215-71253277</w:t>
            </w:r>
          </w:p>
        </w:tc>
        <w:tc>
          <w:tcPr>
            <w:tcW w:w="1027" w:type="dxa"/>
            <w:tcBorders>
              <w:top w:val="nil"/>
              <w:left w:val="nil"/>
              <w:bottom w:val="nil"/>
              <w:right w:val="nil"/>
            </w:tcBorders>
            <w:shd w:val="clear" w:color="auto" w:fill="auto"/>
            <w:noWrap/>
            <w:vAlign w:val="center"/>
          </w:tcPr>
          <w:p w14:paraId="13B4244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10q22.1</w:t>
            </w:r>
          </w:p>
        </w:tc>
        <w:tc>
          <w:tcPr>
            <w:tcW w:w="1011" w:type="dxa"/>
            <w:tcBorders>
              <w:top w:val="nil"/>
              <w:left w:val="nil"/>
              <w:bottom w:val="nil"/>
              <w:right w:val="nil"/>
            </w:tcBorders>
            <w:shd w:val="clear" w:color="auto" w:fill="auto"/>
            <w:noWrap/>
            <w:vAlign w:val="center"/>
          </w:tcPr>
          <w:p w14:paraId="784B9FD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2.00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536FB9D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8.84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4A7165F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2.48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13</w:t>
            </w:r>
          </w:p>
        </w:tc>
        <w:tc>
          <w:tcPr>
            <w:tcW w:w="1473" w:type="dxa"/>
            <w:tcBorders>
              <w:top w:val="nil"/>
              <w:left w:val="nil"/>
              <w:bottom w:val="nil"/>
              <w:right w:val="nil"/>
            </w:tcBorders>
            <w:shd w:val="clear" w:color="auto" w:fill="auto"/>
            <w:noWrap/>
            <w:vAlign w:val="center"/>
          </w:tcPr>
          <w:p w14:paraId="027BB3A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42D8CD2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TACR2, ATP5MC1P7</w:t>
            </w:r>
          </w:p>
        </w:tc>
      </w:tr>
      <w:tr w14:paraId="6936B21E">
        <w:trPr>
          <w:trHeight w:val="336" w:hRule="atLeast"/>
          <w:jc w:val="center"/>
        </w:trPr>
        <w:tc>
          <w:tcPr>
            <w:tcW w:w="733" w:type="dxa"/>
            <w:tcBorders>
              <w:top w:val="nil"/>
              <w:left w:val="nil"/>
              <w:bottom w:val="nil"/>
              <w:right w:val="nil"/>
            </w:tcBorders>
            <w:shd w:val="clear" w:color="auto" w:fill="auto"/>
            <w:noWrap/>
            <w:vAlign w:val="center"/>
          </w:tcPr>
          <w:p w14:paraId="1AF08FE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4</w:t>
            </w:r>
          </w:p>
        </w:tc>
        <w:tc>
          <w:tcPr>
            <w:tcW w:w="1788" w:type="dxa"/>
            <w:tcBorders>
              <w:top w:val="nil"/>
              <w:left w:val="nil"/>
              <w:bottom w:val="nil"/>
              <w:right w:val="nil"/>
            </w:tcBorders>
            <w:shd w:val="clear" w:color="auto" w:fill="auto"/>
            <w:noWrap/>
            <w:vAlign w:val="center"/>
          </w:tcPr>
          <w:p w14:paraId="71F669D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098E68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rs6592137</w:t>
            </w:r>
          </w:p>
        </w:tc>
        <w:tc>
          <w:tcPr>
            <w:tcW w:w="2177" w:type="dxa"/>
            <w:tcBorders>
              <w:top w:val="nil"/>
              <w:left w:val="nil"/>
              <w:bottom w:val="nil"/>
              <w:right w:val="nil"/>
            </w:tcBorders>
            <w:shd w:val="clear" w:color="auto" w:fill="auto"/>
            <w:noWrap/>
            <w:vAlign w:val="center"/>
          </w:tcPr>
          <w:p w14:paraId="0588496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11:83343594-83422975</w:t>
            </w:r>
          </w:p>
        </w:tc>
        <w:tc>
          <w:tcPr>
            <w:tcW w:w="1027" w:type="dxa"/>
            <w:tcBorders>
              <w:top w:val="nil"/>
              <w:left w:val="nil"/>
              <w:bottom w:val="nil"/>
              <w:right w:val="nil"/>
            </w:tcBorders>
            <w:shd w:val="clear" w:color="auto" w:fill="auto"/>
            <w:noWrap/>
            <w:vAlign w:val="center"/>
          </w:tcPr>
          <w:p w14:paraId="7A19532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11q14.1</w:t>
            </w:r>
          </w:p>
        </w:tc>
        <w:tc>
          <w:tcPr>
            <w:tcW w:w="1011" w:type="dxa"/>
            <w:tcBorders>
              <w:top w:val="nil"/>
              <w:left w:val="nil"/>
              <w:bottom w:val="nil"/>
              <w:right w:val="nil"/>
            </w:tcBorders>
            <w:shd w:val="clear" w:color="auto" w:fill="auto"/>
            <w:noWrap/>
            <w:vAlign w:val="center"/>
          </w:tcPr>
          <w:p w14:paraId="659B083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3.00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0703F6E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501C904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1E2B455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0C6822A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DLG2</w:t>
            </w:r>
          </w:p>
        </w:tc>
      </w:tr>
      <w:tr w14:paraId="2C2C3D20">
        <w:trPr>
          <w:trHeight w:val="353" w:hRule="atLeast"/>
          <w:jc w:val="center"/>
        </w:trPr>
        <w:tc>
          <w:tcPr>
            <w:tcW w:w="733" w:type="dxa"/>
            <w:tcBorders>
              <w:top w:val="nil"/>
              <w:left w:val="nil"/>
              <w:bottom w:val="nil"/>
              <w:right w:val="nil"/>
            </w:tcBorders>
            <w:shd w:val="clear" w:color="auto" w:fill="auto"/>
            <w:noWrap/>
            <w:vAlign w:val="center"/>
          </w:tcPr>
          <w:p w14:paraId="0EEAFE0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5</w:t>
            </w:r>
          </w:p>
        </w:tc>
        <w:tc>
          <w:tcPr>
            <w:tcW w:w="1788" w:type="dxa"/>
            <w:tcBorders>
              <w:top w:val="nil"/>
              <w:left w:val="nil"/>
              <w:bottom w:val="nil"/>
              <w:right w:val="nil"/>
            </w:tcBorders>
            <w:shd w:val="clear" w:color="auto" w:fill="auto"/>
            <w:noWrap/>
            <w:vAlign w:val="center"/>
          </w:tcPr>
          <w:p w14:paraId="4CC60B6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3AF4B39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rs6581020</w:t>
            </w:r>
          </w:p>
        </w:tc>
        <w:tc>
          <w:tcPr>
            <w:tcW w:w="2177" w:type="dxa"/>
            <w:tcBorders>
              <w:top w:val="nil"/>
              <w:left w:val="nil"/>
              <w:bottom w:val="nil"/>
              <w:right w:val="nil"/>
            </w:tcBorders>
            <w:shd w:val="clear" w:color="auto" w:fill="auto"/>
            <w:noWrap/>
            <w:vAlign w:val="center"/>
          </w:tcPr>
          <w:p w14:paraId="1AAAEE1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12:55466677-55705788</w:t>
            </w:r>
          </w:p>
        </w:tc>
        <w:tc>
          <w:tcPr>
            <w:tcW w:w="1027" w:type="dxa"/>
            <w:tcBorders>
              <w:top w:val="nil"/>
              <w:left w:val="nil"/>
              <w:bottom w:val="nil"/>
              <w:right w:val="nil"/>
            </w:tcBorders>
            <w:shd w:val="clear" w:color="auto" w:fill="auto"/>
            <w:noWrap/>
            <w:vAlign w:val="center"/>
          </w:tcPr>
          <w:p w14:paraId="43A7A51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12q13.2</w:t>
            </w:r>
          </w:p>
        </w:tc>
        <w:tc>
          <w:tcPr>
            <w:tcW w:w="1011" w:type="dxa"/>
            <w:tcBorders>
              <w:top w:val="nil"/>
              <w:left w:val="nil"/>
              <w:bottom w:val="nil"/>
              <w:right w:val="nil"/>
            </w:tcBorders>
            <w:shd w:val="clear" w:color="auto" w:fill="auto"/>
            <w:noWrap/>
            <w:vAlign w:val="center"/>
          </w:tcPr>
          <w:p w14:paraId="4671C9D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681258F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6D81251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2EDF393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3499464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OR9K2</w:t>
            </w:r>
          </w:p>
        </w:tc>
      </w:tr>
      <w:tr w14:paraId="5F13718D">
        <w:trPr>
          <w:trHeight w:val="336" w:hRule="atLeast"/>
          <w:jc w:val="center"/>
        </w:trPr>
        <w:tc>
          <w:tcPr>
            <w:tcW w:w="733" w:type="dxa"/>
            <w:tcBorders>
              <w:top w:val="nil"/>
              <w:left w:val="nil"/>
              <w:bottom w:val="nil"/>
              <w:right w:val="nil"/>
            </w:tcBorders>
            <w:shd w:val="clear" w:color="auto" w:fill="auto"/>
            <w:noWrap/>
            <w:vAlign w:val="center"/>
          </w:tcPr>
          <w:p w14:paraId="59A6591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6</w:t>
            </w:r>
          </w:p>
        </w:tc>
        <w:tc>
          <w:tcPr>
            <w:tcW w:w="1788" w:type="dxa"/>
            <w:tcBorders>
              <w:top w:val="nil"/>
              <w:left w:val="nil"/>
              <w:bottom w:val="nil"/>
              <w:right w:val="nil"/>
            </w:tcBorders>
            <w:shd w:val="clear" w:color="auto" w:fill="auto"/>
            <w:noWrap/>
            <w:vAlign w:val="center"/>
          </w:tcPr>
          <w:p w14:paraId="3B88C13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6931B60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rs348662</w:t>
            </w:r>
          </w:p>
        </w:tc>
        <w:tc>
          <w:tcPr>
            <w:tcW w:w="2177" w:type="dxa"/>
            <w:tcBorders>
              <w:top w:val="nil"/>
              <w:left w:val="nil"/>
              <w:bottom w:val="nil"/>
              <w:right w:val="nil"/>
            </w:tcBorders>
            <w:shd w:val="clear" w:color="auto" w:fill="auto"/>
            <w:noWrap/>
            <w:vAlign w:val="center"/>
          </w:tcPr>
          <w:p w14:paraId="1DBDD5F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12:62423566-62464895</w:t>
            </w:r>
          </w:p>
        </w:tc>
        <w:tc>
          <w:tcPr>
            <w:tcW w:w="1027" w:type="dxa"/>
            <w:tcBorders>
              <w:top w:val="nil"/>
              <w:left w:val="nil"/>
              <w:bottom w:val="nil"/>
              <w:right w:val="nil"/>
            </w:tcBorders>
            <w:shd w:val="clear" w:color="auto" w:fill="auto"/>
            <w:noWrap/>
            <w:vAlign w:val="center"/>
          </w:tcPr>
          <w:p w14:paraId="5C4711F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12q14.1</w:t>
            </w:r>
          </w:p>
        </w:tc>
        <w:tc>
          <w:tcPr>
            <w:tcW w:w="1011" w:type="dxa"/>
            <w:tcBorders>
              <w:top w:val="nil"/>
              <w:left w:val="nil"/>
              <w:bottom w:val="nil"/>
              <w:right w:val="nil"/>
            </w:tcBorders>
            <w:shd w:val="clear" w:color="auto" w:fill="auto"/>
            <w:noWrap/>
            <w:vAlign w:val="center"/>
          </w:tcPr>
          <w:p w14:paraId="3313D74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0D1F701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4.67 × 10</w:t>
            </w:r>
            <w:r>
              <w:rPr>
                <w:rFonts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0578B95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0E5BFA3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334A47F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TAFA2</w:t>
            </w:r>
          </w:p>
        </w:tc>
      </w:tr>
      <w:tr w14:paraId="7B97EA49">
        <w:trPr>
          <w:trHeight w:val="336" w:hRule="atLeast"/>
          <w:jc w:val="center"/>
        </w:trPr>
        <w:tc>
          <w:tcPr>
            <w:tcW w:w="733" w:type="dxa"/>
            <w:tcBorders>
              <w:top w:val="nil"/>
              <w:left w:val="nil"/>
              <w:bottom w:val="nil"/>
              <w:right w:val="nil"/>
            </w:tcBorders>
            <w:shd w:val="clear" w:color="auto" w:fill="auto"/>
            <w:noWrap/>
            <w:vAlign w:val="center"/>
          </w:tcPr>
          <w:p w14:paraId="7E0249D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8</w:t>
            </w:r>
          </w:p>
        </w:tc>
        <w:tc>
          <w:tcPr>
            <w:tcW w:w="1788" w:type="dxa"/>
            <w:tcBorders>
              <w:top w:val="nil"/>
              <w:left w:val="nil"/>
              <w:bottom w:val="nil"/>
              <w:right w:val="nil"/>
            </w:tcBorders>
            <w:shd w:val="clear" w:color="auto" w:fill="auto"/>
            <w:noWrap/>
            <w:vAlign w:val="center"/>
          </w:tcPr>
          <w:p w14:paraId="36A0919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63901C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rs12589496</w:t>
            </w:r>
          </w:p>
        </w:tc>
        <w:tc>
          <w:tcPr>
            <w:tcW w:w="2177" w:type="dxa"/>
            <w:tcBorders>
              <w:top w:val="nil"/>
              <w:left w:val="nil"/>
              <w:bottom w:val="nil"/>
              <w:right w:val="nil"/>
            </w:tcBorders>
            <w:shd w:val="clear" w:color="auto" w:fill="auto"/>
            <w:noWrap/>
            <w:vAlign w:val="center"/>
          </w:tcPr>
          <w:p w14:paraId="5C49CAE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14:49792385-49838381</w:t>
            </w:r>
          </w:p>
        </w:tc>
        <w:tc>
          <w:tcPr>
            <w:tcW w:w="1027" w:type="dxa"/>
            <w:tcBorders>
              <w:top w:val="nil"/>
              <w:left w:val="nil"/>
              <w:bottom w:val="nil"/>
              <w:right w:val="nil"/>
            </w:tcBorders>
            <w:shd w:val="clear" w:color="auto" w:fill="auto"/>
            <w:noWrap/>
            <w:vAlign w:val="center"/>
          </w:tcPr>
          <w:p w14:paraId="022D6A8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14q21.3</w:t>
            </w:r>
          </w:p>
        </w:tc>
        <w:tc>
          <w:tcPr>
            <w:tcW w:w="1011" w:type="dxa"/>
            <w:tcBorders>
              <w:top w:val="nil"/>
              <w:left w:val="nil"/>
              <w:bottom w:val="nil"/>
              <w:right w:val="nil"/>
            </w:tcBorders>
            <w:shd w:val="clear" w:color="auto" w:fill="auto"/>
            <w:noWrap/>
            <w:vAlign w:val="center"/>
          </w:tcPr>
          <w:p w14:paraId="74D4979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1.70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0100412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8.31 × 10</w:t>
            </w:r>
            <w:r>
              <w:rPr>
                <w:rFonts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2E97E25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473" w:type="dxa"/>
            <w:tcBorders>
              <w:top w:val="nil"/>
              <w:left w:val="nil"/>
              <w:bottom w:val="nil"/>
              <w:right w:val="nil"/>
            </w:tcBorders>
            <w:shd w:val="clear" w:color="auto" w:fill="auto"/>
            <w:noWrap/>
            <w:vAlign w:val="center"/>
          </w:tcPr>
          <w:p w14:paraId="2D305E4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00EF523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RPL18P1, ATP5MC2P2</w:t>
            </w:r>
          </w:p>
        </w:tc>
      </w:tr>
      <w:tr w14:paraId="21DAD581">
        <w:trPr>
          <w:trHeight w:val="336" w:hRule="atLeast"/>
          <w:jc w:val="center"/>
        </w:trPr>
        <w:tc>
          <w:tcPr>
            <w:tcW w:w="733" w:type="dxa"/>
            <w:tcBorders>
              <w:top w:val="nil"/>
              <w:left w:val="nil"/>
              <w:bottom w:val="nil"/>
              <w:right w:val="nil"/>
            </w:tcBorders>
            <w:shd w:val="clear" w:color="auto" w:fill="auto"/>
            <w:noWrap/>
            <w:vAlign w:val="center"/>
          </w:tcPr>
          <w:p w14:paraId="383C8EC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w:t>
            </w:r>
            <w:r>
              <w:rPr>
                <w:rFonts w:hint="default" w:ascii="Times New Roman Regular" w:hAnsi="Times New Roman Regular" w:eastAsia="宋体" w:cs="Times New Roman Regular"/>
                <w:color w:val="auto"/>
                <w:kern w:val="0"/>
                <w:sz w:val="18"/>
                <w:szCs w:val="18"/>
                <w:highlight w:val="none"/>
                <w:lang w:bidi="ar"/>
              </w:rPr>
              <w:t>9</w:t>
            </w:r>
          </w:p>
        </w:tc>
        <w:tc>
          <w:tcPr>
            <w:tcW w:w="1788" w:type="dxa"/>
            <w:tcBorders>
              <w:top w:val="nil"/>
              <w:left w:val="nil"/>
              <w:bottom w:val="nil"/>
              <w:right w:val="nil"/>
            </w:tcBorders>
            <w:shd w:val="clear" w:color="auto" w:fill="auto"/>
            <w:noWrap/>
            <w:vAlign w:val="center"/>
          </w:tcPr>
          <w:p w14:paraId="14006A2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8A5D2D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rs13329602</w:t>
            </w:r>
          </w:p>
        </w:tc>
        <w:tc>
          <w:tcPr>
            <w:tcW w:w="2177" w:type="dxa"/>
            <w:tcBorders>
              <w:top w:val="nil"/>
              <w:left w:val="nil"/>
              <w:bottom w:val="nil"/>
              <w:right w:val="nil"/>
            </w:tcBorders>
            <w:shd w:val="clear" w:color="auto" w:fill="auto"/>
            <w:noWrap/>
            <w:vAlign w:val="center"/>
          </w:tcPr>
          <w:p w14:paraId="5C45EF6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15:47365799-47486525</w:t>
            </w:r>
          </w:p>
        </w:tc>
        <w:tc>
          <w:tcPr>
            <w:tcW w:w="1027" w:type="dxa"/>
            <w:tcBorders>
              <w:top w:val="nil"/>
              <w:left w:val="nil"/>
              <w:bottom w:val="nil"/>
              <w:right w:val="nil"/>
            </w:tcBorders>
            <w:shd w:val="clear" w:color="auto" w:fill="auto"/>
            <w:noWrap/>
            <w:vAlign w:val="center"/>
          </w:tcPr>
          <w:p w14:paraId="620AE32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15q21.1</w:t>
            </w:r>
          </w:p>
        </w:tc>
        <w:tc>
          <w:tcPr>
            <w:tcW w:w="1011" w:type="dxa"/>
            <w:tcBorders>
              <w:top w:val="nil"/>
              <w:left w:val="nil"/>
              <w:bottom w:val="nil"/>
              <w:right w:val="nil"/>
            </w:tcBorders>
            <w:shd w:val="clear" w:color="auto" w:fill="auto"/>
            <w:noWrap/>
            <w:vAlign w:val="center"/>
          </w:tcPr>
          <w:p w14:paraId="214BF5D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2.60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3C79374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4.21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1069" w:type="dxa"/>
            <w:tcBorders>
              <w:top w:val="nil"/>
              <w:left w:val="nil"/>
              <w:bottom w:val="nil"/>
              <w:right w:val="nil"/>
            </w:tcBorders>
            <w:shd w:val="clear" w:color="auto" w:fill="auto"/>
            <w:noWrap/>
            <w:vAlign w:val="center"/>
          </w:tcPr>
          <w:p w14:paraId="48442EB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0A41B8B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4E36485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SEMA6D, RN7SKP101</w:t>
            </w:r>
          </w:p>
        </w:tc>
      </w:tr>
      <w:tr w14:paraId="5D6D56D0">
        <w:trPr>
          <w:trHeight w:val="336" w:hRule="atLeast"/>
          <w:jc w:val="center"/>
        </w:trPr>
        <w:tc>
          <w:tcPr>
            <w:tcW w:w="733" w:type="dxa"/>
            <w:tcBorders>
              <w:top w:val="nil"/>
              <w:left w:val="nil"/>
              <w:bottom w:val="nil"/>
              <w:right w:val="nil"/>
            </w:tcBorders>
            <w:shd w:val="clear" w:color="auto" w:fill="auto"/>
            <w:noWrap/>
            <w:vAlign w:val="center"/>
          </w:tcPr>
          <w:p w14:paraId="19D089B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31</w:t>
            </w:r>
          </w:p>
        </w:tc>
        <w:tc>
          <w:tcPr>
            <w:tcW w:w="1788" w:type="dxa"/>
            <w:tcBorders>
              <w:top w:val="nil"/>
              <w:left w:val="nil"/>
              <w:bottom w:val="nil"/>
              <w:right w:val="nil"/>
            </w:tcBorders>
            <w:shd w:val="clear" w:color="auto" w:fill="auto"/>
            <w:noWrap/>
            <w:vAlign w:val="center"/>
          </w:tcPr>
          <w:p w14:paraId="2B1DC2B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4CA2236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rs11075990</w:t>
            </w:r>
          </w:p>
        </w:tc>
        <w:tc>
          <w:tcPr>
            <w:tcW w:w="2177" w:type="dxa"/>
            <w:tcBorders>
              <w:top w:val="nil"/>
              <w:left w:val="nil"/>
              <w:bottom w:val="nil"/>
              <w:right w:val="nil"/>
            </w:tcBorders>
            <w:shd w:val="clear" w:color="auto" w:fill="auto"/>
            <w:noWrap/>
            <w:vAlign w:val="center"/>
          </w:tcPr>
          <w:p w14:paraId="2F3854F1">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16:53797908-53845487</w:t>
            </w:r>
          </w:p>
        </w:tc>
        <w:tc>
          <w:tcPr>
            <w:tcW w:w="1027" w:type="dxa"/>
            <w:tcBorders>
              <w:top w:val="nil"/>
              <w:left w:val="nil"/>
              <w:bottom w:val="nil"/>
              <w:right w:val="nil"/>
            </w:tcBorders>
            <w:shd w:val="clear" w:color="auto" w:fill="auto"/>
            <w:noWrap/>
            <w:vAlign w:val="center"/>
          </w:tcPr>
          <w:p w14:paraId="45CBD79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16q12.2</w:t>
            </w:r>
          </w:p>
        </w:tc>
        <w:tc>
          <w:tcPr>
            <w:tcW w:w="1011" w:type="dxa"/>
            <w:tcBorders>
              <w:top w:val="nil"/>
              <w:left w:val="nil"/>
              <w:bottom w:val="nil"/>
              <w:right w:val="nil"/>
            </w:tcBorders>
            <w:shd w:val="clear" w:color="auto" w:fill="auto"/>
            <w:noWrap/>
            <w:vAlign w:val="center"/>
          </w:tcPr>
          <w:p w14:paraId="48ED713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3</w:t>
            </w:r>
          </w:p>
        </w:tc>
        <w:tc>
          <w:tcPr>
            <w:tcW w:w="1168" w:type="dxa"/>
            <w:tcBorders>
              <w:top w:val="nil"/>
              <w:left w:val="nil"/>
              <w:bottom w:val="nil"/>
              <w:right w:val="nil"/>
            </w:tcBorders>
            <w:shd w:val="clear" w:color="auto" w:fill="auto"/>
            <w:noWrap/>
            <w:vAlign w:val="center"/>
          </w:tcPr>
          <w:p w14:paraId="58E86FE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w:t>
            </w:r>
            <w:r>
              <w:rPr>
                <w:rFonts w:hint="default" w:ascii="Times New Roman Regular" w:hAnsi="Times New Roman Regular" w:eastAsia="宋体" w:cs="Times New Roman Regular"/>
                <w:color w:val="auto"/>
                <w:kern w:val="0"/>
                <w:sz w:val="18"/>
                <w:szCs w:val="18"/>
                <w:highlight w:val="none"/>
                <w:vertAlign w:val="superscript"/>
                <w:lang w:bidi="ar"/>
              </w:rPr>
              <w:t>0</w:t>
            </w:r>
          </w:p>
        </w:tc>
        <w:tc>
          <w:tcPr>
            <w:tcW w:w="1069" w:type="dxa"/>
            <w:tcBorders>
              <w:top w:val="nil"/>
              <w:left w:val="nil"/>
              <w:bottom w:val="nil"/>
              <w:right w:val="nil"/>
            </w:tcBorders>
            <w:shd w:val="clear" w:color="auto" w:fill="auto"/>
            <w:noWrap/>
            <w:vAlign w:val="center"/>
          </w:tcPr>
          <w:p w14:paraId="696493A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2.99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18</w:t>
            </w:r>
          </w:p>
        </w:tc>
        <w:tc>
          <w:tcPr>
            <w:tcW w:w="1473" w:type="dxa"/>
            <w:tcBorders>
              <w:top w:val="nil"/>
              <w:left w:val="nil"/>
              <w:bottom w:val="nil"/>
              <w:right w:val="nil"/>
            </w:tcBorders>
            <w:shd w:val="clear" w:color="auto" w:fill="auto"/>
            <w:noWrap/>
            <w:vAlign w:val="center"/>
          </w:tcPr>
          <w:p w14:paraId="242CA700">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54BF89D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Hans" w:bidi="ar"/>
              </w:rPr>
            </w:pPr>
            <w:r>
              <w:rPr>
                <w:rFonts w:hint="eastAsia" w:ascii="Times New Roman Regular" w:hAnsi="Times New Roman Regular" w:eastAsia="宋体" w:cs="Times New Roman Regular"/>
                <w:color w:val="auto"/>
                <w:kern w:val="0"/>
                <w:sz w:val="18"/>
                <w:szCs w:val="18"/>
                <w:highlight w:val="none"/>
                <w:lang w:val="en-US" w:eastAsia="zh-Hans" w:bidi="ar"/>
              </w:rPr>
              <w:t>FTO</w:t>
            </w:r>
          </w:p>
        </w:tc>
      </w:tr>
      <w:tr w14:paraId="004C7C08">
        <w:trPr>
          <w:trHeight w:val="336" w:hRule="atLeast"/>
          <w:jc w:val="center"/>
        </w:trPr>
        <w:tc>
          <w:tcPr>
            <w:tcW w:w="733" w:type="dxa"/>
            <w:tcBorders>
              <w:top w:val="nil"/>
              <w:left w:val="nil"/>
              <w:bottom w:val="nil"/>
              <w:right w:val="nil"/>
            </w:tcBorders>
            <w:shd w:val="clear" w:color="auto" w:fill="auto"/>
            <w:noWrap/>
            <w:vAlign w:val="center"/>
          </w:tcPr>
          <w:p w14:paraId="488B606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32</w:t>
            </w:r>
          </w:p>
        </w:tc>
        <w:tc>
          <w:tcPr>
            <w:tcW w:w="1788" w:type="dxa"/>
            <w:tcBorders>
              <w:top w:val="nil"/>
              <w:left w:val="nil"/>
              <w:bottom w:val="nil"/>
              <w:right w:val="nil"/>
            </w:tcBorders>
            <w:shd w:val="clear" w:color="auto" w:fill="auto"/>
            <w:noWrap/>
            <w:vAlign w:val="center"/>
          </w:tcPr>
          <w:p w14:paraId="30F3594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26A99AF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rs8057453</w:t>
            </w:r>
          </w:p>
        </w:tc>
        <w:tc>
          <w:tcPr>
            <w:tcW w:w="2177" w:type="dxa"/>
            <w:tcBorders>
              <w:top w:val="nil"/>
              <w:left w:val="nil"/>
              <w:bottom w:val="nil"/>
              <w:right w:val="nil"/>
            </w:tcBorders>
            <w:shd w:val="clear" w:color="auto" w:fill="auto"/>
            <w:noWrap/>
            <w:vAlign w:val="center"/>
          </w:tcPr>
          <w:p w14:paraId="03137FE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16:86769523-86773383</w:t>
            </w:r>
          </w:p>
        </w:tc>
        <w:tc>
          <w:tcPr>
            <w:tcW w:w="1027" w:type="dxa"/>
            <w:tcBorders>
              <w:top w:val="nil"/>
              <w:left w:val="nil"/>
              <w:bottom w:val="nil"/>
              <w:right w:val="nil"/>
            </w:tcBorders>
            <w:shd w:val="clear" w:color="auto" w:fill="auto"/>
            <w:noWrap/>
            <w:vAlign w:val="center"/>
          </w:tcPr>
          <w:p w14:paraId="55F27C0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16q24.1</w:t>
            </w:r>
          </w:p>
        </w:tc>
        <w:tc>
          <w:tcPr>
            <w:tcW w:w="1011" w:type="dxa"/>
            <w:tcBorders>
              <w:top w:val="nil"/>
              <w:left w:val="nil"/>
              <w:bottom w:val="nil"/>
              <w:right w:val="nil"/>
            </w:tcBorders>
            <w:shd w:val="clear" w:color="auto" w:fill="auto"/>
            <w:noWrap/>
            <w:vAlign w:val="center"/>
          </w:tcPr>
          <w:p w14:paraId="3813197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8.60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4A662CF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4.83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037AEC3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7.09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-12</w:t>
            </w:r>
          </w:p>
        </w:tc>
        <w:tc>
          <w:tcPr>
            <w:tcW w:w="1473" w:type="dxa"/>
            <w:tcBorders>
              <w:top w:val="nil"/>
              <w:left w:val="nil"/>
              <w:bottom w:val="nil"/>
              <w:right w:val="nil"/>
            </w:tcBorders>
            <w:shd w:val="clear" w:color="auto" w:fill="auto"/>
            <w:noWrap/>
            <w:vAlign w:val="center"/>
          </w:tcPr>
          <w:p w14:paraId="1E5C4EE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ncRNA_intronic</w:t>
            </w:r>
          </w:p>
        </w:tc>
        <w:tc>
          <w:tcPr>
            <w:tcW w:w="2138" w:type="dxa"/>
            <w:tcBorders>
              <w:top w:val="nil"/>
              <w:left w:val="nil"/>
              <w:bottom w:val="nil"/>
              <w:right w:val="nil"/>
            </w:tcBorders>
            <w:shd w:val="clear" w:color="auto" w:fill="auto"/>
            <w:noWrap/>
            <w:vAlign w:val="center"/>
          </w:tcPr>
          <w:p w14:paraId="1AC6C99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LINC02188</w:t>
            </w:r>
          </w:p>
        </w:tc>
      </w:tr>
      <w:tr w14:paraId="51CBB206">
        <w:trPr>
          <w:trHeight w:val="384" w:hRule="atLeast"/>
          <w:jc w:val="center"/>
        </w:trPr>
        <w:tc>
          <w:tcPr>
            <w:tcW w:w="733" w:type="dxa"/>
            <w:tcBorders>
              <w:top w:val="nil"/>
              <w:left w:val="nil"/>
              <w:bottom w:val="nil"/>
              <w:right w:val="nil"/>
            </w:tcBorders>
            <w:shd w:val="clear" w:color="auto" w:fill="auto"/>
            <w:noWrap/>
            <w:vAlign w:val="center"/>
          </w:tcPr>
          <w:p w14:paraId="715185D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33</w:t>
            </w:r>
          </w:p>
        </w:tc>
        <w:tc>
          <w:tcPr>
            <w:tcW w:w="1788" w:type="dxa"/>
            <w:tcBorders>
              <w:top w:val="nil"/>
              <w:left w:val="nil"/>
              <w:bottom w:val="nil"/>
              <w:right w:val="nil"/>
            </w:tcBorders>
            <w:shd w:val="clear" w:color="auto" w:fill="auto"/>
            <w:noWrap/>
            <w:vAlign w:val="center"/>
          </w:tcPr>
          <w:p w14:paraId="3442F04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1961C17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rs1788823</w:t>
            </w:r>
          </w:p>
        </w:tc>
        <w:tc>
          <w:tcPr>
            <w:tcW w:w="2177" w:type="dxa"/>
            <w:tcBorders>
              <w:top w:val="nil"/>
              <w:left w:val="nil"/>
              <w:bottom w:val="nil"/>
              <w:right w:val="nil"/>
            </w:tcBorders>
            <w:shd w:val="clear" w:color="auto" w:fill="auto"/>
            <w:noWrap/>
            <w:vAlign w:val="center"/>
          </w:tcPr>
          <w:p w14:paraId="1985D7A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18:21074922-21165163</w:t>
            </w:r>
          </w:p>
        </w:tc>
        <w:tc>
          <w:tcPr>
            <w:tcW w:w="1027" w:type="dxa"/>
            <w:tcBorders>
              <w:top w:val="nil"/>
              <w:left w:val="nil"/>
              <w:bottom w:val="nil"/>
              <w:right w:val="nil"/>
            </w:tcBorders>
            <w:shd w:val="clear" w:color="auto" w:fill="auto"/>
            <w:noWrap/>
            <w:vAlign w:val="center"/>
          </w:tcPr>
          <w:p w14:paraId="72AA26A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18q11.2</w:t>
            </w:r>
          </w:p>
        </w:tc>
        <w:tc>
          <w:tcPr>
            <w:tcW w:w="1011" w:type="dxa"/>
            <w:tcBorders>
              <w:top w:val="nil"/>
              <w:left w:val="nil"/>
              <w:bottom w:val="nil"/>
              <w:right w:val="nil"/>
            </w:tcBorders>
            <w:shd w:val="clear" w:color="auto" w:fill="auto"/>
            <w:noWrap/>
            <w:vAlign w:val="center"/>
          </w:tcPr>
          <w:p w14:paraId="7D0690E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3.00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3</w:t>
            </w:r>
          </w:p>
        </w:tc>
        <w:tc>
          <w:tcPr>
            <w:tcW w:w="1168" w:type="dxa"/>
            <w:tcBorders>
              <w:top w:val="nil"/>
              <w:left w:val="nil"/>
              <w:bottom w:val="nil"/>
              <w:right w:val="nil"/>
            </w:tcBorders>
            <w:shd w:val="clear" w:color="auto" w:fill="auto"/>
            <w:noWrap/>
            <w:vAlign w:val="center"/>
          </w:tcPr>
          <w:p w14:paraId="5F34D12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1.65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1E36917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2.04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473" w:type="dxa"/>
            <w:tcBorders>
              <w:top w:val="nil"/>
              <w:left w:val="nil"/>
              <w:bottom w:val="nil"/>
              <w:right w:val="nil"/>
            </w:tcBorders>
            <w:shd w:val="clear" w:color="auto" w:fill="auto"/>
            <w:noWrap/>
            <w:vAlign w:val="center"/>
          </w:tcPr>
          <w:p w14:paraId="5AF75E7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nil"/>
              <w:right w:val="nil"/>
            </w:tcBorders>
            <w:shd w:val="clear" w:color="auto" w:fill="auto"/>
            <w:noWrap/>
            <w:vAlign w:val="center"/>
          </w:tcPr>
          <w:p w14:paraId="0BB50EE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eastAsia="zh-Hans" w:bidi="ar"/>
              </w:rPr>
            </w:pPr>
            <w:r>
              <w:rPr>
                <w:rFonts w:hint="eastAsia" w:ascii="Times New Roman Regular" w:hAnsi="Times New Roman Regular" w:eastAsia="宋体" w:cs="Times New Roman Regular"/>
                <w:color w:val="auto"/>
                <w:kern w:val="0"/>
                <w:sz w:val="18"/>
                <w:szCs w:val="18"/>
                <w:highlight w:val="none"/>
                <w:lang w:val="en-US" w:eastAsia="zh-Hans" w:bidi="ar"/>
              </w:rPr>
              <w:t>NPC</w:t>
            </w:r>
            <w:r>
              <w:rPr>
                <w:rFonts w:hint="default" w:ascii="Times New Roman Regular" w:hAnsi="Times New Roman Regular" w:eastAsia="宋体" w:cs="Times New Roman Regular"/>
                <w:color w:val="auto"/>
                <w:kern w:val="0"/>
                <w:sz w:val="18"/>
                <w:szCs w:val="18"/>
                <w:highlight w:val="none"/>
                <w:lang w:eastAsia="zh-Hans" w:bidi="ar"/>
              </w:rPr>
              <w:t>1</w:t>
            </w:r>
          </w:p>
        </w:tc>
      </w:tr>
      <w:tr w14:paraId="1EEEA76A">
        <w:trPr>
          <w:trHeight w:val="336" w:hRule="atLeast"/>
          <w:jc w:val="center"/>
        </w:trPr>
        <w:tc>
          <w:tcPr>
            <w:tcW w:w="733" w:type="dxa"/>
            <w:tcBorders>
              <w:top w:val="nil"/>
              <w:left w:val="nil"/>
              <w:bottom w:val="nil"/>
              <w:right w:val="nil"/>
            </w:tcBorders>
            <w:shd w:val="clear" w:color="auto" w:fill="auto"/>
            <w:noWrap/>
            <w:vAlign w:val="center"/>
          </w:tcPr>
          <w:p w14:paraId="7CF0E32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34</w:t>
            </w:r>
          </w:p>
        </w:tc>
        <w:tc>
          <w:tcPr>
            <w:tcW w:w="1788" w:type="dxa"/>
            <w:tcBorders>
              <w:top w:val="nil"/>
              <w:left w:val="nil"/>
              <w:bottom w:val="nil"/>
              <w:right w:val="nil"/>
            </w:tcBorders>
            <w:shd w:val="clear" w:color="auto" w:fill="auto"/>
            <w:noWrap/>
            <w:vAlign w:val="center"/>
          </w:tcPr>
          <w:p w14:paraId="2124C84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333067A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rs4522474</w:t>
            </w:r>
          </w:p>
        </w:tc>
        <w:tc>
          <w:tcPr>
            <w:tcW w:w="2177" w:type="dxa"/>
            <w:tcBorders>
              <w:top w:val="nil"/>
              <w:left w:val="nil"/>
              <w:bottom w:val="nil"/>
              <w:right w:val="nil"/>
            </w:tcBorders>
            <w:shd w:val="clear" w:color="auto" w:fill="auto"/>
            <w:noWrap/>
            <w:vAlign w:val="center"/>
          </w:tcPr>
          <w:p w14:paraId="58EC307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18:41158479-41214033</w:t>
            </w:r>
          </w:p>
        </w:tc>
        <w:tc>
          <w:tcPr>
            <w:tcW w:w="1027" w:type="dxa"/>
            <w:tcBorders>
              <w:top w:val="nil"/>
              <w:left w:val="nil"/>
              <w:bottom w:val="nil"/>
              <w:right w:val="nil"/>
            </w:tcBorders>
            <w:shd w:val="clear" w:color="auto" w:fill="auto"/>
            <w:noWrap/>
            <w:vAlign w:val="center"/>
          </w:tcPr>
          <w:p w14:paraId="4BE412B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18q12.3</w:t>
            </w:r>
          </w:p>
        </w:tc>
        <w:tc>
          <w:tcPr>
            <w:tcW w:w="1011" w:type="dxa"/>
            <w:tcBorders>
              <w:top w:val="nil"/>
              <w:left w:val="nil"/>
              <w:bottom w:val="nil"/>
              <w:right w:val="nil"/>
            </w:tcBorders>
            <w:shd w:val="clear" w:color="auto" w:fill="auto"/>
            <w:noWrap/>
            <w:vAlign w:val="center"/>
          </w:tcPr>
          <w:p w14:paraId="49D1E21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2.30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794FBE0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2.03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732D64E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1.37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473" w:type="dxa"/>
            <w:tcBorders>
              <w:top w:val="nil"/>
              <w:left w:val="nil"/>
              <w:bottom w:val="nil"/>
              <w:right w:val="nil"/>
            </w:tcBorders>
            <w:shd w:val="clear" w:color="auto" w:fill="auto"/>
            <w:noWrap/>
            <w:vAlign w:val="center"/>
          </w:tcPr>
          <w:p w14:paraId="2DBC95A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5AF534F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SYT4, RNU6-443P</w:t>
            </w:r>
          </w:p>
        </w:tc>
      </w:tr>
      <w:tr w14:paraId="5D8074D5">
        <w:trPr>
          <w:trHeight w:val="336" w:hRule="atLeast"/>
          <w:jc w:val="center"/>
        </w:trPr>
        <w:tc>
          <w:tcPr>
            <w:tcW w:w="733" w:type="dxa"/>
            <w:tcBorders>
              <w:top w:val="nil"/>
              <w:left w:val="nil"/>
              <w:bottom w:val="nil"/>
              <w:right w:val="nil"/>
            </w:tcBorders>
            <w:shd w:val="clear" w:color="auto" w:fill="auto"/>
            <w:noWrap/>
            <w:vAlign w:val="center"/>
          </w:tcPr>
          <w:p w14:paraId="181FF11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36</w:t>
            </w:r>
          </w:p>
        </w:tc>
        <w:tc>
          <w:tcPr>
            <w:tcW w:w="1788" w:type="dxa"/>
            <w:tcBorders>
              <w:top w:val="nil"/>
              <w:left w:val="nil"/>
              <w:bottom w:val="nil"/>
              <w:right w:val="nil"/>
            </w:tcBorders>
            <w:shd w:val="clear" w:color="auto" w:fill="auto"/>
            <w:noWrap/>
            <w:vAlign w:val="center"/>
          </w:tcPr>
          <w:p w14:paraId="0DC6F4F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43F6659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rs17658754</w:t>
            </w:r>
          </w:p>
        </w:tc>
        <w:tc>
          <w:tcPr>
            <w:tcW w:w="2177" w:type="dxa"/>
            <w:tcBorders>
              <w:top w:val="nil"/>
              <w:left w:val="nil"/>
              <w:bottom w:val="nil"/>
              <w:right w:val="nil"/>
            </w:tcBorders>
            <w:shd w:val="clear" w:color="auto" w:fill="auto"/>
            <w:noWrap/>
            <w:vAlign w:val="center"/>
          </w:tcPr>
          <w:p w14:paraId="34C96E5A">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19:51554821-51561413</w:t>
            </w:r>
          </w:p>
        </w:tc>
        <w:tc>
          <w:tcPr>
            <w:tcW w:w="1027" w:type="dxa"/>
            <w:tcBorders>
              <w:top w:val="nil"/>
              <w:left w:val="nil"/>
              <w:bottom w:val="nil"/>
              <w:right w:val="nil"/>
            </w:tcBorders>
            <w:shd w:val="clear" w:color="auto" w:fill="auto"/>
            <w:noWrap/>
            <w:vAlign w:val="center"/>
          </w:tcPr>
          <w:p w14:paraId="39597B8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19q13.33</w:t>
            </w:r>
          </w:p>
        </w:tc>
        <w:tc>
          <w:tcPr>
            <w:tcW w:w="1011" w:type="dxa"/>
            <w:tcBorders>
              <w:top w:val="nil"/>
              <w:left w:val="nil"/>
              <w:bottom w:val="nil"/>
              <w:right w:val="nil"/>
            </w:tcBorders>
            <w:shd w:val="clear" w:color="auto" w:fill="auto"/>
            <w:noWrap/>
            <w:vAlign w:val="center"/>
          </w:tcPr>
          <w:p w14:paraId="4717AF3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-4</w:t>
            </w:r>
          </w:p>
        </w:tc>
        <w:tc>
          <w:tcPr>
            <w:tcW w:w="1168" w:type="dxa"/>
            <w:tcBorders>
              <w:top w:val="nil"/>
              <w:left w:val="nil"/>
              <w:bottom w:val="nil"/>
              <w:right w:val="nil"/>
            </w:tcBorders>
            <w:shd w:val="clear" w:color="auto" w:fill="auto"/>
            <w:noWrap/>
            <w:vAlign w:val="center"/>
          </w:tcPr>
          <w:p w14:paraId="5BBEC77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2.15</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61D7757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473" w:type="dxa"/>
            <w:tcBorders>
              <w:top w:val="nil"/>
              <w:left w:val="nil"/>
              <w:bottom w:val="nil"/>
              <w:right w:val="nil"/>
            </w:tcBorders>
            <w:shd w:val="clear" w:color="auto" w:fill="auto"/>
            <w:noWrap/>
            <w:vAlign w:val="center"/>
          </w:tcPr>
          <w:p w14:paraId="408287A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downstream</w:t>
            </w:r>
          </w:p>
        </w:tc>
        <w:tc>
          <w:tcPr>
            <w:tcW w:w="2138" w:type="dxa"/>
            <w:tcBorders>
              <w:top w:val="nil"/>
              <w:left w:val="nil"/>
              <w:bottom w:val="nil"/>
              <w:right w:val="nil"/>
            </w:tcBorders>
            <w:shd w:val="clear" w:color="auto" w:fill="auto"/>
            <w:noWrap/>
            <w:vAlign w:val="center"/>
          </w:tcPr>
          <w:p w14:paraId="682A2A2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KLK13</w:t>
            </w:r>
          </w:p>
        </w:tc>
      </w:tr>
      <w:tr w14:paraId="2DCB044F">
        <w:trPr>
          <w:trHeight w:val="336" w:hRule="atLeast"/>
          <w:jc w:val="center"/>
        </w:trPr>
        <w:tc>
          <w:tcPr>
            <w:tcW w:w="733" w:type="dxa"/>
            <w:tcBorders>
              <w:top w:val="nil"/>
              <w:left w:val="nil"/>
              <w:bottom w:val="nil"/>
              <w:right w:val="nil"/>
            </w:tcBorders>
            <w:shd w:val="clear" w:color="auto" w:fill="auto"/>
            <w:noWrap/>
            <w:vAlign w:val="center"/>
          </w:tcPr>
          <w:p w14:paraId="3EF5F48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w:t>
            </w:r>
          </w:p>
        </w:tc>
        <w:tc>
          <w:tcPr>
            <w:tcW w:w="1788" w:type="dxa"/>
            <w:tcBorders>
              <w:top w:val="nil"/>
              <w:left w:val="nil"/>
              <w:bottom w:val="nil"/>
              <w:right w:val="nil"/>
            </w:tcBorders>
            <w:shd w:val="clear" w:color="auto" w:fill="auto"/>
            <w:noWrap/>
            <w:vAlign w:val="center"/>
          </w:tcPr>
          <w:p w14:paraId="5C0290E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MTAG_Stroke</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0BA6F6F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rs2395655</w:t>
            </w:r>
          </w:p>
        </w:tc>
        <w:tc>
          <w:tcPr>
            <w:tcW w:w="2177" w:type="dxa"/>
            <w:tcBorders>
              <w:top w:val="nil"/>
              <w:left w:val="nil"/>
              <w:bottom w:val="nil"/>
              <w:right w:val="nil"/>
            </w:tcBorders>
            <w:shd w:val="clear" w:color="auto" w:fill="auto"/>
            <w:noWrap/>
            <w:vAlign w:val="center"/>
          </w:tcPr>
          <w:p w14:paraId="14AD6BF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6:36616600-36648816</w:t>
            </w:r>
          </w:p>
        </w:tc>
        <w:tc>
          <w:tcPr>
            <w:tcW w:w="1027" w:type="dxa"/>
            <w:tcBorders>
              <w:top w:val="nil"/>
              <w:left w:val="nil"/>
              <w:bottom w:val="nil"/>
              <w:right w:val="nil"/>
            </w:tcBorders>
            <w:shd w:val="clear" w:color="auto" w:fill="auto"/>
            <w:noWrap/>
            <w:vAlign w:val="center"/>
          </w:tcPr>
          <w:p w14:paraId="1A2C989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6p21.2</w:t>
            </w:r>
          </w:p>
        </w:tc>
        <w:tc>
          <w:tcPr>
            <w:tcW w:w="1011" w:type="dxa"/>
            <w:tcBorders>
              <w:top w:val="nil"/>
              <w:left w:val="nil"/>
              <w:bottom w:val="nil"/>
              <w:right w:val="nil"/>
            </w:tcBorders>
            <w:shd w:val="clear" w:color="auto" w:fill="auto"/>
            <w:noWrap/>
            <w:vAlign w:val="center"/>
          </w:tcPr>
          <w:p w14:paraId="11BEB54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4.95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6</w:t>
            </w:r>
          </w:p>
        </w:tc>
        <w:tc>
          <w:tcPr>
            <w:tcW w:w="1168" w:type="dxa"/>
            <w:tcBorders>
              <w:top w:val="nil"/>
              <w:left w:val="nil"/>
              <w:bottom w:val="nil"/>
              <w:right w:val="nil"/>
            </w:tcBorders>
            <w:shd w:val="clear" w:color="auto" w:fill="auto"/>
            <w:noWrap/>
            <w:vAlign w:val="center"/>
          </w:tcPr>
          <w:p w14:paraId="3D2AE7B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1.27</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0A8D2C4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4.91</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12</w:t>
            </w:r>
          </w:p>
        </w:tc>
        <w:tc>
          <w:tcPr>
            <w:tcW w:w="1473" w:type="dxa"/>
            <w:tcBorders>
              <w:top w:val="nil"/>
              <w:left w:val="nil"/>
              <w:bottom w:val="nil"/>
              <w:right w:val="nil"/>
            </w:tcBorders>
            <w:shd w:val="clear" w:color="auto" w:fill="auto"/>
            <w:noWrap/>
            <w:vAlign w:val="center"/>
          </w:tcPr>
          <w:p w14:paraId="4B3C8FB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exonic</w:t>
            </w:r>
          </w:p>
        </w:tc>
        <w:tc>
          <w:tcPr>
            <w:tcW w:w="2138" w:type="dxa"/>
            <w:tcBorders>
              <w:top w:val="nil"/>
              <w:left w:val="nil"/>
              <w:bottom w:val="nil"/>
              <w:right w:val="nil"/>
            </w:tcBorders>
            <w:shd w:val="clear" w:color="auto" w:fill="auto"/>
            <w:noWrap/>
            <w:vAlign w:val="center"/>
          </w:tcPr>
          <w:p w14:paraId="5EF09AF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CDKN1A</w:t>
            </w:r>
          </w:p>
        </w:tc>
      </w:tr>
      <w:tr w14:paraId="00948962">
        <w:trPr>
          <w:trHeight w:val="336" w:hRule="atLeast"/>
          <w:jc w:val="center"/>
        </w:trPr>
        <w:tc>
          <w:tcPr>
            <w:tcW w:w="733" w:type="dxa"/>
            <w:tcBorders>
              <w:top w:val="nil"/>
              <w:left w:val="nil"/>
              <w:bottom w:val="nil"/>
              <w:right w:val="nil"/>
            </w:tcBorders>
            <w:shd w:val="clear" w:color="auto" w:fill="auto"/>
            <w:noWrap/>
            <w:vAlign w:val="center"/>
          </w:tcPr>
          <w:p w14:paraId="758F824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eastAsia="zh-CN" w:bidi="ar"/>
              </w:rPr>
            </w:pPr>
            <w:r>
              <w:rPr>
                <w:rFonts w:ascii="Times New Roman Regular" w:hAnsi="Times New Roman Regular" w:eastAsia="宋体" w:cs="Times New Roman Regular"/>
                <w:color w:val="auto"/>
                <w:kern w:val="0"/>
                <w:sz w:val="18"/>
                <w:szCs w:val="18"/>
                <w:highlight w:val="none"/>
                <w:lang w:bidi="ar"/>
              </w:rPr>
              <w:t>1</w:t>
            </w:r>
            <w:r>
              <w:rPr>
                <w:rFonts w:hint="default" w:ascii="Times New Roman Regular" w:hAnsi="Times New Roman Regular" w:eastAsia="宋体" w:cs="Times New Roman Regular"/>
                <w:color w:val="auto"/>
                <w:kern w:val="0"/>
                <w:sz w:val="18"/>
                <w:szCs w:val="18"/>
                <w:highlight w:val="none"/>
                <w:lang w:bidi="ar"/>
              </w:rPr>
              <w:t>1</w:t>
            </w:r>
          </w:p>
        </w:tc>
        <w:tc>
          <w:tcPr>
            <w:tcW w:w="1788" w:type="dxa"/>
            <w:tcBorders>
              <w:top w:val="nil"/>
              <w:left w:val="nil"/>
              <w:bottom w:val="nil"/>
              <w:right w:val="nil"/>
            </w:tcBorders>
            <w:shd w:val="clear" w:color="auto" w:fill="auto"/>
            <w:noWrap/>
            <w:vAlign w:val="center"/>
          </w:tcPr>
          <w:p w14:paraId="49FF7780">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MTAG_Stroke</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nil"/>
              <w:right w:val="nil"/>
            </w:tcBorders>
            <w:shd w:val="clear" w:color="auto" w:fill="auto"/>
            <w:noWrap/>
            <w:vAlign w:val="center"/>
          </w:tcPr>
          <w:p w14:paraId="59F461C8">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rs7944241</w:t>
            </w:r>
          </w:p>
        </w:tc>
        <w:tc>
          <w:tcPr>
            <w:tcW w:w="2177" w:type="dxa"/>
            <w:tcBorders>
              <w:top w:val="nil"/>
              <w:left w:val="nil"/>
              <w:bottom w:val="nil"/>
              <w:right w:val="nil"/>
            </w:tcBorders>
            <w:shd w:val="clear" w:color="auto" w:fill="auto"/>
            <w:noWrap/>
            <w:vAlign w:val="center"/>
          </w:tcPr>
          <w:p w14:paraId="0BE31537">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11:43599791-43878505</w:t>
            </w:r>
          </w:p>
        </w:tc>
        <w:tc>
          <w:tcPr>
            <w:tcW w:w="1027" w:type="dxa"/>
            <w:tcBorders>
              <w:top w:val="nil"/>
              <w:left w:val="nil"/>
              <w:bottom w:val="nil"/>
              <w:right w:val="nil"/>
            </w:tcBorders>
            <w:shd w:val="clear" w:color="auto" w:fill="auto"/>
            <w:noWrap/>
            <w:vAlign w:val="center"/>
          </w:tcPr>
          <w:p w14:paraId="568B56DA">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11p11.2</w:t>
            </w:r>
          </w:p>
        </w:tc>
        <w:tc>
          <w:tcPr>
            <w:tcW w:w="1011" w:type="dxa"/>
            <w:tcBorders>
              <w:top w:val="nil"/>
              <w:left w:val="nil"/>
              <w:bottom w:val="nil"/>
              <w:right w:val="nil"/>
            </w:tcBorders>
            <w:shd w:val="clear" w:color="auto" w:fill="auto"/>
            <w:noWrap/>
            <w:vAlign w:val="center"/>
          </w:tcPr>
          <w:p w14:paraId="34A0DE17">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5.19 × 10</w:t>
            </w:r>
            <w:r>
              <w:rPr>
                <w:rFonts w:ascii="Times New Roman Regular" w:hAnsi="Times New Roman Regular" w:eastAsia="宋体" w:cs="Times New Roman Regular"/>
                <w:color w:val="auto"/>
                <w:kern w:val="0"/>
                <w:sz w:val="18"/>
                <w:szCs w:val="18"/>
                <w:highlight w:val="none"/>
                <w:vertAlign w:val="superscript"/>
                <w:lang w:bidi="ar"/>
              </w:rPr>
              <w:t>-5</w:t>
            </w:r>
          </w:p>
        </w:tc>
        <w:tc>
          <w:tcPr>
            <w:tcW w:w="1168" w:type="dxa"/>
            <w:tcBorders>
              <w:top w:val="nil"/>
              <w:left w:val="nil"/>
              <w:bottom w:val="nil"/>
              <w:right w:val="nil"/>
            </w:tcBorders>
            <w:shd w:val="clear" w:color="auto" w:fill="auto"/>
            <w:noWrap/>
            <w:vAlign w:val="center"/>
          </w:tcPr>
          <w:p w14:paraId="3A08B8CA">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5.57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nil"/>
              <w:right w:val="nil"/>
            </w:tcBorders>
            <w:shd w:val="clear" w:color="auto" w:fill="auto"/>
            <w:noWrap/>
            <w:vAlign w:val="center"/>
          </w:tcPr>
          <w:p w14:paraId="18847843">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1.06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473" w:type="dxa"/>
            <w:tcBorders>
              <w:top w:val="nil"/>
              <w:left w:val="nil"/>
              <w:bottom w:val="nil"/>
              <w:right w:val="nil"/>
            </w:tcBorders>
            <w:shd w:val="clear" w:color="auto" w:fill="auto"/>
            <w:noWrap/>
            <w:vAlign w:val="center"/>
          </w:tcPr>
          <w:p w14:paraId="7B456744">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intergenic</w:t>
            </w:r>
          </w:p>
        </w:tc>
        <w:tc>
          <w:tcPr>
            <w:tcW w:w="2138" w:type="dxa"/>
            <w:tcBorders>
              <w:top w:val="nil"/>
              <w:left w:val="nil"/>
              <w:bottom w:val="nil"/>
              <w:right w:val="nil"/>
            </w:tcBorders>
            <w:shd w:val="clear" w:color="auto" w:fill="auto"/>
            <w:noWrap/>
            <w:vAlign w:val="center"/>
          </w:tcPr>
          <w:p w14:paraId="763ABA9B">
            <w:pPr>
              <w:widowControl/>
              <w:spacing w:line="240" w:lineRule="auto"/>
              <w:jc w:val="center"/>
              <w:textAlignment w:val="center"/>
              <w:rPr>
                <w:rFonts w:hint="eastAsia" w:ascii="Times New Roman Regular" w:hAnsi="Times New Roman Regular" w:eastAsia="宋体" w:cs="Times New Roman Regular"/>
                <w:color w:val="auto"/>
                <w:kern w:val="2"/>
                <w:sz w:val="18"/>
                <w:szCs w:val="18"/>
                <w:highlight w:val="none"/>
                <w:lang w:val="en-US" w:eastAsia="zh-CN" w:bidi="ar-SA"/>
              </w:rPr>
            </w:pPr>
            <w:r>
              <w:rPr>
                <w:rFonts w:ascii="Times New Roman Regular" w:hAnsi="Times New Roman Regular" w:eastAsia="宋体" w:cs="Times New Roman Regular"/>
                <w:color w:val="auto"/>
                <w:kern w:val="0"/>
                <w:sz w:val="18"/>
                <w:szCs w:val="18"/>
                <w:highlight w:val="none"/>
                <w:lang w:bidi="ar"/>
              </w:rPr>
              <w:t>MIR129-2, HSD17B12</w:t>
            </w:r>
          </w:p>
        </w:tc>
      </w:tr>
      <w:tr w14:paraId="6BAFD915">
        <w:trPr>
          <w:trHeight w:val="351" w:hRule="atLeast"/>
          <w:jc w:val="center"/>
        </w:trPr>
        <w:tc>
          <w:tcPr>
            <w:tcW w:w="733" w:type="dxa"/>
            <w:tcBorders>
              <w:top w:val="nil"/>
              <w:left w:val="nil"/>
              <w:bottom w:val="single" w:color="000000" w:sz="8" w:space="0"/>
              <w:right w:val="nil"/>
            </w:tcBorders>
            <w:shd w:val="clear" w:color="auto" w:fill="auto"/>
            <w:noWrap/>
            <w:vAlign w:val="center"/>
          </w:tcPr>
          <w:p w14:paraId="2DF1F47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14</w:t>
            </w:r>
          </w:p>
        </w:tc>
        <w:tc>
          <w:tcPr>
            <w:tcW w:w="1788" w:type="dxa"/>
            <w:tcBorders>
              <w:top w:val="nil"/>
              <w:left w:val="nil"/>
              <w:bottom w:val="single" w:color="000000" w:sz="8" w:space="0"/>
              <w:right w:val="nil"/>
            </w:tcBorders>
            <w:shd w:val="clear" w:color="auto" w:fill="auto"/>
            <w:noWrap/>
            <w:vAlign w:val="center"/>
          </w:tcPr>
          <w:p w14:paraId="5369EA5D">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kern w:val="0"/>
                <w:sz w:val="18"/>
                <w:szCs w:val="18"/>
                <w:highlight w:val="none"/>
                <w:lang w:bidi="ar"/>
              </w:rPr>
              <w:t>MTAG_Stroke</w:t>
            </w:r>
            <w:r>
              <w:rPr>
                <w:rFonts w:hint="default" w:ascii="Times New Roman Regular" w:hAnsi="Times New Roman Regular" w:eastAsia="宋体" w:cs="Times New Roman Regular"/>
                <w:color w:val="auto"/>
                <w:kern w:val="0"/>
                <w:sz w:val="18"/>
                <w:szCs w:val="18"/>
                <w:highlight w:val="none"/>
                <w:u w:val="none"/>
                <w:lang w:bidi="ar"/>
              </w:rPr>
              <w:t>_EUR</w:t>
            </w:r>
          </w:p>
        </w:tc>
        <w:tc>
          <w:tcPr>
            <w:tcW w:w="1412" w:type="dxa"/>
            <w:tcBorders>
              <w:top w:val="nil"/>
              <w:left w:val="nil"/>
              <w:bottom w:val="single" w:color="000000" w:sz="8" w:space="0"/>
              <w:right w:val="nil"/>
            </w:tcBorders>
            <w:shd w:val="clear" w:color="auto" w:fill="auto"/>
            <w:noWrap/>
            <w:vAlign w:val="center"/>
          </w:tcPr>
          <w:p w14:paraId="2EEB4B05">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rs4925118</w:t>
            </w:r>
          </w:p>
        </w:tc>
        <w:tc>
          <w:tcPr>
            <w:tcW w:w="2177" w:type="dxa"/>
            <w:tcBorders>
              <w:top w:val="nil"/>
              <w:left w:val="nil"/>
              <w:bottom w:val="single" w:color="000000" w:sz="8" w:space="0"/>
              <w:right w:val="nil"/>
            </w:tcBorders>
            <w:shd w:val="clear" w:color="auto" w:fill="auto"/>
            <w:noWrap/>
            <w:vAlign w:val="center"/>
          </w:tcPr>
          <w:p w14:paraId="6D18A886">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17:17645951-17996780</w:t>
            </w:r>
          </w:p>
        </w:tc>
        <w:tc>
          <w:tcPr>
            <w:tcW w:w="1027" w:type="dxa"/>
            <w:tcBorders>
              <w:top w:val="nil"/>
              <w:left w:val="nil"/>
              <w:bottom w:val="single" w:color="000000" w:sz="8" w:space="0"/>
              <w:right w:val="nil"/>
            </w:tcBorders>
            <w:shd w:val="clear" w:color="auto" w:fill="auto"/>
            <w:noWrap/>
            <w:vAlign w:val="center"/>
          </w:tcPr>
          <w:p w14:paraId="7CCB7ACA">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17p11.2</w:t>
            </w:r>
          </w:p>
        </w:tc>
        <w:tc>
          <w:tcPr>
            <w:tcW w:w="1011" w:type="dxa"/>
            <w:tcBorders>
              <w:top w:val="nil"/>
              <w:left w:val="nil"/>
              <w:bottom w:val="single" w:color="000000" w:sz="8" w:space="0"/>
              <w:right w:val="nil"/>
            </w:tcBorders>
            <w:shd w:val="clear" w:color="auto" w:fill="auto"/>
            <w:noWrap/>
            <w:vAlign w:val="center"/>
          </w:tcPr>
          <w:p w14:paraId="3F3EF853">
            <w:pPr>
              <w:widowControl/>
              <w:spacing w:line="240" w:lineRule="auto"/>
              <w:jc w:val="center"/>
              <w:textAlignment w:val="center"/>
              <w:rPr>
                <w:rFonts w:hint="default"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sz w:val="18"/>
                <w:szCs w:val="18"/>
                <w:highlight w:val="none"/>
              </w:rPr>
              <w:t>6.29</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68" w:type="dxa"/>
            <w:tcBorders>
              <w:top w:val="nil"/>
              <w:left w:val="nil"/>
              <w:bottom w:val="single" w:color="000000" w:sz="8" w:space="0"/>
              <w:right w:val="nil"/>
            </w:tcBorders>
            <w:shd w:val="clear" w:color="auto" w:fill="auto"/>
            <w:noWrap/>
            <w:vAlign w:val="center"/>
          </w:tcPr>
          <w:p w14:paraId="4B327A86">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4.53</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-9</w:t>
            </w:r>
          </w:p>
        </w:tc>
        <w:tc>
          <w:tcPr>
            <w:tcW w:w="1069" w:type="dxa"/>
            <w:tcBorders>
              <w:top w:val="nil"/>
              <w:left w:val="nil"/>
              <w:bottom w:val="single" w:color="000000" w:sz="8" w:space="0"/>
              <w:right w:val="nil"/>
            </w:tcBorders>
            <w:shd w:val="clear" w:color="auto" w:fill="auto"/>
            <w:noWrap/>
            <w:vAlign w:val="center"/>
          </w:tcPr>
          <w:p w14:paraId="46DF71E0">
            <w:pPr>
              <w:widowControl/>
              <w:spacing w:line="240" w:lineRule="auto"/>
              <w:jc w:val="center"/>
              <w:textAlignment w:val="center"/>
              <w:rPr>
                <w:rFonts w:hint="default"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sz w:val="18"/>
                <w:szCs w:val="18"/>
                <w:highlight w:val="none"/>
              </w:rPr>
              <w:t>2.75</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8</w:t>
            </w:r>
          </w:p>
        </w:tc>
        <w:tc>
          <w:tcPr>
            <w:tcW w:w="1473" w:type="dxa"/>
            <w:tcBorders>
              <w:top w:val="nil"/>
              <w:left w:val="nil"/>
              <w:bottom w:val="single" w:color="000000" w:sz="8" w:space="0"/>
              <w:right w:val="nil"/>
            </w:tcBorders>
            <w:shd w:val="clear" w:color="auto" w:fill="auto"/>
            <w:noWrap/>
            <w:vAlign w:val="center"/>
          </w:tcPr>
          <w:p w14:paraId="54899E99">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hint="eastAsia" w:ascii="Times New Roman Regular" w:hAnsi="Times New Roman Regular" w:eastAsia="宋体" w:cs="Times New Roman Regular"/>
                <w:color w:val="auto"/>
                <w:kern w:val="0"/>
                <w:sz w:val="18"/>
                <w:szCs w:val="18"/>
                <w:highlight w:val="none"/>
                <w:lang w:bidi="ar"/>
              </w:rPr>
              <w:t>intronic</w:t>
            </w:r>
          </w:p>
        </w:tc>
        <w:tc>
          <w:tcPr>
            <w:tcW w:w="2138" w:type="dxa"/>
            <w:tcBorders>
              <w:top w:val="nil"/>
              <w:left w:val="nil"/>
              <w:bottom w:val="single" w:color="000000" w:sz="8" w:space="0"/>
              <w:right w:val="nil"/>
            </w:tcBorders>
            <w:shd w:val="clear" w:color="auto" w:fill="auto"/>
            <w:noWrap/>
            <w:vAlign w:val="center"/>
          </w:tcPr>
          <w:p w14:paraId="3D985A4D">
            <w:pPr>
              <w:widowControl/>
              <w:spacing w:line="240" w:lineRule="auto"/>
              <w:jc w:val="center"/>
              <w:textAlignment w:val="center"/>
              <w:rPr>
                <w:rFonts w:hint="default"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sz w:val="18"/>
                <w:szCs w:val="18"/>
                <w:highlight w:val="none"/>
              </w:rPr>
              <w:t>SREBF1</w:t>
            </w:r>
          </w:p>
        </w:tc>
      </w:tr>
    </w:tbl>
    <w:p w14:paraId="30DEBCAE">
      <w:pPr>
        <w:spacing w:line="360" w:lineRule="auto"/>
        <w:rPr>
          <w:rFonts w:hint="eastAsia"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rPr>
        <w:t>Genomic risk loci are identified by FUMA by merging LD blocks of independent significant SNPs that are located within 250 kb of each other</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Chromosomal loci refer to the chromosomal regions that contain the genomic risk loci.</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The top lead SNP is defined as the SNP with the lowest P value within each genomic locus</w:t>
      </w:r>
      <w:r>
        <w:rPr>
          <w:rFonts w:ascii="Times New Roman Regular" w:hAnsi="Times New Roman Regular" w:cs="Times New Roman Regular"/>
          <w:color w:val="auto"/>
          <w:highlight w:val="none"/>
        </w:rPr>
        <w:t xml:space="preserve">. </w:t>
      </w:r>
    </w:p>
    <w:p w14:paraId="21258E54">
      <w:pPr>
        <w:spacing w:line="360" w:lineRule="auto"/>
        <w:rPr>
          <w:rFonts w:hint="eastAsia" w:ascii="Times New Roman Regular" w:hAnsi="Times New Roman Regular" w:cs="Times New Roman Regular"/>
          <w:color w:val="auto"/>
          <w:highlight w:val="none"/>
        </w:rPr>
      </w:pPr>
    </w:p>
    <w:p w14:paraId="75CA70A9">
      <w:pPr>
        <w:spacing w:line="360" w:lineRule="auto"/>
        <w:rPr>
          <w:rFonts w:hint="eastAsia" w:ascii="Times New Roman Regular" w:hAnsi="Times New Roman Regular" w:cs="Times New Roman Regular"/>
          <w:color w:val="auto"/>
          <w:highlight w:val="none"/>
        </w:rPr>
      </w:pPr>
    </w:p>
    <w:p w14:paraId="4BCC6B61">
      <w:pPr>
        <w:spacing w:line="360" w:lineRule="auto"/>
        <w:rPr>
          <w:rFonts w:hint="eastAsia" w:ascii="Times New Roman Regular" w:hAnsi="Times New Roman Regular" w:cs="Times New Roman Regular"/>
          <w:color w:val="auto"/>
          <w:highlight w:val="none"/>
        </w:rPr>
      </w:pPr>
    </w:p>
    <w:p w14:paraId="6AF46B4A">
      <w:pPr>
        <w:spacing w:line="360" w:lineRule="auto"/>
        <w:rPr>
          <w:rFonts w:hint="eastAsia" w:ascii="Times New Roman Regular" w:hAnsi="Times New Roman Regular" w:cs="Times New Roman Regular"/>
          <w:color w:val="auto"/>
          <w:highlight w:val="none"/>
        </w:rPr>
      </w:pPr>
    </w:p>
    <w:p w14:paraId="6F369F45">
      <w:pPr>
        <w:spacing w:line="360" w:lineRule="auto"/>
        <w:rPr>
          <w:rFonts w:hint="eastAsia" w:ascii="Times New Roman Regular" w:hAnsi="Times New Roman Regular" w:cs="Times New Roman Regular"/>
          <w:color w:val="auto"/>
          <w:highlight w:val="none"/>
        </w:rPr>
      </w:pPr>
    </w:p>
    <w:p w14:paraId="3CAA0109">
      <w:pPr>
        <w:spacing w:line="360" w:lineRule="auto"/>
        <w:rPr>
          <w:rFonts w:hint="eastAsia" w:ascii="Times New Roman Regular" w:hAnsi="Times New Roman Regular" w:cs="Times New Roman Regular"/>
          <w:color w:val="auto"/>
          <w:highlight w:val="none"/>
        </w:rPr>
      </w:pPr>
    </w:p>
    <w:p w14:paraId="2A843447">
      <w:pPr>
        <w:spacing w:line="360" w:lineRule="auto"/>
        <w:rPr>
          <w:rFonts w:hint="eastAsia" w:ascii="Times New Roman Regular" w:hAnsi="Times New Roman Regular" w:cs="Times New Roman Regular"/>
          <w:color w:val="auto"/>
          <w:highlight w:val="none"/>
        </w:rPr>
      </w:pPr>
    </w:p>
    <w:p w14:paraId="1A552CAD">
      <w:pPr>
        <w:spacing w:line="360" w:lineRule="auto"/>
        <w:rPr>
          <w:rFonts w:ascii="Times New Roman Bold" w:hAnsi="Times New Roman Bold" w:cs="Times New Roman Bold"/>
          <w:b/>
          <w:bCs/>
          <w:color w:val="auto"/>
          <w:highlight w:val="none"/>
        </w:rPr>
      </w:pPr>
    </w:p>
    <w:p w14:paraId="6BF4499A">
      <w:pPr>
        <w:spacing w:line="360" w:lineRule="auto"/>
        <w:rPr>
          <w:rFonts w:ascii="Times New Roman Bold" w:hAnsi="Times New Roman Bold" w:cs="Times New Roman Bold"/>
          <w:b/>
          <w:bCs/>
          <w:color w:val="auto"/>
          <w:highlight w:val="none"/>
        </w:rPr>
      </w:pPr>
    </w:p>
    <w:p w14:paraId="0121E699">
      <w:pPr>
        <w:spacing w:line="360" w:lineRule="auto"/>
        <w:rPr>
          <w:rFonts w:ascii="Times New Roman Bold" w:hAnsi="Times New Roman Bold" w:cs="Times New Roman Bold"/>
          <w:b/>
          <w:bCs/>
          <w:color w:val="auto"/>
          <w:highlight w:val="none"/>
        </w:rPr>
      </w:pPr>
    </w:p>
    <w:p w14:paraId="55F76708">
      <w:pPr>
        <w:spacing w:line="360" w:lineRule="auto"/>
        <w:rPr>
          <w:rFonts w:ascii="Times New Roman Bold" w:hAnsi="Times New Roman Bold" w:cs="Times New Roman Bold"/>
          <w:b/>
          <w:bCs/>
          <w:color w:val="auto"/>
          <w:highlight w:val="none"/>
        </w:rPr>
      </w:pPr>
    </w:p>
    <w:p w14:paraId="74CCBF0F">
      <w:pPr>
        <w:spacing w:line="360" w:lineRule="auto"/>
        <w:rPr>
          <w:rFonts w:ascii="Times New Roman Bold" w:hAnsi="Times New Roman Bold" w:cs="Times New Roman Bold"/>
          <w:b/>
          <w:bCs/>
          <w:color w:val="auto"/>
          <w:highlight w:val="none"/>
        </w:rPr>
      </w:pPr>
    </w:p>
    <w:p w14:paraId="0CFAFBB1">
      <w:pPr>
        <w:spacing w:line="360" w:lineRule="auto"/>
        <w:rPr>
          <w:rFonts w:ascii="Times New Roman Bold" w:hAnsi="Times New Roman Bold" w:cs="Times New Roman Bold"/>
          <w:b/>
          <w:bCs/>
          <w:color w:val="auto"/>
          <w:highlight w:val="none"/>
        </w:rPr>
      </w:pPr>
    </w:p>
    <w:p w14:paraId="09DA23FC">
      <w:pPr>
        <w:spacing w:line="360" w:lineRule="auto"/>
        <w:rPr>
          <w:rFonts w:hint="eastAsia" w:ascii="Times New Roman Regular" w:hAnsi="Times New Roman Regular" w:cs="Times New Roman Regular"/>
          <w:color w:val="auto"/>
          <w:highlight w:val="none"/>
        </w:rPr>
      </w:pPr>
      <w:r>
        <w:rPr>
          <w:rFonts w:ascii="Times New Roman Bold" w:hAnsi="Times New Roman Bold" w:cs="Times New Roman Bold"/>
          <w:b/>
          <w:bCs/>
          <w:color w:val="auto"/>
          <w:highlight w:val="none"/>
        </w:rPr>
        <w:t xml:space="preserve">Supplementary Table </w:t>
      </w:r>
      <w:r>
        <w:rPr>
          <w:rFonts w:hint="default" w:ascii="Times New Roman Bold" w:hAnsi="Times New Roman Bold" w:cs="Times New Roman Bold"/>
          <w:b/>
          <w:bCs/>
          <w:color w:val="auto"/>
          <w:highlight w:val="none"/>
          <w:lang w:val="en-US"/>
        </w:rPr>
        <w:t>3</w:t>
      </w:r>
      <w:r>
        <w:rPr>
          <w:rFonts w:ascii="Times New Roman Bold" w:hAnsi="Times New Roman Bold" w:cs="Times New Roman Bold"/>
          <w:b/>
          <w:bCs/>
          <w:color w:val="auto"/>
          <w:highlight w:val="none"/>
        </w:rPr>
        <w:t xml:space="preserve">. </w:t>
      </w:r>
      <w:r>
        <w:rPr>
          <w:rFonts w:hint="eastAsia" w:ascii="Times New Roman Bold" w:hAnsi="Times New Roman Bold" w:cs="Times New Roman Bold"/>
          <w:b/>
          <w:bCs/>
          <w:color w:val="auto"/>
          <w:highlight w:val="none"/>
          <w:lang w:eastAsia="zh-Hans"/>
        </w:rPr>
        <w:t>G</w:t>
      </w:r>
      <w:r>
        <w:rPr>
          <w:rFonts w:ascii="Times New Roman Bold" w:hAnsi="Times New Roman Bold" w:cs="Times New Roman Bold"/>
          <w:b/>
          <w:bCs/>
          <w:color w:val="auto"/>
          <w:highlight w:val="none"/>
        </w:rPr>
        <w:t>enomic loci and corresponding top independent variants identified by FUMA</w:t>
      </w:r>
      <w:r>
        <w:rPr>
          <w:rFonts w:ascii="Times New Roman" w:hAnsi="Times New Roman" w:cs="Times New Roman"/>
          <w:color w:val="auto"/>
          <w:highlight w:val="none"/>
          <w:vertAlign w:val="baseline"/>
        </w:rPr>
        <w:t>,</w:t>
      </w:r>
      <w:r>
        <w:rPr>
          <w:rFonts w:ascii="Times New Roman" w:hAnsi="Times New Roman" w:cs="Times New Roman"/>
          <w:color w:val="auto"/>
          <w:highlight w:val="none"/>
          <w:vertAlign w:val="superscript"/>
        </w:rPr>
        <w:t xml:space="preserve"> </w:t>
      </w:r>
      <w:r>
        <w:rPr>
          <w:rFonts w:ascii="Times New Roman Bold" w:hAnsi="Times New Roman Bold" w:cs="Times New Roman Bold"/>
          <w:b/>
          <w:bCs/>
          <w:color w:val="auto"/>
          <w:highlight w:val="none"/>
        </w:rPr>
        <w:t xml:space="preserve">which </w:t>
      </w:r>
      <w:r>
        <w:rPr>
          <w:rFonts w:ascii="Times New Roman Bold" w:hAnsi="Times New Roman Bold" w:cs="Times New Roman Bold"/>
          <w:b/>
          <w:bCs/>
          <w:color w:val="auto"/>
          <w:highlight w:val="none"/>
          <w:lang w:eastAsia="zh-Hans"/>
        </w:rPr>
        <w:t xml:space="preserve">were </w:t>
      </w:r>
      <w:r>
        <w:rPr>
          <w:rFonts w:ascii="Times New Roman Bold" w:hAnsi="Times New Roman Bold" w:cs="Times New Roman Bold"/>
          <w:b/>
          <w:bCs/>
          <w:color w:val="auto"/>
          <w:highlight w:val="none"/>
        </w:rPr>
        <w:t>reported in other GWAS of CVDs not included in this study.</w:t>
      </w:r>
    </w:p>
    <w:tbl>
      <w:tblPr>
        <w:tblStyle w:val="6"/>
        <w:tblW w:w="13745" w:type="dxa"/>
        <w:jc w:val="center"/>
        <w:tblLayout w:type="fixed"/>
        <w:tblCellMar>
          <w:top w:w="0" w:type="dxa"/>
          <w:left w:w="108" w:type="dxa"/>
          <w:bottom w:w="0" w:type="dxa"/>
          <w:right w:w="108" w:type="dxa"/>
        </w:tblCellMar>
      </w:tblPr>
      <w:tblGrid>
        <w:gridCol w:w="786"/>
        <w:gridCol w:w="1762"/>
        <w:gridCol w:w="1434"/>
        <w:gridCol w:w="2128"/>
        <w:gridCol w:w="936"/>
        <w:gridCol w:w="1050"/>
        <w:gridCol w:w="1125"/>
        <w:gridCol w:w="1112"/>
        <w:gridCol w:w="3412"/>
      </w:tblGrid>
      <w:tr w14:paraId="2B71B6EA">
        <w:trPr>
          <w:trHeight w:val="351" w:hRule="atLeast"/>
          <w:jc w:val="center"/>
        </w:trPr>
        <w:tc>
          <w:tcPr>
            <w:tcW w:w="786" w:type="dxa"/>
            <w:tcBorders>
              <w:top w:val="single" w:color="000000" w:sz="8" w:space="0"/>
              <w:left w:val="nil"/>
              <w:bottom w:val="single" w:color="000000" w:sz="8" w:space="0"/>
              <w:right w:val="nil"/>
            </w:tcBorders>
            <w:shd w:val="clear" w:color="auto" w:fill="auto"/>
            <w:noWrap/>
            <w:vAlign w:val="center"/>
          </w:tcPr>
          <w:p w14:paraId="20D57959">
            <w:pPr>
              <w:widowControl/>
              <w:spacing w:line="240" w:lineRule="auto"/>
              <w:jc w:val="center"/>
              <w:textAlignment w:val="center"/>
              <w:rPr>
                <w:rFonts w:hint="default" w:ascii="Times New Roman Bold" w:hAnsi="Times New Roman Bold" w:eastAsia="宋体" w:cs="Times New Roman Bold"/>
                <w:b/>
                <w:bCs/>
                <w:color w:val="auto"/>
                <w:sz w:val="18"/>
                <w:szCs w:val="18"/>
                <w:highlight w:val="none"/>
              </w:rPr>
            </w:pPr>
            <w:r>
              <w:rPr>
                <w:rFonts w:hint="default" w:ascii="Times New Roman Bold" w:hAnsi="Times New Roman Bold" w:eastAsia="宋体" w:cs="Times New Roman Bold"/>
                <w:b/>
                <w:bCs/>
                <w:color w:val="auto"/>
                <w:sz w:val="18"/>
                <w:szCs w:val="18"/>
                <w:highlight w:val="none"/>
              </w:rPr>
              <w:t>Locus</w:t>
            </w:r>
          </w:p>
        </w:tc>
        <w:tc>
          <w:tcPr>
            <w:tcW w:w="1762" w:type="dxa"/>
            <w:tcBorders>
              <w:top w:val="single" w:color="000000" w:sz="8" w:space="0"/>
              <w:left w:val="nil"/>
              <w:bottom w:val="single" w:color="000000" w:sz="8" w:space="0"/>
              <w:right w:val="nil"/>
            </w:tcBorders>
            <w:shd w:val="clear" w:color="auto" w:fill="auto"/>
            <w:noWrap/>
            <w:vAlign w:val="center"/>
          </w:tcPr>
          <w:p w14:paraId="6E8804D5">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sz w:val="18"/>
                <w:szCs w:val="18"/>
                <w:highlight w:val="none"/>
              </w:rPr>
              <w:t>Trait</w:t>
            </w:r>
          </w:p>
        </w:tc>
        <w:tc>
          <w:tcPr>
            <w:tcW w:w="1434" w:type="dxa"/>
            <w:tcBorders>
              <w:top w:val="single" w:color="000000" w:sz="8" w:space="0"/>
              <w:left w:val="nil"/>
              <w:bottom w:val="single" w:color="000000" w:sz="8" w:space="0"/>
              <w:right w:val="nil"/>
            </w:tcBorders>
            <w:shd w:val="clear" w:color="auto" w:fill="auto"/>
            <w:noWrap/>
            <w:vAlign w:val="center"/>
          </w:tcPr>
          <w:p w14:paraId="550CCFE8">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Top LeadSNP</w:t>
            </w:r>
          </w:p>
        </w:tc>
        <w:tc>
          <w:tcPr>
            <w:tcW w:w="2128" w:type="dxa"/>
            <w:tcBorders>
              <w:top w:val="single" w:color="000000" w:sz="8" w:space="0"/>
              <w:left w:val="nil"/>
              <w:bottom w:val="single" w:color="000000" w:sz="8" w:space="0"/>
              <w:right w:val="nil"/>
            </w:tcBorders>
            <w:shd w:val="clear" w:color="auto" w:fill="auto"/>
            <w:noWrap/>
            <w:vAlign w:val="center"/>
          </w:tcPr>
          <w:p w14:paraId="7E6B6FF5">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Genomic risk loci</w:t>
            </w:r>
          </w:p>
        </w:tc>
        <w:tc>
          <w:tcPr>
            <w:tcW w:w="936" w:type="dxa"/>
            <w:tcBorders>
              <w:top w:val="single" w:color="000000" w:sz="8" w:space="0"/>
              <w:left w:val="nil"/>
              <w:bottom w:val="single" w:color="000000" w:sz="8" w:space="0"/>
              <w:right w:val="nil"/>
            </w:tcBorders>
            <w:shd w:val="clear" w:color="auto" w:fill="auto"/>
            <w:noWrap/>
            <w:vAlign w:val="center"/>
          </w:tcPr>
          <w:p w14:paraId="2B394165">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kern w:val="0"/>
                <w:sz w:val="18"/>
                <w:szCs w:val="18"/>
                <w:highlight w:val="none"/>
                <w:lang w:bidi="ar"/>
              </w:rPr>
              <w:t>Region</w:t>
            </w:r>
          </w:p>
        </w:tc>
        <w:tc>
          <w:tcPr>
            <w:tcW w:w="1050" w:type="dxa"/>
            <w:tcBorders>
              <w:top w:val="single" w:color="000000" w:sz="8" w:space="0"/>
              <w:left w:val="nil"/>
              <w:bottom w:val="single" w:color="000000" w:sz="8" w:space="0"/>
              <w:right w:val="nil"/>
            </w:tcBorders>
            <w:shd w:val="clear" w:color="auto" w:fill="auto"/>
            <w:noWrap/>
            <w:vAlign w:val="center"/>
          </w:tcPr>
          <w:p w14:paraId="5535CA39">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GWAS</w:t>
            </w:r>
          </w:p>
        </w:tc>
        <w:tc>
          <w:tcPr>
            <w:tcW w:w="1125" w:type="dxa"/>
            <w:tcBorders>
              <w:top w:val="single" w:color="000000" w:sz="8" w:space="0"/>
              <w:left w:val="nil"/>
              <w:bottom w:val="single" w:color="000000" w:sz="8" w:space="0"/>
              <w:right w:val="nil"/>
            </w:tcBorders>
            <w:shd w:val="clear" w:color="auto" w:fill="auto"/>
            <w:noWrap/>
            <w:vAlign w:val="center"/>
          </w:tcPr>
          <w:p w14:paraId="63129F28">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MTAG</w:t>
            </w:r>
          </w:p>
        </w:tc>
        <w:tc>
          <w:tcPr>
            <w:tcW w:w="1112" w:type="dxa"/>
            <w:tcBorders>
              <w:top w:val="single" w:color="000000" w:sz="8" w:space="0"/>
              <w:left w:val="nil"/>
              <w:bottom w:val="single" w:color="000000" w:sz="8" w:space="0"/>
              <w:right w:val="nil"/>
            </w:tcBorders>
            <w:shd w:val="clear" w:color="auto" w:fill="auto"/>
            <w:noWrap/>
            <w:vAlign w:val="center"/>
          </w:tcPr>
          <w:p w14:paraId="2536D4B1">
            <w:pPr>
              <w:widowControl/>
              <w:spacing w:line="240" w:lineRule="auto"/>
              <w:jc w:val="center"/>
              <w:textAlignment w:val="center"/>
              <w:rPr>
                <w:rFonts w:hint="eastAsia" w:ascii="Times New Roman Bold" w:hAnsi="Times New Roman Bold" w:eastAsia="宋体" w:cs="Times New Roman Bold"/>
                <w:b/>
                <w:bCs/>
                <w:color w:val="auto"/>
                <w:kern w:val="0"/>
                <w:sz w:val="18"/>
                <w:szCs w:val="18"/>
                <w:highlight w:val="none"/>
                <w:lang w:bidi="ar"/>
              </w:rPr>
            </w:pPr>
            <w:r>
              <w:rPr>
                <w:rFonts w:ascii="Times New Roman Bold Italic" w:hAnsi="Times New Roman Bold Italic" w:eastAsia="宋体" w:cs="Times New Roman Bold Italic"/>
                <w:b/>
                <w:bCs/>
                <w:i/>
                <w:iCs/>
                <w:color w:val="auto"/>
                <w:kern w:val="0"/>
                <w:sz w:val="18"/>
                <w:szCs w:val="18"/>
                <w:highlight w:val="none"/>
                <w:lang w:bidi="ar"/>
              </w:rPr>
              <w:t>P</w:t>
            </w:r>
            <w:r>
              <w:rPr>
                <w:rFonts w:ascii="Times New Roman Bold" w:hAnsi="Times New Roman Bold" w:eastAsia="宋体" w:cs="Times New Roman Bold"/>
                <w:b/>
                <w:bCs/>
                <w:color w:val="auto"/>
                <w:kern w:val="0"/>
                <w:sz w:val="18"/>
                <w:szCs w:val="18"/>
                <w:highlight w:val="none"/>
                <w:vertAlign w:val="subscript"/>
                <w:lang w:bidi="ar"/>
              </w:rPr>
              <w:t>CPASSOC</w:t>
            </w:r>
          </w:p>
        </w:tc>
        <w:tc>
          <w:tcPr>
            <w:tcW w:w="3412" w:type="dxa"/>
            <w:tcBorders>
              <w:top w:val="single" w:color="000000" w:sz="8" w:space="0"/>
              <w:left w:val="nil"/>
              <w:bottom w:val="single" w:color="000000" w:sz="8" w:space="0"/>
              <w:right w:val="nil"/>
            </w:tcBorders>
            <w:shd w:val="clear" w:color="auto" w:fill="auto"/>
            <w:noWrap/>
            <w:vAlign w:val="center"/>
          </w:tcPr>
          <w:p w14:paraId="3231A8AD">
            <w:pPr>
              <w:widowControl/>
              <w:spacing w:line="240" w:lineRule="auto"/>
              <w:jc w:val="center"/>
              <w:textAlignment w:val="center"/>
              <w:rPr>
                <w:rFonts w:hint="eastAsia" w:ascii="Times New Roman Bold" w:hAnsi="Times New Roman Bold" w:eastAsia="宋体" w:cs="Times New Roman Bold"/>
                <w:b/>
                <w:bCs/>
                <w:color w:val="auto"/>
                <w:sz w:val="18"/>
                <w:szCs w:val="18"/>
                <w:highlight w:val="none"/>
              </w:rPr>
            </w:pPr>
            <w:r>
              <w:rPr>
                <w:rFonts w:ascii="Times New Roman Bold" w:hAnsi="Times New Roman Bold" w:eastAsia="宋体" w:cs="Times New Roman Bold"/>
                <w:b/>
                <w:bCs/>
                <w:color w:val="auto"/>
                <w:sz w:val="18"/>
                <w:szCs w:val="18"/>
                <w:highlight w:val="none"/>
              </w:rPr>
              <w:t>Reference (PMID)</w:t>
            </w:r>
          </w:p>
        </w:tc>
      </w:tr>
      <w:tr w14:paraId="33CE2986">
        <w:trPr>
          <w:trHeight w:val="90" w:hRule="atLeast"/>
          <w:jc w:val="center"/>
        </w:trPr>
        <w:tc>
          <w:tcPr>
            <w:tcW w:w="786" w:type="dxa"/>
            <w:tcBorders>
              <w:top w:val="nil"/>
              <w:left w:val="nil"/>
              <w:bottom w:val="nil"/>
              <w:right w:val="nil"/>
            </w:tcBorders>
            <w:shd w:val="clear" w:color="auto" w:fill="auto"/>
            <w:noWrap/>
            <w:vAlign w:val="center"/>
          </w:tcPr>
          <w:p w14:paraId="0AE26B7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51</w:t>
            </w:r>
          </w:p>
        </w:tc>
        <w:tc>
          <w:tcPr>
            <w:tcW w:w="1762" w:type="dxa"/>
            <w:tcBorders>
              <w:top w:val="nil"/>
              <w:left w:val="nil"/>
              <w:bottom w:val="nil"/>
              <w:right w:val="nil"/>
            </w:tcBorders>
            <w:shd w:val="clear" w:color="auto" w:fill="auto"/>
            <w:noWrap/>
            <w:vAlign w:val="center"/>
          </w:tcPr>
          <w:p w14:paraId="30A6253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6A706697">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rs117984853</w:t>
            </w:r>
          </w:p>
        </w:tc>
        <w:tc>
          <w:tcPr>
            <w:tcW w:w="2128" w:type="dxa"/>
            <w:tcBorders>
              <w:top w:val="nil"/>
              <w:left w:val="nil"/>
              <w:bottom w:val="nil"/>
              <w:right w:val="nil"/>
            </w:tcBorders>
            <w:shd w:val="clear" w:color="auto" w:fill="auto"/>
            <w:noWrap/>
            <w:vAlign w:val="center"/>
          </w:tcPr>
          <w:p w14:paraId="0137F08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6:149283505-149413519</w:t>
            </w:r>
          </w:p>
        </w:tc>
        <w:tc>
          <w:tcPr>
            <w:tcW w:w="936" w:type="dxa"/>
            <w:tcBorders>
              <w:top w:val="nil"/>
              <w:left w:val="nil"/>
              <w:bottom w:val="nil"/>
              <w:right w:val="nil"/>
            </w:tcBorders>
            <w:shd w:val="clear" w:color="auto" w:fill="auto"/>
            <w:noWrap/>
            <w:vAlign w:val="bottom"/>
          </w:tcPr>
          <w:p w14:paraId="5A2BEDD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6q23.3</w:t>
            </w:r>
          </w:p>
        </w:tc>
        <w:tc>
          <w:tcPr>
            <w:tcW w:w="1050" w:type="dxa"/>
            <w:tcBorders>
              <w:top w:val="nil"/>
              <w:left w:val="nil"/>
              <w:bottom w:val="nil"/>
              <w:right w:val="nil"/>
            </w:tcBorders>
            <w:shd w:val="clear" w:color="auto" w:fill="auto"/>
            <w:noWrap/>
            <w:vAlign w:val="center"/>
          </w:tcPr>
          <w:p w14:paraId="12B5AFF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eastAsia="zh-CN" w:bidi="ar"/>
              </w:rPr>
              <w:t>1.34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24</w:t>
            </w:r>
          </w:p>
        </w:tc>
        <w:tc>
          <w:tcPr>
            <w:tcW w:w="1125" w:type="dxa"/>
            <w:tcBorders>
              <w:top w:val="nil"/>
              <w:left w:val="nil"/>
              <w:bottom w:val="nil"/>
              <w:right w:val="nil"/>
            </w:tcBorders>
            <w:shd w:val="clear" w:color="auto" w:fill="auto"/>
            <w:noWrap/>
            <w:vAlign w:val="bottom"/>
          </w:tcPr>
          <w:p w14:paraId="59E6FDF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1.19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23</w:t>
            </w:r>
          </w:p>
        </w:tc>
        <w:tc>
          <w:tcPr>
            <w:tcW w:w="1112" w:type="dxa"/>
            <w:tcBorders>
              <w:top w:val="nil"/>
              <w:left w:val="nil"/>
              <w:bottom w:val="nil"/>
              <w:right w:val="nil"/>
            </w:tcBorders>
            <w:shd w:val="clear" w:color="auto" w:fill="auto"/>
            <w:noWrap/>
            <w:vAlign w:val="center"/>
          </w:tcPr>
          <w:p w14:paraId="1F0B2433">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3412" w:type="dxa"/>
            <w:tcBorders>
              <w:top w:val="nil"/>
              <w:left w:val="nil"/>
              <w:bottom w:val="nil"/>
              <w:right w:val="nil"/>
            </w:tcBorders>
            <w:shd w:val="clear" w:color="auto" w:fill="auto"/>
            <w:noWrap/>
            <w:vAlign w:val="center"/>
          </w:tcPr>
          <w:p w14:paraId="0537ACF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29892015, 35872910, 34594039, 30061737</w:t>
            </w:r>
          </w:p>
        </w:tc>
      </w:tr>
      <w:tr w14:paraId="6F97A416">
        <w:trPr>
          <w:trHeight w:val="336" w:hRule="atLeast"/>
          <w:jc w:val="center"/>
        </w:trPr>
        <w:tc>
          <w:tcPr>
            <w:tcW w:w="786" w:type="dxa"/>
            <w:tcBorders>
              <w:top w:val="nil"/>
              <w:left w:val="nil"/>
              <w:bottom w:val="nil"/>
              <w:right w:val="nil"/>
            </w:tcBorders>
            <w:shd w:val="clear" w:color="auto" w:fill="auto"/>
            <w:noWrap/>
            <w:vAlign w:val="center"/>
          </w:tcPr>
          <w:p w14:paraId="1C9123B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53</w:t>
            </w:r>
          </w:p>
        </w:tc>
        <w:tc>
          <w:tcPr>
            <w:tcW w:w="1762" w:type="dxa"/>
            <w:tcBorders>
              <w:top w:val="nil"/>
              <w:left w:val="nil"/>
              <w:bottom w:val="nil"/>
              <w:right w:val="nil"/>
            </w:tcBorders>
            <w:shd w:val="clear" w:color="auto" w:fill="auto"/>
            <w:noWrap/>
            <w:vAlign w:val="center"/>
          </w:tcPr>
          <w:p w14:paraId="253275C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ascii="Times New Roman Regular" w:hAnsi="Times New Roman Regular" w:eastAsia="宋体" w:cs="Times New Roman Regular"/>
                <w:color w:val="auto"/>
                <w:kern w:val="0"/>
                <w:sz w:val="18"/>
                <w:szCs w:val="18"/>
                <w:highlight w:val="none"/>
                <w:u w:val="none"/>
                <w:lang w:bidi="ar"/>
              </w:rPr>
              <w:t>MTAG_AF</w:t>
            </w:r>
            <w:r>
              <w:rPr>
                <w:rFonts w:hint="default" w:ascii="Times New Roman Regular" w:hAnsi="Times New Roman Regular" w:eastAsia="宋体" w:cs="Times New Roman Regular"/>
                <w:color w:val="auto"/>
                <w:kern w:val="0"/>
                <w:sz w:val="18"/>
                <w:szCs w:val="18"/>
                <w:highlight w:val="none"/>
                <w:u w:val="none"/>
                <w:lang w:bidi="ar"/>
              </w:rPr>
              <w:t>_EUR</w:t>
            </w:r>
          </w:p>
        </w:tc>
        <w:tc>
          <w:tcPr>
            <w:tcW w:w="1434" w:type="dxa"/>
            <w:tcBorders>
              <w:top w:val="nil"/>
              <w:left w:val="nil"/>
              <w:bottom w:val="nil"/>
              <w:right w:val="nil"/>
            </w:tcBorders>
            <w:shd w:val="clear" w:color="auto" w:fill="auto"/>
            <w:noWrap/>
            <w:vAlign w:val="bottom"/>
          </w:tcPr>
          <w:p w14:paraId="5B77FCF6">
            <w:pPr>
              <w:widowControl/>
              <w:spacing w:line="480" w:lineRule="auto"/>
              <w:jc w:val="center"/>
              <w:textAlignment w:val="center"/>
              <w:rPr>
                <w:rFonts w:hint="default" w:ascii="Times New Roman Regular" w:hAnsi="Times New Roman Regular" w:eastAsia="宋体" w:cs="Times New Roman Regular"/>
                <w:color w:val="auto"/>
                <w:kern w:val="0"/>
                <w:sz w:val="18"/>
                <w:szCs w:val="18"/>
                <w:highlight w:val="none"/>
                <w:u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rs55734480</w:t>
            </w:r>
          </w:p>
        </w:tc>
        <w:tc>
          <w:tcPr>
            <w:tcW w:w="2128" w:type="dxa"/>
            <w:tcBorders>
              <w:top w:val="nil"/>
              <w:left w:val="nil"/>
              <w:bottom w:val="nil"/>
              <w:right w:val="nil"/>
            </w:tcBorders>
            <w:shd w:val="clear" w:color="auto" w:fill="auto"/>
            <w:noWrap/>
            <w:vAlign w:val="center"/>
          </w:tcPr>
          <w:p w14:paraId="1D8FDCCB">
            <w:pPr>
              <w:widowControl/>
              <w:spacing w:line="240" w:lineRule="auto"/>
              <w:jc w:val="center"/>
              <w:textAlignment w:val="center"/>
              <w:rPr>
                <w:rFonts w:hint="default" w:ascii="Times New Roman Regular" w:hAnsi="Times New Roman Regular" w:eastAsia="宋体" w:cs="Times New Roman Regular"/>
                <w:i w:val="0"/>
                <w:iCs w:val="0"/>
                <w:color w:val="auto"/>
                <w:kern w:val="0"/>
                <w:sz w:val="18"/>
                <w:szCs w:val="18"/>
                <w:highlight w:val="none"/>
                <w:u w:val="none"/>
                <w:lang w:val="en-US" w:eastAsia="zh-CN"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7:14365616-14386532</w:t>
            </w:r>
          </w:p>
        </w:tc>
        <w:tc>
          <w:tcPr>
            <w:tcW w:w="936" w:type="dxa"/>
            <w:tcBorders>
              <w:top w:val="nil"/>
              <w:left w:val="nil"/>
              <w:bottom w:val="nil"/>
              <w:right w:val="nil"/>
            </w:tcBorders>
            <w:shd w:val="clear" w:color="auto" w:fill="auto"/>
            <w:noWrap/>
            <w:vAlign w:val="bottom"/>
          </w:tcPr>
          <w:p w14:paraId="7C403D28">
            <w:pPr>
              <w:widowControl/>
              <w:spacing w:line="480" w:lineRule="auto"/>
              <w:jc w:val="center"/>
              <w:textAlignment w:val="center"/>
              <w:rPr>
                <w:rFonts w:hint="default" w:ascii="Times New Roman Regular" w:hAnsi="Times New Roman Regular" w:eastAsia="宋体" w:cs="Times New Roman Regular"/>
                <w:i w:val="0"/>
                <w:iCs w:val="0"/>
                <w:color w:val="auto"/>
                <w:kern w:val="0"/>
                <w:sz w:val="18"/>
                <w:szCs w:val="18"/>
                <w:highlight w:val="none"/>
                <w:u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6q25.3</w:t>
            </w:r>
          </w:p>
        </w:tc>
        <w:tc>
          <w:tcPr>
            <w:tcW w:w="1050" w:type="dxa"/>
            <w:tcBorders>
              <w:top w:val="nil"/>
              <w:left w:val="nil"/>
              <w:bottom w:val="nil"/>
              <w:right w:val="nil"/>
            </w:tcBorders>
            <w:shd w:val="clear" w:color="auto" w:fill="auto"/>
            <w:noWrap/>
            <w:vAlign w:val="center"/>
          </w:tcPr>
          <w:p w14:paraId="25C20B70">
            <w:pPr>
              <w:widowControl/>
              <w:spacing w:line="48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eastAsia="zh-CN" w:bidi="ar"/>
              </w:rPr>
              <w:t>2.20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12</w:t>
            </w:r>
          </w:p>
        </w:tc>
        <w:tc>
          <w:tcPr>
            <w:tcW w:w="1125" w:type="dxa"/>
            <w:tcBorders>
              <w:top w:val="nil"/>
              <w:left w:val="nil"/>
              <w:bottom w:val="nil"/>
              <w:right w:val="nil"/>
            </w:tcBorders>
            <w:shd w:val="clear" w:color="auto" w:fill="auto"/>
            <w:noWrap/>
            <w:vAlign w:val="bottom"/>
          </w:tcPr>
          <w:p w14:paraId="6DB4E8C1">
            <w:pPr>
              <w:widowControl/>
              <w:spacing w:line="480" w:lineRule="auto"/>
              <w:jc w:val="center"/>
              <w:textAlignment w:val="center"/>
              <w:rPr>
                <w:rFonts w:hint="default" w:ascii="Times New Roman Regular" w:hAnsi="Times New Roman Regular" w:eastAsia="宋体" w:cs="Times New Roman Regular"/>
                <w:color w:val="auto"/>
                <w:kern w:val="0"/>
                <w:sz w:val="18"/>
                <w:szCs w:val="18"/>
                <w:highlight w:val="none"/>
                <w:vertAlign w:val="superscript"/>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2.86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11</w:t>
            </w:r>
          </w:p>
        </w:tc>
        <w:tc>
          <w:tcPr>
            <w:tcW w:w="1112" w:type="dxa"/>
            <w:tcBorders>
              <w:top w:val="nil"/>
              <w:left w:val="nil"/>
              <w:bottom w:val="nil"/>
              <w:right w:val="nil"/>
            </w:tcBorders>
            <w:shd w:val="clear" w:color="auto" w:fill="auto"/>
            <w:noWrap/>
            <w:vAlign w:val="center"/>
          </w:tcPr>
          <w:p w14:paraId="0451D91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9.40</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11</w:t>
            </w:r>
          </w:p>
        </w:tc>
        <w:tc>
          <w:tcPr>
            <w:tcW w:w="3412" w:type="dxa"/>
            <w:tcBorders>
              <w:top w:val="nil"/>
              <w:left w:val="nil"/>
              <w:bottom w:val="nil"/>
              <w:right w:val="nil"/>
            </w:tcBorders>
            <w:shd w:val="clear" w:color="auto" w:fill="auto"/>
            <w:noWrap/>
            <w:vAlign w:val="center"/>
          </w:tcPr>
          <w:p w14:paraId="137DAB7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29892015, 30061737, 35872910, 36653681, 34594039</w:t>
            </w:r>
          </w:p>
        </w:tc>
      </w:tr>
      <w:tr w14:paraId="4E7ECC88">
        <w:trPr>
          <w:trHeight w:val="336" w:hRule="atLeast"/>
          <w:jc w:val="center"/>
        </w:trPr>
        <w:tc>
          <w:tcPr>
            <w:tcW w:w="786" w:type="dxa"/>
            <w:tcBorders>
              <w:top w:val="nil"/>
              <w:left w:val="nil"/>
              <w:bottom w:val="nil"/>
              <w:right w:val="nil"/>
            </w:tcBorders>
            <w:shd w:val="clear" w:color="auto" w:fill="auto"/>
            <w:noWrap/>
            <w:vAlign w:val="center"/>
          </w:tcPr>
          <w:p w14:paraId="273DC73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108</w:t>
            </w:r>
          </w:p>
        </w:tc>
        <w:tc>
          <w:tcPr>
            <w:tcW w:w="1762" w:type="dxa"/>
            <w:tcBorders>
              <w:top w:val="nil"/>
              <w:left w:val="nil"/>
              <w:bottom w:val="nil"/>
              <w:right w:val="nil"/>
            </w:tcBorders>
            <w:shd w:val="clear" w:color="auto" w:fill="auto"/>
            <w:noWrap/>
            <w:vAlign w:val="center"/>
          </w:tcPr>
          <w:p w14:paraId="4920C63D">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MTAG_AF</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center"/>
          </w:tcPr>
          <w:p w14:paraId="1AC74E38">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rs139558</w:t>
            </w:r>
          </w:p>
        </w:tc>
        <w:tc>
          <w:tcPr>
            <w:tcW w:w="2128" w:type="dxa"/>
            <w:tcBorders>
              <w:top w:val="nil"/>
              <w:left w:val="nil"/>
              <w:bottom w:val="nil"/>
              <w:right w:val="nil"/>
            </w:tcBorders>
            <w:shd w:val="clear" w:color="auto" w:fill="auto"/>
            <w:noWrap/>
            <w:vAlign w:val="center"/>
          </w:tcPr>
          <w:p w14:paraId="2EDC060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22:41641984-42311097</w:t>
            </w:r>
          </w:p>
        </w:tc>
        <w:tc>
          <w:tcPr>
            <w:tcW w:w="936" w:type="dxa"/>
            <w:tcBorders>
              <w:top w:val="nil"/>
              <w:left w:val="nil"/>
              <w:bottom w:val="nil"/>
              <w:right w:val="nil"/>
            </w:tcBorders>
            <w:shd w:val="clear" w:color="auto" w:fill="auto"/>
            <w:noWrap/>
            <w:vAlign w:val="center"/>
          </w:tcPr>
          <w:p w14:paraId="0BC331F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22q13.2</w:t>
            </w:r>
          </w:p>
        </w:tc>
        <w:tc>
          <w:tcPr>
            <w:tcW w:w="1050" w:type="dxa"/>
            <w:tcBorders>
              <w:top w:val="nil"/>
              <w:left w:val="nil"/>
              <w:bottom w:val="nil"/>
              <w:right w:val="nil"/>
            </w:tcBorders>
            <w:shd w:val="clear" w:color="auto" w:fill="auto"/>
            <w:noWrap/>
            <w:vAlign w:val="center"/>
          </w:tcPr>
          <w:p w14:paraId="63D96C0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1.16 × 10</w:t>
            </w:r>
            <w:r>
              <w:rPr>
                <w:rFonts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center"/>
          </w:tcPr>
          <w:p w14:paraId="03D2C8A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1.30 × 10</w:t>
            </w:r>
            <w:r>
              <w:rPr>
                <w:rFonts w:ascii="Times New Roman Regular" w:hAnsi="Times New Roman Regular" w:eastAsia="宋体" w:cs="Times New Roman Regular"/>
                <w:color w:val="auto"/>
                <w:kern w:val="0"/>
                <w:sz w:val="18"/>
                <w:szCs w:val="18"/>
                <w:highlight w:val="none"/>
                <w:vertAlign w:val="superscript"/>
                <w:lang w:bidi="ar"/>
              </w:rPr>
              <w:t>-8</w:t>
            </w:r>
          </w:p>
        </w:tc>
        <w:tc>
          <w:tcPr>
            <w:tcW w:w="1112" w:type="dxa"/>
            <w:tcBorders>
              <w:top w:val="nil"/>
              <w:left w:val="nil"/>
              <w:bottom w:val="nil"/>
              <w:right w:val="nil"/>
            </w:tcBorders>
            <w:shd w:val="clear" w:color="auto" w:fill="auto"/>
            <w:noWrap/>
            <w:vAlign w:val="center"/>
          </w:tcPr>
          <w:p w14:paraId="289790B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9.70 × 10</w:t>
            </w:r>
            <w:r>
              <w:rPr>
                <w:rFonts w:ascii="Times New Roman Regular" w:hAnsi="Times New Roman Regular" w:eastAsia="宋体" w:cs="Times New Roman Regular"/>
                <w:color w:val="auto"/>
                <w:kern w:val="0"/>
                <w:sz w:val="18"/>
                <w:szCs w:val="18"/>
                <w:highlight w:val="none"/>
                <w:vertAlign w:val="superscript"/>
                <w:lang w:bidi="ar"/>
              </w:rPr>
              <w:t>-11</w:t>
            </w:r>
          </w:p>
        </w:tc>
        <w:tc>
          <w:tcPr>
            <w:tcW w:w="3412" w:type="dxa"/>
            <w:tcBorders>
              <w:top w:val="nil"/>
              <w:left w:val="nil"/>
              <w:bottom w:val="nil"/>
              <w:right w:val="nil"/>
            </w:tcBorders>
            <w:shd w:val="clear" w:color="auto" w:fill="auto"/>
            <w:noWrap/>
            <w:vAlign w:val="center"/>
          </w:tcPr>
          <w:p w14:paraId="4DB60239">
            <w:pPr>
              <w:widowControl/>
              <w:spacing w:line="240" w:lineRule="auto"/>
              <w:jc w:val="center"/>
              <w:textAlignment w:val="center"/>
              <w:rPr>
                <w:rFonts w:ascii="Times New Roman Regular" w:hAnsi="Times New Roman Regular" w:eastAsia="宋体" w:cs="Times New Roman Regular"/>
                <w:color w:val="auto"/>
                <w:sz w:val="18"/>
                <w:szCs w:val="18"/>
                <w:highlight w:val="none"/>
              </w:rPr>
            </w:pPr>
            <w:r>
              <w:rPr>
                <w:rFonts w:hint="default" w:ascii="Times New Roman Regular" w:hAnsi="Times New Roman Regular" w:eastAsia="宋体" w:cs="Times New Roman Regular"/>
                <w:color w:val="auto"/>
                <w:kern w:val="0"/>
                <w:sz w:val="18"/>
                <w:szCs w:val="18"/>
                <w:highlight w:val="none"/>
                <w:lang w:bidi="ar"/>
              </w:rPr>
              <w:t>36653681</w:t>
            </w:r>
          </w:p>
        </w:tc>
      </w:tr>
      <w:tr w14:paraId="32F5D55B">
        <w:trPr>
          <w:trHeight w:val="336" w:hRule="atLeast"/>
          <w:jc w:val="center"/>
        </w:trPr>
        <w:tc>
          <w:tcPr>
            <w:tcW w:w="786" w:type="dxa"/>
            <w:tcBorders>
              <w:top w:val="nil"/>
              <w:left w:val="nil"/>
              <w:bottom w:val="nil"/>
              <w:right w:val="nil"/>
            </w:tcBorders>
            <w:shd w:val="clear" w:color="auto" w:fill="auto"/>
            <w:noWrap/>
            <w:vAlign w:val="center"/>
          </w:tcPr>
          <w:p w14:paraId="5B3033D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23</w:t>
            </w:r>
          </w:p>
        </w:tc>
        <w:tc>
          <w:tcPr>
            <w:tcW w:w="1762" w:type="dxa"/>
            <w:tcBorders>
              <w:top w:val="nil"/>
              <w:left w:val="nil"/>
              <w:bottom w:val="nil"/>
              <w:right w:val="nil"/>
            </w:tcBorders>
            <w:shd w:val="clear" w:color="auto" w:fill="auto"/>
            <w:noWrap/>
            <w:vAlign w:val="center"/>
          </w:tcPr>
          <w:p w14:paraId="33DAD4E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0E81F13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rs6744012</w:t>
            </w:r>
          </w:p>
        </w:tc>
        <w:tc>
          <w:tcPr>
            <w:tcW w:w="2128" w:type="dxa"/>
            <w:tcBorders>
              <w:top w:val="nil"/>
              <w:left w:val="nil"/>
              <w:bottom w:val="nil"/>
              <w:right w:val="nil"/>
            </w:tcBorders>
            <w:shd w:val="clear" w:color="auto" w:fill="auto"/>
            <w:noWrap/>
            <w:vAlign w:val="center"/>
          </w:tcPr>
          <w:p w14:paraId="6607008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2:188003118-188381367</w:t>
            </w:r>
          </w:p>
        </w:tc>
        <w:tc>
          <w:tcPr>
            <w:tcW w:w="936" w:type="dxa"/>
            <w:tcBorders>
              <w:top w:val="nil"/>
              <w:left w:val="nil"/>
              <w:bottom w:val="nil"/>
              <w:right w:val="nil"/>
            </w:tcBorders>
            <w:shd w:val="clear" w:color="auto" w:fill="auto"/>
            <w:noWrap/>
            <w:vAlign w:val="center"/>
          </w:tcPr>
          <w:p w14:paraId="3589BDB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2q32.1</w:t>
            </w:r>
          </w:p>
        </w:tc>
        <w:tc>
          <w:tcPr>
            <w:tcW w:w="1050" w:type="dxa"/>
            <w:tcBorders>
              <w:top w:val="nil"/>
              <w:left w:val="nil"/>
              <w:bottom w:val="nil"/>
              <w:right w:val="nil"/>
            </w:tcBorders>
            <w:shd w:val="clear" w:color="auto" w:fill="auto"/>
            <w:noWrap/>
            <w:vAlign w:val="center"/>
          </w:tcPr>
          <w:p w14:paraId="0AA9AB3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2.34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center"/>
          </w:tcPr>
          <w:p w14:paraId="49DEEDF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4.68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611EB48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1.88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3412" w:type="dxa"/>
            <w:tcBorders>
              <w:top w:val="nil"/>
              <w:left w:val="nil"/>
              <w:bottom w:val="nil"/>
              <w:right w:val="nil"/>
            </w:tcBorders>
            <w:shd w:val="clear" w:color="auto" w:fill="auto"/>
            <w:noWrap/>
            <w:vAlign w:val="center"/>
          </w:tcPr>
          <w:p w14:paraId="6C5FB251">
            <w:pPr>
              <w:widowControl/>
              <w:spacing w:line="240" w:lineRule="auto"/>
              <w:jc w:val="center"/>
              <w:textAlignment w:val="center"/>
              <w:rPr>
                <w:rFonts w:hint="eastAsia" w:ascii="Times New Roman Regular" w:hAnsi="Times New Roman Regular" w:eastAsia="宋体" w:cs="Times New Roman Regular"/>
                <w:color w:val="auto"/>
                <w:sz w:val="18"/>
                <w:szCs w:val="18"/>
                <w:highlight w:val="none"/>
              </w:rPr>
            </w:pPr>
            <w:r>
              <w:rPr>
                <w:rFonts w:ascii="Times New Roman Regular" w:hAnsi="Times New Roman Regular" w:eastAsia="宋体" w:cs="Times New Roman Regular"/>
                <w:color w:val="auto"/>
                <w:sz w:val="18"/>
                <w:szCs w:val="18"/>
                <w:highlight w:val="none"/>
              </w:rPr>
              <w:t>33532862, 29212778, 21378988</w:t>
            </w:r>
          </w:p>
        </w:tc>
      </w:tr>
      <w:tr w14:paraId="5576C484">
        <w:trPr>
          <w:trHeight w:val="388" w:hRule="atLeast"/>
          <w:jc w:val="center"/>
        </w:trPr>
        <w:tc>
          <w:tcPr>
            <w:tcW w:w="786" w:type="dxa"/>
            <w:tcBorders>
              <w:top w:val="nil"/>
              <w:left w:val="nil"/>
              <w:bottom w:val="nil"/>
              <w:right w:val="nil"/>
            </w:tcBorders>
            <w:shd w:val="clear" w:color="auto" w:fill="auto"/>
            <w:noWrap/>
            <w:vAlign w:val="center"/>
          </w:tcPr>
          <w:p w14:paraId="5CAE4DB3">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3</w:t>
            </w:r>
            <w:r>
              <w:rPr>
                <w:rFonts w:hint="default" w:ascii="Times New Roman Regular" w:hAnsi="Times New Roman Regular" w:eastAsia="宋体" w:cs="Times New Roman Regular"/>
                <w:color w:val="auto"/>
                <w:kern w:val="0"/>
                <w:sz w:val="18"/>
                <w:szCs w:val="18"/>
                <w:highlight w:val="none"/>
                <w:lang w:bidi="ar"/>
              </w:rPr>
              <w:t>9</w:t>
            </w:r>
          </w:p>
        </w:tc>
        <w:tc>
          <w:tcPr>
            <w:tcW w:w="1762" w:type="dxa"/>
            <w:tcBorders>
              <w:top w:val="nil"/>
              <w:left w:val="nil"/>
              <w:bottom w:val="nil"/>
              <w:right w:val="nil"/>
            </w:tcBorders>
            <w:shd w:val="clear" w:color="auto" w:fill="auto"/>
            <w:noWrap/>
            <w:vAlign w:val="center"/>
          </w:tcPr>
          <w:p w14:paraId="267B5FF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0FDB183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rs10938397</w:t>
            </w:r>
          </w:p>
        </w:tc>
        <w:tc>
          <w:tcPr>
            <w:tcW w:w="2128" w:type="dxa"/>
            <w:tcBorders>
              <w:top w:val="nil"/>
              <w:left w:val="nil"/>
              <w:bottom w:val="nil"/>
              <w:right w:val="nil"/>
            </w:tcBorders>
            <w:shd w:val="clear" w:color="auto" w:fill="auto"/>
            <w:noWrap/>
            <w:vAlign w:val="center"/>
          </w:tcPr>
          <w:p w14:paraId="0ECB5B3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4:45165650-45187622</w:t>
            </w:r>
          </w:p>
        </w:tc>
        <w:tc>
          <w:tcPr>
            <w:tcW w:w="936" w:type="dxa"/>
            <w:tcBorders>
              <w:top w:val="nil"/>
              <w:left w:val="nil"/>
              <w:bottom w:val="nil"/>
              <w:right w:val="nil"/>
            </w:tcBorders>
            <w:shd w:val="clear" w:color="auto" w:fill="auto"/>
            <w:noWrap/>
            <w:vAlign w:val="center"/>
          </w:tcPr>
          <w:p w14:paraId="0998C63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4p12</w:t>
            </w:r>
          </w:p>
        </w:tc>
        <w:tc>
          <w:tcPr>
            <w:tcW w:w="1050" w:type="dxa"/>
            <w:tcBorders>
              <w:top w:val="nil"/>
              <w:left w:val="nil"/>
              <w:bottom w:val="nil"/>
              <w:right w:val="nil"/>
            </w:tcBorders>
            <w:shd w:val="clear" w:color="auto" w:fill="auto"/>
            <w:noWrap/>
            <w:vAlign w:val="center"/>
          </w:tcPr>
          <w:p w14:paraId="5A64FDB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4.04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center"/>
          </w:tcPr>
          <w:p w14:paraId="552C400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9.33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504F9F9C">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2.27</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3412" w:type="dxa"/>
            <w:tcBorders>
              <w:top w:val="nil"/>
              <w:left w:val="nil"/>
              <w:bottom w:val="nil"/>
              <w:right w:val="nil"/>
            </w:tcBorders>
            <w:shd w:val="clear" w:color="auto" w:fill="auto"/>
            <w:noWrap/>
            <w:vAlign w:val="center"/>
          </w:tcPr>
          <w:p w14:paraId="4D1F5AC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35915156</w:t>
            </w:r>
            <w:r>
              <w:rPr>
                <w:rFonts w:hint="default" w:ascii="Times New Roman Regular" w:hAnsi="Times New Roman Regular" w:eastAsia="宋体" w:cs="Times New Roman Regular"/>
                <w:color w:val="auto"/>
                <w:kern w:val="0"/>
                <w:sz w:val="18"/>
                <w:szCs w:val="18"/>
                <w:highlight w:val="none"/>
                <w:lang w:bidi="ar"/>
              </w:rPr>
              <w:t>, 36474045, 33910581</w:t>
            </w:r>
          </w:p>
        </w:tc>
      </w:tr>
      <w:tr w14:paraId="60A1EDB5">
        <w:trPr>
          <w:trHeight w:val="90" w:hRule="atLeast"/>
          <w:jc w:val="center"/>
        </w:trPr>
        <w:tc>
          <w:tcPr>
            <w:tcW w:w="786" w:type="dxa"/>
            <w:tcBorders>
              <w:top w:val="nil"/>
              <w:left w:val="nil"/>
              <w:bottom w:val="nil"/>
              <w:right w:val="nil"/>
            </w:tcBorders>
            <w:shd w:val="clear" w:color="auto" w:fill="auto"/>
            <w:noWrap/>
            <w:vAlign w:val="center"/>
          </w:tcPr>
          <w:p w14:paraId="25D2ED83">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64</w:t>
            </w:r>
          </w:p>
        </w:tc>
        <w:tc>
          <w:tcPr>
            <w:tcW w:w="1762" w:type="dxa"/>
            <w:tcBorders>
              <w:top w:val="nil"/>
              <w:left w:val="nil"/>
              <w:bottom w:val="nil"/>
              <w:right w:val="nil"/>
            </w:tcBorders>
            <w:shd w:val="clear" w:color="auto" w:fill="auto"/>
            <w:noWrap/>
            <w:vAlign w:val="center"/>
          </w:tcPr>
          <w:p w14:paraId="146F7FB0">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0A12C51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rs3829964</w:t>
            </w:r>
          </w:p>
        </w:tc>
        <w:tc>
          <w:tcPr>
            <w:tcW w:w="2128" w:type="dxa"/>
            <w:tcBorders>
              <w:top w:val="nil"/>
              <w:left w:val="nil"/>
              <w:bottom w:val="nil"/>
              <w:right w:val="nil"/>
            </w:tcBorders>
            <w:shd w:val="clear" w:color="auto" w:fill="auto"/>
            <w:noWrap/>
            <w:vAlign w:val="center"/>
          </w:tcPr>
          <w:p w14:paraId="12F6E41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6:36616366-36648920</w:t>
            </w:r>
          </w:p>
        </w:tc>
        <w:tc>
          <w:tcPr>
            <w:tcW w:w="936" w:type="dxa"/>
            <w:tcBorders>
              <w:top w:val="nil"/>
              <w:left w:val="nil"/>
              <w:bottom w:val="nil"/>
              <w:right w:val="nil"/>
            </w:tcBorders>
            <w:shd w:val="clear" w:color="auto" w:fill="auto"/>
            <w:noWrap/>
            <w:vAlign w:val="center"/>
          </w:tcPr>
          <w:p w14:paraId="58E269B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6p21.2</w:t>
            </w:r>
          </w:p>
        </w:tc>
        <w:tc>
          <w:tcPr>
            <w:tcW w:w="1050" w:type="dxa"/>
            <w:tcBorders>
              <w:top w:val="nil"/>
              <w:left w:val="nil"/>
              <w:bottom w:val="nil"/>
              <w:right w:val="nil"/>
            </w:tcBorders>
            <w:shd w:val="clear" w:color="auto" w:fill="auto"/>
            <w:noWrap/>
            <w:vAlign w:val="center"/>
          </w:tcPr>
          <w:p w14:paraId="0CCCB3A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1.65</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center"/>
          </w:tcPr>
          <w:p w14:paraId="7B0148B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1.43</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-8</w:t>
            </w:r>
          </w:p>
        </w:tc>
        <w:tc>
          <w:tcPr>
            <w:tcW w:w="1112" w:type="dxa"/>
            <w:tcBorders>
              <w:top w:val="nil"/>
              <w:left w:val="nil"/>
              <w:bottom w:val="nil"/>
              <w:right w:val="nil"/>
            </w:tcBorders>
            <w:shd w:val="clear" w:color="auto" w:fill="auto"/>
            <w:noWrap/>
            <w:vAlign w:val="center"/>
          </w:tcPr>
          <w:p w14:paraId="4263205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8.81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11</w:t>
            </w:r>
          </w:p>
        </w:tc>
        <w:tc>
          <w:tcPr>
            <w:tcW w:w="3412" w:type="dxa"/>
            <w:tcBorders>
              <w:top w:val="nil"/>
              <w:left w:val="nil"/>
              <w:bottom w:val="nil"/>
              <w:right w:val="nil"/>
            </w:tcBorders>
            <w:shd w:val="clear" w:color="auto" w:fill="auto"/>
            <w:noWrap/>
            <w:vAlign w:val="center"/>
          </w:tcPr>
          <w:p w14:paraId="0705868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29212778</w:t>
            </w:r>
            <w:r>
              <w:rPr>
                <w:rFonts w:hint="default" w:ascii="Times New Roman Regular" w:hAnsi="Times New Roman Regular" w:eastAsia="宋体" w:cs="Times New Roman Regular"/>
                <w:color w:val="auto"/>
                <w:kern w:val="0"/>
                <w:sz w:val="18"/>
                <w:szCs w:val="18"/>
                <w:highlight w:val="none"/>
                <w:lang w:bidi="ar"/>
              </w:rPr>
              <w:t>, 36474045</w:t>
            </w:r>
          </w:p>
        </w:tc>
      </w:tr>
      <w:tr w14:paraId="48A7FEBA">
        <w:trPr>
          <w:trHeight w:val="90" w:hRule="atLeast"/>
          <w:jc w:val="center"/>
        </w:trPr>
        <w:tc>
          <w:tcPr>
            <w:tcW w:w="786" w:type="dxa"/>
            <w:tcBorders>
              <w:top w:val="nil"/>
              <w:left w:val="nil"/>
              <w:bottom w:val="nil"/>
              <w:right w:val="nil"/>
            </w:tcBorders>
            <w:shd w:val="clear" w:color="auto" w:fill="auto"/>
            <w:noWrap/>
            <w:vAlign w:val="center"/>
          </w:tcPr>
          <w:p w14:paraId="67A2200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83</w:t>
            </w:r>
          </w:p>
        </w:tc>
        <w:tc>
          <w:tcPr>
            <w:tcW w:w="1762" w:type="dxa"/>
            <w:tcBorders>
              <w:top w:val="nil"/>
              <w:left w:val="nil"/>
              <w:bottom w:val="nil"/>
              <w:right w:val="nil"/>
            </w:tcBorders>
            <w:shd w:val="clear" w:color="auto" w:fill="auto"/>
            <w:noWrap/>
            <w:vAlign w:val="center"/>
          </w:tcPr>
          <w:p w14:paraId="798E7F3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MTAG_CAD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0BD242C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rs2286195</w:t>
            </w:r>
          </w:p>
        </w:tc>
        <w:tc>
          <w:tcPr>
            <w:tcW w:w="2128" w:type="dxa"/>
            <w:tcBorders>
              <w:top w:val="nil"/>
              <w:left w:val="nil"/>
              <w:bottom w:val="nil"/>
              <w:right w:val="nil"/>
            </w:tcBorders>
            <w:shd w:val="clear" w:color="auto" w:fill="auto"/>
            <w:noWrap/>
            <w:vAlign w:val="center"/>
          </w:tcPr>
          <w:p w14:paraId="76DF8F0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7:139717178-139761248</w:t>
            </w:r>
          </w:p>
        </w:tc>
        <w:tc>
          <w:tcPr>
            <w:tcW w:w="936" w:type="dxa"/>
            <w:tcBorders>
              <w:top w:val="nil"/>
              <w:left w:val="nil"/>
              <w:bottom w:val="nil"/>
              <w:right w:val="nil"/>
            </w:tcBorders>
            <w:shd w:val="clear" w:color="auto" w:fill="auto"/>
            <w:noWrap/>
            <w:vAlign w:val="center"/>
          </w:tcPr>
          <w:p w14:paraId="473D051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7q34</w:t>
            </w:r>
          </w:p>
        </w:tc>
        <w:tc>
          <w:tcPr>
            <w:tcW w:w="1050" w:type="dxa"/>
            <w:tcBorders>
              <w:top w:val="nil"/>
              <w:left w:val="nil"/>
              <w:bottom w:val="nil"/>
              <w:right w:val="nil"/>
            </w:tcBorders>
            <w:shd w:val="clear" w:color="auto" w:fill="auto"/>
            <w:noWrap/>
            <w:vAlign w:val="center"/>
          </w:tcPr>
          <w:p w14:paraId="17F8588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3.99</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center"/>
          </w:tcPr>
          <w:p w14:paraId="31B5F9D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7.81</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25F1385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1.38</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-7</w:t>
            </w:r>
          </w:p>
        </w:tc>
        <w:tc>
          <w:tcPr>
            <w:tcW w:w="3412" w:type="dxa"/>
            <w:tcBorders>
              <w:top w:val="nil"/>
              <w:left w:val="nil"/>
              <w:bottom w:val="nil"/>
              <w:right w:val="nil"/>
            </w:tcBorders>
            <w:shd w:val="clear" w:color="auto" w:fill="auto"/>
            <w:noWrap/>
            <w:vAlign w:val="center"/>
          </w:tcPr>
          <w:p w14:paraId="0742349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32469254, 33532862</w:t>
            </w:r>
          </w:p>
        </w:tc>
      </w:tr>
      <w:tr w14:paraId="48FDE20C">
        <w:trPr>
          <w:trHeight w:val="111" w:hRule="atLeast"/>
          <w:jc w:val="center"/>
        </w:trPr>
        <w:tc>
          <w:tcPr>
            <w:tcW w:w="786" w:type="dxa"/>
            <w:tcBorders>
              <w:top w:val="nil"/>
              <w:left w:val="nil"/>
              <w:bottom w:val="nil"/>
              <w:right w:val="nil"/>
            </w:tcBorders>
            <w:shd w:val="clear" w:color="auto" w:fill="auto"/>
            <w:noWrap/>
            <w:vAlign w:val="center"/>
          </w:tcPr>
          <w:p w14:paraId="08A5F286">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8</w:t>
            </w:r>
          </w:p>
        </w:tc>
        <w:tc>
          <w:tcPr>
            <w:tcW w:w="1762" w:type="dxa"/>
            <w:tcBorders>
              <w:top w:val="nil"/>
              <w:left w:val="nil"/>
              <w:bottom w:val="nil"/>
              <w:right w:val="nil"/>
            </w:tcBorders>
            <w:shd w:val="clear" w:color="auto" w:fill="auto"/>
            <w:noWrap/>
            <w:vAlign w:val="center"/>
          </w:tcPr>
          <w:p w14:paraId="65B5986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HF_EUR</w:t>
            </w:r>
          </w:p>
        </w:tc>
        <w:tc>
          <w:tcPr>
            <w:tcW w:w="1434" w:type="dxa"/>
            <w:tcBorders>
              <w:top w:val="nil"/>
              <w:left w:val="nil"/>
              <w:bottom w:val="nil"/>
              <w:right w:val="nil"/>
            </w:tcBorders>
            <w:shd w:val="clear" w:color="auto" w:fill="auto"/>
            <w:noWrap/>
            <w:vAlign w:val="bottom"/>
          </w:tcPr>
          <w:p w14:paraId="1F85A8F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rs7944241</w:t>
            </w:r>
          </w:p>
        </w:tc>
        <w:tc>
          <w:tcPr>
            <w:tcW w:w="2128" w:type="dxa"/>
            <w:tcBorders>
              <w:top w:val="nil"/>
              <w:left w:val="nil"/>
              <w:bottom w:val="nil"/>
              <w:right w:val="nil"/>
            </w:tcBorders>
            <w:shd w:val="clear" w:color="auto" w:fill="auto"/>
            <w:noWrap/>
            <w:vAlign w:val="center"/>
          </w:tcPr>
          <w:p w14:paraId="74B1F86B">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11:43599791-43878505</w:t>
            </w:r>
          </w:p>
        </w:tc>
        <w:tc>
          <w:tcPr>
            <w:tcW w:w="936" w:type="dxa"/>
            <w:tcBorders>
              <w:top w:val="nil"/>
              <w:left w:val="nil"/>
              <w:bottom w:val="nil"/>
              <w:right w:val="nil"/>
            </w:tcBorders>
            <w:shd w:val="clear" w:color="auto" w:fill="auto"/>
            <w:noWrap/>
            <w:vAlign w:val="bottom"/>
          </w:tcPr>
          <w:p w14:paraId="30BE550F">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11p11.2</w:t>
            </w:r>
          </w:p>
        </w:tc>
        <w:tc>
          <w:tcPr>
            <w:tcW w:w="1050" w:type="dxa"/>
            <w:tcBorders>
              <w:top w:val="nil"/>
              <w:left w:val="nil"/>
              <w:bottom w:val="nil"/>
              <w:right w:val="nil"/>
            </w:tcBorders>
            <w:shd w:val="clear" w:color="auto" w:fill="auto"/>
            <w:noWrap/>
            <w:vAlign w:val="center"/>
          </w:tcPr>
          <w:p w14:paraId="0B6C22F4">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6.66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6</w:t>
            </w:r>
          </w:p>
        </w:tc>
        <w:tc>
          <w:tcPr>
            <w:tcW w:w="1125" w:type="dxa"/>
            <w:tcBorders>
              <w:top w:val="nil"/>
              <w:left w:val="nil"/>
              <w:bottom w:val="nil"/>
              <w:right w:val="nil"/>
            </w:tcBorders>
            <w:shd w:val="clear" w:color="auto" w:fill="auto"/>
            <w:noWrap/>
            <w:vAlign w:val="bottom"/>
          </w:tcPr>
          <w:p w14:paraId="7DF7DD5D">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1.59</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4F52A5F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1.76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3412" w:type="dxa"/>
            <w:tcBorders>
              <w:top w:val="nil"/>
              <w:left w:val="nil"/>
              <w:bottom w:val="nil"/>
              <w:right w:val="nil"/>
            </w:tcBorders>
            <w:shd w:val="clear" w:color="auto" w:fill="auto"/>
            <w:noWrap/>
            <w:vAlign w:val="center"/>
          </w:tcPr>
          <w:p w14:paraId="6BDD457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36376295</w:t>
            </w:r>
          </w:p>
        </w:tc>
      </w:tr>
      <w:tr w14:paraId="6ED5B3AA">
        <w:trPr>
          <w:trHeight w:val="336" w:hRule="atLeast"/>
          <w:jc w:val="center"/>
        </w:trPr>
        <w:tc>
          <w:tcPr>
            <w:tcW w:w="786" w:type="dxa"/>
            <w:tcBorders>
              <w:top w:val="nil"/>
              <w:left w:val="nil"/>
              <w:bottom w:val="nil"/>
              <w:right w:val="nil"/>
            </w:tcBorders>
            <w:shd w:val="clear" w:color="auto" w:fill="auto"/>
            <w:noWrap/>
            <w:vAlign w:val="center"/>
          </w:tcPr>
          <w:p w14:paraId="69F0C12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12</w:t>
            </w:r>
          </w:p>
        </w:tc>
        <w:tc>
          <w:tcPr>
            <w:tcW w:w="1762" w:type="dxa"/>
            <w:tcBorders>
              <w:top w:val="nil"/>
              <w:left w:val="nil"/>
              <w:bottom w:val="nil"/>
              <w:right w:val="nil"/>
            </w:tcBorders>
            <w:shd w:val="clear" w:color="auto" w:fill="auto"/>
            <w:noWrap/>
            <w:vAlign w:val="center"/>
          </w:tcPr>
          <w:p w14:paraId="6F5FB77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HF_EUR</w:t>
            </w:r>
          </w:p>
        </w:tc>
        <w:tc>
          <w:tcPr>
            <w:tcW w:w="1434" w:type="dxa"/>
            <w:tcBorders>
              <w:top w:val="nil"/>
              <w:left w:val="nil"/>
              <w:bottom w:val="nil"/>
              <w:right w:val="nil"/>
            </w:tcBorders>
            <w:shd w:val="clear" w:color="auto" w:fill="auto"/>
            <w:noWrap/>
            <w:vAlign w:val="bottom"/>
          </w:tcPr>
          <w:p w14:paraId="7BFAD8B2">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rs1788785</w:t>
            </w:r>
          </w:p>
        </w:tc>
        <w:tc>
          <w:tcPr>
            <w:tcW w:w="2128" w:type="dxa"/>
            <w:tcBorders>
              <w:top w:val="nil"/>
              <w:left w:val="nil"/>
              <w:bottom w:val="nil"/>
              <w:right w:val="nil"/>
            </w:tcBorders>
            <w:shd w:val="clear" w:color="auto" w:fill="auto"/>
            <w:noWrap/>
            <w:vAlign w:val="center"/>
          </w:tcPr>
          <w:p w14:paraId="34438686">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18:21074255-21165163</w:t>
            </w:r>
          </w:p>
        </w:tc>
        <w:tc>
          <w:tcPr>
            <w:tcW w:w="936" w:type="dxa"/>
            <w:tcBorders>
              <w:top w:val="nil"/>
              <w:left w:val="nil"/>
              <w:bottom w:val="nil"/>
              <w:right w:val="nil"/>
            </w:tcBorders>
            <w:shd w:val="clear" w:color="auto" w:fill="auto"/>
            <w:noWrap/>
            <w:vAlign w:val="bottom"/>
          </w:tcPr>
          <w:p w14:paraId="734065D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18q11.2</w:t>
            </w:r>
          </w:p>
        </w:tc>
        <w:tc>
          <w:tcPr>
            <w:tcW w:w="1050" w:type="dxa"/>
            <w:tcBorders>
              <w:top w:val="nil"/>
              <w:left w:val="nil"/>
              <w:bottom w:val="nil"/>
              <w:right w:val="nil"/>
            </w:tcBorders>
            <w:shd w:val="clear" w:color="auto" w:fill="auto"/>
            <w:noWrap/>
            <w:vAlign w:val="center"/>
          </w:tcPr>
          <w:p w14:paraId="0118FCA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1.76</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5</w:t>
            </w:r>
          </w:p>
        </w:tc>
        <w:tc>
          <w:tcPr>
            <w:tcW w:w="1125" w:type="dxa"/>
            <w:tcBorders>
              <w:top w:val="nil"/>
              <w:left w:val="nil"/>
              <w:bottom w:val="nil"/>
              <w:right w:val="nil"/>
            </w:tcBorders>
            <w:shd w:val="clear" w:color="auto" w:fill="auto"/>
            <w:noWrap/>
            <w:vAlign w:val="bottom"/>
          </w:tcPr>
          <w:p w14:paraId="14C6BF7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7.01</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0BD1C0E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4.55</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12</w:t>
            </w:r>
          </w:p>
        </w:tc>
        <w:tc>
          <w:tcPr>
            <w:tcW w:w="3412" w:type="dxa"/>
            <w:tcBorders>
              <w:top w:val="nil"/>
              <w:left w:val="nil"/>
              <w:bottom w:val="nil"/>
              <w:right w:val="nil"/>
            </w:tcBorders>
            <w:shd w:val="clear" w:color="auto" w:fill="auto"/>
            <w:noWrap/>
            <w:vAlign w:val="center"/>
          </w:tcPr>
          <w:p w14:paraId="03BCDCD9">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36376295</w:t>
            </w:r>
          </w:p>
        </w:tc>
      </w:tr>
      <w:tr w14:paraId="0CD10D9B">
        <w:trPr>
          <w:trHeight w:val="336" w:hRule="atLeast"/>
          <w:jc w:val="center"/>
        </w:trPr>
        <w:tc>
          <w:tcPr>
            <w:tcW w:w="786" w:type="dxa"/>
            <w:tcBorders>
              <w:top w:val="nil"/>
              <w:left w:val="nil"/>
              <w:bottom w:val="nil"/>
              <w:right w:val="nil"/>
            </w:tcBorders>
            <w:shd w:val="clear" w:color="auto" w:fill="auto"/>
            <w:noWrap/>
            <w:vAlign w:val="center"/>
          </w:tcPr>
          <w:p w14:paraId="78E041D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22</w:t>
            </w:r>
          </w:p>
        </w:tc>
        <w:tc>
          <w:tcPr>
            <w:tcW w:w="1762" w:type="dxa"/>
            <w:tcBorders>
              <w:top w:val="nil"/>
              <w:left w:val="nil"/>
              <w:bottom w:val="nil"/>
              <w:right w:val="nil"/>
            </w:tcBorders>
            <w:shd w:val="clear" w:color="auto" w:fill="auto"/>
            <w:noWrap/>
            <w:vAlign w:val="center"/>
          </w:tcPr>
          <w:p w14:paraId="5185986E">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4BE906C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rs687289</w:t>
            </w:r>
          </w:p>
        </w:tc>
        <w:tc>
          <w:tcPr>
            <w:tcW w:w="2128" w:type="dxa"/>
            <w:tcBorders>
              <w:top w:val="nil"/>
              <w:left w:val="nil"/>
              <w:bottom w:val="nil"/>
              <w:right w:val="nil"/>
            </w:tcBorders>
            <w:shd w:val="clear" w:color="auto" w:fill="auto"/>
            <w:noWrap/>
            <w:vAlign w:val="center"/>
          </w:tcPr>
          <w:p w14:paraId="0A85C606">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9:136132908-136155000</w:t>
            </w:r>
          </w:p>
        </w:tc>
        <w:tc>
          <w:tcPr>
            <w:tcW w:w="936" w:type="dxa"/>
            <w:tcBorders>
              <w:top w:val="nil"/>
              <w:left w:val="nil"/>
              <w:bottom w:val="nil"/>
              <w:right w:val="nil"/>
            </w:tcBorders>
            <w:shd w:val="clear" w:color="auto" w:fill="auto"/>
            <w:noWrap/>
            <w:vAlign w:val="bottom"/>
          </w:tcPr>
          <w:p w14:paraId="4B28B31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9q34.2</w:t>
            </w:r>
          </w:p>
        </w:tc>
        <w:tc>
          <w:tcPr>
            <w:tcW w:w="1050" w:type="dxa"/>
            <w:tcBorders>
              <w:top w:val="nil"/>
              <w:left w:val="nil"/>
              <w:bottom w:val="nil"/>
              <w:right w:val="nil"/>
            </w:tcBorders>
            <w:shd w:val="clear" w:color="auto" w:fill="auto"/>
            <w:noWrap/>
            <w:vAlign w:val="center"/>
          </w:tcPr>
          <w:p w14:paraId="2D257647">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1.70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6</w:t>
            </w:r>
          </w:p>
        </w:tc>
        <w:tc>
          <w:tcPr>
            <w:tcW w:w="1125" w:type="dxa"/>
            <w:tcBorders>
              <w:top w:val="nil"/>
              <w:left w:val="nil"/>
              <w:bottom w:val="nil"/>
              <w:right w:val="nil"/>
            </w:tcBorders>
            <w:shd w:val="clear" w:color="auto" w:fill="auto"/>
            <w:noWrap/>
            <w:vAlign w:val="bottom"/>
          </w:tcPr>
          <w:p w14:paraId="617E4BB9">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2.29</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-18</w:t>
            </w:r>
          </w:p>
        </w:tc>
        <w:tc>
          <w:tcPr>
            <w:tcW w:w="1112" w:type="dxa"/>
            <w:tcBorders>
              <w:top w:val="nil"/>
              <w:left w:val="nil"/>
              <w:bottom w:val="nil"/>
              <w:right w:val="nil"/>
            </w:tcBorders>
            <w:shd w:val="clear" w:color="auto" w:fill="auto"/>
            <w:noWrap/>
            <w:vAlign w:val="center"/>
          </w:tcPr>
          <w:p w14:paraId="35705F8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3412" w:type="dxa"/>
            <w:tcBorders>
              <w:top w:val="nil"/>
              <w:left w:val="nil"/>
              <w:bottom w:val="nil"/>
              <w:right w:val="nil"/>
            </w:tcBorders>
            <w:shd w:val="clear" w:color="auto" w:fill="auto"/>
            <w:noWrap/>
            <w:vAlign w:val="center"/>
          </w:tcPr>
          <w:p w14:paraId="40F2EC5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31285632</w:t>
            </w:r>
            <w:r>
              <w:rPr>
                <w:rFonts w:hint="default" w:ascii="Times New Roman Regular" w:hAnsi="Times New Roman Regular" w:eastAsia="宋体" w:cs="Times New Roman Regular"/>
                <w:color w:val="auto"/>
                <w:kern w:val="0"/>
                <w:sz w:val="18"/>
                <w:szCs w:val="18"/>
                <w:highlight w:val="none"/>
                <w:lang w:bidi="ar"/>
              </w:rPr>
              <w:t>, 34601942</w:t>
            </w:r>
          </w:p>
        </w:tc>
      </w:tr>
      <w:tr w14:paraId="40BE352B">
        <w:trPr>
          <w:trHeight w:val="336" w:hRule="atLeast"/>
          <w:jc w:val="center"/>
        </w:trPr>
        <w:tc>
          <w:tcPr>
            <w:tcW w:w="786" w:type="dxa"/>
            <w:tcBorders>
              <w:top w:val="nil"/>
              <w:left w:val="nil"/>
              <w:bottom w:val="nil"/>
              <w:right w:val="nil"/>
            </w:tcBorders>
            <w:shd w:val="clear" w:color="auto" w:fill="auto"/>
            <w:noWrap/>
            <w:vAlign w:val="center"/>
          </w:tcPr>
          <w:p w14:paraId="442E0D7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35</w:t>
            </w:r>
          </w:p>
        </w:tc>
        <w:tc>
          <w:tcPr>
            <w:tcW w:w="1762" w:type="dxa"/>
            <w:tcBorders>
              <w:top w:val="nil"/>
              <w:left w:val="nil"/>
              <w:bottom w:val="nil"/>
              <w:right w:val="nil"/>
            </w:tcBorders>
            <w:shd w:val="clear" w:color="auto" w:fill="auto"/>
            <w:noWrap/>
            <w:vAlign w:val="center"/>
          </w:tcPr>
          <w:p w14:paraId="6ACA4A5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bottom"/>
          </w:tcPr>
          <w:p w14:paraId="7DAC4BE4">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rs12151108</w:t>
            </w:r>
          </w:p>
        </w:tc>
        <w:tc>
          <w:tcPr>
            <w:tcW w:w="2128" w:type="dxa"/>
            <w:tcBorders>
              <w:top w:val="nil"/>
              <w:left w:val="nil"/>
              <w:bottom w:val="nil"/>
              <w:right w:val="nil"/>
            </w:tcBorders>
            <w:shd w:val="clear" w:color="auto" w:fill="auto"/>
            <w:noWrap/>
            <w:vAlign w:val="center"/>
          </w:tcPr>
          <w:p w14:paraId="3A83596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19:11186412-11210912</w:t>
            </w:r>
          </w:p>
        </w:tc>
        <w:tc>
          <w:tcPr>
            <w:tcW w:w="936" w:type="dxa"/>
            <w:tcBorders>
              <w:top w:val="nil"/>
              <w:left w:val="nil"/>
              <w:bottom w:val="nil"/>
              <w:right w:val="nil"/>
            </w:tcBorders>
            <w:shd w:val="clear" w:color="auto" w:fill="auto"/>
            <w:noWrap/>
            <w:vAlign w:val="bottom"/>
          </w:tcPr>
          <w:p w14:paraId="6EAA1555">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19p13.2</w:t>
            </w:r>
          </w:p>
        </w:tc>
        <w:tc>
          <w:tcPr>
            <w:tcW w:w="1050" w:type="dxa"/>
            <w:tcBorders>
              <w:top w:val="nil"/>
              <w:left w:val="nil"/>
              <w:bottom w:val="nil"/>
              <w:right w:val="nil"/>
            </w:tcBorders>
            <w:shd w:val="clear" w:color="auto" w:fill="auto"/>
            <w:noWrap/>
            <w:vAlign w:val="center"/>
          </w:tcPr>
          <w:p w14:paraId="6D65357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5.10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4</w:t>
            </w:r>
          </w:p>
        </w:tc>
        <w:tc>
          <w:tcPr>
            <w:tcW w:w="1125" w:type="dxa"/>
            <w:tcBorders>
              <w:top w:val="nil"/>
              <w:left w:val="nil"/>
              <w:bottom w:val="nil"/>
              <w:right w:val="nil"/>
            </w:tcBorders>
            <w:shd w:val="clear" w:color="auto" w:fill="auto"/>
            <w:noWrap/>
            <w:vAlign w:val="bottom"/>
          </w:tcPr>
          <w:p w14:paraId="4F2AF3C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4.36</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-10</w:t>
            </w:r>
          </w:p>
        </w:tc>
        <w:tc>
          <w:tcPr>
            <w:tcW w:w="1112" w:type="dxa"/>
            <w:tcBorders>
              <w:top w:val="nil"/>
              <w:left w:val="nil"/>
              <w:bottom w:val="nil"/>
              <w:right w:val="nil"/>
            </w:tcBorders>
            <w:shd w:val="clear" w:color="auto" w:fill="auto"/>
            <w:noWrap/>
            <w:vAlign w:val="center"/>
          </w:tcPr>
          <w:p w14:paraId="1B1689CD">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3412" w:type="dxa"/>
            <w:tcBorders>
              <w:top w:val="nil"/>
              <w:left w:val="nil"/>
              <w:bottom w:val="nil"/>
              <w:right w:val="nil"/>
            </w:tcBorders>
            <w:shd w:val="clear" w:color="auto" w:fill="auto"/>
            <w:noWrap/>
            <w:vAlign w:val="center"/>
          </w:tcPr>
          <w:p w14:paraId="23281413">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31285632</w:t>
            </w:r>
            <w:r>
              <w:rPr>
                <w:rFonts w:hint="default" w:ascii="Times New Roman Regular" w:hAnsi="Times New Roman Regular" w:eastAsia="宋体" w:cs="Times New Roman Regular"/>
                <w:color w:val="auto"/>
                <w:kern w:val="0"/>
                <w:sz w:val="18"/>
                <w:szCs w:val="18"/>
                <w:highlight w:val="none"/>
                <w:lang w:bidi="ar"/>
              </w:rPr>
              <w:t>, 34601942</w:t>
            </w:r>
          </w:p>
        </w:tc>
      </w:tr>
      <w:tr w14:paraId="69A96A15">
        <w:trPr>
          <w:trHeight w:val="336" w:hRule="atLeast"/>
          <w:jc w:val="center"/>
        </w:trPr>
        <w:tc>
          <w:tcPr>
            <w:tcW w:w="786" w:type="dxa"/>
            <w:tcBorders>
              <w:top w:val="nil"/>
              <w:left w:val="nil"/>
              <w:bottom w:val="nil"/>
              <w:right w:val="nil"/>
            </w:tcBorders>
            <w:shd w:val="clear" w:color="auto" w:fill="auto"/>
            <w:noWrap/>
            <w:vAlign w:val="center"/>
          </w:tcPr>
          <w:p w14:paraId="4851C41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default" w:ascii="Times New Roman Regular" w:hAnsi="Times New Roman Regular" w:eastAsia="宋体" w:cs="Times New Roman Regular"/>
                <w:color w:val="auto"/>
                <w:kern w:val="0"/>
                <w:sz w:val="18"/>
                <w:szCs w:val="18"/>
                <w:highlight w:val="none"/>
                <w:lang w:bidi="ar"/>
              </w:rPr>
              <w:t>37</w:t>
            </w:r>
          </w:p>
        </w:tc>
        <w:tc>
          <w:tcPr>
            <w:tcW w:w="1762" w:type="dxa"/>
            <w:tcBorders>
              <w:top w:val="nil"/>
              <w:left w:val="nil"/>
              <w:bottom w:val="nil"/>
              <w:right w:val="nil"/>
            </w:tcBorders>
            <w:shd w:val="clear" w:color="auto" w:fill="auto"/>
            <w:noWrap/>
            <w:vAlign w:val="center"/>
          </w:tcPr>
          <w:p w14:paraId="47BFEBF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eastAsia="zh-CN" w:bidi="ar"/>
              </w:rPr>
            </w:pPr>
            <w:r>
              <w:rPr>
                <w:rFonts w:ascii="Times New Roman Regular" w:hAnsi="Times New Roman Regular" w:eastAsia="宋体" w:cs="Times New Roman Regular"/>
                <w:color w:val="auto"/>
                <w:kern w:val="0"/>
                <w:sz w:val="18"/>
                <w:szCs w:val="18"/>
                <w:highlight w:val="none"/>
                <w:lang w:bidi="ar"/>
              </w:rPr>
              <w:t>MTAG_PAD</w:t>
            </w:r>
            <w:r>
              <w:rPr>
                <w:rFonts w:hint="default" w:ascii="Times New Roman Regular" w:hAnsi="Times New Roman Regular" w:eastAsia="宋体" w:cs="Times New Roman Regular"/>
                <w:color w:val="auto"/>
                <w:kern w:val="0"/>
                <w:sz w:val="18"/>
                <w:szCs w:val="18"/>
                <w:highlight w:val="none"/>
                <w:lang w:bidi="ar"/>
              </w:rPr>
              <w:t>_EUR</w:t>
            </w:r>
          </w:p>
        </w:tc>
        <w:tc>
          <w:tcPr>
            <w:tcW w:w="1434" w:type="dxa"/>
            <w:tcBorders>
              <w:top w:val="nil"/>
              <w:left w:val="nil"/>
              <w:bottom w:val="nil"/>
              <w:right w:val="nil"/>
            </w:tcBorders>
            <w:shd w:val="clear" w:color="auto" w:fill="auto"/>
            <w:noWrap/>
            <w:vAlign w:val="center"/>
          </w:tcPr>
          <w:p w14:paraId="7C4240F9">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rs28376</w:t>
            </w:r>
          </w:p>
        </w:tc>
        <w:tc>
          <w:tcPr>
            <w:tcW w:w="2128" w:type="dxa"/>
            <w:tcBorders>
              <w:top w:val="nil"/>
              <w:left w:val="nil"/>
              <w:bottom w:val="nil"/>
              <w:right w:val="nil"/>
            </w:tcBorders>
            <w:shd w:val="clear" w:color="auto" w:fill="auto"/>
            <w:noWrap/>
            <w:vAlign w:val="center"/>
          </w:tcPr>
          <w:p w14:paraId="4A6FA03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22:23890836-23903613</w:t>
            </w:r>
          </w:p>
        </w:tc>
        <w:tc>
          <w:tcPr>
            <w:tcW w:w="936" w:type="dxa"/>
            <w:tcBorders>
              <w:top w:val="nil"/>
              <w:left w:val="nil"/>
              <w:bottom w:val="nil"/>
              <w:right w:val="nil"/>
            </w:tcBorders>
            <w:shd w:val="clear" w:color="auto" w:fill="auto"/>
            <w:noWrap/>
            <w:vAlign w:val="center"/>
          </w:tcPr>
          <w:p w14:paraId="009F8E1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22q11.23</w:t>
            </w:r>
          </w:p>
        </w:tc>
        <w:tc>
          <w:tcPr>
            <w:tcW w:w="1050" w:type="dxa"/>
            <w:tcBorders>
              <w:top w:val="nil"/>
              <w:left w:val="nil"/>
              <w:bottom w:val="nil"/>
              <w:right w:val="nil"/>
            </w:tcBorders>
            <w:shd w:val="clear" w:color="auto" w:fill="auto"/>
            <w:noWrap/>
            <w:vAlign w:val="center"/>
          </w:tcPr>
          <w:p w14:paraId="4F4555F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2.40</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-5</w:t>
            </w:r>
          </w:p>
        </w:tc>
        <w:tc>
          <w:tcPr>
            <w:tcW w:w="1125" w:type="dxa"/>
            <w:tcBorders>
              <w:top w:val="nil"/>
              <w:left w:val="nil"/>
              <w:bottom w:val="nil"/>
              <w:right w:val="nil"/>
            </w:tcBorders>
            <w:shd w:val="clear" w:color="auto" w:fill="auto"/>
            <w:noWrap/>
            <w:vAlign w:val="center"/>
          </w:tcPr>
          <w:p w14:paraId="7A47419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9.23</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030A9883">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1.14</w:t>
            </w:r>
            <w:r>
              <w:rPr>
                <w:rFonts w:ascii="Times New Roman Regular" w:hAnsi="Times New Roman Regular" w:eastAsia="宋体" w:cs="Times New Roman Regular"/>
                <w:color w:val="auto"/>
                <w:kern w:val="0"/>
                <w:sz w:val="18"/>
                <w:szCs w:val="18"/>
                <w:highlight w:val="none"/>
                <w:lang w:bidi="ar"/>
              </w:rPr>
              <w:t xml:space="preserve"> × 10</w:t>
            </w:r>
            <w:r>
              <w:rPr>
                <w:rFonts w:hint="eastAsia" w:ascii="Times New Roman Regular" w:hAnsi="Times New Roman Regular" w:eastAsia="宋体" w:cs="Times New Roman Regular"/>
                <w:color w:val="auto"/>
                <w:kern w:val="0"/>
                <w:sz w:val="18"/>
                <w:szCs w:val="18"/>
                <w:highlight w:val="none"/>
                <w:vertAlign w:val="superscript"/>
                <w:lang w:bidi="ar"/>
              </w:rPr>
              <w:t>-10</w:t>
            </w:r>
          </w:p>
        </w:tc>
        <w:tc>
          <w:tcPr>
            <w:tcW w:w="3412" w:type="dxa"/>
            <w:tcBorders>
              <w:top w:val="nil"/>
              <w:left w:val="nil"/>
              <w:bottom w:val="nil"/>
              <w:right w:val="nil"/>
            </w:tcBorders>
            <w:shd w:val="clear" w:color="auto" w:fill="auto"/>
            <w:noWrap/>
            <w:vAlign w:val="center"/>
          </w:tcPr>
          <w:p w14:paraId="4E5F68F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val="en-US" w:eastAsia="zh-CN" w:bidi="ar"/>
              </w:rPr>
            </w:pPr>
            <w:r>
              <w:rPr>
                <w:rFonts w:hint="eastAsia" w:ascii="Times New Roman Regular" w:hAnsi="Times New Roman Regular" w:eastAsia="宋体" w:cs="Times New Roman Regular"/>
                <w:color w:val="auto"/>
                <w:kern w:val="0"/>
                <w:sz w:val="18"/>
                <w:szCs w:val="18"/>
                <w:highlight w:val="none"/>
                <w:lang w:bidi="ar"/>
              </w:rPr>
              <w:t>25009551</w:t>
            </w:r>
          </w:p>
        </w:tc>
      </w:tr>
      <w:tr w14:paraId="590B5120">
        <w:trPr>
          <w:trHeight w:val="90" w:hRule="atLeast"/>
          <w:jc w:val="center"/>
        </w:trPr>
        <w:tc>
          <w:tcPr>
            <w:tcW w:w="786" w:type="dxa"/>
            <w:tcBorders>
              <w:top w:val="nil"/>
              <w:left w:val="nil"/>
              <w:bottom w:val="nil"/>
              <w:right w:val="nil"/>
            </w:tcBorders>
            <w:shd w:val="clear" w:color="auto" w:fill="auto"/>
            <w:noWrap/>
            <w:vAlign w:val="center"/>
          </w:tcPr>
          <w:p w14:paraId="6E140EF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6</w:t>
            </w:r>
          </w:p>
        </w:tc>
        <w:tc>
          <w:tcPr>
            <w:tcW w:w="1762" w:type="dxa"/>
            <w:tcBorders>
              <w:top w:val="nil"/>
              <w:left w:val="nil"/>
              <w:bottom w:val="nil"/>
              <w:right w:val="nil"/>
            </w:tcBorders>
            <w:shd w:val="clear" w:color="auto" w:fill="auto"/>
            <w:noWrap/>
            <w:vAlign w:val="center"/>
          </w:tcPr>
          <w:p w14:paraId="2DBFF81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Stroke_EUR</w:t>
            </w:r>
          </w:p>
        </w:tc>
        <w:tc>
          <w:tcPr>
            <w:tcW w:w="1434" w:type="dxa"/>
            <w:tcBorders>
              <w:top w:val="nil"/>
              <w:left w:val="nil"/>
              <w:bottom w:val="nil"/>
              <w:right w:val="nil"/>
            </w:tcBorders>
            <w:shd w:val="clear" w:color="auto" w:fill="auto"/>
            <w:noWrap/>
            <w:vAlign w:val="bottom"/>
          </w:tcPr>
          <w:p w14:paraId="7008C996">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rs10455872</w:t>
            </w:r>
          </w:p>
        </w:tc>
        <w:tc>
          <w:tcPr>
            <w:tcW w:w="2128" w:type="dxa"/>
            <w:tcBorders>
              <w:top w:val="nil"/>
              <w:left w:val="nil"/>
              <w:bottom w:val="nil"/>
              <w:right w:val="nil"/>
            </w:tcBorders>
            <w:shd w:val="clear" w:color="auto" w:fill="auto"/>
            <w:noWrap/>
            <w:vAlign w:val="center"/>
          </w:tcPr>
          <w:p w14:paraId="57370DF5">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6:160985526-161123451</w:t>
            </w:r>
          </w:p>
        </w:tc>
        <w:tc>
          <w:tcPr>
            <w:tcW w:w="936" w:type="dxa"/>
            <w:tcBorders>
              <w:top w:val="nil"/>
              <w:left w:val="nil"/>
              <w:bottom w:val="nil"/>
              <w:right w:val="nil"/>
            </w:tcBorders>
            <w:shd w:val="clear" w:color="auto" w:fill="auto"/>
            <w:noWrap/>
            <w:vAlign w:val="bottom"/>
          </w:tcPr>
          <w:p w14:paraId="0F4DC76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6q25.3</w:t>
            </w:r>
          </w:p>
        </w:tc>
        <w:tc>
          <w:tcPr>
            <w:tcW w:w="1050" w:type="dxa"/>
            <w:tcBorders>
              <w:top w:val="nil"/>
              <w:left w:val="nil"/>
              <w:bottom w:val="nil"/>
              <w:right w:val="nil"/>
            </w:tcBorders>
            <w:shd w:val="clear" w:color="auto" w:fill="auto"/>
            <w:noWrap/>
            <w:vAlign w:val="center"/>
          </w:tcPr>
          <w:p w14:paraId="1479AA18">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1.77</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3</w:t>
            </w:r>
          </w:p>
        </w:tc>
        <w:tc>
          <w:tcPr>
            <w:tcW w:w="1125" w:type="dxa"/>
            <w:tcBorders>
              <w:top w:val="nil"/>
              <w:left w:val="nil"/>
              <w:bottom w:val="nil"/>
              <w:right w:val="nil"/>
            </w:tcBorders>
            <w:shd w:val="clear" w:color="auto" w:fill="auto"/>
            <w:noWrap/>
            <w:vAlign w:val="bottom"/>
          </w:tcPr>
          <w:p w14:paraId="3B5E7F1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1.20</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-14</w:t>
            </w:r>
          </w:p>
        </w:tc>
        <w:tc>
          <w:tcPr>
            <w:tcW w:w="1112" w:type="dxa"/>
            <w:tcBorders>
              <w:top w:val="nil"/>
              <w:left w:val="nil"/>
              <w:bottom w:val="nil"/>
              <w:right w:val="nil"/>
            </w:tcBorders>
            <w:shd w:val="clear" w:color="auto" w:fill="auto"/>
            <w:noWrap/>
            <w:vAlign w:val="center"/>
          </w:tcPr>
          <w:p w14:paraId="137CB222">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3412" w:type="dxa"/>
            <w:tcBorders>
              <w:top w:val="nil"/>
              <w:left w:val="nil"/>
              <w:bottom w:val="nil"/>
              <w:right w:val="nil"/>
            </w:tcBorders>
            <w:shd w:val="clear" w:color="auto" w:fill="auto"/>
            <w:noWrap/>
            <w:vAlign w:val="center"/>
          </w:tcPr>
          <w:p w14:paraId="4F96169E">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36180795</w:t>
            </w:r>
            <w:r>
              <w:rPr>
                <w:rFonts w:hint="default" w:ascii="Times New Roman Regular" w:hAnsi="Times New Roman Regular" w:eastAsia="宋体" w:cs="Times New Roman Regular"/>
                <w:color w:val="auto"/>
                <w:kern w:val="0"/>
                <w:sz w:val="18"/>
                <w:szCs w:val="18"/>
                <w:highlight w:val="none"/>
                <w:lang w:bidi="ar"/>
              </w:rPr>
              <w:t>, 24262325</w:t>
            </w:r>
          </w:p>
        </w:tc>
      </w:tr>
      <w:tr w14:paraId="4CAF7E1C">
        <w:trPr>
          <w:trHeight w:val="90" w:hRule="atLeast"/>
          <w:jc w:val="center"/>
        </w:trPr>
        <w:tc>
          <w:tcPr>
            <w:tcW w:w="786" w:type="dxa"/>
            <w:tcBorders>
              <w:top w:val="nil"/>
              <w:left w:val="nil"/>
              <w:bottom w:val="nil"/>
              <w:right w:val="nil"/>
            </w:tcBorders>
            <w:shd w:val="clear" w:color="auto" w:fill="auto"/>
            <w:noWrap/>
            <w:vAlign w:val="center"/>
          </w:tcPr>
          <w:p w14:paraId="2683580D">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7</w:t>
            </w:r>
          </w:p>
        </w:tc>
        <w:tc>
          <w:tcPr>
            <w:tcW w:w="1762" w:type="dxa"/>
            <w:tcBorders>
              <w:top w:val="nil"/>
              <w:left w:val="nil"/>
              <w:bottom w:val="nil"/>
              <w:right w:val="nil"/>
            </w:tcBorders>
            <w:shd w:val="clear" w:color="auto" w:fill="auto"/>
            <w:noWrap/>
            <w:vAlign w:val="center"/>
          </w:tcPr>
          <w:p w14:paraId="1C85A29D">
            <w:pPr>
              <w:widowControl/>
              <w:spacing w:line="240" w:lineRule="auto"/>
              <w:jc w:val="both"/>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Stroke_EUR</w:t>
            </w:r>
          </w:p>
        </w:tc>
        <w:tc>
          <w:tcPr>
            <w:tcW w:w="1434" w:type="dxa"/>
            <w:tcBorders>
              <w:top w:val="nil"/>
              <w:left w:val="nil"/>
              <w:bottom w:val="nil"/>
              <w:right w:val="nil"/>
            </w:tcBorders>
            <w:shd w:val="clear" w:color="auto" w:fill="auto"/>
            <w:noWrap/>
            <w:vAlign w:val="bottom"/>
          </w:tcPr>
          <w:p w14:paraId="6119E094">
            <w:pPr>
              <w:widowControl/>
              <w:spacing w:line="480" w:lineRule="auto"/>
              <w:jc w:val="center"/>
              <w:textAlignment w:val="auto"/>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rs2107595</w:t>
            </w:r>
          </w:p>
        </w:tc>
        <w:tc>
          <w:tcPr>
            <w:tcW w:w="2128" w:type="dxa"/>
            <w:tcBorders>
              <w:top w:val="nil"/>
              <w:left w:val="nil"/>
              <w:bottom w:val="nil"/>
              <w:right w:val="nil"/>
            </w:tcBorders>
            <w:shd w:val="clear" w:color="auto" w:fill="auto"/>
            <w:noWrap/>
            <w:vAlign w:val="center"/>
          </w:tcPr>
          <w:p w14:paraId="439D9DB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7:19034191-19052733</w:t>
            </w:r>
          </w:p>
        </w:tc>
        <w:tc>
          <w:tcPr>
            <w:tcW w:w="936" w:type="dxa"/>
            <w:tcBorders>
              <w:top w:val="nil"/>
              <w:left w:val="nil"/>
              <w:bottom w:val="nil"/>
              <w:right w:val="nil"/>
            </w:tcBorders>
            <w:shd w:val="clear" w:color="auto" w:fill="auto"/>
            <w:noWrap/>
            <w:vAlign w:val="bottom"/>
          </w:tcPr>
          <w:p w14:paraId="2817C0F8">
            <w:pPr>
              <w:widowControl/>
              <w:spacing w:line="48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7p21.1</w:t>
            </w:r>
          </w:p>
        </w:tc>
        <w:tc>
          <w:tcPr>
            <w:tcW w:w="1050" w:type="dxa"/>
            <w:tcBorders>
              <w:top w:val="nil"/>
              <w:left w:val="nil"/>
              <w:bottom w:val="nil"/>
              <w:right w:val="nil"/>
            </w:tcBorders>
            <w:shd w:val="clear" w:color="auto" w:fill="auto"/>
            <w:noWrap/>
            <w:vAlign w:val="center"/>
          </w:tcPr>
          <w:p w14:paraId="6146A986">
            <w:pPr>
              <w:widowControl/>
              <w:spacing w:line="48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2.96</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6</w:t>
            </w:r>
          </w:p>
        </w:tc>
        <w:tc>
          <w:tcPr>
            <w:tcW w:w="1125" w:type="dxa"/>
            <w:tcBorders>
              <w:top w:val="nil"/>
              <w:left w:val="nil"/>
              <w:bottom w:val="nil"/>
              <w:right w:val="nil"/>
            </w:tcBorders>
            <w:shd w:val="clear" w:color="auto" w:fill="auto"/>
            <w:noWrap/>
            <w:vAlign w:val="bottom"/>
          </w:tcPr>
          <w:p w14:paraId="15A6C1FF">
            <w:pPr>
              <w:widowControl/>
              <w:spacing w:line="480" w:lineRule="auto"/>
              <w:jc w:val="center"/>
              <w:textAlignment w:val="center"/>
              <w:rPr>
                <w:rFonts w:hint="eastAsia" w:ascii="Times New Roman Regular" w:hAnsi="Times New Roman Regular" w:eastAsia="宋体" w:cs="Times New Roman Regular"/>
                <w:color w:val="auto"/>
                <w:kern w:val="0"/>
                <w:sz w:val="18"/>
                <w:szCs w:val="18"/>
                <w:highlight w:val="none"/>
                <w:vertAlign w:val="superscript"/>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6.02</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69C1A641">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NA</w:t>
            </w:r>
          </w:p>
        </w:tc>
        <w:tc>
          <w:tcPr>
            <w:tcW w:w="3412" w:type="dxa"/>
            <w:tcBorders>
              <w:top w:val="nil"/>
              <w:left w:val="nil"/>
              <w:bottom w:val="nil"/>
              <w:right w:val="nil"/>
            </w:tcBorders>
            <w:shd w:val="clear" w:color="auto" w:fill="auto"/>
            <w:noWrap/>
            <w:vAlign w:val="center"/>
          </w:tcPr>
          <w:p w14:paraId="721460CA">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34594039, 29531354, 32047268, 26708676, 23041239, 24262325, 36180795, 35285134</w:t>
            </w:r>
          </w:p>
        </w:tc>
      </w:tr>
      <w:tr w14:paraId="2754D013">
        <w:trPr>
          <w:trHeight w:val="336" w:hRule="atLeast"/>
          <w:jc w:val="center"/>
        </w:trPr>
        <w:tc>
          <w:tcPr>
            <w:tcW w:w="786" w:type="dxa"/>
            <w:tcBorders>
              <w:top w:val="nil"/>
              <w:left w:val="nil"/>
              <w:bottom w:val="nil"/>
              <w:right w:val="nil"/>
            </w:tcBorders>
            <w:shd w:val="clear" w:color="auto" w:fill="auto"/>
            <w:noWrap/>
            <w:vAlign w:val="center"/>
          </w:tcPr>
          <w:p w14:paraId="48ABF810">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13</w:t>
            </w:r>
          </w:p>
        </w:tc>
        <w:tc>
          <w:tcPr>
            <w:tcW w:w="1762" w:type="dxa"/>
            <w:tcBorders>
              <w:top w:val="nil"/>
              <w:left w:val="nil"/>
              <w:bottom w:val="nil"/>
              <w:right w:val="nil"/>
            </w:tcBorders>
            <w:shd w:val="clear" w:color="auto" w:fill="auto"/>
            <w:noWrap/>
            <w:vAlign w:val="center"/>
          </w:tcPr>
          <w:p w14:paraId="0E2F4B6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Stroke_EUR</w:t>
            </w:r>
          </w:p>
        </w:tc>
        <w:tc>
          <w:tcPr>
            <w:tcW w:w="1434" w:type="dxa"/>
            <w:tcBorders>
              <w:top w:val="nil"/>
              <w:left w:val="nil"/>
              <w:bottom w:val="nil"/>
              <w:right w:val="nil"/>
            </w:tcBorders>
            <w:shd w:val="clear" w:color="auto" w:fill="auto"/>
            <w:noWrap/>
            <w:vAlign w:val="bottom"/>
          </w:tcPr>
          <w:p w14:paraId="4B8BA89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rs6496123</w:t>
            </w:r>
          </w:p>
        </w:tc>
        <w:tc>
          <w:tcPr>
            <w:tcW w:w="2128" w:type="dxa"/>
            <w:tcBorders>
              <w:top w:val="nil"/>
              <w:left w:val="nil"/>
              <w:bottom w:val="nil"/>
              <w:right w:val="nil"/>
            </w:tcBorders>
            <w:shd w:val="clear" w:color="auto" w:fill="auto"/>
            <w:noWrap/>
            <w:vAlign w:val="center"/>
          </w:tcPr>
          <w:p w14:paraId="12AE2454">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15:96100923-96133934</w:t>
            </w:r>
          </w:p>
        </w:tc>
        <w:tc>
          <w:tcPr>
            <w:tcW w:w="936" w:type="dxa"/>
            <w:tcBorders>
              <w:top w:val="nil"/>
              <w:left w:val="nil"/>
              <w:bottom w:val="nil"/>
              <w:right w:val="nil"/>
            </w:tcBorders>
            <w:shd w:val="clear" w:color="auto" w:fill="auto"/>
            <w:noWrap/>
            <w:vAlign w:val="bottom"/>
          </w:tcPr>
          <w:p w14:paraId="18CAE53B">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15q26.2</w:t>
            </w:r>
          </w:p>
        </w:tc>
        <w:tc>
          <w:tcPr>
            <w:tcW w:w="1050" w:type="dxa"/>
            <w:tcBorders>
              <w:top w:val="nil"/>
              <w:left w:val="nil"/>
              <w:bottom w:val="nil"/>
              <w:right w:val="nil"/>
            </w:tcBorders>
            <w:shd w:val="clear" w:color="auto" w:fill="auto"/>
            <w:noWrap/>
            <w:vAlign w:val="center"/>
          </w:tcPr>
          <w:p w14:paraId="2C63C07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1.64</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nil"/>
              <w:right w:val="nil"/>
            </w:tcBorders>
            <w:shd w:val="clear" w:color="auto" w:fill="auto"/>
            <w:noWrap/>
            <w:vAlign w:val="bottom"/>
          </w:tcPr>
          <w:p w14:paraId="31B38825">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2.77</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nil"/>
              <w:right w:val="nil"/>
            </w:tcBorders>
            <w:shd w:val="clear" w:color="auto" w:fill="auto"/>
            <w:noWrap/>
            <w:vAlign w:val="center"/>
          </w:tcPr>
          <w:p w14:paraId="5D6CD780">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2.19</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13</w:t>
            </w:r>
          </w:p>
        </w:tc>
        <w:tc>
          <w:tcPr>
            <w:tcW w:w="3412" w:type="dxa"/>
            <w:tcBorders>
              <w:top w:val="nil"/>
              <w:left w:val="nil"/>
              <w:bottom w:val="nil"/>
              <w:right w:val="nil"/>
            </w:tcBorders>
            <w:shd w:val="clear" w:color="auto" w:fill="auto"/>
            <w:noWrap/>
            <w:vAlign w:val="center"/>
          </w:tcPr>
          <w:p w14:paraId="4685531D">
            <w:pPr>
              <w:widowControl/>
              <w:spacing w:line="240" w:lineRule="auto"/>
              <w:jc w:val="center"/>
              <w:textAlignment w:val="center"/>
              <w:rPr>
                <w:rFonts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29531354</w:t>
            </w:r>
          </w:p>
        </w:tc>
      </w:tr>
      <w:tr w14:paraId="414F6B82">
        <w:trPr>
          <w:trHeight w:val="90" w:hRule="atLeast"/>
          <w:jc w:val="center"/>
        </w:trPr>
        <w:tc>
          <w:tcPr>
            <w:tcW w:w="786" w:type="dxa"/>
            <w:tcBorders>
              <w:top w:val="nil"/>
              <w:left w:val="nil"/>
              <w:bottom w:val="single" w:color="auto" w:sz="4" w:space="0"/>
              <w:right w:val="nil"/>
            </w:tcBorders>
            <w:shd w:val="clear" w:color="auto" w:fill="auto"/>
            <w:noWrap/>
            <w:vAlign w:val="center"/>
          </w:tcPr>
          <w:p w14:paraId="15915B08">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15</w:t>
            </w:r>
          </w:p>
        </w:tc>
        <w:tc>
          <w:tcPr>
            <w:tcW w:w="1762" w:type="dxa"/>
            <w:tcBorders>
              <w:top w:val="nil"/>
              <w:left w:val="nil"/>
              <w:bottom w:val="single" w:color="auto" w:sz="4" w:space="0"/>
              <w:right w:val="nil"/>
            </w:tcBorders>
            <w:shd w:val="clear" w:color="auto" w:fill="auto"/>
            <w:noWrap/>
            <w:vAlign w:val="center"/>
          </w:tcPr>
          <w:p w14:paraId="622DD9DF">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ascii="Times New Roman Regular" w:hAnsi="Times New Roman Regular" w:eastAsia="宋体" w:cs="Times New Roman Regular"/>
                <w:color w:val="auto"/>
                <w:kern w:val="0"/>
                <w:sz w:val="18"/>
                <w:szCs w:val="18"/>
                <w:highlight w:val="none"/>
                <w:lang w:bidi="ar"/>
              </w:rPr>
              <w:t>MTAG_</w:t>
            </w:r>
            <w:r>
              <w:rPr>
                <w:rFonts w:hint="default" w:ascii="Times New Roman Regular" w:hAnsi="Times New Roman Regular" w:eastAsia="宋体" w:cs="Times New Roman Regular"/>
                <w:color w:val="auto"/>
                <w:kern w:val="0"/>
                <w:sz w:val="18"/>
                <w:szCs w:val="18"/>
                <w:highlight w:val="none"/>
                <w:lang w:bidi="ar"/>
              </w:rPr>
              <w:t>Stroke_EUR</w:t>
            </w:r>
          </w:p>
        </w:tc>
        <w:tc>
          <w:tcPr>
            <w:tcW w:w="1434" w:type="dxa"/>
            <w:tcBorders>
              <w:top w:val="nil"/>
              <w:left w:val="nil"/>
              <w:bottom w:val="single" w:color="auto" w:sz="4" w:space="0"/>
              <w:right w:val="nil"/>
            </w:tcBorders>
            <w:shd w:val="clear" w:color="auto" w:fill="auto"/>
            <w:noWrap/>
            <w:vAlign w:val="bottom"/>
          </w:tcPr>
          <w:p w14:paraId="06A36491">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rs17608766</w:t>
            </w:r>
          </w:p>
        </w:tc>
        <w:tc>
          <w:tcPr>
            <w:tcW w:w="2128" w:type="dxa"/>
            <w:tcBorders>
              <w:top w:val="nil"/>
              <w:left w:val="nil"/>
              <w:bottom w:val="single" w:color="auto" w:sz="4" w:space="0"/>
              <w:right w:val="nil"/>
            </w:tcBorders>
            <w:shd w:val="clear" w:color="auto" w:fill="auto"/>
            <w:noWrap/>
            <w:vAlign w:val="center"/>
          </w:tcPr>
          <w:p w14:paraId="46748E12">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i w:val="0"/>
                <w:iCs w:val="0"/>
                <w:color w:val="auto"/>
                <w:kern w:val="0"/>
                <w:sz w:val="18"/>
                <w:szCs w:val="18"/>
                <w:highlight w:val="none"/>
                <w:u w:val="none"/>
                <w:lang w:val="en-US" w:eastAsia="zh-CN" w:bidi="ar"/>
              </w:rPr>
              <w:t>17:44967530-45244074</w:t>
            </w:r>
          </w:p>
        </w:tc>
        <w:tc>
          <w:tcPr>
            <w:tcW w:w="936" w:type="dxa"/>
            <w:tcBorders>
              <w:top w:val="nil"/>
              <w:left w:val="nil"/>
              <w:bottom w:val="single" w:color="auto" w:sz="4" w:space="0"/>
              <w:right w:val="nil"/>
            </w:tcBorders>
            <w:shd w:val="clear" w:color="auto" w:fill="auto"/>
            <w:noWrap/>
            <w:vAlign w:val="bottom"/>
          </w:tcPr>
          <w:p w14:paraId="2DC1257E">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17q21.32</w:t>
            </w:r>
          </w:p>
        </w:tc>
        <w:tc>
          <w:tcPr>
            <w:tcW w:w="1050" w:type="dxa"/>
            <w:tcBorders>
              <w:top w:val="nil"/>
              <w:left w:val="nil"/>
              <w:bottom w:val="single" w:color="auto" w:sz="4" w:space="0"/>
              <w:right w:val="nil"/>
            </w:tcBorders>
            <w:shd w:val="clear" w:color="auto" w:fill="auto"/>
            <w:noWrap/>
            <w:vAlign w:val="center"/>
          </w:tcPr>
          <w:p w14:paraId="6ABCA03C">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5.86</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7</w:t>
            </w:r>
          </w:p>
        </w:tc>
        <w:tc>
          <w:tcPr>
            <w:tcW w:w="1125" w:type="dxa"/>
            <w:tcBorders>
              <w:top w:val="nil"/>
              <w:left w:val="nil"/>
              <w:bottom w:val="single" w:color="auto" w:sz="4" w:space="0"/>
              <w:right w:val="nil"/>
            </w:tcBorders>
            <w:shd w:val="clear" w:color="auto" w:fill="auto"/>
            <w:noWrap/>
            <w:vAlign w:val="bottom"/>
          </w:tcPr>
          <w:p w14:paraId="6CF5BE7A">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i w:val="0"/>
                <w:iCs w:val="0"/>
                <w:color w:val="auto"/>
                <w:kern w:val="0"/>
                <w:sz w:val="18"/>
                <w:szCs w:val="18"/>
                <w:highlight w:val="none"/>
                <w:u w:val="none"/>
                <w:lang w:val="en-US" w:eastAsia="zh-CN" w:bidi="ar"/>
              </w:rPr>
              <w:t>3.07</w:t>
            </w:r>
            <w:r>
              <w:rPr>
                <w:rFonts w:ascii="Times New Roman Regular" w:hAnsi="Times New Roman Regular" w:eastAsia="宋体" w:cs="Times New Roman Regular"/>
                <w:color w:val="auto"/>
                <w:kern w:val="0"/>
                <w:sz w:val="18"/>
                <w:szCs w:val="18"/>
                <w:highlight w:val="none"/>
                <w:lang w:bidi="ar"/>
              </w:rPr>
              <w:t xml:space="preserve"> × 10</w:t>
            </w:r>
            <w:r>
              <w:rPr>
                <w:rFonts w:hint="default" w:ascii="Times New Roman Regular" w:hAnsi="Times New Roman Regular" w:eastAsia="宋体" w:cs="Times New Roman Regular"/>
                <w:color w:val="auto"/>
                <w:kern w:val="0"/>
                <w:sz w:val="18"/>
                <w:szCs w:val="18"/>
                <w:highlight w:val="none"/>
                <w:vertAlign w:val="superscript"/>
                <w:lang w:bidi="ar"/>
              </w:rPr>
              <w:t>-9</w:t>
            </w:r>
          </w:p>
        </w:tc>
        <w:tc>
          <w:tcPr>
            <w:tcW w:w="1112" w:type="dxa"/>
            <w:tcBorders>
              <w:top w:val="nil"/>
              <w:left w:val="nil"/>
              <w:bottom w:val="single" w:color="auto" w:sz="4" w:space="0"/>
              <w:right w:val="nil"/>
            </w:tcBorders>
            <w:shd w:val="clear" w:color="auto" w:fill="auto"/>
            <w:noWrap/>
            <w:vAlign w:val="center"/>
          </w:tcPr>
          <w:p w14:paraId="22EC8CBB">
            <w:pPr>
              <w:widowControl/>
              <w:spacing w:line="240" w:lineRule="auto"/>
              <w:jc w:val="center"/>
              <w:textAlignment w:val="center"/>
              <w:rPr>
                <w:rFonts w:hint="default" w:ascii="Times New Roman Regular" w:hAnsi="Times New Roman Regular" w:eastAsia="宋体" w:cs="Times New Roman Regular"/>
                <w:color w:val="auto"/>
                <w:kern w:val="0"/>
                <w:sz w:val="18"/>
                <w:szCs w:val="18"/>
                <w:highlight w:val="none"/>
                <w:lang w:bidi="ar"/>
              </w:rPr>
            </w:pPr>
            <w:r>
              <w:rPr>
                <w:rFonts w:hint="default" w:ascii="Times New Roman Regular" w:hAnsi="Times New Roman Regular" w:eastAsia="宋体" w:cs="Times New Roman Regular"/>
                <w:color w:val="auto"/>
                <w:kern w:val="0"/>
                <w:sz w:val="18"/>
                <w:szCs w:val="18"/>
                <w:highlight w:val="none"/>
                <w:lang w:bidi="ar"/>
              </w:rPr>
              <w:t>9.50</w:t>
            </w:r>
            <w:r>
              <w:rPr>
                <w:rFonts w:ascii="Times New Roman Regular" w:hAnsi="Times New Roman Regular" w:eastAsia="宋体" w:cs="Times New Roman Regular"/>
                <w:color w:val="auto"/>
                <w:kern w:val="0"/>
                <w:sz w:val="18"/>
                <w:szCs w:val="18"/>
                <w:highlight w:val="none"/>
                <w:lang w:bidi="ar"/>
              </w:rPr>
              <w:t xml:space="preserve"> × 10</w:t>
            </w:r>
            <w:r>
              <w:rPr>
                <w:rFonts w:ascii="Times New Roman Regular" w:hAnsi="Times New Roman Regular" w:eastAsia="宋体" w:cs="Times New Roman Regular"/>
                <w:color w:val="auto"/>
                <w:kern w:val="0"/>
                <w:sz w:val="18"/>
                <w:szCs w:val="18"/>
                <w:highlight w:val="none"/>
                <w:vertAlign w:val="superscript"/>
                <w:lang w:bidi="ar"/>
              </w:rPr>
              <w:t>-</w:t>
            </w:r>
            <w:r>
              <w:rPr>
                <w:rFonts w:hint="default" w:ascii="Times New Roman Regular" w:hAnsi="Times New Roman Regular" w:eastAsia="宋体" w:cs="Times New Roman Regular"/>
                <w:color w:val="auto"/>
                <w:kern w:val="0"/>
                <w:sz w:val="18"/>
                <w:szCs w:val="18"/>
                <w:highlight w:val="none"/>
                <w:vertAlign w:val="superscript"/>
                <w:lang w:bidi="ar"/>
              </w:rPr>
              <w:t>18</w:t>
            </w:r>
          </w:p>
        </w:tc>
        <w:tc>
          <w:tcPr>
            <w:tcW w:w="3412" w:type="dxa"/>
            <w:tcBorders>
              <w:top w:val="nil"/>
              <w:left w:val="nil"/>
              <w:bottom w:val="single" w:color="auto" w:sz="4" w:space="0"/>
              <w:right w:val="nil"/>
            </w:tcBorders>
            <w:shd w:val="clear" w:color="auto" w:fill="auto"/>
            <w:noWrap/>
            <w:vAlign w:val="center"/>
          </w:tcPr>
          <w:p w14:paraId="53960647">
            <w:pPr>
              <w:widowControl/>
              <w:spacing w:line="240" w:lineRule="auto"/>
              <w:jc w:val="center"/>
              <w:textAlignment w:val="center"/>
              <w:rPr>
                <w:rFonts w:hint="eastAsia" w:ascii="Times New Roman Regular" w:hAnsi="Times New Roman Regular" w:eastAsia="宋体" w:cs="Times New Roman Regular"/>
                <w:color w:val="auto"/>
                <w:kern w:val="0"/>
                <w:sz w:val="18"/>
                <w:szCs w:val="18"/>
                <w:highlight w:val="none"/>
                <w:lang w:bidi="ar"/>
              </w:rPr>
            </w:pPr>
            <w:r>
              <w:rPr>
                <w:rFonts w:hint="eastAsia" w:ascii="Times New Roman Regular" w:hAnsi="Times New Roman Regular" w:eastAsia="宋体" w:cs="Times New Roman Regular"/>
                <w:color w:val="auto"/>
                <w:kern w:val="0"/>
                <w:sz w:val="18"/>
                <w:szCs w:val="18"/>
                <w:highlight w:val="none"/>
                <w:lang w:bidi="ar"/>
              </w:rPr>
              <w:t>35872910</w:t>
            </w:r>
            <w:r>
              <w:rPr>
                <w:rFonts w:hint="default" w:ascii="Times New Roman Regular" w:hAnsi="Times New Roman Regular" w:eastAsia="宋体" w:cs="Times New Roman Regular"/>
                <w:color w:val="auto"/>
                <w:kern w:val="0"/>
                <w:sz w:val="18"/>
                <w:szCs w:val="18"/>
                <w:highlight w:val="none"/>
                <w:lang w:bidi="ar"/>
              </w:rPr>
              <w:t>, 36180795</w:t>
            </w:r>
          </w:p>
        </w:tc>
      </w:tr>
    </w:tbl>
    <w:p w14:paraId="4FCBE4BB">
      <w:pPr>
        <w:spacing w:line="360" w:lineRule="auto"/>
        <w:rPr>
          <w:rFonts w:hint="eastAsia"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rPr>
        <w:t>Genomic risk loci are identified by FUMA by merging LD blocks of independent significant SNPs that are located within 250 kb of each other</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Chromosomal loci refer to the chromosomal regions that contain the genomic risk loci.</w:t>
      </w:r>
      <w:r>
        <w:rPr>
          <w:rFonts w:ascii="Times New Roman Regular" w:hAnsi="Times New Roman Regular" w:cs="Times New Roman Regular"/>
          <w:color w:val="auto"/>
          <w:highlight w:val="none"/>
        </w:rPr>
        <w:t xml:space="preserve">; </w:t>
      </w:r>
      <w:r>
        <w:rPr>
          <w:rFonts w:hint="eastAsia" w:ascii="Times New Roman Regular" w:hAnsi="Times New Roman Regular" w:cs="Times New Roman Regular"/>
          <w:color w:val="auto"/>
          <w:highlight w:val="none"/>
        </w:rPr>
        <w:t>The top lead SNP is defined as the SNP with the lowest P value within each genomic locus</w:t>
      </w:r>
      <w:r>
        <w:rPr>
          <w:rFonts w:ascii="Times New Roman Regular" w:hAnsi="Times New Roman Regular" w:cs="Times New Roman Regular"/>
          <w:color w:val="auto"/>
          <w:highlight w:val="none"/>
        </w:rPr>
        <w:t xml:space="preserve">. </w:t>
      </w:r>
    </w:p>
    <w:p w14:paraId="713E6B09">
      <w:pPr>
        <w:spacing w:line="360" w:lineRule="auto"/>
        <w:jc w:val="left"/>
        <w:rPr>
          <w:rFonts w:ascii="Times New Roman Bold" w:hAnsi="Times New Roman Bold" w:cs="Times New Roman Bold"/>
          <w:b/>
          <w:bCs/>
          <w:color w:val="auto"/>
          <w:szCs w:val="21"/>
          <w:highlight w:val="none"/>
        </w:rPr>
        <w:sectPr>
          <w:pgSz w:w="16838" w:h="11906" w:orient="landscape"/>
          <w:pgMar w:top="1800" w:right="1440" w:bottom="1800" w:left="1440" w:header="851" w:footer="992" w:gutter="0"/>
          <w:lnNumType w:countBy="0" w:restart="continuous"/>
          <w:cols w:space="425" w:num="1"/>
          <w:docGrid w:type="lines" w:linePitch="312" w:charSpace="0"/>
        </w:sectPr>
      </w:pPr>
    </w:p>
    <w:p w14:paraId="414FC883">
      <w:pPr>
        <w:spacing w:line="360" w:lineRule="auto"/>
        <w:jc w:val="left"/>
        <w:rPr>
          <w:rFonts w:hint="eastAsia" w:ascii="Times New Roman Regular" w:hAnsi="Times New Roman Regular" w:cs="Times New Roman Regular"/>
          <w:color w:val="auto"/>
          <w:highlight w:val="none"/>
        </w:rPr>
      </w:pPr>
      <w:r>
        <w:rPr>
          <w:rFonts w:ascii="Times New Roman Bold" w:hAnsi="Times New Roman Bold" w:cs="Times New Roman Bold"/>
          <w:b/>
          <w:bCs/>
          <w:color w:val="auto"/>
          <w:szCs w:val="21"/>
          <w:highlight w:val="none"/>
        </w:rPr>
        <w:t xml:space="preserve">Supplementary Note </w:t>
      </w:r>
      <w:r>
        <w:rPr>
          <w:rFonts w:hint="default" w:ascii="Times New Roman Bold" w:hAnsi="Times New Roman Bold" w:cs="Times New Roman Bold"/>
          <w:b/>
          <w:bCs/>
          <w:color w:val="auto"/>
          <w:szCs w:val="21"/>
          <w:highlight w:val="none"/>
          <w:lang w:val="en-US" w:eastAsia="zh-CN"/>
        </w:rPr>
        <w:t>5</w:t>
      </w:r>
      <w:r>
        <w:rPr>
          <w:rFonts w:ascii="Times New Roman Bold" w:hAnsi="Times New Roman Bold" w:cs="Times New Roman Bold"/>
          <w:b/>
          <w:bCs/>
          <w:color w:val="auto"/>
          <w:szCs w:val="21"/>
          <w:highlight w:val="none"/>
        </w:rPr>
        <w:t xml:space="preserve">. </w:t>
      </w:r>
      <w:r>
        <w:rPr>
          <w:rFonts w:ascii="Times New Roman Bold" w:hAnsi="Times New Roman Bold" w:cs="Times New Roman Bold"/>
          <w:b/>
          <w:bCs/>
          <w:color w:val="auto"/>
          <w:szCs w:val="21"/>
          <w:highlight w:val="none"/>
          <w:lang w:eastAsia="zh-Hans"/>
        </w:rPr>
        <w:t>Prioritization of susceptibility genes</w:t>
      </w:r>
      <w:r>
        <w:rPr>
          <w:rFonts w:hint="default" w:ascii="Times New Roman Bold" w:hAnsi="Times New Roman Bold" w:cs="Times New Roman Bold"/>
          <w:b/>
          <w:bCs/>
          <w:color w:val="auto"/>
          <w:szCs w:val="21"/>
          <w:highlight w:val="none"/>
          <w:lang w:eastAsia="zh-Hans"/>
        </w:rPr>
        <w:t xml:space="preserve"> and proteins</w:t>
      </w:r>
      <w:r>
        <w:rPr>
          <w:rFonts w:ascii="Times New Roman Bold" w:hAnsi="Times New Roman Bold" w:cs="Times New Roman Bold"/>
          <w:b/>
          <w:bCs/>
          <w:color w:val="auto"/>
          <w:szCs w:val="21"/>
          <w:highlight w:val="none"/>
          <w:lang w:eastAsia="zh-Hans"/>
        </w:rPr>
        <w:t xml:space="preserve"> from the MTAG-identified loci</w:t>
      </w:r>
    </w:p>
    <w:p w14:paraId="125B97E8">
      <w:pPr>
        <w:spacing w:line="360" w:lineRule="auto"/>
        <w:rPr>
          <w:rFonts w:hint="eastAsia" w:ascii="Times New Roman Regular" w:hAnsi="Times New Roman Regular" w:cs="Times New Roman Regular"/>
          <w:color w:val="auto"/>
          <w:highlight w:val="none"/>
        </w:rPr>
      </w:pPr>
      <w:r>
        <w:rPr>
          <w:rFonts w:hint="eastAsia" w:ascii="Times New Roman Regular" w:hAnsi="Times New Roman Regular" w:cs="Times New Roman Regular"/>
          <w:color w:val="auto"/>
          <w:highlight w:val="none"/>
        </w:rPr>
        <w:t xml:space="preserve">To identify susceptibility genes associated with our MTAG findings, we utilized positional gene mapping results derived from both MAGMA and FUMA. Using FUMA, SNPs were mapped to 345 genes for AF, 567 for CAD, 375 for VTE, 47 for HF, 63 for PAD, and 66 for Stroke. Notably, several genes mapped by FUMA were not identified in the original GWAS results—34 for AF, 24 for CAD, 29 for VTE, 19 for HF, 42 for PAD, and 21 for </w:t>
      </w:r>
      <w:r>
        <w:rPr>
          <w:rFonts w:hint="default" w:ascii="Times New Roman Regular" w:hAnsi="Times New Roman Regular" w:cs="Times New Roman Regular"/>
          <w:color w:val="auto"/>
          <w:highlight w:val="none"/>
          <w:lang w:val="en-US"/>
        </w:rPr>
        <w:t>s</w:t>
      </w:r>
      <w:r>
        <w:rPr>
          <w:rFonts w:hint="eastAsia" w:ascii="Times New Roman Regular" w:hAnsi="Times New Roman Regular" w:cs="Times New Roman Regular"/>
          <w:color w:val="auto"/>
          <w:highlight w:val="none"/>
        </w:rPr>
        <w:t xml:space="preserve">troke (Supplementary Data 12, 13, and 16). In parallel, MAGMA analysis mapped 241 genes for AF, 474 for CAD, 303 for VTE, 31 for HF, 17 for PAD, and 43 for Stroke. Among these, 9 genes for AF, 19 for CAD, 25 for VTE, 19 for HF, 13 for PAD, and 21 for </w:t>
      </w:r>
      <w:r>
        <w:rPr>
          <w:rFonts w:hint="default" w:ascii="Times New Roman Regular" w:hAnsi="Times New Roman Regular" w:cs="Times New Roman Regular"/>
          <w:color w:val="auto"/>
          <w:highlight w:val="none"/>
          <w:lang w:val="en-US"/>
        </w:rPr>
        <w:t>s</w:t>
      </w:r>
      <w:r>
        <w:rPr>
          <w:rFonts w:hint="eastAsia" w:ascii="Times New Roman Regular" w:hAnsi="Times New Roman Regular" w:cs="Times New Roman Regular"/>
          <w:color w:val="auto"/>
          <w:highlight w:val="none"/>
        </w:rPr>
        <w:t>troke were not found in the original</w:t>
      </w:r>
      <w:r>
        <w:rPr>
          <w:rFonts w:hint="default" w:ascii="Times New Roman Regular" w:hAnsi="Times New Roman Regular" w:cs="Times New Roman Regular"/>
          <w:color w:val="auto"/>
          <w:highlight w:val="none"/>
          <w:lang w:val="en-US"/>
        </w:rPr>
        <w:t xml:space="preserve"> </w:t>
      </w:r>
      <w:r>
        <w:rPr>
          <w:rFonts w:hint="eastAsia" w:ascii="Times New Roman Regular" w:hAnsi="Times New Roman Regular" w:cs="Times New Roman Regular"/>
          <w:color w:val="auto"/>
          <w:highlight w:val="none"/>
        </w:rPr>
        <w:t>GWAS results (Supplementary Data 15).</w:t>
      </w:r>
    </w:p>
    <w:p w14:paraId="098003ED">
      <w:pPr>
        <w:spacing w:line="360" w:lineRule="auto"/>
        <w:rPr>
          <w:rFonts w:hint="eastAsia" w:ascii="Times New Roman Regular" w:hAnsi="Times New Roman Regular" w:cs="Times New Roman Regular"/>
          <w:color w:val="auto"/>
          <w:highlight w:val="none"/>
        </w:rPr>
      </w:pPr>
    </w:p>
    <w:p w14:paraId="62EED347">
      <w:pPr>
        <w:spacing w:line="360" w:lineRule="auto"/>
        <w:rPr>
          <w:rFonts w:ascii="Times New Roman Bold" w:hAnsi="Times New Roman Bold" w:cs="Times New Roman Bold"/>
          <w:b/>
          <w:bCs/>
          <w:strike w:val="0"/>
          <w:color w:val="auto"/>
          <w:szCs w:val="21"/>
          <w:highlight w:val="none"/>
        </w:rPr>
      </w:pPr>
      <w:r>
        <w:rPr>
          <w:rFonts w:hint="eastAsia" w:ascii="Times New Roman Regular" w:hAnsi="Times New Roman Regular" w:cs="Times New Roman Regular"/>
          <w:color w:val="auto"/>
          <w:highlight w:val="none"/>
        </w:rPr>
        <w:t>To further investigate the biological relevance of these genes, we performed eQTL mapping using FUMA and conducted TWAS to identify tissue-specific gene associations. FUMA mapped SNPs to 900 genes for AF, 1,768 for CAD, 1,056 for VTE, 121 for HF, 151 for PAD, and 157 for stroke. Notably, this included 113 genes for AF, 179 for CAD, 177 for VTE, 79 for HF, 127 for PAD, and 55 for stroke that were not detected in the original</w:t>
      </w:r>
      <w:r>
        <w:rPr>
          <w:rFonts w:hint="eastAsia" w:ascii="Times New Roman Regular" w:hAnsi="Times New Roman Regular" w:cs="Times New Roman Regular"/>
          <w:color w:val="auto"/>
          <w:highlight w:val="none"/>
          <w:lang w:val="en-US" w:eastAsia="zh-CN"/>
        </w:rPr>
        <w:t xml:space="preserve"> </w:t>
      </w:r>
      <w:r>
        <w:rPr>
          <w:rFonts w:hint="eastAsia" w:ascii="Times New Roman Regular" w:hAnsi="Times New Roman Regular" w:cs="Times New Roman Regular"/>
          <w:color w:val="auto"/>
          <w:highlight w:val="none"/>
        </w:rPr>
        <w:t>GWAS results (Supplementary Data 12, 13, and 17). Furthermore, TWAS identified 322 genes for AF, 755 for CAD, 494 for VTE, 32 for HF, 33 for PAD, and 44 for stroke that were significantly associated with gene expression in at least one tissue, including adipose, artery, heart, liver, or whole blood. This included 15 genes for AF, 41 for CAD, 43 for VTE, 21 for HF, 24 for PAD, and 26 for stroke that were not detected in the original</w:t>
      </w:r>
      <w:r>
        <w:rPr>
          <w:rFonts w:hint="eastAsia" w:ascii="Times New Roman Regular" w:hAnsi="Times New Roman Regular" w:cs="Times New Roman Regular"/>
          <w:color w:val="auto"/>
          <w:highlight w:val="none"/>
          <w:lang w:val="en-US" w:eastAsia="zh-CN"/>
        </w:rPr>
        <w:t xml:space="preserve"> </w:t>
      </w:r>
      <w:r>
        <w:rPr>
          <w:rFonts w:hint="eastAsia" w:ascii="Times New Roman Regular" w:hAnsi="Times New Roman Regular" w:cs="Times New Roman Regular"/>
          <w:color w:val="auto"/>
          <w:highlight w:val="none"/>
        </w:rPr>
        <w:t>GWAS results (Supplementary Data 16).</w:t>
      </w:r>
      <w:r>
        <w:rPr>
          <w:rFonts w:ascii="Times New Roman Bold" w:hAnsi="Times New Roman Bold" w:cs="Times New Roman Bold"/>
          <w:b/>
          <w:bCs/>
          <w:strike w:val="0"/>
          <w:color w:val="auto"/>
          <w:szCs w:val="21"/>
          <w:highlight w:val="none"/>
        </w:rPr>
        <w:br w:type="page"/>
      </w:r>
    </w:p>
    <w:p w14:paraId="400ADB9C">
      <w:pPr>
        <w:spacing w:line="360" w:lineRule="auto"/>
        <w:rPr>
          <w:rFonts w:hint="eastAsia" w:ascii="Times New Roman Bold" w:hAnsi="Times New Roman Bold" w:cs="Times New Roman Bold"/>
          <w:b/>
          <w:bCs/>
          <w:color w:val="auto"/>
          <w:szCs w:val="21"/>
          <w:highlight w:val="none"/>
          <w:lang w:val="en-US" w:eastAsia="zh-CN"/>
        </w:rPr>
      </w:pPr>
      <w:r>
        <w:rPr>
          <w:rFonts w:ascii="Times New Roman Bold" w:hAnsi="Times New Roman Bold" w:cs="Times New Roman Bold"/>
          <w:b/>
          <w:bCs/>
          <w:color w:val="auto"/>
          <w:szCs w:val="21"/>
          <w:highlight w:val="none"/>
        </w:rPr>
        <w:t>Supplementary</w:t>
      </w:r>
      <w:r>
        <w:rPr>
          <w:rFonts w:hint="default" w:ascii="Times New Roman Bold" w:hAnsi="Times New Roman Bold" w:cs="Times New Roman Bold"/>
          <w:b/>
          <w:bCs/>
          <w:color w:val="auto"/>
          <w:szCs w:val="21"/>
          <w:highlight w:val="none"/>
        </w:rPr>
        <w:t xml:space="preserve"> </w:t>
      </w:r>
      <w:r>
        <w:rPr>
          <w:rFonts w:ascii="Times New Roman Bold" w:hAnsi="Times New Roman Bold" w:cs="Times New Roman Bold"/>
          <w:b/>
          <w:bCs/>
          <w:color w:val="auto"/>
          <w:szCs w:val="21"/>
          <w:highlight w:val="none"/>
        </w:rPr>
        <w:t>Note</w:t>
      </w:r>
      <w:r>
        <w:rPr>
          <w:rFonts w:hint="default" w:ascii="Times New Roman Bold" w:hAnsi="Times New Roman Bold" w:cs="Times New Roman Bold"/>
          <w:b/>
          <w:bCs/>
          <w:color w:val="auto"/>
          <w:szCs w:val="21"/>
          <w:highlight w:val="none"/>
        </w:rPr>
        <w:t xml:space="preserve"> </w:t>
      </w:r>
      <w:r>
        <w:rPr>
          <w:rFonts w:hint="default" w:ascii="Times New Roman Bold" w:hAnsi="Times New Roman Bold" w:cs="Times New Roman Bold"/>
          <w:b/>
          <w:bCs/>
          <w:color w:val="auto"/>
          <w:szCs w:val="21"/>
          <w:highlight w:val="none"/>
          <w:lang w:val="en-US" w:eastAsia="zh-CN"/>
        </w:rPr>
        <w:t>6</w:t>
      </w:r>
      <w:r>
        <w:rPr>
          <w:rFonts w:ascii="Times New Roman Bold" w:hAnsi="Times New Roman Bold" w:cs="Times New Roman Bold"/>
          <w:b/>
          <w:bCs/>
          <w:color w:val="auto"/>
          <w:szCs w:val="21"/>
          <w:highlight w:val="none"/>
        </w:rPr>
        <w:t xml:space="preserve">. </w:t>
      </w:r>
      <w:r>
        <w:rPr>
          <w:rFonts w:hint="eastAsia" w:ascii="Times New Roman Bold" w:hAnsi="Times New Roman Bold" w:cs="Times New Roman Bold"/>
          <w:b/>
          <w:bCs/>
          <w:color w:val="auto"/>
          <w:szCs w:val="21"/>
          <w:highlight w:val="none"/>
        </w:rPr>
        <w:t>Causal inference</w:t>
      </w:r>
      <w:r>
        <w:rPr>
          <w:rFonts w:hint="eastAsia" w:ascii="Times New Roman Bold" w:hAnsi="Times New Roman Bold" w:cs="Times New Roman Bold"/>
          <w:b/>
          <w:bCs/>
          <w:color w:val="auto"/>
          <w:szCs w:val="21"/>
          <w:highlight w:val="none"/>
          <w:lang w:val="en-US" w:eastAsia="zh-CN"/>
        </w:rPr>
        <w:t xml:space="preserve"> between 24 metabolic traits/diseases and 6 major CVDs</w:t>
      </w:r>
    </w:p>
    <w:p w14:paraId="44CA4FC5">
      <w:pPr>
        <w:spacing w:line="360" w:lineRule="auto"/>
        <w:jc w:val="both"/>
        <w:rPr>
          <w:rFonts w:hint="default" w:ascii="Times New Roman Regular" w:hAnsi="Times New Roman Regular" w:cs="Times New Roman Regular"/>
          <w:strike w:val="0"/>
          <w:color w:val="auto"/>
          <w:sz w:val="21"/>
          <w:szCs w:val="21"/>
          <w:highlight w:val="none"/>
        </w:rPr>
      </w:pPr>
      <w:r>
        <w:rPr>
          <w:rFonts w:hint="default" w:ascii="Times New Roman Regular" w:hAnsi="Times New Roman Regular" w:cs="Times New Roman Regular"/>
          <w:strike w:val="0"/>
          <w:color w:val="auto"/>
          <w:sz w:val="21"/>
          <w:szCs w:val="21"/>
          <w:highlight w:val="none"/>
        </w:rPr>
        <w:t>We employed the MRlap method to conduct bidirectional causal inference between 24 metabolic traits or diseases and six major CVDs. After Bonferroni correction (</w:t>
      </w:r>
      <w:r>
        <w:rPr>
          <w:rFonts w:hint="default" w:ascii="Times New Roman Italic" w:hAnsi="Times New Roman Italic" w:cs="Times New Roman Italic"/>
          <w:i/>
          <w:iCs/>
          <w:strike w:val="0"/>
          <w:color w:val="auto"/>
          <w:sz w:val="21"/>
          <w:szCs w:val="21"/>
          <w:highlight w:val="none"/>
        </w:rPr>
        <w:t>P</w:t>
      </w:r>
      <w:r>
        <w:rPr>
          <w:rFonts w:hint="default" w:ascii="Times New Roman Regular" w:hAnsi="Times New Roman Regular" w:cs="Times New Roman Regular"/>
          <w:strike w:val="0"/>
          <w:color w:val="auto"/>
          <w:sz w:val="21"/>
          <w:szCs w:val="21"/>
          <w:highlight w:val="none"/>
        </w:rPr>
        <w:t xml:space="preserve"> = 0.05 / the number of combinations /</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the number of M</w:t>
      </w:r>
      <w:r>
        <w:rPr>
          <w:rFonts w:hint="eastAsia" w:ascii="Times New Roman Regular" w:hAnsi="Times New Roman Regular" w:cs="Times New Roman Regular"/>
          <w:strike w:val="0"/>
          <w:color w:val="auto"/>
          <w:sz w:val="21"/>
          <w:szCs w:val="21"/>
          <w:highlight w:val="none"/>
          <w:lang w:val="en-US" w:eastAsia="zh-CN"/>
        </w:rPr>
        <w:t>R</w:t>
      </w:r>
      <w:r>
        <w:rPr>
          <w:rFonts w:hint="default" w:ascii="Times New Roman Regular" w:hAnsi="Times New Roman Regular" w:cs="Times New Roman Regular"/>
          <w:strike w:val="0"/>
          <w:color w:val="auto"/>
          <w:sz w:val="21"/>
          <w:szCs w:val="21"/>
          <w:highlight w:val="none"/>
        </w:rPr>
        <w:t xml:space="preserve"> tests = 0.05 / 144 / 2 = 1.74 ×</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10</w:t>
      </w:r>
      <w:r>
        <w:rPr>
          <w:rFonts w:hint="default" w:ascii="Times New Roman Regular" w:hAnsi="Times New Roman Regular" w:cs="Times New Roman Regular"/>
          <w:strike w:val="0"/>
          <w:color w:val="auto"/>
          <w:sz w:val="21"/>
          <w:szCs w:val="21"/>
          <w:highlight w:val="none"/>
          <w:vertAlign w:val="superscript"/>
          <w:lang w:val="en-US"/>
        </w:rPr>
        <w:t>-</w:t>
      </w:r>
      <w:r>
        <w:rPr>
          <w:rFonts w:hint="default" w:ascii="Times New Roman Regular" w:hAnsi="Times New Roman Regular" w:cs="Times New Roman Regular"/>
          <w:strike w:val="0"/>
          <w:color w:val="auto"/>
          <w:sz w:val="21"/>
          <w:szCs w:val="21"/>
          <w:highlight w:val="none"/>
          <w:vertAlign w:val="superscript"/>
        </w:rPr>
        <w:t>4</w:t>
      </w:r>
      <w:r>
        <w:rPr>
          <w:rFonts w:hint="default" w:ascii="Times New Roman Regular" w:hAnsi="Times New Roman Regular" w:cs="Times New Roman Regular"/>
          <w:strike w:val="0"/>
          <w:color w:val="auto"/>
          <w:sz w:val="21"/>
          <w:szCs w:val="21"/>
          <w:highlight w:val="none"/>
        </w:rPr>
        <w:t>), 51 out of the 144 trait pairs showed significant positive causal effects, suggesting that the majority of metabolic traits or diseases exert a causal influence on CVDs. Hypertension emerged as the most prominent causal risk factor for CVD, showing significant positive associations with HF (OR = 1.237; 95% CI, 1.192–1.284) and stroke (OR = 1.262; 95% CI, 1.217–1.308). Additionally, six trait pairs exhibited bidirectional causal relationships, with CAD demonstrating particularly strong reciprocal associations with six metabolic traits or diseases, most notably hypertension. Conversely, only one trait pair—CAD and CIMT—demonstrated an inverse causal relationship (Supplementary Data 2</w:t>
      </w:r>
      <w:r>
        <w:rPr>
          <w:rFonts w:hint="default" w:ascii="Times New Roman Regular" w:hAnsi="Times New Roman Regular" w:cs="Times New Roman Regular"/>
          <w:strike w:val="0"/>
          <w:color w:val="auto"/>
          <w:sz w:val="21"/>
          <w:szCs w:val="21"/>
          <w:highlight w:val="none"/>
          <w:lang w:val="en-US"/>
        </w:rPr>
        <w:t>4</w:t>
      </w:r>
      <w:r>
        <w:rPr>
          <w:rFonts w:hint="default" w:ascii="Times New Roman Regular" w:hAnsi="Times New Roman Regular" w:cs="Times New Roman Regular"/>
          <w:strike w:val="0"/>
          <w:color w:val="auto"/>
          <w:sz w:val="21"/>
          <w:szCs w:val="21"/>
          <w:highlight w:val="none"/>
        </w:rPr>
        <w:t>). Specifically, genetically predicted risk of CAD was associated with an increased risk of elevated CIMT. CIMT is a well-established subclinical marker of atherosclerosis, widely used to detect early vascular changes and to predict future cardiovascular events. This unexpected inverse causal direction may reflect complex underlying biological mechanisms, pleiotropy, or methodological limitations, and thus should be interpreted with caution.</w:t>
      </w:r>
      <w:r>
        <w:rPr>
          <w:rFonts w:hint="default" w:ascii="Times New Roman Regular" w:hAnsi="Times New Roman Regular" w:cs="Times New Roman Regular"/>
          <w:strike w:val="0"/>
          <w:color w:val="auto"/>
          <w:sz w:val="21"/>
          <w:szCs w:val="21"/>
          <w:highlight w:val="none"/>
        </w:rPr>
        <w:br w:type="page"/>
      </w:r>
    </w:p>
    <w:p w14:paraId="1F8D7AAC">
      <w:pPr>
        <w:spacing w:line="360" w:lineRule="auto"/>
        <w:jc w:val="both"/>
        <w:rPr>
          <w:rFonts w:hint="eastAsia" w:ascii="Times New Roman Bold" w:hAnsi="Times New Roman Bold" w:cs="Times New Roman Bold"/>
          <w:b/>
          <w:bCs/>
          <w:strike w:val="0"/>
          <w:color w:val="auto"/>
          <w:szCs w:val="21"/>
          <w:highlight w:val="none"/>
          <w:lang w:eastAsia="zh-Hans"/>
        </w:rPr>
      </w:pPr>
      <w:r>
        <w:rPr>
          <w:rFonts w:ascii="Times New Roman Bold" w:hAnsi="Times New Roman Bold" w:cs="Times New Roman Bold"/>
          <w:b/>
          <w:bCs/>
          <w:strike w:val="0"/>
          <w:color w:val="auto"/>
          <w:szCs w:val="21"/>
          <w:highlight w:val="none"/>
        </w:rPr>
        <w:t>Supplementary</w:t>
      </w:r>
      <w:r>
        <w:rPr>
          <w:rFonts w:hint="default" w:ascii="Times New Roman Bold" w:hAnsi="Times New Roman Bold" w:cs="Times New Roman Bold"/>
          <w:b/>
          <w:bCs/>
          <w:strike w:val="0"/>
          <w:color w:val="auto"/>
          <w:szCs w:val="21"/>
          <w:highlight w:val="none"/>
        </w:rPr>
        <w:t xml:space="preserve"> </w:t>
      </w:r>
      <w:r>
        <w:rPr>
          <w:rFonts w:ascii="Times New Roman Bold" w:hAnsi="Times New Roman Bold" w:cs="Times New Roman Bold"/>
          <w:b/>
          <w:bCs/>
          <w:strike w:val="0"/>
          <w:color w:val="auto"/>
          <w:szCs w:val="21"/>
          <w:highlight w:val="none"/>
        </w:rPr>
        <w:t>Note</w:t>
      </w:r>
      <w:r>
        <w:rPr>
          <w:rFonts w:hint="default" w:ascii="Times New Roman Bold" w:hAnsi="Times New Roman Bold" w:cs="Times New Roman Bold"/>
          <w:b/>
          <w:bCs/>
          <w:strike w:val="0"/>
          <w:color w:val="auto"/>
          <w:szCs w:val="21"/>
          <w:highlight w:val="none"/>
        </w:rPr>
        <w:t xml:space="preserve"> </w:t>
      </w:r>
      <w:r>
        <w:rPr>
          <w:rFonts w:hint="default" w:ascii="Times New Roman Bold" w:hAnsi="Times New Roman Bold" w:cs="Times New Roman Bold"/>
          <w:b/>
          <w:bCs/>
          <w:strike w:val="0"/>
          <w:color w:val="auto"/>
          <w:szCs w:val="21"/>
          <w:highlight w:val="none"/>
          <w:lang w:val="en-US" w:eastAsia="zh-CN"/>
        </w:rPr>
        <w:t>7</w:t>
      </w:r>
      <w:r>
        <w:rPr>
          <w:rFonts w:ascii="Times New Roman Bold" w:hAnsi="Times New Roman Bold" w:cs="Times New Roman Bold"/>
          <w:b/>
          <w:bCs/>
          <w:strike w:val="0"/>
          <w:color w:val="auto"/>
          <w:szCs w:val="21"/>
          <w:highlight w:val="none"/>
        </w:rPr>
        <w:t xml:space="preserve">. </w:t>
      </w:r>
      <w:r>
        <w:rPr>
          <w:rFonts w:ascii="Times New Roman Bold" w:hAnsi="Times New Roman Bold" w:cs="Times New Roman Bold"/>
          <w:b/>
          <w:bCs/>
          <w:strike w:val="0"/>
          <w:color w:val="auto"/>
          <w:szCs w:val="21"/>
          <w:highlight w:val="none"/>
          <w:lang w:eastAsia="zh-Hans"/>
        </w:rPr>
        <w:t>Causal proteins identified by Proteome-wide MR and Colocalization analysis</w:t>
      </w:r>
    </w:p>
    <w:p w14:paraId="3DC62EAB">
      <w:pPr>
        <w:spacing w:line="360" w:lineRule="auto"/>
        <w:ind w:firstLine="0" w:firstLineChars="0"/>
        <w:jc w:val="both"/>
        <w:rPr>
          <w:rFonts w:hint="default" w:ascii="Times New Roman Regular" w:hAnsi="Times New Roman Regular" w:cs="Times New Roman Regular"/>
          <w:strike w:val="0"/>
          <w:color w:val="auto"/>
          <w:szCs w:val="21"/>
          <w:highlight w:val="none"/>
          <w:lang w:eastAsia="zh-Hans"/>
        </w:rPr>
      </w:pPr>
      <w:r>
        <w:rPr>
          <w:rFonts w:ascii="Times New Roman Regular" w:hAnsi="Times New Roman Regular" w:cs="Times New Roman Regular"/>
          <w:strike w:val="0"/>
          <w:color w:val="auto"/>
          <w:szCs w:val="21"/>
          <w:highlight w:val="none"/>
          <w:lang w:eastAsia="zh-Hans"/>
        </w:rPr>
        <w:t xml:space="preserve">We conducted an in-depth examination of the MR associations between </w:t>
      </w:r>
      <w:r>
        <w:rPr>
          <w:rFonts w:hint="default" w:ascii="Times New Roman Regular" w:hAnsi="Times New Roman Regular" w:cs="Times New Roman Regular"/>
          <w:strike w:val="0"/>
          <w:color w:val="auto"/>
          <w:szCs w:val="21"/>
          <w:highlight w:val="none"/>
          <w:lang w:eastAsia="zh-Hans"/>
        </w:rPr>
        <w:t>2,730</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unique</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 xml:space="preserve">proteins with available index cis-acting variants (cis-pQTL) </w:t>
      </w:r>
      <w:r>
        <w:rPr>
          <w:rFonts w:hint="default" w:ascii="Times New Roman Regular" w:hAnsi="Times New Roman Regular" w:cs="Times New Roman Regular"/>
          <w:strike w:val="0"/>
          <w:color w:val="auto"/>
          <w:szCs w:val="21"/>
          <w:highlight w:val="none"/>
          <w:lang w:eastAsia="zh-Hans"/>
        </w:rPr>
        <w:t xml:space="preserve">from two large-scale GWASs in the deCODE Health study and UK Biobank Pharma Proteomics Project (UKB-PPP) </w:t>
      </w:r>
      <w:r>
        <w:rPr>
          <w:rFonts w:ascii="Times New Roman Regular" w:hAnsi="Times New Roman Regular" w:cs="Times New Roman Regular"/>
          <w:strike w:val="0"/>
          <w:color w:val="auto"/>
          <w:szCs w:val="21"/>
          <w:highlight w:val="none"/>
          <w:lang w:eastAsia="zh-Hans"/>
        </w:rPr>
        <w:t xml:space="preserve">and the risk of CVD outcomes using the </w:t>
      </w:r>
      <w:r>
        <w:rPr>
          <w:rFonts w:hint="default" w:ascii="Times New Roman Regular" w:hAnsi="Times New Roman Regular" w:cs="Times New Roman Regular"/>
          <w:b w:val="0"/>
          <w:bCs w:val="0"/>
          <w:strike w:val="0"/>
          <w:color w:val="auto"/>
          <w:sz w:val="21"/>
          <w:szCs w:val="21"/>
          <w:highlight w:val="none"/>
        </w:rPr>
        <w:t>summary data-based Mendelian randomization (SMR)</w:t>
      </w:r>
      <w:r>
        <w:rPr>
          <w:rFonts w:ascii="Times New Roman Regular" w:hAnsi="Times New Roman Regular" w:cs="Times New Roman Regular"/>
          <w:strike w:val="0"/>
          <w:color w:val="auto"/>
          <w:szCs w:val="21"/>
          <w:highlight w:val="none"/>
          <w:lang w:eastAsia="zh-Hans"/>
        </w:rPr>
        <w:t xml:space="preserve"> approach. </w:t>
      </w:r>
      <w:r>
        <w:rPr>
          <w:rFonts w:hint="default" w:ascii="Times New Roman Regular" w:hAnsi="Times New Roman Regular" w:cs="Times New Roman Regular"/>
          <w:strike w:val="0"/>
          <w:color w:val="auto"/>
          <w:szCs w:val="21"/>
          <w:highlight w:val="none"/>
          <w:lang w:eastAsia="zh-Hans"/>
        </w:rPr>
        <w:t>F</w:t>
      </w:r>
      <w:r>
        <w:rPr>
          <w:rFonts w:ascii="Times New Roman Regular" w:hAnsi="Times New Roman Regular" w:cs="Times New Roman Regular"/>
          <w:strike w:val="0"/>
          <w:color w:val="auto"/>
          <w:szCs w:val="21"/>
          <w:highlight w:val="none"/>
          <w:lang w:eastAsia="zh-Hans"/>
        </w:rPr>
        <w:t xml:space="preserve">ollowing the removal of associations that did not pass the HEIDI test, as well as employing sensitivity analysis using multi-SNPs-SMR and multiple testing corrections with </w:t>
      </w:r>
      <w:r>
        <w:rPr>
          <w:rFonts w:hint="eastAsia" w:ascii="Times New Roman Regular" w:hAnsi="Times New Roman Regular" w:cs="Times New Roman Regular"/>
          <w:strike w:val="0"/>
          <w:color w:val="auto"/>
          <w:szCs w:val="21"/>
          <w:highlight w:val="none"/>
          <w:lang w:eastAsia="zh-Hans"/>
        </w:rPr>
        <w:t>Bonferroni correction</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w:t>
      </w:r>
      <w:r>
        <w:rPr>
          <w:rFonts w:hint="default" w:ascii="Times New Roman Italic" w:hAnsi="Times New Roman Italic" w:cs="Times New Roman Italic"/>
          <w:i/>
          <w:iCs/>
          <w:strike w:val="0"/>
          <w:color w:val="auto"/>
          <w:szCs w:val="21"/>
          <w:highlight w:val="none"/>
          <w:lang w:eastAsia="zh-Hans"/>
        </w:rPr>
        <w:t>P</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 xml:space="preserve"> = .05 / </w:t>
      </w:r>
      <w:r>
        <w:rPr>
          <w:rFonts w:hint="default" w:ascii="Times New Roman Regular" w:hAnsi="Times New Roman Regular" w:cs="Times New Roman Regular"/>
          <w:strike w:val="0"/>
          <w:color w:val="auto"/>
          <w:szCs w:val="21"/>
          <w:highlight w:val="none"/>
          <w:lang w:eastAsia="zh-Hans"/>
        </w:rPr>
        <w:t>2,730</w:t>
      </w:r>
      <w:r>
        <w:rPr>
          <w:rFonts w:ascii="Times New Roman Regular" w:hAnsi="Times New Roman Regular" w:cs="Times New Roman Regular"/>
          <w:strike w:val="0"/>
          <w:color w:val="auto"/>
          <w:szCs w:val="21"/>
          <w:highlight w:val="none"/>
          <w:lang w:eastAsia="zh-Hans"/>
        </w:rPr>
        <w:t xml:space="preserve"> / </w:t>
      </w:r>
      <w:r>
        <w:rPr>
          <w:rFonts w:hint="default" w:ascii="Times New Roman Regular" w:hAnsi="Times New Roman Regular" w:cs="Times New Roman Regular"/>
          <w:strike w:val="0"/>
          <w:color w:val="auto"/>
          <w:szCs w:val="21"/>
          <w:highlight w:val="none"/>
          <w:lang w:eastAsia="zh-Hans"/>
        </w:rPr>
        <w:t>3</w:t>
      </w:r>
      <w:r>
        <w:rPr>
          <w:rFonts w:ascii="Times New Roman Regular" w:hAnsi="Times New Roman Regular" w:cs="Times New Roman Regular"/>
          <w:strike w:val="0"/>
          <w:color w:val="auto"/>
          <w:szCs w:val="21"/>
          <w:highlight w:val="none"/>
          <w:lang w:eastAsia="zh-Hans"/>
        </w:rPr>
        <w:t xml:space="preserve"> = </w:t>
      </w:r>
      <w:r>
        <w:rPr>
          <w:rFonts w:hint="default" w:ascii="Times New Roman Regular" w:hAnsi="Times New Roman Regular" w:cs="Times New Roman Regular"/>
          <w:strike w:val="0"/>
          <w:color w:val="auto"/>
          <w:szCs w:val="21"/>
          <w:highlight w:val="none"/>
          <w:lang w:eastAsia="zh-Hans"/>
        </w:rPr>
        <w:t>6.11</w:t>
      </w:r>
      <w:r>
        <w:rPr>
          <w:rFonts w:ascii="Times New Roman Regular" w:hAnsi="Times New Roman Regular" w:cs="Times New Roman Regular"/>
          <w:strike w:val="0"/>
          <w:color w:val="auto"/>
          <w:szCs w:val="21"/>
          <w:highlight w:val="none"/>
          <w:lang w:eastAsia="zh-Hans"/>
        </w:rPr>
        <w:t> × 10</w:t>
      </w:r>
      <w:r>
        <w:rPr>
          <w:rFonts w:ascii="Times New Roman Regular" w:hAnsi="Times New Roman Regular" w:cs="Times New Roman Regular"/>
          <w:strike w:val="0"/>
          <w:color w:val="auto"/>
          <w:szCs w:val="21"/>
          <w:highlight w:val="none"/>
          <w:vertAlign w:val="superscript"/>
          <w:lang w:eastAsia="zh-Hans"/>
        </w:rPr>
        <w:t>-</w:t>
      </w:r>
      <w:r>
        <w:rPr>
          <w:rFonts w:hint="default" w:ascii="Times New Roman Regular" w:hAnsi="Times New Roman Regular" w:cs="Times New Roman Regular"/>
          <w:strike w:val="0"/>
          <w:color w:val="auto"/>
          <w:szCs w:val="21"/>
          <w:highlight w:val="none"/>
          <w:vertAlign w:val="superscript"/>
          <w:lang w:eastAsia="zh-Hans"/>
        </w:rPr>
        <w:t>6</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genetically predicted levels of 8</w:t>
      </w:r>
      <w:r>
        <w:rPr>
          <w:rFonts w:hint="default" w:ascii="Times New Roman Regular" w:hAnsi="Times New Roman Regular" w:cs="Times New Roman Regular"/>
          <w:strike w:val="0"/>
          <w:color w:val="auto"/>
          <w:szCs w:val="21"/>
          <w:highlight w:val="none"/>
          <w:lang w:eastAsia="zh-Hans"/>
        </w:rPr>
        <w:t>1</w:t>
      </w:r>
      <w:r>
        <w:rPr>
          <w:rFonts w:hint="eastAsia" w:ascii="Times New Roman Regular" w:hAnsi="Times New Roman Regular" w:cs="Times New Roman Regular"/>
          <w:strike w:val="0"/>
          <w:color w:val="auto"/>
          <w:szCs w:val="21"/>
          <w:highlight w:val="none"/>
          <w:lang w:eastAsia="zh-Hans"/>
        </w:rPr>
        <w:t xml:space="preserve"> proteins were significantly associated with the risk of CVDs.</w:t>
      </w:r>
      <w:r>
        <w:rPr>
          <w:rFonts w:ascii="Times New Roman Regular" w:hAnsi="Times New Roman Regular" w:cs="Times New Roman Regular"/>
          <w:strike w:val="0"/>
          <w:color w:val="auto"/>
          <w:szCs w:val="21"/>
          <w:highlight w:val="none"/>
          <w:lang w:eastAsia="zh-Hans"/>
        </w:rPr>
        <w:t xml:space="preserve"> Among these, </w:t>
      </w:r>
      <w:r>
        <w:rPr>
          <w:rFonts w:hint="default" w:ascii="Times New Roman Regular" w:hAnsi="Times New Roman Regular" w:cs="Times New Roman Regular"/>
          <w:strike w:val="0"/>
          <w:color w:val="auto"/>
          <w:szCs w:val="21"/>
          <w:highlight w:val="none"/>
          <w:lang w:eastAsia="zh-Hans"/>
        </w:rPr>
        <w:t>11</w:t>
      </w:r>
      <w:r>
        <w:rPr>
          <w:rFonts w:ascii="Times New Roman Regular" w:hAnsi="Times New Roman Regular" w:cs="Times New Roman Regular"/>
          <w:strike w:val="0"/>
          <w:color w:val="auto"/>
          <w:szCs w:val="21"/>
          <w:highlight w:val="none"/>
          <w:lang w:eastAsia="zh-Hans"/>
        </w:rPr>
        <w:t xml:space="preserve">, </w:t>
      </w:r>
      <w:r>
        <w:rPr>
          <w:rFonts w:hint="default" w:ascii="Times New Roman Regular" w:hAnsi="Times New Roman Regular" w:cs="Times New Roman Regular"/>
          <w:strike w:val="0"/>
          <w:color w:val="auto"/>
          <w:szCs w:val="21"/>
          <w:highlight w:val="none"/>
          <w:lang w:eastAsia="zh-Hans"/>
        </w:rPr>
        <w:t>31</w:t>
      </w:r>
      <w:r>
        <w:rPr>
          <w:rFonts w:ascii="Times New Roman Regular" w:hAnsi="Times New Roman Regular" w:cs="Times New Roman Regular"/>
          <w:strike w:val="0"/>
          <w:color w:val="auto"/>
          <w:szCs w:val="21"/>
          <w:highlight w:val="none"/>
          <w:lang w:eastAsia="zh-Hans"/>
        </w:rPr>
        <w:t xml:space="preserve">, </w:t>
      </w:r>
      <w:r>
        <w:rPr>
          <w:rFonts w:hint="default" w:ascii="Times New Roman Regular" w:hAnsi="Times New Roman Regular" w:cs="Times New Roman Regular"/>
          <w:strike w:val="0"/>
          <w:color w:val="auto"/>
          <w:szCs w:val="21"/>
          <w:highlight w:val="none"/>
          <w:lang w:eastAsia="zh-Hans"/>
        </w:rPr>
        <w:t>30</w:t>
      </w:r>
      <w:r>
        <w:rPr>
          <w:rFonts w:ascii="Times New Roman Regular" w:hAnsi="Times New Roman Regular" w:cs="Times New Roman Regular"/>
          <w:strike w:val="0"/>
          <w:color w:val="auto"/>
          <w:szCs w:val="21"/>
          <w:highlight w:val="none"/>
          <w:lang w:eastAsia="zh-Hans"/>
        </w:rPr>
        <w:t xml:space="preserve">, 1, </w:t>
      </w:r>
      <w:r>
        <w:rPr>
          <w:rFonts w:hint="default" w:ascii="Times New Roman Regular" w:hAnsi="Times New Roman Regular" w:cs="Times New Roman Regular"/>
          <w:strike w:val="0"/>
          <w:color w:val="auto"/>
          <w:szCs w:val="21"/>
          <w:highlight w:val="none"/>
          <w:lang w:eastAsia="zh-Hans"/>
        </w:rPr>
        <w:t>4</w:t>
      </w:r>
      <w:r>
        <w:rPr>
          <w:rFonts w:ascii="Times New Roman Regular" w:hAnsi="Times New Roman Regular" w:cs="Times New Roman Regular"/>
          <w:strike w:val="0"/>
          <w:color w:val="auto"/>
          <w:szCs w:val="21"/>
          <w:highlight w:val="none"/>
          <w:lang w:eastAsia="zh-Hans"/>
        </w:rPr>
        <w:t xml:space="preserve">, and </w:t>
      </w:r>
      <w:r>
        <w:rPr>
          <w:rFonts w:hint="default" w:ascii="Times New Roman Regular" w:hAnsi="Times New Roman Regular" w:cs="Times New Roman Regular"/>
          <w:strike w:val="0"/>
          <w:color w:val="auto"/>
          <w:szCs w:val="21"/>
          <w:highlight w:val="none"/>
          <w:lang w:eastAsia="zh-Hans"/>
        </w:rPr>
        <w:t>4</w:t>
      </w:r>
      <w:r>
        <w:rPr>
          <w:rFonts w:ascii="Times New Roman Regular" w:hAnsi="Times New Roman Regular" w:cs="Times New Roman Regular"/>
          <w:strike w:val="0"/>
          <w:color w:val="auto"/>
          <w:szCs w:val="21"/>
          <w:highlight w:val="none"/>
          <w:lang w:eastAsia="zh-Hans"/>
        </w:rPr>
        <w:t xml:space="preserve"> proteins were significantly associated with MTAG_AF</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MTAG_CAD</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MTAG_VTE</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MTAG_HF</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MTAG_PAD</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and MTAG_Stroke</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respectively (</w:t>
      </w:r>
      <w:r>
        <w:rPr>
          <w:rFonts w:ascii="Times New Roman Regular" w:hAnsi="Times New Roman Regular" w:cs="Times New Roman Regular"/>
          <w:strike w:val="0"/>
          <w:color w:val="auto"/>
          <w:szCs w:val="21"/>
          <w:highlight w:val="none"/>
          <w:lang w:val="en-US" w:eastAsia="zh-Hans"/>
        </w:rPr>
        <w:t>Supplementary Data</w:t>
      </w:r>
      <w:r>
        <w:rPr>
          <w:rFonts w:ascii="Times New Roman Regular" w:hAnsi="Times New Roman Regular" w:cs="Times New Roman Regular"/>
          <w:strike w:val="0"/>
          <w:color w:val="auto"/>
          <w:szCs w:val="21"/>
          <w:highlight w:val="none"/>
          <w:lang w:eastAsia="zh-Hans"/>
        </w:rPr>
        <w:t xml:space="preserve"> 2</w:t>
      </w:r>
      <w:r>
        <w:rPr>
          <w:rFonts w:hint="default" w:ascii="Times New Roman Regular" w:hAnsi="Times New Roman Regular" w:cs="Times New Roman Regular"/>
          <w:strike w:val="0"/>
          <w:color w:val="auto"/>
          <w:szCs w:val="21"/>
          <w:highlight w:val="none"/>
          <w:lang w:val="en-US" w:eastAsia="zh-Hans"/>
        </w:rPr>
        <w:t>5</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Among the identified associations, 14 proteins were measured using both SomaScan and Olink profiling platforms and showed generally consistent associations with CVDs. We further investigated whether the circulating proteins identified in the analysis shared causal variants with CVDs.</w:t>
      </w:r>
      <w:r>
        <w:rPr>
          <w:rFonts w:ascii="Times New Roman Regular" w:hAnsi="Times New Roman Regular" w:cs="Times New Roman Regular"/>
          <w:strike w:val="0"/>
          <w:color w:val="auto"/>
          <w:szCs w:val="21"/>
          <w:highlight w:val="none"/>
          <w:lang w:eastAsia="zh-Hans"/>
        </w:rPr>
        <w:t xml:space="preserve"> Strong evidence of colocalization was observed between </w:t>
      </w:r>
      <w:r>
        <w:rPr>
          <w:rFonts w:hint="default" w:ascii="Times New Roman Regular" w:hAnsi="Times New Roman Regular" w:cs="Times New Roman Regular"/>
          <w:strike w:val="0"/>
          <w:color w:val="auto"/>
          <w:szCs w:val="21"/>
          <w:highlight w:val="none"/>
          <w:lang w:eastAsia="zh-Hans"/>
        </w:rPr>
        <w:t>60</w:t>
      </w:r>
      <w:r>
        <w:rPr>
          <w:rFonts w:ascii="Times New Roman Regular" w:hAnsi="Times New Roman Regular" w:cs="Times New Roman Regular"/>
          <w:strike w:val="0"/>
          <w:color w:val="auto"/>
          <w:szCs w:val="21"/>
          <w:highlight w:val="none"/>
          <w:lang w:eastAsia="zh-Hans"/>
        </w:rPr>
        <w:t xml:space="preserve"> proteins and CVDs (</w:t>
      </w:r>
      <w:r>
        <w:rPr>
          <w:rFonts w:hint="eastAsia" w:ascii="Times New Roman Regular" w:hAnsi="Times New Roman Regular" w:cs="Times New Roman Regular"/>
          <w:strike w:val="0"/>
          <w:color w:val="auto"/>
          <w:szCs w:val="21"/>
          <w:highlight w:val="none"/>
          <w:lang w:eastAsia="zh-Hans"/>
        </w:rPr>
        <w:t>P</w:t>
      </w:r>
      <w:r>
        <w:rPr>
          <w:rFonts w:hint="default" w:ascii="Times New Roman Regular" w:hAnsi="Times New Roman Regular" w:cs="Times New Roman Regular"/>
          <w:strike w:val="0"/>
          <w:color w:val="auto"/>
          <w:szCs w:val="21"/>
          <w:highlight w:val="none"/>
          <w:lang w:eastAsia="zh-Hans"/>
        </w:rPr>
        <w:t>P</w:t>
      </w:r>
      <w:r>
        <w:rPr>
          <w:rFonts w:hint="eastAsia" w:ascii="Times New Roman Regular" w:hAnsi="Times New Roman Regular" w:cs="Times New Roman Regular"/>
          <w:strike w:val="0"/>
          <w:color w:val="auto"/>
          <w:szCs w:val="21"/>
          <w:highlight w:val="none"/>
          <w:lang w:eastAsia="zh-Hans"/>
        </w:rPr>
        <w:t>H4</w:t>
      </w:r>
      <w:r>
        <w:rPr>
          <w:rFonts w:hint="default" w:ascii="Times New Roman Regular" w:hAnsi="Times New Roman Regular" w:cs="Times New Roman Regular"/>
          <w:strike w:val="0"/>
          <w:color w:val="auto"/>
          <w:szCs w:val="21"/>
          <w:highlight w:val="none"/>
          <w:lang w:eastAsia="zh-Hans"/>
        </w:rPr>
        <w:t xml:space="preserve"> &gt; </w:t>
      </w:r>
      <w:r>
        <w:rPr>
          <w:rFonts w:hint="eastAsia" w:ascii="Times New Roman Regular" w:hAnsi="Times New Roman Regular" w:cs="Times New Roman Regular"/>
          <w:strike w:val="0"/>
          <w:color w:val="auto"/>
          <w:szCs w:val="21"/>
          <w:highlight w:val="none"/>
          <w:lang w:eastAsia="zh-Hans"/>
        </w:rPr>
        <w:t>0.7</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More specifically, for MTAG_AF_EUR, MTAG_CAD_EUR, and MTAG_VTE_EUR, we found that 8, 17, and 28 proteins, respectively, exhibited robust evidence of colocalization</w:t>
      </w:r>
      <w:r>
        <w:rPr>
          <w:rFonts w:hint="default" w:ascii="Times New Roman Regular" w:hAnsi="Times New Roman Regular" w:cs="Times New Roman Regular"/>
          <w:strike w:val="0"/>
          <w:color w:val="auto"/>
          <w:szCs w:val="21"/>
          <w:highlight w:val="none"/>
          <w:lang w:val="en-US" w:eastAsia="zh-Hans"/>
        </w:rPr>
        <w:t>.</w:t>
      </w:r>
      <w:r>
        <w:rPr>
          <w:rFonts w:ascii="Times New Roman Regular" w:hAnsi="Times New Roman Regular" w:cs="Times New Roman Regular"/>
          <w:strike w:val="0"/>
          <w:color w:val="auto"/>
          <w:szCs w:val="21"/>
          <w:highlight w:val="none"/>
          <w:lang w:eastAsia="zh-Hans"/>
        </w:rPr>
        <w:t xml:space="preserve"> Likewise, MTAG_HF</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MTAG_PAD</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and MTAG_Stroke</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xml:space="preserve"> demonstrated high support for colocalization with 1, </w:t>
      </w:r>
      <w:r>
        <w:rPr>
          <w:rFonts w:hint="default" w:ascii="Times New Roman Regular" w:hAnsi="Times New Roman Regular" w:cs="Times New Roman Regular"/>
          <w:strike w:val="0"/>
          <w:color w:val="auto"/>
          <w:szCs w:val="21"/>
          <w:highlight w:val="none"/>
          <w:lang w:eastAsia="zh-Hans"/>
        </w:rPr>
        <w:t>3</w:t>
      </w:r>
      <w:r>
        <w:rPr>
          <w:rFonts w:ascii="Times New Roman Regular" w:hAnsi="Times New Roman Regular" w:cs="Times New Roman Regular"/>
          <w:strike w:val="0"/>
          <w:color w:val="auto"/>
          <w:szCs w:val="21"/>
          <w:highlight w:val="none"/>
          <w:lang w:eastAsia="zh-Hans"/>
        </w:rPr>
        <w:t xml:space="preserve">, and 3 proteins, respectively, </w:t>
      </w:r>
      <w:r>
        <w:rPr>
          <w:rFonts w:hint="default" w:ascii="Times New Roman Regular" w:hAnsi="Times New Roman Regular" w:cs="Times New Roman Regular"/>
          <w:strike w:val="0"/>
          <w:color w:val="auto"/>
          <w:szCs w:val="21"/>
          <w:highlight w:val="none"/>
          <w:lang w:eastAsia="zh-Hans"/>
        </w:rPr>
        <w:t>that is,</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cadherin EGF LAG seven-pass G-type receptor 2</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CELSR2</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for MTAG_HF</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proprotein convertase subtilisin/kexin type 9</w:t>
      </w:r>
      <w:r>
        <w:rPr>
          <w:rFonts w:hint="default" w:ascii="Times New Roman Regular" w:hAnsi="Times New Roman Regular" w:cs="Times New Roman Regular"/>
          <w:strike w:val="0"/>
          <w:color w:val="auto"/>
          <w:szCs w:val="21"/>
          <w:highlight w:val="none"/>
          <w:lang w:eastAsia="zh-Hans"/>
        </w:rPr>
        <w:t xml:space="preserve"> (</w:t>
      </w:r>
      <w:r>
        <w:rPr>
          <w:rFonts w:ascii="Times New Roman Regular" w:hAnsi="Times New Roman Regular" w:cs="Times New Roman Regular"/>
          <w:strike w:val="0"/>
          <w:color w:val="auto"/>
          <w:szCs w:val="21"/>
          <w:highlight w:val="none"/>
          <w:lang w:eastAsia="zh-Hans"/>
        </w:rPr>
        <w:t>PCSK9</w:t>
      </w:r>
      <w:r>
        <w:rPr>
          <w:rFonts w:hint="default" w:ascii="Times New Roman Regular" w:hAnsi="Times New Roman Regular" w:cs="Times New Roman Regular"/>
          <w:strike w:val="0"/>
          <w:color w:val="auto"/>
          <w:szCs w:val="21"/>
          <w:highlight w:val="none"/>
          <w:lang w:eastAsia="zh-Hans"/>
        </w:rPr>
        <w:t>), and alpha 1-3-N-acetylgalactosaminyltransferase and alpha 1-3-galactosyltransferase (ABO)</w:t>
      </w:r>
      <w:r>
        <w:rPr>
          <w:rFonts w:ascii="Times New Roman Regular" w:hAnsi="Times New Roman Regular" w:cs="Times New Roman Regular"/>
          <w:strike w:val="0"/>
          <w:color w:val="auto"/>
          <w:szCs w:val="21"/>
          <w:highlight w:val="none"/>
          <w:lang w:eastAsia="zh-Hans"/>
        </w:rPr>
        <w:t xml:space="preserve"> for MTAG_PAD</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xml:space="preserve">, and </w:t>
      </w:r>
      <w:r>
        <w:rPr>
          <w:rFonts w:hint="eastAsia" w:ascii="Times New Roman Regular" w:hAnsi="Times New Roman Regular" w:cs="Times New Roman Regular"/>
          <w:strike w:val="0"/>
          <w:color w:val="auto"/>
          <w:szCs w:val="21"/>
          <w:highlight w:val="none"/>
          <w:lang w:eastAsia="zh-Hans"/>
        </w:rPr>
        <w:t>switching B cell complex subunit SWAP70</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SWAP70</w:t>
      </w:r>
      <w:r>
        <w:rPr>
          <w:rFonts w:hint="default" w:ascii="Times New Roman Regular" w:hAnsi="Times New Roman Regular" w:cs="Times New Roman Regular"/>
          <w:strike w:val="0"/>
          <w:color w:val="auto"/>
          <w:szCs w:val="21"/>
          <w:highlight w:val="none"/>
          <w:lang w:eastAsia="zh-Hans"/>
        </w:rPr>
        <w:t xml:space="preserve">), G protein-coupled receptor kinase 5 (GRK5), and matrix metallopeptidase 12 (MMP12) </w:t>
      </w:r>
      <w:r>
        <w:rPr>
          <w:rFonts w:ascii="Times New Roman Regular" w:hAnsi="Times New Roman Regular" w:cs="Times New Roman Regular"/>
          <w:strike w:val="0"/>
          <w:color w:val="auto"/>
          <w:szCs w:val="21"/>
          <w:highlight w:val="none"/>
          <w:lang w:eastAsia="zh-Hans"/>
        </w:rPr>
        <w:t>for MTAG_Stroke</w:t>
      </w:r>
      <w:r>
        <w:rPr>
          <w:rFonts w:hint="default" w:ascii="Times New Roman Regular" w:hAnsi="Times New Roman Regular" w:cs="Times New Roman Regular"/>
          <w:strike w:val="0"/>
          <w:color w:val="auto"/>
          <w:szCs w:val="21"/>
          <w:highlight w:val="none"/>
          <w:lang w:eastAsia="zh-Hans"/>
        </w:rPr>
        <w:t>_EUR</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Among the 14 associations measured on both profiling platforms, 11 proteins showed strong colocalization support, which included leucine</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rich repeats and immunoglobulin</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like domains 1</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LRIG1</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dual specificity phosphatase 13B</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DUSP13B</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TNF superfamily member 12</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TNFSF12</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EGF containing fibulin extracellular matrix protein 1</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EFEMP1</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protein C, inactivator of coagulation factors Va and VIIIa</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PROC</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serpin family E member 2</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SERPINE2</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protein S</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PROS1</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glycoprotein VI platelet</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GP6</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TIMP metallopeptidase inhibitor 3</w:t>
      </w:r>
      <w:r>
        <w:rPr>
          <w:rFonts w:hint="default"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TIMP3</w:t>
      </w:r>
      <w:r>
        <w:rPr>
          <w:rFonts w:hint="default" w:ascii="Times New Roman Regular" w:hAnsi="Times New Roman Regular" w:cs="Times New Roman Regular"/>
          <w:strike w:val="0"/>
          <w:color w:val="auto"/>
          <w:szCs w:val="21"/>
          <w:highlight w:val="none"/>
          <w:lang w:eastAsia="zh-Hans"/>
        </w:rPr>
        <w:t>)</w:t>
      </w:r>
      <w:r>
        <w:rPr>
          <w:rFonts w:hint="eastAsia" w:ascii="Times New Roman Regular" w:hAnsi="Times New Roman Regular" w:cs="Times New Roman Regular"/>
          <w:strike w:val="0"/>
          <w:color w:val="auto"/>
          <w:szCs w:val="21"/>
          <w:highlight w:val="none"/>
          <w:lang w:eastAsia="zh-Hans"/>
        </w:rPr>
        <w:t>, coagulation factor II, thrombin</w:t>
      </w:r>
      <w:r>
        <w:rPr>
          <w:rFonts w:hint="default" w:ascii="Times New Roman Regular" w:hAnsi="Times New Roman Regular" w:cs="Times New Roman Regular"/>
          <w:strike w:val="0"/>
          <w:color w:val="auto"/>
          <w:szCs w:val="21"/>
          <w:highlight w:val="none"/>
          <w:lang w:eastAsia="zh-Hans"/>
        </w:rPr>
        <w:t xml:space="preserve"> (F2), </w:t>
      </w:r>
      <w:r>
        <w:rPr>
          <w:rFonts w:hint="eastAsia" w:ascii="Times New Roman Regular" w:hAnsi="Times New Roman Regular" w:cs="Times New Roman Regular"/>
          <w:strike w:val="0"/>
          <w:color w:val="auto"/>
          <w:szCs w:val="21"/>
          <w:highlight w:val="none"/>
          <w:lang w:eastAsia="zh-Hans"/>
        </w:rPr>
        <w:t>and PCSK9</w:t>
      </w:r>
      <w:r>
        <w:rPr>
          <w:rFonts w:hint="default" w:ascii="Times New Roman Regular" w:hAnsi="Times New Roman Regular" w:cs="Times New Roman Regular"/>
          <w:strike w:val="0"/>
          <w:color w:val="auto"/>
          <w:szCs w:val="21"/>
          <w:highlight w:val="none"/>
          <w:lang w:eastAsia="zh-Hans"/>
        </w:rPr>
        <w:t xml:space="preserve"> (Fig. 5)</w:t>
      </w:r>
      <w:r>
        <w:rPr>
          <w:rFonts w:hint="eastAsia" w:ascii="Times New Roman Regular" w:hAnsi="Times New Roman Regular" w:cs="Times New Roman Regular"/>
          <w:strike w:val="0"/>
          <w:color w:val="auto"/>
          <w:szCs w:val="21"/>
          <w:highlight w:val="none"/>
          <w:lang w:eastAsia="zh-Hans"/>
        </w:rPr>
        <w:t>.</w:t>
      </w:r>
      <w:r>
        <w:rPr>
          <w:rFonts w:hint="default" w:ascii="Times New Roman Regular" w:hAnsi="Times New Roman Regular" w:cs="Times New Roman Regular"/>
          <w:strike w:val="0"/>
          <w:color w:val="auto"/>
          <w:szCs w:val="21"/>
          <w:highlight w:val="none"/>
          <w:lang w:eastAsia="zh-Hans"/>
        </w:rPr>
        <w:t xml:space="preserve"> Notably, none of these proteins were found to be associated with more than one CVD.</w:t>
      </w:r>
    </w:p>
    <w:p w14:paraId="178CCB7F">
      <w:pPr>
        <w:spacing w:line="360" w:lineRule="auto"/>
        <w:ind w:firstLine="0" w:firstLineChars="0"/>
        <w:jc w:val="both"/>
        <w:rPr>
          <w:rFonts w:ascii="Times New Roman Regular" w:hAnsi="Times New Roman Regular" w:cs="Times New Roman Regular"/>
          <w:strike w:val="0"/>
          <w:color w:val="auto"/>
          <w:szCs w:val="21"/>
          <w:highlight w:val="none"/>
          <w:lang w:eastAsia="zh-Hans"/>
        </w:rPr>
      </w:pPr>
    </w:p>
    <w:p w14:paraId="180A8E1D">
      <w:pPr>
        <w:spacing w:line="360" w:lineRule="auto"/>
        <w:jc w:val="both"/>
        <w:rPr>
          <w:rFonts w:ascii="Times New Roman Regular" w:hAnsi="Times New Roman Regular" w:cs="Times New Roman Regular"/>
          <w:strike w:val="0"/>
          <w:color w:val="auto"/>
          <w:szCs w:val="21"/>
          <w:highlight w:val="none"/>
          <w:lang w:eastAsia="zh-Hans"/>
        </w:rPr>
      </w:pPr>
      <w:r>
        <w:rPr>
          <w:rFonts w:hint="eastAsia" w:ascii="Times New Roman Regular" w:hAnsi="Times New Roman Regular" w:cs="Times New Roman Regular"/>
          <w:strike w:val="0"/>
          <w:color w:val="auto"/>
          <w:szCs w:val="21"/>
          <w:highlight w:val="none"/>
          <w:lang w:eastAsia="zh-Hans"/>
        </w:rPr>
        <w:t>To translate this genetic information into potential therapeutic targets for CVDs, we assessed the druggability of 11 causal proteins identified in the colocalization analysis. Our analysis identified 40 distinct drugs targeting four unique proteins, as detailed in Supplementary Data 2</w:t>
      </w:r>
      <w:r>
        <w:rPr>
          <w:rFonts w:hint="default" w:ascii="Times New Roman Regular" w:hAnsi="Times New Roman Regular" w:cs="Times New Roman Regular"/>
          <w:strike w:val="0"/>
          <w:color w:val="auto"/>
          <w:szCs w:val="21"/>
          <w:highlight w:val="none"/>
          <w:lang w:val="en-US" w:eastAsia="zh-Hans"/>
        </w:rPr>
        <w:t>6</w:t>
      </w:r>
      <w:r>
        <w:rPr>
          <w:rFonts w:hint="eastAsia" w:ascii="Times New Roman Regular" w:hAnsi="Times New Roman Regular" w:cs="Times New Roman Regular"/>
          <w:strike w:val="0"/>
          <w:color w:val="auto"/>
          <w:szCs w:val="21"/>
          <w:highlight w:val="none"/>
          <w:lang w:eastAsia="zh-Hans"/>
        </w:rPr>
        <w:t>. A notable example is Dabigatran/Dabigatran etexilate, a direct thrombin inhibitor targeting coagulation factor II (F2). This drug has been approved for treating various CVDs, including VTE</w:t>
      </w:r>
      <w:r>
        <w:rPr>
          <w:rFonts w:ascii="Times New Roman Regular" w:hAnsi="Times New Roman Regular" w:cs="Times New Roman Regular"/>
          <w:strike w:val="0"/>
          <w:color w:val="auto"/>
          <w:szCs w:val="21"/>
          <w:highlight w:val="none"/>
          <w:lang w:eastAsia="zh-Hans"/>
        </w:rPr>
        <w:fldChar w:fldCharType="begin"/>
      </w:r>
      <w:r>
        <w:rPr>
          <w:rFonts w:hint="eastAsia" w:ascii="Times New Roman Regular" w:hAnsi="Times New Roman Regular" w:cs="Times New Roman Regular"/>
          <w:strike w:val="0"/>
          <w:color w:val="auto"/>
          <w:szCs w:val="21"/>
          <w:highlight w:val="none"/>
          <w:lang w:eastAsia="zh-CN"/>
        </w:rPr>
        <w:instrText xml:space="preserve"> ADDIN NE.Ref.{342F2763-FAEC-4C1D-925F-172159CC8CED}</w:instrText>
      </w:r>
      <w:r>
        <w:rPr>
          <w:rFonts w:ascii="Times New Roman Regular" w:hAnsi="Times New Roman Regular" w:cs="Times New Roman Regular"/>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20</w:t>
      </w:r>
      <w:r>
        <w:rPr>
          <w:rFonts w:ascii="Times New Roman Regular" w:hAnsi="Times New Roman Regular" w:cs="Times New Roman Regular"/>
          <w:strike w:val="0"/>
          <w:color w:val="auto"/>
          <w:szCs w:val="21"/>
          <w:highlight w:val="none"/>
          <w:lang w:eastAsia="zh-Hans"/>
        </w:rPr>
        <w:fldChar w:fldCharType="end"/>
      </w:r>
      <w:r>
        <w:rPr>
          <w:rFonts w:hint="eastAsia" w:ascii="Times New Roman Regular" w:hAnsi="Times New Roman Regular" w:cs="Times New Roman Regular"/>
          <w:strike w:val="0"/>
          <w:color w:val="auto"/>
          <w:szCs w:val="21"/>
          <w:highlight w:val="none"/>
          <w:lang w:val="en-US" w:eastAsia="zh-CN"/>
        </w:rPr>
        <w:t xml:space="preserve">. </w:t>
      </w:r>
      <w:r>
        <w:rPr>
          <w:rFonts w:hint="eastAsia" w:ascii="Times New Roman Regular" w:hAnsi="Times New Roman Regular" w:cs="Times New Roman Regular"/>
          <w:strike w:val="0"/>
          <w:color w:val="auto"/>
          <w:szCs w:val="21"/>
          <w:highlight w:val="none"/>
          <w:lang w:eastAsia="zh-Hans"/>
        </w:rPr>
        <w:t>Additionally, monoclonal antibodies Alirocumab and Evolocumab, both PCSK9 inhibitors, have been approved to reduce LDL cholesterol levels, thus protecting against various CVDs, including PAD</w:t>
      </w:r>
      <w:r>
        <w:rPr>
          <w:rFonts w:ascii="Times New Roman Regular" w:hAnsi="Times New Roman Regular" w:cs="Times New Roman Regular"/>
          <w:strike w:val="0"/>
          <w:color w:val="auto"/>
          <w:szCs w:val="21"/>
          <w:highlight w:val="none"/>
          <w:lang w:eastAsia="zh-Hans"/>
        </w:rPr>
        <w:fldChar w:fldCharType="begin"/>
      </w:r>
      <w:r>
        <w:rPr>
          <w:rFonts w:hint="eastAsia" w:ascii="Times New Roman Regular" w:hAnsi="Times New Roman Regular" w:cs="Times New Roman Regular"/>
          <w:strike w:val="0"/>
          <w:color w:val="auto"/>
          <w:szCs w:val="21"/>
          <w:highlight w:val="none"/>
          <w:lang w:eastAsia="zh-CN"/>
        </w:rPr>
        <w:instrText xml:space="preserve"> ADDIN NE.Ref.{AD3643FC-5D96-4032-BA16-AEEACD769C92}</w:instrText>
      </w:r>
      <w:r>
        <w:rPr>
          <w:rFonts w:ascii="Times New Roman Regular" w:hAnsi="Times New Roman Regular" w:cs="Times New Roman Regular"/>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21</w:t>
      </w:r>
      <w:r>
        <w:rPr>
          <w:rFonts w:ascii="Times New Roman Regular" w:hAnsi="Times New Roman Regular" w:cs="Times New Roman Regular"/>
          <w:strike w:val="0"/>
          <w:color w:val="auto"/>
          <w:szCs w:val="21"/>
          <w:highlight w:val="none"/>
          <w:lang w:eastAsia="zh-Hans"/>
        </w:rPr>
        <w:fldChar w:fldCharType="end"/>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Drugs originally designed for autoimmune conditions, targeting TNFSF12, also show promise as potential treatments for AF</w:t>
      </w:r>
      <w:r>
        <w:rPr>
          <w:rFonts w:hint="default" w:ascii="Times New Roman Regular" w:hAnsi="Times New Roman Regular" w:cs="Times New Roman Regular"/>
          <w:strike w:val="0"/>
          <w:color w:val="auto"/>
          <w:szCs w:val="21"/>
          <w:highlight w:val="none"/>
          <w:lang w:eastAsia="zh-Hans"/>
        </w:rPr>
        <w:fldChar w:fldCharType="begin"/>
      </w:r>
      <w:r>
        <w:rPr>
          <w:rFonts w:hint="eastAsia" w:ascii="Times New Roman Regular" w:hAnsi="Times New Roman Regular" w:cs="Times New Roman Regular"/>
          <w:strike w:val="0"/>
          <w:color w:val="auto"/>
          <w:szCs w:val="21"/>
          <w:highlight w:val="none"/>
          <w:lang w:eastAsia="zh-CN"/>
        </w:rPr>
        <w:instrText xml:space="preserve"> ADDIN NE.Ref.{258CC451-2AC5-4FC3-BCFC-32DE7D8FC890}</w:instrText>
      </w:r>
      <w:r>
        <w:rPr>
          <w:rFonts w:hint="default" w:ascii="Times New Roman Regular" w:hAnsi="Times New Roman Regular" w:cs="Times New Roman Regular"/>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22</w:t>
      </w:r>
      <w:r>
        <w:rPr>
          <w:rFonts w:hint="eastAsia" w:ascii="宋体" w:hAnsi="宋体"/>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23</w:t>
      </w:r>
      <w:r>
        <w:rPr>
          <w:rFonts w:hint="default" w:ascii="Times New Roman Regular" w:hAnsi="Times New Roman Regular" w:cs="Times New Roman Regular"/>
          <w:strike w:val="0"/>
          <w:color w:val="auto"/>
          <w:szCs w:val="21"/>
          <w:highlight w:val="none"/>
          <w:lang w:eastAsia="zh-Hans"/>
        </w:rPr>
        <w:fldChar w:fldCharType="end"/>
      </w:r>
      <w:r>
        <w:rPr>
          <w:rFonts w:hint="eastAsia" w:ascii="Times New Roman Regular" w:hAnsi="Times New Roman Regular" w:cs="Times New Roman Regular"/>
          <w:strike w:val="0"/>
          <w:color w:val="auto"/>
          <w:szCs w:val="21"/>
          <w:highlight w:val="none"/>
          <w:lang w:val="en-US" w:eastAsia="zh-CN"/>
        </w:rPr>
        <w:t>.</w:t>
      </w:r>
      <w:r>
        <w:rPr>
          <w:rFonts w:ascii="Times New Roman Regular" w:hAnsi="Times New Roman Regular" w:cs="Times New Roman Regular"/>
          <w:strike w:val="0"/>
          <w:color w:val="auto"/>
          <w:szCs w:val="21"/>
          <w:highlight w:val="none"/>
          <w:lang w:eastAsia="zh-Hans"/>
        </w:rPr>
        <w:t xml:space="preserve"> </w:t>
      </w:r>
      <w:r>
        <w:rPr>
          <w:rFonts w:hint="eastAsia" w:ascii="Times New Roman Regular" w:hAnsi="Times New Roman Regular" w:cs="Times New Roman Regular"/>
          <w:strike w:val="0"/>
          <w:color w:val="auto"/>
          <w:szCs w:val="21"/>
          <w:highlight w:val="none"/>
          <w:lang w:eastAsia="zh-Hans"/>
        </w:rPr>
        <w:t>Despite the lack of drug-related data for eight proteins in the OpenTargets database, six (75%) are promising candidates for future treatment, showing high druggability potential. Whether agents targeting these proteins could be repurposed for CVD prevention or treatment remains to be evaluated in clinical trials.</w:t>
      </w:r>
    </w:p>
    <w:p w14:paraId="2E042ADF">
      <w:pPr>
        <w:spacing w:line="360" w:lineRule="auto"/>
        <w:jc w:val="both"/>
        <w:rPr>
          <w:rFonts w:ascii="Times New Roman Regular" w:hAnsi="Times New Roman Regular" w:cs="Times New Roman Regular"/>
          <w:strike w:val="0"/>
          <w:color w:val="auto"/>
          <w:szCs w:val="21"/>
          <w:highlight w:val="none"/>
          <w:lang w:eastAsia="zh-Hans"/>
        </w:rPr>
      </w:pPr>
    </w:p>
    <w:p w14:paraId="2E8D1C57">
      <w:pPr>
        <w:spacing w:line="360" w:lineRule="auto"/>
        <w:ind w:firstLine="0" w:firstLineChars="0"/>
        <w:rPr>
          <w:rFonts w:hint="default" w:ascii="Times New Roman" w:hAnsi="Times New Roman" w:cs="Times New Roman"/>
          <w:strike w:val="0"/>
          <w:color w:val="auto"/>
          <w:szCs w:val="21"/>
          <w:highlight w:val="none"/>
          <w:lang w:eastAsia="zh-Hans"/>
        </w:rPr>
      </w:pPr>
      <w:r>
        <w:rPr>
          <w:rFonts w:hint="eastAsia" w:ascii="Times New Roman" w:hAnsi="Times New Roman" w:cs="Times New Roman"/>
          <w:strike w:val="0"/>
          <w:color w:val="auto"/>
          <w:szCs w:val="21"/>
          <w:highlight w:val="none"/>
          <w:lang w:val="en-US" w:eastAsia="zh-CN"/>
        </w:rPr>
        <w:t>Overall, we explored the causal roles of circulating proteins in CVDs through proteome-wide MR and colocalization analyses. We identified 14 plasma proteins potentially causally associated with CVDs, measured on two different profiling platforms, with 11 strongly supporting colocalization (Supplementary Fig. 12). In this study, PCSK9 and F2 emerged as potential targets for PAD and VTE, respectively, with robust evidence at the proteomic level. Proprotein convertase subtilisin/kexin type 9 (PCSK9) is a serine protease that degrades the LDL receptor, preventing LDL-C clearance from the blood and serving as the target for monoclonal antibodies like Alirocumab and Evolocumab. Large randomized trials involving PAD patients have shown that additional LDL-C reduction, on top of high-intensity statin therapy, significantly reduces cardiovascular risk</w:t>
      </w:r>
      <w:r>
        <w:rPr>
          <w:rFonts w:hint="default" w:ascii="Times New Roman" w:hAnsi="Times New Roman" w:cs="Times New Roman"/>
          <w:strike w:val="0"/>
          <w:color w:val="auto"/>
          <w:szCs w:val="21"/>
          <w:highlight w:val="none"/>
          <w:lang w:eastAsia="zh-Hans"/>
        </w:rPr>
        <w:fldChar w:fldCharType="begin"/>
      </w:r>
      <w:r>
        <w:rPr>
          <w:rFonts w:hint="eastAsia" w:ascii="Times New Roman" w:hAnsi="Times New Roman" w:cs="Times New Roman"/>
          <w:strike w:val="0"/>
          <w:color w:val="auto"/>
          <w:szCs w:val="21"/>
          <w:highlight w:val="none"/>
          <w:lang w:eastAsia="zh-CN"/>
        </w:rPr>
        <w:instrText xml:space="preserve"> ADDIN NE.Ref.{5D1E9CEF-14FB-41AD-B011-6AC3D7CA4220}</w:instrText>
      </w:r>
      <w:r>
        <w:rPr>
          <w:rFonts w:hint="default" w:ascii="Times New Roman" w:hAnsi="Times New Roman" w:cs="Times New Roman"/>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24</w:t>
      </w:r>
      <w:r>
        <w:rPr>
          <w:rFonts w:hint="default" w:ascii="Times New Roman" w:hAnsi="Times New Roman" w:cs="Times New Roman"/>
          <w:strike w:val="0"/>
          <w:color w:val="auto"/>
          <w:szCs w:val="21"/>
          <w:highlight w:val="none"/>
          <w:lang w:eastAsia="zh-Hans"/>
        </w:rPr>
        <w:fldChar w:fldCharType="end"/>
      </w:r>
      <w:r>
        <w:rPr>
          <w:rFonts w:hint="default" w:ascii="Times New Roman" w:hAnsi="Times New Roman" w:cs="Times New Roman"/>
          <w:strike w:val="0"/>
          <w:color w:val="auto"/>
          <w:szCs w:val="21"/>
          <w:highlight w:val="none"/>
          <w:lang w:eastAsia="zh-Hans"/>
        </w:rPr>
        <w:t>. The direct thrombin inhibitors Dabigatran/Dabigatran etexilate specifically inhibit the intrinsic activity of the F2 gene product, significantly reducing VTE risk. However, they also increase the risk of major bleeding events, including gastrointestinal bleeding, compared to placebo in VTE patients.</w:t>
      </w:r>
      <w:r>
        <w:rPr>
          <w:rFonts w:hint="default" w:ascii="Times New Roman" w:hAnsi="Times New Roman" w:cs="Times New Roman"/>
          <w:strike w:val="0"/>
          <w:color w:val="auto"/>
          <w:szCs w:val="21"/>
          <w:highlight w:val="none"/>
          <w:lang w:eastAsia="zh-Hans"/>
        </w:rPr>
        <w:fldChar w:fldCharType="begin"/>
      </w:r>
      <w:r>
        <w:rPr>
          <w:rFonts w:hint="eastAsia" w:ascii="Times New Roman" w:hAnsi="Times New Roman" w:cs="Times New Roman"/>
          <w:strike w:val="0"/>
          <w:color w:val="auto"/>
          <w:szCs w:val="21"/>
          <w:highlight w:val="none"/>
          <w:lang w:eastAsia="zh-CN"/>
        </w:rPr>
        <w:instrText xml:space="preserve"> ADDIN NE.Ref.{4F0AACD6-9044-45CF-97BD-21CA3E30B826}</w:instrText>
      </w:r>
      <w:r>
        <w:rPr>
          <w:rFonts w:hint="default" w:ascii="Times New Roman" w:hAnsi="Times New Roman" w:cs="Times New Roman"/>
          <w:strike w:val="0"/>
          <w:color w:val="auto"/>
          <w:szCs w:val="21"/>
          <w:highlight w:val="none"/>
          <w:lang w:eastAsia="zh-Hans"/>
        </w:rPr>
        <w:fldChar w:fldCharType="separate"/>
      </w:r>
      <w:r>
        <w:rPr>
          <w:rFonts w:hint="default" w:ascii="Times New Roman" w:hAnsi="Times New Roman" w:eastAsia="Times New Roman"/>
          <w:color w:val="auto"/>
          <w:sz w:val="21"/>
          <w:szCs w:val="24"/>
          <w:highlight w:val="none"/>
          <w:vertAlign w:val="superscript"/>
        </w:rPr>
        <w:t>25</w:t>
      </w:r>
      <w:r>
        <w:rPr>
          <w:rFonts w:hint="default" w:ascii="Times New Roman" w:hAnsi="Times New Roman" w:cs="Times New Roman"/>
          <w:strike w:val="0"/>
          <w:color w:val="auto"/>
          <w:szCs w:val="21"/>
          <w:highlight w:val="none"/>
          <w:lang w:eastAsia="zh-Hans"/>
        </w:rPr>
        <w:fldChar w:fldCharType="end"/>
      </w:r>
      <w:r>
        <w:rPr>
          <w:rFonts w:hint="default" w:ascii="Times New Roman" w:hAnsi="Times New Roman" w:cs="Times New Roman"/>
          <w:strike w:val="0"/>
          <w:color w:val="auto"/>
          <w:szCs w:val="21"/>
          <w:highlight w:val="none"/>
          <w:lang w:eastAsia="zh-Hans"/>
        </w:rPr>
        <w:t>.</w:t>
      </w:r>
    </w:p>
    <w:p w14:paraId="57EF906F">
      <w:pPr>
        <w:spacing w:line="360" w:lineRule="auto"/>
        <w:jc w:val="both"/>
        <w:rPr>
          <w:rFonts w:ascii="Times New Roman Regular" w:hAnsi="Times New Roman Regular" w:cs="Times New Roman Regular"/>
          <w:strike w:val="0"/>
          <w:color w:val="auto"/>
          <w:szCs w:val="21"/>
          <w:highlight w:val="none"/>
          <w:lang w:eastAsia="zh-Hans"/>
        </w:rPr>
      </w:pPr>
    </w:p>
    <w:p w14:paraId="4D6CEB7A">
      <w:pPr>
        <w:spacing w:line="360" w:lineRule="auto"/>
        <w:jc w:val="both"/>
        <w:rPr>
          <w:rFonts w:ascii="Times New Roman Bold" w:hAnsi="Times New Roman Bold" w:cs="Times New Roman Bold"/>
          <w:b/>
          <w:bCs/>
          <w:strike w:val="0"/>
          <w:color w:val="auto"/>
          <w:szCs w:val="21"/>
          <w:highlight w:val="none"/>
          <w:lang w:eastAsia="zh-Hans"/>
        </w:rPr>
      </w:pPr>
      <w:r>
        <w:rPr>
          <w:rFonts w:hint="default" w:ascii="Times New Roman Bold" w:hAnsi="Times New Roman Bold" w:cs="Times New Roman Bold"/>
          <w:b/>
          <w:bCs/>
          <w:strike w:val="0"/>
          <w:color w:val="auto"/>
          <w:szCs w:val="21"/>
          <w:highlight w:val="none"/>
          <w:lang w:eastAsia="zh-Hans"/>
        </w:rPr>
        <w:t>Corresponding method description</w:t>
      </w:r>
    </w:p>
    <w:p w14:paraId="6F21AD94">
      <w:pPr>
        <w:numPr>
          <w:ilvl w:val="0"/>
          <w:numId w:val="0"/>
        </w:numPr>
        <w:spacing w:line="360" w:lineRule="auto"/>
        <w:ind w:leftChars="0"/>
        <w:rPr>
          <w:rFonts w:hint="default" w:ascii="Times New Roman Regular" w:hAnsi="Times New Roman Regular" w:cs="Times New Roman Regular"/>
          <w:b w:val="0"/>
          <w:bCs w:val="0"/>
          <w:strike w:val="0"/>
          <w:color w:val="auto"/>
          <w:sz w:val="21"/>
          <w:szCs w:val="21"/>
          <w:highlight w:val="none"/>
        </w:rPr>
      </w:pPr>
      <w:r>
        <w:rPr>
          <w:rFonts w:hint="default" w:ascii="Times New Roman Regular" w:hAnsi="Times New Roman Regular" w:cs="Times New Roman Regular"/>
          <w:b w:val="0"/>
          <w:bCs w:val="0"/>
          <w:strike w:val="0"/>
          <w:color w:val="auto"/>
          <w:sz w:val="21"/>
          <w:szCs w:val="21"/>
          <w:highlight w:val="none"/>
        </w:rPr>
        <w:t>To identify common causal drivers at the proteomic level, we performed the summary data-based Mendelian randomization (SMR) and Colocalization analyses based on available index cis-acting variants (cis-pQTL) from two large-scale GWASs in the deCODE Health study and UK Biobank Pharma Proteomics Project (UKB-PPP), using different proteomic measurement platforms (i.e.</w:t>
      </w:r>
      <w:r>
        <w:rPr>
          <w:rFonts w:hint="default" w:ascii="Times New Roman Regular" w:hAnsi="Times New Roman Regular" w:cs="Times New Roman Regular"/>
          <w:b w:val="0"/>
          <w:bCs w:val="0"/>
          <w:strike w:val="0"/>
          <w:color w:val="auto"/>
          <w:sz w:val="21"/>
          <w:szCs w:val="21"/>
          <w:highlight w:val="none"/>
          <w:lang w:val="en-US"/>
        </w:rPr>
        <w:t>,</w:t>
      </w:r>
      <w:r>
        <w:rPr>
          <w:rFonts w:hint="default" w:ascii="Times New Roman Regular" w:hAnsi="Times New Roman Regular" w:cs="Times New Roman Regular"/>
          <w:b w:val="0"/>
          <w:bCs w:val="0"/>
          <w:strike w:val="0"/>
          <w:color w:val="auto"/>
          <w:sz w:val="21"/>
          <w:szCs w:val="21"/>
          <w:highlight w:val="none"/>
        </w:rPr>
        <w:t xml:space="preserve"> SomaScan and Olink). </w:t>
      </w:r>
      <w:r>
        <w:rPr>
          <w:rFonts w:hint="eastAsia" w:ascii="Times New Roman Regular" w:hAnsi="Times New Roman Regular" w:cs="Times New Roman Regular"/>
          <w:b w:val="0"/>
          <w:bCs w:val="0"/>
          <w:strike w:val="0"/>
          <w:color w:val="auto"/>
          <w:sz w:val="21"/>
          <w:szCs w:val="21"/>
          <w:highlight w:val="none"/>
          <w:lang w:val="en-US" w:eastAsia="zh-Hans"/>
        </w:rPr>
        <w:t>For the SomaScan platform, summary-level statistics of genetic associations with the levels of 4,907 plasma proteins were extracted from a large-scale pQTL study involving 35,559 Icelanders</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NE.Ref.{89E90F8F-0DC4-41F3-A3CF-8A875248D8FB}</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26</w:t>
      </w:r>
      <w:r>
        <w:rPr>
          <w:rFonts w:hint="default" w:ascii="Times New Roman Regular" w:hAnsi="Times New Roman Regular" w:cs="Times New Roman Regular"/>
          <w:b w:val="0"/>
          <w:bCs w:val="0"/>
          <w:strike w:val="0"/>
          <w:color w:val="auto"/>
          <w:sz w:val="21"/>
          <w:szCs w:val="21"/>
          <w:highlight w:val="none"/>
        </w:rPr>
        <w:fldChar w:fldCharType="end"/>
      </w:r>
      <w:r>
        <w:rPr>
          <w:rFonts w:hint="default" w:ascii="Times New Roman Regular" w:hAnsi="Times New Roman Regular" w:cs="Times New Roman Regular"/>
          <w:b w:val="0"/>
          <w:bCs w:val="0"/>
          <w:strike w:val="0"/>
          <w:color w:val="auto"/>
          <w:sz w:val="21"/>
          <w:szCs w:val="21"/>
          <w:highlight w:val="none"/>
        </w:rPr>
        <w:t>. For the Olink platform, summary-level statistics of genetic associations with the levels of 2,940 plasma proteins were extracted from a pQTL study involving 34,557 Europeans</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NE.Ref.{FD1BEB16-5A53-483C-9BDE-A9E6D51828CA}</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27</w:t>
      </w:r>
      <w:r>
        <w:rPr>
          <w:rFonts w:hint="default" w:ascii="Times New Roman Regular" w:hAnsi="Times New Roman Regular" w:cs="Times New Roman Regular"/>
          <w:b w:val="0"/>
          <w:bCs w:val="0"/>
          <w:strike w:val="0"/>
          <w:color w:val="auto"/>
          <w:sz w:val="21"/>
          <w:szCs w:val="21"/>
          <w:highlight w:val="none"/>
        </w:rPr>
        <w:fldChar w:fldCharType="end"/>
      </w:r>
      <w:r>
        <w:rPr>
          <w:rFonts w:hint="eastAsia" w:ascii="Times New Roman Regular" w:hAnsi="Times New Roman Regular" w:cs="Times New Roman Regular"/>
          <w:b w:val="0"/>
          <w:bCs w:val="0"/>
          <w:strike w:val="0"/>
          <w:color w:val="auto"/>
          <w:sz w:val="21"/>
          <w:szCs w:val="21"/>
          <w:highlight w:val="none"/>
          <w:lang w:val="en-US" w:eastAsia="zh-Hans"/>
        </w:rPr>
        <w:t>.</w:t>
      </w:r>
      <w:r>
        <w:rPr>
          <w:rFonts w:hint="default" w:ascii="Times New Roman Regular" w:hAnsi="Times New Roman Regular" w:cs="Times New Roman Regular"/>
          <w:b w:val="0"/>
          <w:bCs w:val="0"/>
          <w:strike w:val="0"/>
          <w:color w:val="auto"/>
          <w:sz w:val="21"/>
          <w:szCs w:val="21"/>
          <w:highlight w:val="none"/>
          <w:lang w:eastAsia="zh-Hans"/>
        </w:rPr>
        <w:t xml:space="preserve"> </w:t>
      </w:r>
      <w:r>
        <w:rPr>
          <w:rFonts w:hint="default" w:ascii="Times New Roman Regular" w:hAnsi="Times New Roman Regular" w:cs="Times New Roman Regular"/>
          <w:b w:val="0"/>
          <w:bCs w:val="0"/>
          <w:strike w:val="0"/>
          <w:color w:val="auto"/>
          <w:sz w:val="21"/>
          <w:szCs w:val="21"/>
          <w:highlight w:val="none"/>
        </w:rPr>
        <w:t>Additional information on the GWAS is available in the original publication. For each protein, we included cis-acting SNPs (i.e., SNPs located within ±1 Mb of the transcription start site (TSS) of the target gene). In this study, only proteins with cis-pQTLs at the genome-wide significance level (</w:t>
      </w:r>
      <w:r>
        <w:rPr>
          <w:rFonts w:hint="default" w:ascii="Times New Roman Italic" w:hAnsi="Times New Roman Italic" w:cs="Times New Roman Italic"/>
          <w:b w:val="0"/>
          <w:bCs w:val="0"/>
          <w:i/>
          <w:iCs/>
          <w:strike w:val="0"/>
          <w:color w:val="auto"/>
          <w:sz w:val="21"/>
          <w:szCs w:val="21"/>
          <w:highlight w:val="none"/>
        </w:rPr>
        <w:t>P</w:t>
      </w:r>
      <w:r>
        <w:rPr>
          <w:rFonts w:hint="default" w:ascii="Times New Roman Regular" w:hAnsi="Times New Roman Regular" w:cs="Times New Roman Regular"/>
          <w:b w:val="0"/>
          <w:bCs w:val="0"/>
          <w:strike w:val="0"/>
          <w:color w:val="auto"/>
          <w:sz w:val="21"/>
          <w:szCs w:val="21"/>
          <w:highlight w:val="none"/>
        </w:rPr>
        <w:t xml:space="preserve"> &lt; 5 × 10</w:t>
      </w:r>
      <w:r>
        <w:rPr>
          <w:rFonts w:hint="default" w:ascii="Times New Roman Regular" w:hAnsi="Times New Roman Regular" w:cs="Times New Roman Regular"/>
          <w:b w:val="0"/>
          <w:bCs w:val="0"/>
          <w:strike w:val="0"/>
          <w:color w:val="auto"/>
          <w:sz w:val="21"/>
          <w:szCs w:val="21"/>
          <w:highlight w:val="none"/>
          <w:vertAlign w:val="superscript"/>
        </w:rPr>
        <w:t>-8</w:t>
      </w:r>
      <w:r>
        <w:rPr>
          <w:rFonts w:hint="default" w:ascii="Times New Roman Regular" w:hAnsi="Times New Roman Regular" w:cs="Times New Roman Regular"/>
          <w:b w:val="0"/>
          <w:bCs w:val="0"/>
          <w:strike w:val="0"/>
          <w:color w:val="auto"/>
          <w:sz w:val="21"/>
          <w:szCs w:val="21"/>
          <w:highlight w:val="none"/>
        </w:rPr>
        <w:t>) were included in the MR and colocalization analyses.</w:t>
      </w:r>
    </w:p>
    <w:p w14:paraId="4C53F3C8">
      <w:pPr>
        <w:numPr>
          <w:ilvl w:val="0"/>
          <w:numId w:val="0"/>
        </w:numPr>
        <w:spacing w:line="360" w:lineRule="auto"/>
        <w:ind w:leftChars="0"/>
        <w:rPr>
          <w:rFonts w:hint="default" w:ascii="Times New Roman Regular" w:hAnsi="Times New Roman Regular" w:cs="Times New Roman Regular"/>
          <w:b w:val="0"/>
          <w:bCs w:val="0"/>
          <w:strike w:val="0"/>
          <w:color w:val="auto"/>
          <w:sz w:val="21"/>
          <w:szCs w:val="21"/>
          <w:highlight w:val="none"/>
        </w:rPr>
      </w:pPr>
    </w:p>
    <w:p w14:paraId="28E487C9">
      <w:pPr>
        <w:numPr>
          <w:ilvl w:val="0"/>
          <w:numId w:val="0"/>
        </w:numPr>
        <w:spacing w:line="360" w:lineRule="auto"/>
        <w:ind w:leftChars="0"/>
        <w:rPr>
          <w:rFonts w:hint="default" w:ascii="Times New Roman Regular" w:hAnsi="Times New Roman Regular" w:cs="Times New Roman Regular"/>
          <w:b w:val="0"/>
          <w:bCs w:val="0"/>
          <w:strike w:val="0"/>
          <w:color w:val="auto"/>
          <w:sz w:val="21"/>
          <w:szCs w:val="21"/>
          <w:highlight w:val="none"/>
        </w:rPr>
      </w:pPr>
      <w:r>
        <w:rPr>
          <w:rFonts w:hint="default" w:ascii="Times New Roman Regular" w:hAnsi="Times New Roman Regular" w:cs="Times New Roman Regular"/>
          <w:b w:val="0"/>
          <w:bCs w:val="0"/>
          <w:strike w:val="0"/>
          <w:color w:val="auto"/>
          <w:sz w:val="21"/>
          <w:szCs w:val="21"/>
          <w:highlight w:val="none"/>
        </w:rPr>
        <w:t>Summary data-based Mendelian randomization (SMR) is a method that uses summary-level data to test whether an exposure variable (e.g., gene expression) and an outcome (e.g., a trait) are associated due to a shared causal variant, utilizing genome-wide significant SNPs as instrumental variables</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NE.Ref.{3A96BC3F-85AC-4080-B93E-EC175FEAE0FD}</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28</w:t>
      </w:r>
      <w:r>
        <w:rPr>
          <w:rFonts w:hint="default" w:ascii="Times New Roman Regular" w:hAnsi="Times New Roman Regular" w:cs="Times New Roman Regular"/>
          <w:b w:val="0"/>
          <w:bCs w:val="0"/>
          <w:strike w:val="0"/>
          <w:color w:val="auto"/>
          <w:sz w:val="21"/>
          <w:szCs w:val="21"/>
          <w:highlight w:val="none"/>
        </w:rPr>
        <w:fldChar w:fldCharType="end"/>
      </w:r>
      <w:r>
        <w:rPr>
          <w:rFonts w:hint="default" w:ascii="Times New Roman Regular" w:hAnsi="Times New Roman Regular" w:cs="Times New Roman Regular"/>
          <w:b w:val="0"/>
          <w:bCs w:val="0"/>
          <w:strike w:val="0"/>
          <w:color w:val="auto"/>
          <w:sz w:val="21"/>
          <w:szCs w:val="21"/>
          <w:highlight w:val="none"/>
        </w:rPr>
        <w:t xml:space="preserve">. A significant SMR association could be explained by a causal effect (i.e., the causal variant influences disease risk through changes in gene expression), pleiotropy (i.e., the causal variant affects both gene expression and disease risk), or linkage (i.e., different causal variants exist for gene expression and disease). To distinguish causality or pleiotropy from linkage, we applied the heterogeneity in dependent instruments (HEIDI) method to each tested single nucleotide variant. Associations with a </w:t>
      </w:r>
      <w:r>
        <w:rPr>
          <w:rFonts w:hint="default" w:ascii="Times New Roman Italic" w:hAnsi="Times New Roman Italic" w:cs="Times New Roman Italic"/>
          <w:b w:val="0"/>
          <w:bCs w:val="0"/>
          <w:i/>
          <w:iCs/>
          <w:strike w:val="0"/>
          <w:color w:val="auto"/>
          <w:sz w:val="21"/>
          <w:szCs w:val="21"/>
          <w:highlight w:val="none"/>
        </w:rPr>
        <w:t>P</w:t>
      </w:r>
      <w:r>
        <w:rPr>
          <w:rFonts w:hint="default" w:ascii="Times New Roman Regular" w:hAnsi="Times New Roman Regular" w:cs="Times New Roman Regular"/>
          <w:b w:val="0"/>
          <w:bCs w:val="0"/>
          <w:strike w:val="0"/>
          <w:color w:val="auto"/>
          <w:sz w:val="21"/>
          <w:szCs w:val="21"/>
          <w:highlight w:val="none"/>
        </w:rPr>
        <w:t>-value in the HEIDI test &lt; 0.01 were considered likely caused by pleiotropy and were thus removed from further analyses. We employed the SMR test using multiple SNPs (multi-SNPs-SMR) for each protein as a sensitivity analysis to avoid potential bias from analyzing a single SNP, providing significance levels (</w:t>
      </w:r>
      <w:r>
        <w:rPr>
          <w:rFonts w:hint="default" w:ascii="Times New Roman Italic" w:hAnsi="Times New Roman Italic" w:cs="Times New Roman Italic"/>
          <w:b w:val="0"/>
          <w:bCs w:val="0"/>
          <w:i/>
          <w:iCs/>
          <w:strike w:val="0"/>
          <w:color w:val="auto"/>
          <w:sz w:val="21"/>
          <w:szCs w:val="21"/>
          <w:highlight w:val="none"/>
        </w:rPr>
        <w:t>P</w:t>
      </w:r>
      <w:r>
        <w:rPr>
          <w:rFonts w:hint="default" w:ascii="Times New Roman Italic" w:hAnsi="Times New Roman Italic" w:cs="Times New Roman Italic"/>
          <w:b w:val="0"/>
          <w:bCs w:val="0"/>
          <w:i/>
          <w:iCs/>
          <w:strike w:val="0"/>
          <w:color w:val="auto"/>
          <w:sz w:val="21"/>
          <w:szCs w:val="21"/>
          <w:highlight w:val="none"/>
          <w:vertAlign w:val="subscript"/>
        </w:rPr>
        <w:t>smr-multi</w:t>
      </w:r>
      <w:r>
        <w:rPr>
          <w:rFonts w:hint="default" w:ascii="Times New Roman Regular" w:hAnsi="Times New Roman Regular" w:cs="Times New Roman Regular"/>
          <w:b w:val="0"/>
          <w:bCs w:val="0"/>
          <w:strike w:val="0"/>
          <w:color w:val="auto"/>
          <w:sz w:val="21"/>
          <w:szCs w:val="21"/>
          <w:highlight w:val="none"/>
        </w:rPr>
        <w:t xml:space="preserve"> &lt; 0.05) to strengthen the primary analysis</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NE.Ref.{B1554235-EDEE-4DAA-9FEB-12F98128D2E3}</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29</w:t>
      </w:r>
      <w:r>
        <w:rPr>
          <w:rFonts w:hint="default" w:ascii="Times New Roman Regular" w:hAnsi="Times New Roman Regular" w:cs="Times New Roman Regular"/>
          <w:b w:val="0"/>
          <w:bCs w:val="0"/>
          <w:strike w:val="0"/>
          <w:color w:val="auto"/>
          <w:sz w:val="21"/>
          <w:szCs w:val="21"/>
          <w:highlight w:val="none"/>
        </w:rPr>
        <w:fldChar w:fldCharType="end"/>
      </w:r>
      <w:r>
        <w:rPr>
          <w:rFonts w:hint="default" w:ascii="Times New Roman Regular" w:hAnsi="Times New Roman Regular" w:cs="Times New Roman Regular"/>
          <w:b w:val="0"/>
          <w:bCs w:val="0"/>
          <w:strike w:val="0"/>
          <w:color w:val="auto"/>
          <w:sz w:val="21"/>
          <w:szCs w:val="21"/>
          <w:highlight w:val="none"/>
        </w:rPr>
        <w:t xml:space="preserve">. We also applied multiple testing corrections to account for the number of unique proteins and independent CVDs (threshold: </w:t>
      </w:r>
      <w:r>
        <w:rPr>
          <w:rFonts w:hint="default" w:ascii="Times New Roman Italic" w:hAnsi="Times New Roman Italic" w:cs="Times New Roman Italic"/>
          <w:b w:val="0"/>
          <w:bCs w:val="0"/>
          <w:i/>
          <w:iCs/>
          <w:strike w:val="0"/>
          <w:color w:val="auto"/>
          <w:sz w:val="21"/>
          <w:szCs w:val="21"/>
          <w:highlight w:val="none"/>
        </w:rPr>
        <w:t>P</w:t>
      </w:r>
      <w:r>
        <w:rPr>
          <w:rFonts w:hint="default" w:ascii="Times New Roman Regular" w:hAnsi="Times New Roman Regular" w:cs="Times New Roman Regular"/>
          <w:b w:val="0"/>
          <w:bCs w:val="0"/>
          <w:strike w:val="0"/>
          <w:color w:val="auto"/>
          <w:sz w:val="21"/>
          <w:szCs w:val="21"/>
          <w:highlight w:val="none"/>
        </w:rPr>
        <w:t xml:space="preserve"> = 0.05 / </w:t>
      </w:r>
      <w:r>
        <w:rPr>
          <w:rFonts w:hint="default" w:ascii="Times New Roman Regular" w:hAnsi="Times New Roman Regular" w:cs="Times New Roman Regular"/>
          <w:b w:val="0"/>
          <w:bCs w:val="0"/>
          <w:strike w:val="0"/>
          <w:color w:val="auto"/>
          <w:sz w:val="21"/>
          <w:szCs w:val="21"/>
          <w:highlight w:val="none"/>
          <w:lang w:val="en-US"/>
        </w:rPr>
        <w:t>the number</w:t>
      </w:r>
      <w:r>
        <w:rPr>
          <w:rFonts w:hint="default" w:ascii="Times New Roman Regular" w:hAnsi="Times New Roman Regular" w:cs="Times New Roman Regular"/>
          <w:b w:val="0"/>
          <w:bCs w:val="0"/>
          <w:strike w:val="0"/>
          <w:color w:val="auto"/>
          <w:sz w:val="21"/>
          <w:szCs w:val="21"/>
          <w:highlight w:val="none"/>
        </w:rPr>
        <w:t xml:space="preserve"> of proteins / </w:t>
      </w:r>
      <w:r>
        <w:rPr>
          <w:rFonts w:hint="default" w:ascii="Times New Roman Regular" w:hAnsi="Times New Roman Regular" w:cs="Times New Roman Regular"/>
          <w:b w:val="0"/>
          <w:bCs w:val="0"/>
          <w:strike w:val="0"/>
          <w:color w:val="auto"/>
          <w:sz w:val="21"/>
          <w:szCs w:val="21"/>
          <w:highlight w:val="none"/>
          <w:lang w:val="en-US"/>
        </w:rPr>
        <w:t>the number</w:t>
      </w:r>
      <w:r>
        <w:rPr>
          <w:rFonts w:hint="default" w:ascii="Times New Roman Regular" w:hAnsi="Times New Roman Regular" w:cs="Times New Roman Regular"/>
          <w:b w:val="0"/>
          <w:bCs w:val="0"/>
          <w:strike w:val="0"/>
          <w:color w:val="auto"/>
          <w:sz w:val="21"/>
          <w:szCs w:val="21"/>
          <w:highlight w:val="none"/>
        </w:rPr>
        <w:t xml:space="preserve"> of</w:t>
      </w:r>
      <w:r>
        <w:rPr>
          <w:rFonts w:hint="default" w:ascii="Times New Roman Regular" w:hAnsi="Times New Roman Regular" w:cs="Times New Roman Regular"/>
          <w:b w:val="0"/>
          <w:bCs w:val="0"/>
          <w:strike w:val="0"/>
          <w:color w:val="auto"/>
          <w:sz w:val="21"/>
          <w:szCs w:val="21"/>
          <w:highlight w:val="none"/>
          <w:lang w:val="en-US"/>
        </w:rPr>
        <w:t xml:space="preserve"> </w:t>
      </w:r>
      <w:r>
        <w:rPr>
          <w:rFonts w:hint="default" w:ascii="Times New Roman Regular" w:hAnsi="Times New Roman Regular" w:cs="Times New Roman Regular"/>
          <w:b w:val="0"/>
          <w:bCs w:val="0"/>
          <w:strike w:val="0"/>
          <w:color w:val="auto"/>
          <w:sz w:val="21"/>
          <w:szCs w:val="21"/>
          <w:highlight w:val="none"/>
        </w:rPr>
        <w:t>independent CVDs = 0.05 / 2,730 / 3 = 6.11 × 10</w:t>
      </w:r>
      <w:r>
        <w:rPr>
          <w:rFonts w:hint="default" w:ascii="Times New Roman Regular" w:hAnsi="Times New Roman Regular" w:cs="Times New Roman Regular"/>
          <w:b w:val="0"/>
          <w:bCs w:val="0"/>
          <w:strike w:val="0"/>
          <w:color w:val="auto"/>
          <w:sz w:val="21"/>
          <w:szCs w:val="21"/>
          <w:highlight w:val="none"/>
          <w:vertAlign w:val="superscript"/>
        </w:rPr>
        <w:t>-6</w:t>
      </w:r>
      <w:r>
        <w:rPr>
          <w:rFonts w:hint="default" w:ascii="Times New Roman Regular" w:hAnsi="Times New Roman Regular" w:cs="Times New Roman Regular"/>
          <w:b w:val="0"/>
          <w:bCs w:val="0"/>
          <w:strike w:val="0"/>
          <w:color w:val="auto"/>
          <w:sz w:val="21"/>
          <w:szCs w:val="21"/>
          <w:highlight w:val="none"/>
        </w:rPr>
        <w:t>). We calculated the odds ratios (ORs) and corresponding confidence intervals (CIs) for the associations between proteins and outcomes using the Wald ratio and delta method, respectively</w:t>
      </w:r>
      <w:r>
        <w:rPr>
          <w:rFonts w:hint="default" w:ascii="Times New Roman Regular" w:hAnsi="Times New Roman Regular" w:cs="Times New Roman Regular"/>
          <w:b w:val="0"/>
          <w:bCs w:val="0"/>
          <w:strike w:val="0"/>
          <w:color w:val="auto"/>
          <w:sz w:val="21"/>
          <w:szCs w:val="21"/>
          <w:highlight w:val="none"/>
          <w:lang w:val="en-US"/>
        </w:rPr>
        <w:t xml:space="preserve">. </w:t>
      </w:r>
      <w:r>
        <w:rPr>
          <w:rFonts w:hint="default" w:ascii="Times New Roman Regular" w:hAnsi="Times New Roman Regular" w:cs="Times New Roman Regular"/>
          <w:b w:val="0"/>
          <w:bCs w:val="0"/>
          <w:strike w:val="0"/>
          <w:color w:val="auto"/>
          <w:sz w:val="21"/>
          <w:szCs w:val="21"/>
          <w:highlight w:val="none"/>
        </w:rPr>
        <w:t>SMR and HEIDI analysis were performed using the SMR software tool.</w:t>
      </w:r>
    </w:p>
    <w:p w14:paraId="3B432B6B">
      <w:pPr>
        <w:numPr>
          <w:ilvl w:val="0"/>
          <w:numId w:val="0"/>
        </w:numPr>
        <w:spacing w:line="360" w:lineRule="auto"/>
        <w:ind w:leftChars="0"/>
        <w:rPr>
          <w:rFonts w:hint="default" w:ascii="Times New Roman Regular" w:hAnsi="Times New Roman Regular" w:cs="Times New Roman Regular"/>
          <w:b w:val="0"/>
          <w:bCs w:val="0"/>
          <w:strike w:val="0"/>
          <w:color w:val="auto"/>
          <w:sz w:val="21"/>
          <w:szCs w:val="21"/>
          <w:highlight w:val="none"/>
        </w:rPr>
      </w:pPr>
    </w:p>
    <w:p w14:paraId="3A807B27">
      <w:pPr>
        <w:numPr>
          <w:ilvl w:val="0"/>
          <w:numId w:val="0"/>
        </w:numPr>
        <w:spacing w:line="360" w:lineRule="auto"/>
        <w:ind w:leftChars="0"/>
        <w:rPr>
          <w:rFonts w:hint="default" w:ascii="Times New Roman Regular" w:hAnsi="Times New Roman Regular" w:cs="Times New Roman Regular"/>
          <w:b w:val="0"/>
          <w:bCs w:val="0"/>
          <w:strike w:val="0"/>
          <w:color w:val="auto"/>
          <w:sz w:val="21"/>
          <w:szCs w:val="21"/>
          <w:highlight w:val="none"/>
        </w:rPr>
      </w:pPr>
      <w:r>
        <w:rPr>
          <w:rFonts w:hint="default" w:ascii="Times New Roman Regular" w:hAnsi="Times New Roman Regular" w:cs="Times New Roman Regular"/>
          <w:b w:val="0"/>
          <w:bCs w:val="0"/>
          <w:strike w:val="0"/>
          <w:color w:val="auto"/>
          <w:sz w:val="21"/>
          <w:szCs w:val="21"/>
          <w:highlight w:val="none"/>
        </w:rPr>
        <w:t xml:space="preserve">Colocalization analysis is a crucial complementary method used in MR studies to assess whether two or more traits share the same causal variant. We conducted colocalization analysis using the </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b w:val="0"/>
          <w:bCs w:val="0"/>
          <w:strike w:val="0"/>
          <w:color w:val="auto"/>
          <w:sz w:val="21"/>
          <w:szCs w:val="21"/>
          <w:highlight w:val="none"/>
        </w:rPr>
        <w:t>coloc</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b w:val="0"/>
          <w:bCs w:val="0"/>
          <w:strike w:val="0"/>
          <w:color w:val="auto"/>
          <w:sz w:val="21"/>
          <w:szCs w:val="21"/>
          <w:highlight w:val="none"/>
        </w:rPr>
        <w:t xml:space="preserve"> R package to determine whether the associations between causal proteins and each CVD were due to a shared causal variant or linkage disequilibrium</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NE.Ref.{266669DE-B7A6-4A41-9BE6-98F31E823B40}</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30</w:t>
      </w:r>
      <w:r>
        <w:rPr>
          <w:rFonts w:hint="default" w:ascii="Times New Roman Regular" w:hAnsi="Times New Roman Regular" w:cs="Times New Roman Regular"/>
          <w:b w:val="0"/>
          <w:bCs w:val="0"/>
          <w:strike w:val="0"/>
          <w:color w:val="auto"/>
          <w:sz w:val="21"/>
          <w:szCs w:val="21"/>
          <w:highlight w:val="none"/>
        </w:rPr>
        <w:fldChar w:fldCharType="end"/>
      </w:r>
      <w:r>
        <w:rPr>
          <w:rFonts w:hint="default" w:ascii="Times New Roman Regular" w:hAnsi="Times New Roman Regular" w:cs="Times New Roman Regular"/>
          <w:b w:val="0"/>
          <w:bCs w:val="0"/>
          <w:strike w:val="0"/>
          <w:color w:val="auto"/>
          <w:sz w:val="21"/>
          <w:szCs w:val="21"/>
          <w:highlight w:val="none"/>
        </w:rPr>
        <w:t>. For each locus, Bayes factors were computed to evaluate the posterior probabilities (PPs) of five mutually exclusive hypotheses: (1) no SNP is associated with either trait (H0); (2) a SNP is associated only with trait 1, but not with trait 2 (H1); (3) a SNP is associated only with trait 2, but not with trait 1 (H2); (4) different SNPs are independently associated with each trait (H3); and (5) the same SNP is associated with both traits (H4). The posterior probabilities (PP0 to PP4) represent the level of support for each hypothesis. We set the prior probability of a SNP being associated with only trait 1</w:t>
      </w:r>
      <w:r>
        <w:rPr>
          <w:rFonts w:hint="eastAsia" w:ascii="Times New Roman Regular" w:hAnsi="Times New Roman Regular" w:cs="Times New Roman Regular"/>
          <w:b w:val="0"/>
          <w:bCs w:val="0"/>
          <w:strike w:val="0"/>
          <w:color w:val="auto"/>
          <w:sz w:val="21"/>
          <w:szCs w:val="21"/>
          <w:highlight w:val="none"/>
          <w:lang w:val="en-US" w:eastAsia="zh-CN"/>
        </w:rPr>
        <w:t xml:space="preserve"> </w:t>
      </w:r>
      <w:r>
        <w:rPr>
          <w:rFonts w:hint="default" w:ascii="Times New Roman Regular" w:hAnsi="Times New Roman Regular" w:cs="Times New Roman Regular"/>
          <w:b w:val="0"/>
          <w:bCs w:val="0"/>
          <w:strike w:val="0"/>
          <w:color w:val="auto"/>
          <w:sz w:val="21"/>
          <w:szCs w:val="21"/>
          <w:highlight w:val="none"/>
        </w:rPr>
        <w:t>(p1) at 1 × 10</w:t>
      </w:r>
      <w:r>
        <w:rPr>
          <w:rFonts w:hint="default" w:ascii="Times New Roman Regular" w:hAnsi="Times New Roman Regular" w:cs="Times New Roman Regular"/>
          <w:b w:val="0"/>
          <w:bCs w:val="0"/>
          <w:strike w:val="0"/>
          <w:color w:val="auto"/>
          <w:sz w:val="21"/>
          <w:szCs w:val="21"/>
          <w:highlight w:val="none"/>
          <w:vertAlign w:val="superscript"/>
        </w:rPr>
        <w:t>-4</w:t>
      </w:r>
      <w:r>
        <w:rPr>
          <w:rFonts w:hint="default" w:ascii="Times New Roman Regular" w:hAnsi="Times New Roman Regular" w:cs="Times New Roman Regular"/>
          <w:b w:val="0"/>
          <w:bCs w:val="0"/>
          <w:strike w:val="0"/>
          <w:color w:val="auto"/>
          <w:sz w:val="21"/>
          <w:szCs w:val="21"/>
          <w:highlight w:val="none"/>
        </w:rPr>
        <w:t>, with only trait 2 (p2) at 1 × 10</w:t>
      </w:r>
      <w:r>
        <w:rPr>
          <w:rFonts w:hint="default" w:ascii="Times New Roman Regular" w:hAnsi="Times New Roman Regular" w:cs="Times New Roman Regular"/>
          <w:b w:val="0"/>
          <w:bCs w:val="0"/>
          <w:strike w:val="0"/>
          <w:color w:val="auto"/>
          <w:sz w:val="21"/>
          <w:szCs w:val="21"/>
          <w:highlight w:val="none"/>
          <w:vertAlign w:val="superscript"/>
        </w:rPr>
        <w:t>-4</w:t>
      </w:r>
      <w:r>
        <w:rPr>
          <w:rFonts w:hint="default" w:ascii="Times New Roman Regular" w:hAnsi="Times New Roman Regular" w:cs="Times New Roman Regular"/>
          <w:b w:val="0"/>
          <w:bCs w:val="0"/>
          <w:strike w:val="0"/>
          <w:color w:val="auto"/>
          <w:sz w:val="21"/>
          <w:szCs w:val="21"/>
          <w:highlight w:val="none"/>
        </w:rPr>
        <w:t>, and with both traits (p12) at 1 × 10</w:t>
      </w:r>
      <w:r>
        <w:rPr>
          <w:rFonts w:hint="default" w:ascii="Times New Roman Regular" w:hAnsi="Times New Roman Regular" w:cs="Times New Roman Regular"/>
          <w:b w:val="0"/>
          <w:bCs w:val="0"/>
          <w:strike w:val="0"/>
          <w:color w:val="auto"/>
          <w:sz w:val="21"/>
          <w:szCs w:val="21"/>
          <w:highlight w:val="none"/>
          <w:vertAlign w:val="superscript"/>
        </w:rPr>
        <w:t>-5</w:t>
      </w:r>
      <w:r>
        <w:rPr>
          <w:rFonts w:hint="default" w:ascii="Times New Roman Regular" w:hAnsi="Times New Roman Regular" w:cs="Times New Roman Regular"/>
          <w:b w:val="0"/>
          <w:bCs w:val="0"/>
          <w:strike w:val="0"/>
          <w:color w:val="auto"/>
          <w:sz w:val="21"/>
          <w:szCs w:val="21"/>
          <w:highlight w:val="none"/>
        </w:rPr>
        <w:t>. We considered two traits to have strong evidence of colocalization if the posterior probability supporting a shared causal variant (PPH4) exceeded 0.70.</w:t>
      </w:r>
    </w:p>
    <w:p w14:paraId="1E7A48F2">
      <w:pPr>
        <w:spacing w:line="360" w:lineRule="auto"/>
        <w:rPr>
          <w:rFonts w:hint="default" w:ascii="Times New Roman Bold" w:hAnsi="Times New Roman Bold" w:cs="Times New Roman Bold"/>
          <w:b/>
          <w:bCs/>
          <w:strike w:val="0"/>
          <w:color w:val="auto"/>
          <w:sz w:val="21"/>
          <w:szCs w:val="21"/>
          <w:highlight w:val="none"/>
        </w:rPr>
      </w:pPr>
    </w:p>
    <w:p w14:paraId="31CD035C">
      <w:pPr>
        <w:spacing w:line="360" w:lineRule="auto"/>
        <w:jc w:val="both"/>
        <w:rPr>
          <w:rFonts w:ascii="Times New Roman Bold" w:hAnsi="Times New Roman Bold" w:cs="Times New Roman Bold"/>
          <w:b/>
          <w:bCs/>
          <w:color w:val="auto"/>
          <w:szCs w:val="21"/>
          <w:highlight w:val="none"/>
        </w:rPr>
      </w:pPr>
      <w:r>
        <w:rPr>
          <w:rFonts w:hint="default" w:ascii="Times New Roman Regular" w:hAnsi="Times New Roman Regular" w:cs="Times New Roman Regular"/>
          <w:b w:val="0"/>
          <w:bCs w:val="0"/>
          <w:strike w:val="0"/>
          <w:color w:val="auto"/>
          <w:sz w:val="21"/>
          <w:szCs w:val="21"/>
          <w:highlight w:val="none"/>
        </w:rPr>
        <w:t>To assess the potential druggability of the plasma proteins identified through colocalization analysis, we queried the publicly available OpenTargets database, which integrates target–disease associations from 22 reputable sources, including genetic associations, somatic mutations, approved drugs, differential expression, animal models, pathways, and systems biology</w:t>
      </w:r>
      <w:r>
        <w:rPr>
          <w:rFonts w:hint="default" w:ascii="Times New Roman Regular" w:hAnsi="Times New Roman Regular" w:cs="Times New Roman Regular"/>
          <w:b w:val="0"/>
          <w:bCs w:val="0"/>
          <w:strike w:val="0"/>
          <w:color w:val="auto"/>
          <w:sz w:val="21"/>
          <w:szCs w:val="21"/>
          <w:highlight w:val="none"/>
        </w:rPr>
        <w:fldChar w:fldCharType="begin"/>
      </w:r>
      <w:r>
        <w:rPr>
          <w:rFonts w:hint="eastAsia" w:ascii="Times New Roman Regular" w:hAnsi="Times New Roman Regular" w:cs="Times New Roman Regular"/>
          <w:b w:val="0"/>
          <w:bCs w:val="0"/>
          <w:strike w:val="0"/>
          <w:color w:val="auto"/>
          <w:sz w:val="21"/>
          <w:szCs w:val="21"/>
          <w:highlight w:val="none"/>
          <w:lang w:eastAsia="zh-CN"/>
        </w:rPr>
        <w:instrText xml:space="preserve"> ADDIN NE.Ref.{0F536BC3-55FF-4988-89AD-6AE2F2C54F56}</w:instrText>
      </w:r>
      <w:r>
        <w:rPr>
          <w:rFonts w:hint="default" w:ascii="Times New Roman Regular" w:hAnsi="Times New Roman Regular" w:cs="Times New Roman Regular"/>
          <w:b w:val="0"/>
          <w:bCs w:val="0"/>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31</w:t>
      </w:r>
      <w:r>
        <w:rPr>
          <w:rFonts w:hint="default" w:ascii="Times New Roman Regular" w:hAnsi="Times New Roman Regular" w:cs="Times New Roman Regular"/>
          <w:b w:val="0"/>
          <w:bCs w:val="0"/>
          <w:strike w:val="0"/>
          <w:color w:val="auto"/>
          <w:sz w:val="21"/>
          <w:szCs w:val="21"/>
          <w:highlight w:val="none"/>
        </w:rPr>
        <w:fldChar w:fldCharType="end"/>
      </w:r>
      <w:r>
        <w:rPr>
          <w:rFonts w:hint="default" w:ascii="Times New Roman Regular" w:hAnsi="Times New Roman Regular" w:cs="Times New Roman Regular"/>
          <w:b w:val="0"/>
          <w:bCs w:val="0"/>
          <w:strike w:val="0"/>
          <w:color w:val="auto"/>
          <w:sz w:val="21"/>
          <w:szCs w:val="21"/>
          <w:highlight w:val="none"/>
        </w:rPr>
        <w:t>. We selected drugs that showed evidence of interaction with the proteins of interest and classified them according to their clinical trial phase, as reported on the ClinicalTrials website. Additionally, we cross-referenced our findings with a curated list of druggable genes to ensure consistency and replicability.</w:t>
      </w:r>
      <w:r>
        <w:rPr>
          <w:rFonts w:ascii="Times New Roman Bold" w:hAnsi="Times New Roman Bold" w:cs="Times New Roman Bold"/>
          <w:b/>
          <w:bCs/>
          <w:color w:val="auto"/>
          <w:szCs w:val="21"/>
          <w:highlight w:val="none"/>
        </w:rPr>
        <w:br w:type="page"/>
      </w:r>
    </w:p>
    <w:p w14:paraId="1759ABC1">
      <w:pPr>
        <w:spacing w:line="360" w:lineRule="auto"/>
        <w:jc w:val="both"/>
        <w:rPr>
          <w:rFonts w:hint="default"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t>Supplementary</w:t>
      </w:r>
      <w:r>
        <w:rPr>
          <w:rFonts w:hint="default" w:ascii="Times New Roman Bold" w:hAnsi="Times New Roman Bold" w:cs="Times New Roman Bold"/>
          <w:b/>
          <w:bCs/>
          <w:color w:val="auto"/>
          <w:szCs w:val="21"/>
          <w:highlight w:val="none"/>
        </w:rPr>
        <w:t xml:space="preserve"> </w:t>
      </w:r>
      <w:r>
        <w:rPr>
          <w:rFonts w:ascii="Times New Roman Bold" w:hAnsi="Times New Roman Bold" w:cs="Times New Roman Bold"/>
          <w:b/>
          <w:bCs/>
          <w:color w:val="auto"/>
          <w:szCs w:val="21"/>
          <w:highlight w:val="none"/>
        </w:rPr>
        <w:t>Note</w:t>
      </w:r>
      <w:r>
        <w:rPr>
          <w:rFonts w:hint="default" w:ascii="Times New Roman Bold" w:hAnsi="Times New Roman Bold" w:cs="Times New Roman Bold"/>
          <w:b/>
          <w:bCs/>
          <w:color w:val="auto"/>
          <w:szCs w:val="21"/>
          <w:highlight w:val="none"/>
        </w:rPr>
        <w:t xml:space="preserve"> </w:t>
      </w:r>
      <w:r>
        <w:rPr>
          <w:rFonts w:hint="default" w:ascii="Times New Roman Bold" w:hAnsi="Times New Roman Bold" w:cs="Times New Roman Bold"/>
          <w:b/>
          <w:bCs/>
          <w:color w:val="auto"/>
          <w:szCs w:val="21"/>
          <w:highlight w:val="none"/>
          <w:lang w:val="en-US" w:eastAsia="zh-CN"/>
        </w:rPr>
        <w:t>8</w:t>
      </w:r>
      <w:r>
        <w:rPr>
          <w:rFonts w:ascii="Times New Roman Bold" w:hAnsi="Times New Roman Bold" w:cs="Times New Roman Bold"/>
          <w:b/>
          <w:bCs/>
          <w:color w:val="auto"/>
          <w:szCs w:val="21"/>
          <w:highlight w:val="none"/>
        </w:rPr>
        <w:t xml:space="preserve">. </w:t>
      </w:r>
      <w:r>
        <w:rPr>
          <w:rFonts w:hint="default" w:ascii="Times New Roman Bold" w:hAnsi="Times New Roman Bold" w:cs="Times New Roman Bold"/>
          <w:b/>
          <w:bCs/>
          <w:color w:val="auto"/>
          <w:szCs w:val="21"/>
          <w:highlight w:val="none"/>
        </w:rPr>
        <w:t>Shared genetic architecture contributes to risk of major cardiovascular diseases of East Asian ancestry</w:t>
      </w:r>
    </w:p>
    <w:p w14:paraId="010F877B">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eastAsia" w:ascii="Times New Roman Regular" w:hAnsi="Times New Roman Regular" w:cs="Times New Roman Regular"/>
          <w:strike w:val="0"/>
          <w:color w:val="auto"/>
          <w:sz w:val="21"/>
          <w:szCs w:val="21"/>
          <w:highlight w:val="none"/>
          <w:lang w:val="en-AU"/>
        </w:rPr>
        <w:t xml:space="preserve">Comparing GWAS summary statistics across different ancestries provides a more comprehensive and diverse view of the genetic architecture. Although numerous genetic studies of CVDs have been conducted in non-European populations, these studies generally involved smaller sample sizes. In contrast, much larger-scale research efforts have predominantly focused on European populations. </w:t>
      </w:r>
      <w:r>
        <w:rPr>
          <w:rFonts w:hint="eastAsia" w:ascii="Times New Roman Regular" w:hAnsi="Times New Roman Regular" w:cs="Times New Roman Regular"/>
          <w:strike w:val="0"/>
          <w:color w:val="auto"/>
          <w:sz w:val="21"/>
          <w:szCs w:val="21"/>
          <w:highlight w:val="none"/>
          <w:lang w:val="en-US" w:eastAsia="zh-CN"/>
        </w:rPr>
        <w:t xml:space="preserve">Moreover, most cross-ancestry or ancestry-specific GWAS meta-analyses have not released publicly available summary statistics stratified by individual ancestry. </w:t>
      </w:r>
      <w:r>
        <w:rPr>
          <w:rFonts w:hint="eastAsia" w:ascii="Times New Roman Regular" w:hAnsi="Times New Roman Regular" w:cs="Times New Roman Regular"/>
          <w:strike w:val="0"/>
          <w:color w:val="auto"/>
          <w:sz w:val="21"/>
          <w:szCs w:val="21"/>
          <w:highlight w:val="none"/>
          <w:lang w:val="en-AU"/>
        </w:rPr>
        <w:t xml:space="preserve">Fortunately, Ishigaki </w:t>
      </w:r>
      <w:r>
        <w:rPr>
          <w:rFonts w:hint="default" w:ascii="Times New Roman Italic" w:hAnsi="Times New Roman Italic" w:cs="Times New Roman Italic"/>
          <w:i/>
          <w:iCs/>
          <w:strike w:val="0"/>
          <w:color w:val="auto"/>
          <w:sz w:val="21"/>
          <w:szCs w:val="21"/>
          <w:highlight w:val="none"/>
          <w:lang w:val="en-AU"/>
        </w:rPr>
        <w:t>et al</w:t>
      </w:r>
      <w:r>
        <w:rPr>
          <w:rFonts w:hint="eastAsia" w:ascii="Times New Roman Regular" w:hAnsi="Times New Roman Regular" w:cs="Times New Roman Regular"/>
          <w:strike w:val="0"/>
          <w:color w:val="auto"/>
          <w:sz w:val="21"/>
          <w:szCs w:val="21"/>
          <w:highlight w:val="none"/>
          <w:lang w:val="en-AU"/>
        </w:rPr>
        <w:t>. reported a GWAS involving 42 common diseases in the BioBank Japan Project (BBJ), one of the largest non-European biobanks, with approximately 200,000 Japanese participants. This included data on four of the six major CVDs (i.e., CAD, HF, PAD, and stroke)</w:t>
      </w:r>
      <w:r>
        <w:rPr>
          <w:rFonts w:hint="eastAsia" w:ascii="Times New Roman Regular" w:hAnsi="Times New Roman Regular" w:cs="Times New Roman Regular"/>
          <w:strike w:val="0"/>
          <w:color w:val="auto"/>
          <w:sz w:val="21"/>
          <w:szCs w:val="21"/>
          <w:highlight w:val="none"/>
          <w:lang w:val="en-AU"/>
        </w:rPr>
        <w:fldChar w:fldCharType="begin"/>
      </w:r>
      <w:r>
        <w:rPr>
          <w:rFonts w:hint="eastAsia" w:ascii="Times New Roman Regular" w:hAnsi="Times New Roman Regular" w:cs="Times New Roman Regular"/>
          <w:strike w:val="0"/>
          <w:color w:val="auto"/>
          <w:sz w:val="21"/>
          <w:szCs w:val="21"/>
          <w:highlight w:val="none"/>
          <w:lang w:val="en-AU" w:eastAsia="zh-CN"/>
        </w:rPr>
        <w:instrText xml:space="preserve"> ADDIN NE.Ref.{311D75BF-1684-40C0-99D6-82C362668539}</w:instrText>
      </w:r>
      <w:r>
        <w:rPr>
          <w:rFonts w:hint="eastAsia" w:ascii="Times New Roman Regular" w:hAnsi="Times New Roman Regular" w:cs="Times New Roman Regular"/>
          <w:strike w:val="0"/>
          <w:color w:val="auto"/>
          <w:sz w:val="21"/>
          <w:szCs w:val="21"/>
          <w:highlight w:val="none"/>
          <w:lang w:val="en-AU"/>
        </w:rPr>
        <w:fldChar w:fldCharType="separate"/>
      </w:r>
      <w:r>
        <w:rPr>
          <w:rFonts w:hint="default" w:ascii="Times New Roman" w:hAnsi="Times New Roman" w:eastAsia="Times New Roman"/>
          <w:color w:val="auto"/>
          <w:sz w:val="21"/>
          <w:szCs w:val="24"/>
          <w:highlight w:val="none"/>
          <w:vertAlign w:val="superscript"/>
        </w:rPr>
        <w:t>32</w:t>
      </w:r>
      <w:r>
        <w:rPr>
          <w:rFonts w:hint="eastAsia" w:ascii="Times New Roman Regular" w:hAnsi="Times New Roman Regular" w:cs="Times New Roman Regular"/>
          <w:strike w:val="0"/>
          <w:color w:val="auto"/>
          <w:sz w:val="21"/>
          <w:szCs w:val="21"/>
          <w:highlight w:val="none"/>
          <w:lang w:val="en-AU"/>
        </w:rPr>
        <w:fldChar w:fldCharType="end"/>
      </w:r>
      <w:r>
        <w:rPr>
          <w:rFonts w:hint="eastAsia" w:ascii="Times New Roman Regular" w:hAnsi="Times New Roman Regular" w:cs="Times New Roman Regular"/>
          <w:strike w:val="0"/>
          <w:color w:val="auto"/>
          <w:sz w:val="21"/>
          <w:szCs w:val="21"/>
          <w:highlight w:val="none"/>
          <w:lang w:val="en-AU"/>
        </w:rPr>
        <w:t xml:space="preserve">. Similarly, Low </w:t>
      </w:r>
      <w:r>
        <w:rPr>
          <w:rFonts w:hint="default" w:ascii="Times New Roman Italic" w:hAnsi="Times New Roman Italic" w:cs="Times New Roman Italic"/>
          <w:i/>
          <w:iCs/>
          <w:strike w:val="0"/>
          <w:color w:val="auto"/>
          <w:sz w:val="21"/>
          <w:szCs w:val="21"/>
          <w:highlight w:val="none"/>
          <w:lang w:val="en-AU"/>
        </w:rPr>
        <w:t>et al</w:t>
      </w:r>
      <w:r>
        <w:rPr>
          <w:rFonts w:hint="eastAsia" w:ascii="Times New Roman Regular" w:hAnsi="Times New Roman Regular" w:cs="Times New Roman Regular"/>
          <w:strike w:val="0"/>
          <w:color w:val="auto"/>
          <w:sz w:val="21"/>
          <w:szCs w:val="21"/>
          <w:highlight w:val="none"/>
          <w:lang w:val="en-AU"/>
        </w:rPr>
        <w:t xml:space="preserve">. conducted the largest GWAS of AF in the Japanese population, comprising 8,180 cases and 28,612 controls. For VTE, Zhang </w:t>
      </w:r>
      <w:r>
        <w:rPr>
          <w:rFonts w:hint="default" w:ascii="Times New Roman Italic" w:hAnsi="Times New Roman Italic" w:cs="Times New Roman Italic"/>
          <w:i/>
          <w:iCs/>
          <w:strike w:val="0"/>
          <w:color w:val="auto"/>
          <w:sz w:val="21"/>
          <w:szCs w:val="21"/>
          <w:highlight w:val="none"/>
          <w:lang w:val="en-AU"/>
        </w:rPr>
        <w:t>et al.</w:t>
      </w:r>
      <w:r>
        <w:rPr>
          <w:rFonts w:hint="eastAsia" w:ascii="Times New Roman Regular" w:hAnsi="Times New Roman Regular" w:cs="Times New Roman Regular"/>
          <w:strike w:val="0"/>
          <w:color w:val="auto"/>
          <w:sz w:val="21"/>
          <w:szCs w:val="21"/>
          <w:highlight w:val="none"/>
          <w:lang w:val="en-AU"/>
        </w:rPr>
        <w:t xml:space="preserve"> conducted the first GWAS on VTE in Han Chinese, including 1,268 cases and 17,663 controls</w:t>
      </w:r>
      <w:r>
        <w:rPr>
          <w:rFonts w:hint="eastAsia" w:ascii="Times New Roman Regular" w:hAnsi="Times New Roman Regular" w:cs="Times New Roman Regular"/>
          <w:strike w:val="0"/>
          <w:color w:val="auto"/>
          <w:sz w:val="21"/>
          <w:szCs w:val="21"/>
          <w:highlight w:val="none"/>
          <w:lang w:val="en-AU"/>
        </w:rPr>
        <w:fldChar w:fldCharType="begin"/>
      </w:r>
      <w:r>
        <w:rPr>
          <w:rFonts w:hint="eastAsia" w:ascii="Times New Roman Regular" w:hAnsi="Times New Roman Regular" w:cs="Times New Roman Regular"/>
          <w:strike w:val="0"/>
          <w:color w:val="auto"/>
          <w:sz w:val="21"/>
          <w:szCs w:val="21"/>
          <w:highlight w:val="none"/>
          <w:lang w:val="en-AU" w:eastAsia="zh-CN"/>
        </w:rPr>
        <w:instrText xml:space="preserve"> ADDIN NE.Ref.{5D853A87-1BD7-4466-9F9A-AF00047604EB}</w:instrText>
      </w:r>
      <w:r>
        <w:rPr>
          <w:rFonts w:hint="eastAsia" w:ascii="Times New Roman Regular" w:hAnsi="Times New Roman Regular" w:cs="Times New Roman Regular"/>
          <w:strike w:val="0"/>
          <w:color w:val="auto"/>
          <w:sz w:val="21"/>
          <w:szCs w:val="21"/>
          <w:highlight w:val="none"/>
          <w:lang w:val="en-AU"/>
        </w:rPr>
        <w:fldChar w:fldCharType="separate"/>
      </w:r>
      <w:r>
        <w:rPr>
          <w:rFonts w:hint="default" w:ascii="Times New Roman" w:hAnsi="Times New Roman" w:eastAsia="Times New Roman"/>
          <w:color w:val="auto"/>
          <w:sz w:val="21"/>
          <w:szCs w:val="24"/>
          <w:highlight w:val="none"/>
          <w:vertAlign w:val="superscript"/>
        </w:rPr>
        <w:t>33</w:t>
      </w:r>
      <w:r>
        <w:rPr>
          <w:rFonts w:hint="eastAsia" w:ascii="Times New Roman Regular" w:hAnsi="Times New Roman Regular" w:cs="Times New Roman Regular"/>
          <w:strike w:val="0"/>
          <w:color w:val="auto"/>
          <w:sz w:val="21"/>
          <w:szCs w:val="21"/>
          <w:highlight w:val="none"/>
          <w:lang w:val="en-AU"/>
        </w:rPr>
        <w:fldChar w:fldCharType="end"/>
      </w:r>
      <w:r>
        <w:rPr>
          <w:rFonts w:hint="eastAsia" w:ascii="Times New Roman Regular" w:hAnsi="Times New Roman Regular" w:cs="Times New Roman Regular"/>
          <w:strike w:val="0"/>
          <w:color w:val="auto"/>
          <w:sz w:val="21"/>
          <w:szCs w:val="21"/>
          <w:highlight w:val="none"/>
          <w:lang w:val="en-AU"/>
        </w:rPr>
        <w:t>. Finally, we compiled the largest available GWAS datasets for five major CVDs—AF, CAD, HF, PAD, and stroke—in individuals of East Asian ancestry. However, the sample size for the AF GWAS remained below 50,000 participants. Detailed information about these diseases and their publication sources is available in Supplementary Data 27.</w:t>
      </w:r>
    </w:p>
    <w:p w14:paraId="063FF1E3">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2F940096">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default" w:ascii="Times New Roman Regular" w:hAnsi="Times New Roman Regular" w:cs="Times New Roman Regular"/>
          <w:strike w:val="0"/>
          <w:color w:val="auto"/>
          <w:sz w:val="21"/>
          <w:szCs w:val="21"/>
          <w:highlight w:val="none"/>
        </w:rPr>
        <w:t>Nevertheless, we performed an integrative analysis of the available GWAS datasets covering five major CVDs in individuals of East Asian ancestry. Pre-analysis quality control procedures were carried out in a manner consistent with the main analysis described in the article. To ensure fair and interpretable comparisons across the five CVDs, we restricted the summary statistics to SNPs shared across all five traits, resulting in a final set of 4,872,181 SNPs.</w:t>
      </w:r>
    </w:p>
    <w:p w14:paraId="4C175A5A">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52D454B8">
      <w:pPr>
        <w:numPr>
          <w:ilvl w:val="-1"/>
          <w:numId w:val="0"/>
        </w:numPr>
        <w:spacing w:line="360" w:lineRule="auto"/>
        <w:jc w:val="left"/>
        <w:rPr>
          <w:rFonts w:hint="default" w:ascii="Times New Roman Regular" w:hAnsi="Times New Roman Regular" w:cs="Times New Roman Regular"/>
          <w:strike w:val="0"/>
          <w:color w:val="auto"/>
          <w:sz w:val="21"/>
          <w:szCs w:val="21"/>
          <w:highlight w:val="none"/>
        </w:rPr>
      </w:pPr>
      <w:r>
        <w:rPr>
          <w:rFonts w:hint="eastAsia" w:ascii="Times New Roman Bold" w:hAnsi="Times New Roman Bold" w:cs="Times New Roman Bold"/>
          <w:b/>
          <w:bCs/>
          <w:color w:val="auto"/>
          <w:szCs w:val="21"/>
          <w:highlight w:val="none"/>
        </w:rPr>
        <w:t>Genome-wide genetic overlap beyond genetic correlation</w:t>
      </w:r>
      <w:r>
        <w:rPr>
          <w:rFonts w:ascii="Times New Roman Bold" w:hAnsi="Times New Roman Bold" w:cs="Times New Roman Bold"/>
          <w:b/>
          <w:bCs/>
          <w:color w:val="auto"/>
          <w:szCs w:val="21"/>
          <w:highlight w:val="none"/>
        </w:rPr>
        <w:t xml:space="preserve"> </w:t>
      </w:r>
      <w:r>
        <w:rPr>
          <w:rFonts w:hint="eastAsia" w:ascii="Times New Roman Bold" w:hAnsi="Times New Roman Bold" w:cs="Times New Roman Bold"/>
          <w:b/>
          <w:bCs/>
          <w:color w:val="auto"/>
          <w:szCs w:val="21"/>
          <w:highlight w:val="none"/>
          <w:lang w:val="en-US" w:eastAsia="zh-Hans"/>
        </w:rPr>
        <w:t>acros</w:t>
      </w:r>
      <w:r>
        <w:rPr>
          <w:rFonts w:hint="default" w:ascii="Times New Roman Bold" w:hAnsi="Times New Roman Bold" w:cs="Times New Roman Bold"/>
          <w:b/>
          <w:bCs/>
          <w:color w:val="auto"/>
          <w:szCs w:val="21"/>
          <w:highlight w:val="none"/>
          <w:lang w:eastAsia="zh-Hans"/>
        </w:rPr>
        <w:t>s</w:t>
      </w:r>
      <w:r>
        <w:rPr>
          <w:rFonts w:ascii="Times New Roman Bold" w:hAnsi="Times New Roman Bold" w:cs="Times New Roman Bold"/>
          <w:b/>
          <w:bCs/>
          <w:color w:val="auto"/>
          <w:szCs w:val="21"/>
          <w:highlight w:val="none"/>
          <w:lang w:eastAsia="zh-Hans"/>
        </w:rPr>
        <w:t xml:space="preserve"> the </w:t>
      </w:r>
      <w:r>
        <w:rPr>
          <w:rFonts w:hint="default" w:ascii="Times New Roman Bold" w:hAnsi="Times New Roman Bold" w:cs="Times New Roman Bold"/>
          <w:b/>
          <w:bCs/>
          <w:color w:val="auto"/>
          <w:szCs w:val="21"/>
          <w:highlight w:val="none"/>
          <w:lang w:eastAsia="zh-Hans"/>
        </w:rPr>
        <w:t>five</w:t>
      </w:r>
      <w:r>
        <w:rPr>
          <w:rFonts w:ascii="Times New Roman Bold" w:hAnsi="Times New Roman Bold" w:cs="Times New Roman Bold"/>
          <w:b/>
          <w:bCs/>
          <w:color w:val="auto"/>
          <w:szCs w:val="21"/>
          <w:highlight w:val="none"/>
        </w:rPr>
        <w:t xml:space="preserve"> CVDs</w:t>
      </w:r>
      <w:r>
        <w:rPr>
          <w:rFonts w:hint="default" w:ascii="Times New Roman Bold" w:hAnsi="Times New Roman Bold" w:cs="Times New Roman Bold"/>
          <w:b/>
          <w:bCs/>
          <w:color w:val="auto"/>
          <w:szCs w:val="21"/>
          <w:highlight w:val="none"/>
        </w:rPr>
        <w:t xml:space="preserve"> of </w:t>
      </w:r>
      <w:r>
        <w:rPr>
          <w:rFonts w:hint="default" w:ascii="Times New Roman Bold" w:hAnsi="Times New Roman Bold" w:cs="Times New Roman Bold"/>
          <w:b/>
          <w:bCs/>
          <w:strike w:val="0"/>
          <w:color w:val="auto"/>
          <w:sz w:val="21"/>
          <w:szCs w:val="21"/>
          <w:highlight w:val="none"/>
          <w:lang w:val="en-AU"/>
        </w:rPr>
        <w:t>East Asian ancestry</w:t>
      </w:r>
    </w:p>
    <w:p w14:paraId="7AEC9FDA">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default" w:ascii="Times New Roman Regular" w:hAnsi="Times New Roman Regular" w:cs="Times New Roman Regular"/>
          <w:strike w:val="0"/>
          <w:color w:val="auto"/>
          <w:sz w:val="21"/>
          <w:szCs w:val="21"/>
          <w:highlight w:val="none"/>
        </w:rPr>
        <w:t>We used linkage disequilibrium (LD) score regression (LDSC) to estimate SNP-based heritability (h</w:t>
      </w:r>
      <w:r>
        <w:rPr>
          <w:rFonts w:hint="default" w:ascii="Times New Roman Regular" w:hAnsi="Times New Roman Regular" w:cs="Times New Roman Regular"/>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and genome-wide genetic correlation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Regular" w:hAnsi="Times New Roman Regular" w:cs="Times New Roman Regular"/>
          <w:strike w:val="0"/>
          <w:color w:val="auto"/>
          <w:sz w:val="21"/>
          <w:szCs w:val="21"/>
          <w:highlight w:val="none"/>
        </w:rPr>
        <w:t>). The statistical power of the GWASs and the magnitude of their genetic signals varied substantially across the five CVDs, with the median h</w:t>
      </w:r>
      <w:r>
        <w:rPr>
          <w:rFonts w:hint="default" w:ascii="Times New Roman Regular" w:hAnsi="Times New Roman Regular" w:cs="Times New Roman Regular"/>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xml:space="preserve"> being 1.6% (rang</w:t>
      </w:r>
      <w:r>
        <w:rPr>
          <w:rFonts w:hint="default" w:ascii="Times New Roman Regular" w:hAnsi="Times New Roman Regular" w:cs="Times New Roman Regular"/>
          <w:strike w:val="0"/>
          <w:color w:val="auto"/>
          <w:sz w:val="21"/>
          <w:szCs w:val="21"/>
          <w:highlight w:val="none"/>
          <w:lang w:val="en-US"/>
        </w:rPr>
        <w:t>ing from</w:t>
      </w:r>
      <w:r>
        <w:rPr>
          <w:rFonts w:hint="default" w:ascii="Times New Roman Regular" w:hAnsi="Times New Roman Regular" w:cs="Times New Roman Regular"/>
          <w:strike w:val="0"/>
          <w:color w:val="auto"/>
          <w:sz w:val="21"/>
          <w:szCs w:val="21"/>
          <w:highlight w:val="none"/>
        </w:rPr>
        <w:t xml:space="preserve"> 1.1%</w:t>
      </w:r>
      <w:r>
        <w:rPr>
          <w:rFonts w:hint="default" w:ascii="Times New Roman Regular" w:hAnsi="Times New Roman Regular" w:cs="Times New Roman Regular"/>
          <w:strike w:val="0"/>
          <w:color w:val="auto"/>
          <w:sz w:val="21"/>
          <w:szCs w:val="21"/>
          <w:highlight w:val="none"/>
          <w:lang w:val="en-US"/>
        </w:rPr>
        <w:t xml:space="preserve"> to </w:t>
      </w:r>
      <w:r>
        <w:rPr>
          <w:rFonts w:hint="default" w:ascii="Times New Roman Regular" w:hAnsi="Times New Roman Regular" w:cs="Times New Roman Regular"/>
          <w:strike w:val="0"/>
          <w:color w:val="auto"/>
          <w:sz w:val="21"/>
          <w:szCs w:val="21"/>
          <w:highlight w:val="none"/>
        </w:rPr>
        <w:t xml:space="preserve">14.3%, </w:t>
      </w:r>
      <w:r>
        <w:rPr>
          <w:rFonts w:hint="default" w:ascii="Times New Roman Regular" w:hAnsi="Times New Roman Regular" w:cs="Times New Roman Regular"/>
          <w:strike w:val="0"/>
          <w:color w:val="auto"/>
          <w:sz w:val="21"/>
          <w:szCs w:val="21"/>
          <w:highlight w:val="none"/>
          <w:lang w:val="en-US"/>
        </w:rPr>
        <w:t>Supplementary Data</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28a</w:t>
      </w:r>
      <w:r>
        <w:rPr>
          <w:rFonts w:hint="default" w:ascii="Times New Roman Regular" w:hAnsi="Times New Roman Regular" w:cs="Times New Roman Regular"/>
          <w:strike w:val="0"/>
          <w:color w:val="auto"/>
          <w:sz w:val="21"/>
          <w:szCs w:val="21"/>
          <w:highlight w:val="none"/>
        </w:rPr>
        <w:t xml:space="preserve">). Estimated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Italic" w:hAnsi="Times New Roman Italic" w:cs="Times New Roman Italic"/>
          <w:i/>
          <w:iCs/>
          <w:strike w:val="0"/>
          <w:color w:val="auto"/>
          <w:sz w:val="21"/>
          <w:szCs w:val="21"/>
          <w:highlight w:val="none"/>
          <w:vertAlign w:val="baseline"/>
        </w:rPr>
        <w:t>s</w:t>
      </w:r>
      <w:r>
        <w:rPr>
          <w:rFonts w:hint="default" w:ascii="Times New Roman Italic" w:hAnsi="Times New Roman Italic" w:cs="Times New Roman Italic"/>
          <w:i/>
          <w:iCs/>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rPr>
        <w:t>by LDSC were moderate to strong (median = 0.324, rang</w:t>
      </w:r>
      <w:r>
        <w:rPr>
          <w:rFonts w:hint="default" w:ascii="Times New Roman Regular" w:hAnsi="Times New Roman Regular" w:cs="Times New Roman Regular"/>
          <w:strike w:val="0"/>
          <w:color w:val="auto"/>
          <w:sz w:val="21"/>
          <w:szCs w:val="21"/>
          <w:highlight w:val="none"/>
          <w:lang w:val="en-US"/>
        </w:rPr>
        <w:t>ing from</w:t>
      </w:r>
      <w:r>
        <w:rPr>
          <w:rFonts w:hint="default" w:ascii="Times New Roman Regular" w:hAnsi="Times New Roman Regular" w:cs="Times New Roman Regular"/>
          <w:strike w:val="0"/>
          <w:color w:val="auto"/>
          <w:sz w:val="21"/>
          <w:szCs w:val="21"/>
          <w:highlight w:val="none"/>
        </w:rPr>
        <w:t xml:space="preserve"> 0.070</w:t>
      </w:r>
      <w:r>
        <w:rPr>
          <w:rFonts w:hint="default" w:ascii="Times New Roman Regular" w:hAnsi="Times New Roman Regular" w:cs="Times New Roman Regular"/>
          <w:strike w:val="0"/>
          <w:color w:val="auto"/>
          <w:sz w:val="21"/>
          <w:szCs w:val="21"/>
          <w:highlight w:val="none"/>
          <w:lang w:val="en-US"/>
        </w:rPr>
        <w:t xml:space="preserve"> to </w:t>
      </w:r>
      <w:r>
        <w:rPr>
          <w:rFonts w:hint="default" w:ascii="Times New Roman Regular" w:hAnsi="Times New Roman Regular" w:cs="Times New Roman Regular"/>
          <w:strike w:val="0"/>
          <w:color w:val="auto"/>
          <w:sz w:val="21"/>
          <w:szCs w:val="21"/>
          <w:highlight w:val="none"/>
        </w:rPr>
        <w:t xml:space="preserve">0.573). Seven out of the ten trait pairs showed significant positive genetic correlations at the nominal threshold </w:t>
      </w:r>
      <w:r>
        <w:rPr>
          <w:rFonts w:hint="default" w:ascii="Times New Roman Regular" w:hAnsi="Times New Roman Regular" w:cs="Times New Roman Regular"/>
          <w:strike w:val="0"/>
          <w:color w:val="auto"/>
          <w:sz w:val="21"/>
          <w:szCs w:val="21"/>
          <w:highlight w:val="none"/>
          <w:lang w:val="en-US"/>
        </w:rPr>
        <w:t>(</w:t>
      </w:r>
      <w:r>
        <w:rPr>
          <w:rFonts w:hint="default" w:ascii="Times New Roman Italic" w:hAnsi="Times New Roman Italic" w:cs="Times New Roman Italic"/>
          <w:i/>
          <w:iCs/>
          <w:strike w:val="0"/>
          <w:color w:val="auto"/>
          <w:sz w:val="21"/>
          <w:szCs w:val="21"/>
          <w:highlight w:val="none"/>
        </w:rPr>
        <w:t>P</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&lt;</w:t>
      </w:r>
      <w:r>
        <w:rPr>
          <w:rFonts w:hint="default" w:ascii="Times New Roman Regular" w:hAnsi="Times New Roman Regular" w:cs="Times New Roman Regular"/>
          <w:strike w:val="0"/>
          <w:color w:val="auto"/>
          <w:sz w:val="21"/>
          <w:szCs w:val="21"/>
          <w:highlight w:val="none"/>
        </w:rPr>
        <w:t xml:space="preserve"> 0.05</w:t>
      </w:r>
      <w:r>
        <w:rPr>
          <w:rFonts w:hint="default" w:ascii="Times New Roman Regular" w:hAnsi="Times New Roman Regular" w:cs="Times New Roman Regular"/>
          <w:strike w:val="0"/>
          <w:color w:val="auto"/>
          <w:sz w:val="21"/>
          <w:szCs w:val="21"/>
          <w:highlight w:val="none"/>
          <w:lang w:val="en-US"/>
        </w:rPr>
        <w:t>)</w:t>
      </w:r>
      <w:r>
        <w:rPr>
          <w:rFonts w:hint="default" w:ascii="Times New Roman Regular" w:hAnsi="Times New Roman Regular" w:cs="Times New Roman Regular"/>
          <w:strike w:val="0"/>
          <w:color w:val="auto"/>
          <w:sz w:val="21"/>
          <w:szCs w:val="21"/>
          <w:highlight w:val="none"/>
        </w:rPr>
        <w:t xml:space="preserve">, among which five remained significant after Bonferroni correction </w:t>
      </w:r>
      <w:r>
        <w:rPr>
          <w:rFonts w:hint="default" w:ascii="Times New Roman" w:hAnsi="Times New Roman" w:cs="Times New Roman"/>
          <w:i w:val="0"/>
          <w:iCs w:val="0"/>
          <w:strike w:val="0"/>
          <w:color w:val="auto"/>
          <w:sz w:val="21"/>
          <w:szCs w:val="21"/>
          <w:highlight w:val="none"/>
          <w:lang w:val="en-US"/>
        </w:rPr>
        <w:t>(</w:t>
      </w:r>
      <w:r>
        <w:rPr>
          <w:rFonts w:hint="default" w:ascii="Times New Roman Italic" w:hAnsi="Times New Roman Italic" w:cs="Times New Roman Italic"/>
          <w:i/>
          <w:iCs/>
          <w:strike w:val="0"/>
          <w:color w:val="auto"/>
          <w:sz w:val="21"/>
          <w:szCs w:val="21"/>
          <w:highlight w:val="none"/>
        </w:rPr>
        <w:t>P</w:t>
      </w:r>
      <w:r>
        <w:rPr>
          <w:rFonts w:hint="default" w:ascii="Times New Roman Regular" w:hAnsi="Times New Roman Regular" w:cs="Times New Roman Regular"/>
          <w:strike w:val="0"/>
          <w:color w:val="auto"/>
          <w:sz w:val="21"/>
          <w:szCs w:val="21"/>
          <w:highlight w:val="none"/>
        </w:rPr>
        <w:t xml:space="preserve"> = 8.33</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10</w:t>
      </w:r>
      <w:r>
        <w:rPr>
          <w:rFonts w:hint="default" w:ascii="Times New Roman Regular" w:hAnsi="Times New Roman Regular" w:cs="Times New Roman Regular"/>
          <w:strike w:val="0"/>
          <w:color w:val="auto"/>
          <w:sz w:val="21"/>
          <w:szCs w:val="21"/>
          <w:highlight w:val="none"/>
          <w:vertAlign w:val="superscript"/>
        </w:rPr>
        <w:t>−3</w:t>
      </w:r>
      <w:r>
        <w:rPr>
          <w:rFonts w:hint="default" w:ascii="Times New Roman Regular" w:hAnsi="Times New Roman Regular" w:cs="Times New Roman Regular"/>
          <w:strike w:val="0"/>
          <w:color w:val="auto"/>
          <w:sz w:val="21"/>
          <w:szCs w:val="21"/>
          <w:highlight w:val="none"/>
          <w:vertAlign w:val="baseline"/>
          <w:lang w:val="en-US"/>
        </w:rPr>
        <w:t xml:space="preserve">; </w:t>
      </w:r>
      <w:r>
        <w:rPr>
          <w:rFonts w:hint="default" w:ascii="Times New Roman Regular" w:hAnsi="Times New Roman Regular" w:cs="Times New Roman Regular"/>
          <w:strike w:val="0"/>
          <w:color w:val="auto"/>
          <w:sz w:val="21"/>
          <w:szCs w:val="21"/>
          <w:highlight w:val="none"/>
          <w:lang w:val="en-US"/>
        </w:rPr>
        <w:t>Supplementary Data</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28b</w:t>
      </w:r>
      <w:r>
        <w:rPr>
          <w:rFonts w:hint="default" w:ascii="Times New Roman Regular" w:hAnsi="Times New Roman Regular" w:cs="Times New Roman Regular"/>
          <w:strike w:val="0"/>
          <w:color w:val="auto"/>
          <w:sz w:val="21"/>
          <w:szCs w:val="21"/>
          <w:highlight w:val="none"/>
        </w:rPr>
        <w:t xml:space="preserve">). Substantial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Italic" w:hAnsi="Times New Roman Italic" w:cs="Times New Roman Italic"/>
          <w:i/>
          <w:iCs/>
          <w:strike w:val="0"/>
          <w:color w:val="auto"/>
          <w:sz w:val="21"/>
          <w:szCs w:val="21"/>
          <w:highlight w:val="none"/>
        </w:rPr>
        <w:t>s</w:t>
      </w:r>
      <w:r>
        <w:rPr>
          <w:rFonts w:hint="default" w:ascii="Times New Roman Regular" w:hAnsi="Times New Roman Regular" w:cs="Times New Roman Regular"/>
          <w:strike w:val="0"/>
          <w:color w:val="auto"/>
          <w:sz w:val="21"/>
          <w:szCs w:val="21"/>
          <w:highlight w:val="none"/>
        </w:rPr>
        <w:t xml:space="preserve"> were observed both between pairs of CVDs with low </w:t>
      </w:r>
      <w:r>
        <w:rPr>
          <w:rFonts w:hint="default" w:ascii="Times New Roman Italic" w:hAnsi="Times New Roman Italic" w:cs="Times New Roman Italic"/>
          <w:i/>
          <w:iCs/>
          <w:strike w:val="0"/>
          <w:color w:val="auto"/>
          <w:sz w:val="21"/>
          <w:szCs w:val="21"/>
          <w:highlight w:val="none"/>
        </w:rPr>
        <w:t>h</w:t>
      </w:r>
      <w:r>
        <w:rPr>
          <w:rFonts w:hint="default" w:ascii="Times New Roman Italic" w:hAnsi="Times New Roman Italic" w:cs="Times New Roman Italic"/>
          <w:i/>
          <w:iCs/>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xml:space="preserve"> (for example, for HF and Stroke, </w:t>
      </w:r>
      <w:r>
        <w:rPr>
          <w:rFonts w:hint="default" w:ascii="Times New Roman Italic" w:hAnsi="Times New Roman Italic" w:cs="Times New Roman Italic"/>
          <w:i/>
          <w:iCs/>
          <w:strike w:val="0"/>
          <w:color w:val="auto"/>
          <w:sz w:val="21"/>
          <w:szCs w:val="21"/>
          <w:highlight w:val="none"/>
        </w:rPr>
        <w:t>h</w:t>
      </w:r>
      <w:r>
        <w:rPr>
          <w:rFonts w:hint="default" w:ascii="Times New Roman Italic" w:hAnsi="Times New Roman Italic" w:cs="Times New Roman Italic"/>
          <w:i/>
          <w:iCs/>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xml:space="preserve"> is 1.1% and 1.6%;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Regular" w:hAnsi="Times New Roman Regular" w:cs="Times New Roman Regular"/>
          <w:strike w:val="0"/>
          <w:color w:val="auto"/>
          <w:sz w:val="21"/>
          <w:szCs w:val="21"/>
          <w:highlight w:val="none"/>
        </w:rPr>
        <w:t xml:space="preserve"> = 0.467,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0.139) as well as relatively high </w:t>
      </w:r>
      <w:r>
        <w:rPr>
          <w:rFonts w:hint="default" w:ascii="Times New Roman Italic" w:hAnsi="Times New Roman Italic" w:cs="Times New Roman Italic"/>
          <w:i/>
          <w:iCs/>
          <w:strike w:val="0"/>
          <w:color w:val="auto"/>
          <w:sz w:val="21"/>
          <w:szCs w:val="21"/>
          <w:highlight w:val="none"/>
        </w:rPr>
        <w:t>h</w:t>
      </w:r>
      <w:r>
        <w:rPr>
          <w:rFonts w:hint="default" w:ascii="Times New Roman Italic" w:hAnsi="Times New Roman Italic" w:cs="Times New Roman Italic"/>
          <w:i/>
          <w:iCs/>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xml:space="preserve"> (for example, for AF and CAD, </w:t>
      </w:r>
      <w:r>
        <w:rPr>
          <w:rFonts w:hint="default" w:ascii="Times New Roman Italic" w:hAnsi="Times New Roman Italic" w:cs="Times New Roman Italic"/>
          <w:i/>
          <w:iCs/>
          <w:strike w:val="0"/>
          <w:color w:val="auto"/>
          <w:sz w:val="21"/>
          <w:szCs w:val="21"/>
          <w:highlight w:val="none"/>
        </w:rPr>
        <w:t>h</w:t>
      </w:r>
      <w:r>
        <w:rPr>
          <w:rFonts w:hint="default" w:ascii="Times New Roman Italic" w:hAnsi="Times New Roman Italic" w:cs="Times New Roman Italic"/>
          <w:i/>
          <w:iCs/>
          <w:strike w:val="0"/>
          <w:color w:val="auto"/>
          <w:sz w:val="21"/>
          <w:szCs w:val="21"/>
          <w:highlight w:val="none"/>
          <w:vertAlign w:val="superscript"/>
        </w:rPr>
        <w:t>2</w:t>
      </w:r>
      <w:r>
        <w:rPr>
          <w:rFonts w:hint="default" w:ascii="Times New Roman Regular" w:hAnsi="Times New Roman Regular" w:cs="Times New Roman Regular"/>
          <w:strike w:val="0"/>
          <w:color w:val="auto"/>
          <w:sz w:val="21"/>
          <w:szCs w:val="21"/>
          <w:highlight w:val="none"/>
          <w:vertAlign w:val="subscript"/>
        </w:rPr>
        <w:t>SNP</w:t>
      </w:r>
      <w:r>
        <w:rPr>
          <w:rFonts w:hint="default" w:ascii="Times New Roman Regular" w:hAnsi="Times New Roman Regular" w:cs="Times New Roman Regular"/>
          <w:strike w:val="0"/>
          <w:color w:val="auto"/>
          <w:sz w:val="21"/>
          <w:szCs w:val="21"/>
          <w:highlight w:val="none"/>
        </w:rPr>
        <w:t xml:space="preserve"> is 14.3% and 7.1%;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Regular" w:hAnsi="Times New Roman Regular" w:cs="Times New Roman Regular"/>
          <w:strike w:val="0"/>
          <w:color w:val="auto"/>
          <w:sz w:val="21"/>
          <w:szCs w:val="21"/>
          <w:highlight w:val="none"/>
        </w:rPr>
        <w:t xml:space="preserve"> = 0.198,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0.085). </w:t>
      </w:r>
      <w:r>
        <w:rPr>
          <w:rFonts w:hint="default" w:ascii="Times New Roman Regular" w:hAnsi="Times New Roman Regular" w:cs="Times New Roman Regular"/>
          <w:color w:val="auto"/>
          <w:szCs w:val="21"/>
          <w:highlight w:val="none"/>
        </w:rPr>
        <w:t>Based on GWAS results, MatSpD estimated that the five traits were equivalent to four independent components, leading to six independent trait pairs for multiple testing correction.</w:t>
      </w:r>
    </w:p>
    <w:p w14:paraId="71C67D61">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1CFD7482">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eastAsia" w:ascii="Times New Roman Regular" w:hAnsi="Times New Roman Regular" w:cs="Times New Roman Regular"/>
          <w:color w:val="auto"/>
          <w:szCs w:val="21"/>
          <w:highlight w:val="none"/>
          <w:lang w:eastAsia="zh-Hans"/>
        </w:rPr>
        <w:t>To further characterize the extent of polygenic overlap beyond genetic correlation, we applied MiXeR, a modeling framework that estimates the total number of trait-influencing (</w:t>
      </w:r>
      <w:r>
        <w:rPr>
          <w:rFonts w:hint="eastAsia" w:ascii="Times New Roman Regular" w:hAnsi="Times New Roman Regular" w:cs="Times New Roman Regular"/>
          <w:strike w:val="0"/>
          <w:color w:val="auto"/>
          <w:sz w:val="21"/>
          <w:szCs w:val="21"/>
          <w:highlight w:val="none"/>
          <w:lang w:val="en-AU"/>
        </w:rPr>
        <w:t>'</w:t>
      </w:r>
      <w:r>
        <w:rPr>
          <w:rFonts w:hint="eastAsia" w:ascii="Times New Roman Regular" w:hAnsi="Times New Roman Regular" w:cs="Times New Roman Regular"/>
          <w:color w:val="auto"/>
          <w:szCs w:val="21"/>
          <w:highlight w:val="none"/>
          <w:lang w:eastAsia="zh-Hans"/>
        </w:rPr>
        <w:t>causal</w:t>
      </w:r>
      <w:r>
        <w:rPr>
          <w:rFonts w:hint="eastAsia" w:ascii="Times New Roman Regular" w:hAnsi="Times New Roman Regular" w:cs="Times New Roman Regular"/>
          <w:strike w:val="0"/>
          <w:color w:val="auto"/>
          <w:sz w:val="21"/>
          <w:szCs w:val="21"/>
          <w:highlight w:val="none"/>
          <w:lang w:val="en-AU"/>
        </w:rPr>
        <w:t>'</w:t>
      </w:r>
      <w:r>
        <w:rPr>
          <w:rFonts w:hint="eastAsia" w:ascii="Times New Roman Regular" w:hAnsi="Times New Roman Regular" w:cs="Times New Roman Regular"/>
          <w:color w:val="auto"/>
          <w:szCs w:val="21"/>
          <w:highlight w:val="none"/>
          <w:lang w:eastAsia="zh-Hans"/>
        </w:rPr>
        <w:t>) variants per phenotype (univariate analysis) and the numbers of shared and unique variants between phenotype pairs (bivariate analysis).</w:t>
      </w:r>
      <w:r>
        <w:rPr>
          <w:rFonts w:hint="eastAsia"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strike w:val="0"/>
          <w:color w:val="auto"/>
          <w:sz w:val="21"/>
          <w:szCs w:val="21"/>
          <w:highlight w:val="none"/>
        </w:rPr>
        <w:t>For seven of the ten trait pairs, both AICs (best_vs_min_AIC and best_vs_max_AIC) were negative, indicating that the analyses lacked sufficient power to yield precise estimates of genetic overlap</w:t>
      </w:r>
      <w:r>
        <w:rPr>
          <w:rFonts w:hint="default" w:ascii="Times New Roman Regular" w:hAnsi="Times New Roman Regular" w:cs="Times New Roman Regular"/>
          <w:strike w:val="0"/>
          <w:color w:val="auto"/>
          <w:sz w:val="21"/>
          <w:szCs w:val="21"/>
          <w:highlight w:val="none"/>
          <w:lang w:val="en-US"/>
        </w:rPr>
        <w:t xml:space="preserve"> (Supplementary Data</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29a</w:t>
      </w:r>
      <w:r>
        <w:rPr>
          <w:rFonts w:hint="default" w:ascii="Times New Roman Regular" w:hAnsi="Times New Roman Regular" w:cs="Times New Roman Regular"/>
          <w:strike w:val="0"/>
          <w:color w:val="auto"/>
          <w:sz w:val="21"/>
          <w:szCs w:val="21"/>
          <w:highlight w:val="none"/>
        </w:rPr>
        <w:t>). Three trait pairs (including CAD-HF, CAD-PAD, and CAD-Stroke) showed substantial genetic overlaps, with a median Dice coefficient of 0.679 (rang</w:t>
      </w:r>
      <w:r>
        <w:rPr>
          <w:rFonts w:hint="default" w:ascii="Times New Roman Regular" w:hAnsi="Times New Roman Regular" w:cs="Times New Roman Regular"/>
          <w:strike w:val="0"/>
          <w:color w:val="auto"/>
          <w:sz w:val="21"/>
          <w:szCs w:val="21"/>
          <w:highlight w:val="none"/>
          <w:lang w:val="en-US"/>
        </w:rPr>
        <w:t>ing from</w:t>
      </w:r>
      <w:r>
        <w:rPr>
          <w:rFonts w:hint="default" w:ascii="Times New Roman Regular" w:hAnsi="Times New Roman Regular" w:cs="Times New Roman Regular"/>
          <w:strike w:val="0"/>
          <w:color w:val="auto"/>
          <w:sz w:val="21"/>
          <w:szCs w:val="21"/>
          <w:highlight w:val="none"/>
        </w:rPr>
        <w:t xml:space="preserve"> 0.468</w:t>
      </w:r>
      <w:r>
        <w:rPr>
          <w:rFonts w:hint="default" w:ascii="Times New Roman Regular" w:hAnsi="Times New Roman Regular" w:cs="Times New Roman Regular"/>
          <w:strike w:val="0"/>
          <w:color w:val="auto"/>
          <w:sz w:val="21"/>
          <w:szCs w:val="21"/>
          <w:highlight w:val="none"/>
          <w:lang w:val="en-US"/>
        </w:rPr>
        <w:t xml:space="preserve"> to </w:t>
      </w:r>
      <w:r>
        <w:rPr>
          <w:rFonts w:hint="default" w:ascii="Times New Roman Regular" w:hAnsi="Times New Roman Regular" w:cs="Times New Roman Regular"/>
          <w:strike w:val="0"/>
          <w:color w:val="auto"/>
          <w:sz w:val="21"/>
          <w:szCs w:val="21"/>
          <w:highlight w:val="none"/>
        </w:rPr>
        <w:t>0.786</w:t>
      </w:r>
      <w:r>
        <w:rPr>
          <w:rFonts w:hint="default" w:ascii="Times New Roman Regular" w:hAnsi="Times New Roman Regular" w:cs="Times New Roman Regular"/>
          <w:strike w:val="0"/>
          <w:color w:val="auto"/>
          <w:sz w:val="21"/>
          <w:szCs w:val="21"/>
          <w:highlight w:val="none"/>
          <w:lang w:val="en-US"/>
        </w:rPr>
        <w:t>;</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Supplementary Data</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29b</w:t>
      </w:r>
      <w:r>
        <w:rPr>
          <w:rFonts w:hint="default" w:ascii="Times New Roman Regular" w:hAnsi="Times New Roman Regular" w:cs="Times New Roman Regular"/>
          <w:strike w:val="0"/>
          <w:color w:val="auto"/>
          <w:sz w:val="21"/>
          <w:szCs w:val="21"/>
          <w:highlight w:val="none"/>
        </w:rPr>
        <w:t>), including both moderate (CAD-PAD) and minimal (CAD-Stroke) genome-wide genetic correlations. For example, the genetic overlap between CAD and Stroke was particularly striking, with 647 (</w:t>
      </w:r>
      <w:r>
        <w:rPr>
          <w:rFonts w:hint="default" w:ascii="Times New Roman Regular" w:hAnsi="Times New Roman Regular" w:cs="Times New Roman Regular"/>
          <w:strike w:val="0"/>
          <w:color w:val="auto"/>
          <w:sz w:val="21"/>
          <w:szCs w:val="21"/>
          <w:highlight w:val="none"/>
          <w:lang w:val="en-US"/>
        </w:rPr>
        <w:t>SD</w:t>
      </w:r>
      <w:r>
        <w:rPr>
          <w:rFonts w:hint="default" w:ascii="Times New Roman Regular" w:hAnsi="Times New Roman Regular" w:cs="Times New Roman Regular"/>
          <w:strike w:val="0"/>
          <w:color w:val="auto"/>
          <w:sz w:val="21"/>
          <w:szCs w:val="21"/>
          <w:highlight w:val="none"/>
        </w:rPr>
        <w:t xml:space="preserve"> = 47) shared variants, representing 89.1% of CAD-influencing variants and 54.0% of Stroke-influencing variants mirroring </w:t>
      </w:r>
      <w:r>
        <w:rPr>
          <w:rFonts w:hint="default" w:ascii="Times New Roman Regular" w:hAnsi="Times New Roman Regular" w:cs="Times New Roman Regular"/>
          <w:strike w:val="0"/>
          <w:color w:val="auto"/>
          <w:sz w:val="21"/>
          <w:szCs w:val="21"/>
          <w:highlight w:val="none"/>
          <w:lang w:val="en-US"/>
        </w:rPr>
        <w:t>a</w:t>
      </w:r>
      <w:r>
        <w:rPr>
          <w:rFonts w:hint="default" w:ascii="Times New Roman Regular" w:hAnsi="Times New Roman Regular" w:cs="Times New Roman Regular"/>
          <w:strike w:val="0"/>
          <w:color w:val="auto"/>
          <w:sz w:val="21"/>
          <w:szCs w:val="21"/>
          <w:highlight w:val="none"/>
        </w:rPr>
        <w:t xml:space="preserve"> robust positive genome-wide genetic correlation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Regular" w:hAnsi="Times New Roman Regular" w:cs="Times New Roman Regular"/>
          <w:strike w:val="0"/>
          <w:color w:val="auto"/>
          <w:sz w:val="21"/>
          <w:szCs w:val="21"/>
          <w:highlight w:val="none"/>
        </w:rPr>
        <w:t xml:space="preserve"> = 0.573,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 0.060) and genetic correlation of shared variants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gs</w:t>
      </w:r>
      <w:r>
        <w:rPr>
          <w:rFonts w:hint="default" w:ascii="Times New Roman Regular" w:hAnsi="Times New Roman Regular" w:cs="Times New Roman Regular"/>
          <w:strike w:val="0"/>
          <w:color w:val="auto"/>
          <w:sz w:val="21"/>
          <w:szCs w:val="21"/>
          <w:highlight w:val="none"/>
        </w:rPr>
        <w:t xml:space="preserve"> = 0.687,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0.034). Although genome-wide genetic correlation was weak, extensive genetic sharing was observed between CAD and Stroke, with 647 shared variants (sd = 47) and only 8 unique CAD variants, despite </w:t>
      </w:r>
      <w:r>
        <w:rPr>
          <w:rFonts w:hint="default" w:ascii="Times New Roman Regular" w:hAnsi="Times New Roman Regular" w:cs="Times New Roman Regular"/>
          <w:strike w:val="0"/>
          <w:color w:val="auto"/>
          <w:sz w:val="21"/>
          <w:szCs w:val="21"/>
          <w:highlight w:val="none"/>
          <w:lang w:val="en-US"/>
        </w:rPr>
        <w:t>a low</w:t>
      </w:r>
      <w:r>
        <w:rPr>
          <w:rFonts w:hint="default" w:ascii="Times New Roman Regular" w:hAnsi="Times New Roman Regular" w:cs="Times New Roman Regular"/>
          <w:strike w:val="0"/>
          <w:color w:val="auto"/>
          <w:sz w:val="21"/>
          <w:szCs w:val="21"/>
          <w:highlight w:val="none"/>
        </w:rPr>
        <w:t xml:space="preserve"> genome-wide genetic correlation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w:t>
      </w:r>
      <w:r>
        <w:rPr>
          <w:rFonts w:hint="default" w:ascii="Times New Roman Regular" w:hAnsi="Times New Roman Regular" w:cs="Times New Roman Regular"/>
          <w:strike w:val="0"/>
          <w:color w:val="auto"/>
          <w:sz w:val="21"/>
          <w:szCs w:val="21"/>
          <w:highlight w:val="none"/>
        </w:rPr>
        <w:t xml:space="preserve"> = 0.182,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0.103) and </w:t>
      </w:r>
      <w:r>
        <w:rPr>
          <w:rFonts w:hint="default" w:ascii="Times New Roman Regular" w:hAnsi="Times New Roman Regular" w:cs="Times New Roman Regular"/>
          <w:strike w:val="0"/>
          <w:color w:val="auto"/>
          <w:sz w:val="21"/>
          <w:szCs w:val="21"/>
          <w:highlight w:val="none"/>
          <w:lang w:val="en-US"/>
        </w:rPr>
        <w:t xml:space="preserve">low </w:t>
      </w:r>
      <w:r>
        <w:rPr>
          <w:rFonts w:hint="default" w:ascii="Times New Roman Regular" w:hAnsi="Times New Roman Regular" w:cs="Times New Roman Regular"/>
          <w:strike w:val="0"/>
          <w:color w:val="auto"/>
          <w:sz w:val="21"/>
          <w:szCs w:val="21"/>
          <w:highlight w:val="none"/>
        </w:rPr>
        <w:t>genetic correlation of shared variants (</w:t>
      </w:r>
      <w:r>
        <w:rPr>
          <w:rFonts w:hint="default" w:ascii="Times New Roman Italic" w:hAnsi="Times New Roman Italic" w:cs="Times New Roman Italic"/>
          <w:i/>
          <w:iCs/>
          <w:strike w:val="0"/>
          <w:color w:val="auto"/>
          <w:sz w:val="21"/>
          <w:szCs w:val="21"/>
          <w:highlight w:val="none"/>
        </w:rPr>
        <w:t>r</w:t>
      </w:r>
      <w:r>
        <w:rPr>
          <w:rFonts w:hint="default" w:ascii="Times New Roman Italic" w:hAnsi="Times New Roman Italic" w:cs="Times New Roman Italic"/>
          <w:i/>
          <w:iCs/>
          <w:strike w:val="0"/>
          <w:color w:val="auto"/>
          <w:sz w:val="21"/>
          <w:szCs w:val="21"/>
          <w:highlight w:val="none"/>
          <w:vertAlign w:val="subscript"/>
        </w:rPr>
        <w:t>gs</w:t>
      </w:r>
      <w:r>
        <w:rPr>
          <w:rFonts w:hint="default" w:ascii="Times New Roman Italic" w:hAnsi="Times New Roman Italic" w:cs="Times New Roman Italic"/>
          <w:i/>
          <w:iCs/>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rPr>
        <w:t xml:space="preserve">= 0.215,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0.030). This pattern of extensive overlap despite weak genetic correlation suggests mixed effect directions, supported by the MiXeR-estimated proportion of shared </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strike w:val="0"/>
          <w:color w:val="auto"/>
          <w:sz w:val="21"/>
          <w:szCs w:val="21"/>
          <w:highlight w:val="none"/>
        </w:rPr>
        <w:t>causal</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strike w:val="0"/>
          <w:color w:val="auto"/>
          <w:sz w:val="21"/>
          <w:szCs w:val="21"/>
          <w:highlight w:val="none"/>
        </w:rPr>
        <w:t xml:space="preserve"> variants with concordant effects (0.587, </w:t>
      </w:r>
      <w:r>
        <w:rPr>
          <w:rFonts w:hint="default" w:ascii="Times New Roman Regular" w:hAnsi="Times New Roman Regular" w:cs="Times New Roman Regular"/>
          <w:strike w:val="0"/>
          <w:color w:val="auto"/>
          <w:sz w:val="21"/>
          <w:szCs w:val="21"/>
          <w:highlight w:val="none"/>
          <w:lang w:val="en-US"/>
        </w:rPr>
        <w:t>SE</w:t>
      </w:r>
      <w:r>
        <w:rPr>
          <w:rFonts w:hint="default" w:ascii="Times New Roman Regular" w:hAnsi="Times New Roman Regular" w:cs="Times New Roman Regular"/>
          <w:strike w:val="0"/>
          <w:color w:val="auto"/>
          <w:sz w:val="21"/>
          <w:szCs w:val="21"/>
          <w:highlight w:val="none"/>
        </w:rPr>
        <w:t xml:space="preserve"> = 0.013).</w:t>
      </w:r>
    </w:p>
    <w:p w14:paraId="5C863472">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6B469E05">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default" w:ascii="Times New Roman Regular" w:hAnsi="Times New Roman Regular" w:cs="Times New Roman Regular"/>
          <w:color w:val="auto"/>
          <w:szCs w:val="21"/>
          <w:highlight w:val="none"/>
          <w:lang w:eastAsia="zh-Hans"/>
        </w:rPr>
        <w:t xml:space="preserve">To further explore the local genetic architecture underlying common CVDs, we applied LAVA to estimate pairwise local genetic correlations </w:t>
      </w:r>
      <w:r>
        <w:rPr>
          <w:rFonts w:hint="default" w:ascii="Times New Roman Regular" w:hAnsi="Times New Roman Regular" w:cs="Times New Roman Regular"/>
          <w:color w:val="auto"/>
          <w:szCs w:val="21"/>
          <w:highlight w:val="none"/>
          <w:lang w:val="en-US" w:eastAsia="zh-Hans"/>
        </w:rPr>
        <w:t>(</w:t>
      </w:r>
      <w:r>
        <w:rPr>
          <w:rFonts w:hint="default" w:ascii="Times New Roman Regular" w:hAnsi="Times New Roman Regular" w:cs="Times New Roman Regular"/>
          <w:color w:val="auto"/>
          <w:szCs w:val="21"/>
          <w:highlight w:val="none"/>
          <w:lang w:eastAsia="zh-Hans"/>
        </w:rPr>
        <w:t xml:space="preserve">local </w:t>
      </w:r>
      <w:r>
        <w:rPr>
          <w:rFonts w:hint="default" w:ascii="Times New Roman Italic" w:hAnsi="Times New Roman Italic" w:cs="Times New Roman Italic"/>
          <w:i/>
          <w:iCs/>
          <w:color w:val="auto"/>
          <w:szCs w:val="21"/>
          <w:highlight w:val="none"/>
          <w:lang w:eastAsia="zh-Hans"/>
        </w:rPr>
        <w:t>r</w:t>
      </w:r>
      <w:r>
        <w:rPr>
          <w:rFonts w:hint="default" w:ascii="Times New Roman Italic" w:hAnsi="Times New Roman Italic" w:cs="Times New Roman Italic"/>
          <w:i/>
          <w:iCs/>
          <w:color w:val="auto"/>
          <w:szCs w:val="21"/>
          <w:highlight w:val="none"/>
          <w:vertAlign w:val="subscript"/>
          <w:lang w:eastAsia="zh-Hans"/>
        </w:rPr>
        <w:t>g</w:t>
      </w:r>
      <w:r>
        <w:rPr>
          <w:rFonts w:hint="default" w:ascii="Times New Roman" w:hAnsi="Times New Roman" w:cs="Times New Roman"/>
          <w:i w:val="0"/>
          <w:iCs w:val="0"/>
          <w:color w:val="auto"/>
          <w:szCs w:val="21"/>
          <w:highlight w:val="none"/>
          <w:vertAlign w:val="baseline"/>
          <w:lang w:val="en-US" w:eastAsia="zh-Hans"/>
        </w:rPr>
        <w:t>)</w:t>
      </w:r>
      <w:r>
        <w:rPr>
          <w:rFonts w:hint="default" w:ascii="Times New Roman Regular" w:hAnsi="Times New Roman Regular" w:cs="Times New Roman Regular"/>
          <w:color w:val="auto"/>
          <w:szCs w:val="21"/>
          <w:highlight w:val="none"/>
          <w:lang w:eastAsia="zh-Hans"/>
        </w:rPr>
        <w:t xml:space="preserve"> across 1,445 semi-independent</w:t>
      </w:r>
      <w:r>
        <w:rPr>
          <w:rFonts w:hint="default" w:ascii="Times New Roman Regular" w:hAnsi="Times New Roman Regular" w:cs="Times New Roman Regular"/>
          <w:color w:val="auto"/>
          <w:szCs w:val="21"/>
          <w:highlight w:val="none"/>
          <w:lang w:val="en-US" w:eastAsia="zh-Hans"/>
        </w:rPr>
        <w:t xml:space="preserve"> </w:t>
      </w:r>
      <w:r>
        <w:rPr>
          <w:rFonts w:hint="default" w:ascii="Times New Roman Regular" w:hAnsi="Times New Roman Regular" w:cs="Times New Roman Regular"/>
          <w:color w:val="auto"/>
          <w:szCs w:val="21"/>
          <w:highlight w:val="none"/>
          <w:lang w:eastAsia="zh-Hans"/>
        </w:rPr>
        <w:t xml:space="preserve">genomic regions. This approach enables the identification of localized polygenic sharing and opposing effect directions, even in disease pairs with low genome-wide </w:t>
      </w:r>
      <w:r>
        <w:rPr>
          <w:rFonts w:hint="default" w:ascii="Times New Roman Italic" w:hAnsi="Times New Roman Italic" w:cs="Times New Roman Italic"/>
          <w:i/>
          <w:iCs/>
          <w:color w:val="auto"/>
          <w:szCs w:val="21"/>
          <w:highlight w:val="none"/>
          <w:lang w:eastAsia="zh-Hans"/>
        </w:rPr>
        <w:t>r</w:t>
      </w:r>
      <w:r>
        <w:rPr>
          <w:rFonts w:hint="default" w:ascii="Times New Roman Italic" w:hAnsi="Times New Roman Italic" w:cs="Times New Roman Italic"/>
          <w:i/>
          <w:iCs/>
          <w:color w:val="auto"/>
          <w:szCs w:val="21"/>
          <w:highlight w:val="none"/>
          <w:vertAlign w:val="subscript"/>
          <w:lang w:eastAsia="zh-Hans"/>
        </w:rPr>
        <w:t>g</w:t>
      </w:r>
      <w:r>
        <w:rPr>
          <w:rFonts w:hint="default" w:ascii="Times New Roman Regular" w:hAnsi="Times New Roman Regular" w:cs="Times New Roman Regular"/>
          <w:color w:val="auto"/>
          <w:szCs w:val="21"/>
          <w:highlight w:val="none"/>
          <w:lang w:eastAsia="zh-Hans"/>
        </w:rPr>
        <w:t xml:space="preserve">. </w:t>
      </w:r>
      <w:r>
        <w:rPr>
          <w:rFonts w:hint="default" w:ascii="Times New Roman Regular" w:hAnsi="Times New Roman Regular" w:cs="Times New Roman Regular"/>
          <w:strike w:val="0"/>
          <w:color w:val="auto"/>
          <w:sz w:val="21"/>
          <w:szCs w:val="21"/>
          <w:highlight w:val="none"/>
        </w:rPr>
        <w:t xml:space="preserve">Among </w:t>
      </w:r>
      <w:r>
        <w:rPr>
          <w:rFonts w:hint="default" w:ascii="Times New Roman Regular" w:hAnsi="Times New Roman Regular" w:cs="Times New Roman Regular"/>
          <w:strike w:val="0"/>
          <w:color w:val="auto"/>
          <w:sz w:val="21"/>
          <w:szCs w:val="21"/>
          <w:highlight w:val="none"/>
          <w:lang w:val="en-US"/>
        </w:rPr>
        <w:t>747</w:t>
      </w:r>
      <w:r>
        <w:rPr>
          <w:rFonts w:hint="default" w:ascii="Times New Roman Regular" w:hAnsi="Times New Roman Regular" w:cs="Times New Roman Regular"/>
          <w:strike w:val="0"/>
          <w:color w:val="auto"/>
          <w:sz w:val="21"/>
          <w:szCs w:val="21"/>
          <w:highlight w:val="none"/>
        </w:rPr>
        <w:t xml:space="preserve"> significant genomic regions (</w:t>
      </w:r>
      <w:r>
        <w:rPr>
          <w:rFonts w:hint="default" w:ascii="Times New Roman Italic" w:hAnsi="Times New Roman Italic" w:cs="Times New Roman Italic"/>
          <w:i/>
          <w:iCs/>
          <w:strike w:val="0"/>
          <w:color w:val="auto"/>
          <w:sz w:val="21"/>
          <w:szCs w:val="21"/>
          <w:highlight w:val="none"/>
        </w:rPr>
        <w:t>P</w:t>
      </w:r>
      <w:r>
        <w:rPr>
          <w:rFonts w:hint="default" w:ascii="Times New Roman Regular" w:hAnsi="Times New Roman Regular" w:cs="Times New Roman Regular"/>
          <w:strike w:val="0"/>
          <w:color w:val="auto"/>
          <w:sz w:val="21"/>
          <w:szCs w:val="21"/>
          <w:highlight w:val="none"/>
        </w:rPr>
        <w:t> &lt; </w:t>
      </w:r>
      <w:r>
        <w:rPr>
          <w:rFonts w:hint="default" w:ascii="Times New Roman Regular" w:hAnsi="Times New Roman Regular" w:cs="Times New Roman Regular"/>
          <w:strike w:val="0"/>
          <w:color w:val="auto"/>
          <w:sz w:val="21"/>
          <w:szCs w:val="21"/>
          <w:highlight w:val="none"/>
          <w:lang w:val="en-US"/>
        </w:rPr>
        <w:t>1</w:t>
      </w:r>
      <w:r>
        <w:rPr>
          <w:rFonts w:hint="default" w:ascii="Times New Roman Regular" w:hAnsi="Times New Roman Regular" w:cs="Times New Roman Regular"/>
          <w:strike w:val="0"/>
          <w:color w:val="auto"/>
          <w:sz w:val="21"/>
          <w:szCs w:val="21"/>
          <w:highlight w:val="none"/>
        </w:rPr>
        <w:t> × 10</w:t>
      </w:r>
      <w:r>
        <w:rPr>
          <w:rFonts w:hint="default" w:ascii="Times New Roman Regular" w:hAnsi="Times New Roman Regular" w:cs="Times New Roman Regular"/>
          <w:strike w:val="0"/>
          <w:color w:val="auto"/>
          <w:sz w:val="21"/>
          <w:szCs w:val="21"/>
          <w:highlight w:val="none"/>
          <w:vertAlign w:val="superscript"/>
        </w:rPr>
        <w:t>−</w:t>
      </w:r>
      <w:r>
        <w:rPr>
          <w:rFonts w:hint="default" w:ascii="Times New Roman Regular" w:hAnsi="Times New Roman Regular" w:cs="Times New Roman Regular"/>
          <w:strike w:val="0"/>
          <w:color w:val="auto"/>
          <w:sz w:val="21"/>
          <w:szCs w:val="21"/>
          <w:highlight w:val="none"/>
          <w:vertAlign w:val="superscript"/>
          <w:lang w:val="en-US"/>
        </w:rPr>
        <w:t>4</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352 (47.12%)</w:t>
      </w:r>
      <w:r>
        <w:rPr>
          <w:rFonts w:hint="default" w:ascii="Times New Roman Regular" w:hAnsi="Times New Roman Regular" w:cs="Times New Roman Regular"/>
          <w:strike w:val="0"/>
          <w:color w:val="auto"/>
          <w:sz w:val="21"/>
          <w:szCs w:val="21"/>
          <w:highlight w:val="none"/>
        </w:rPr>
        <w:t xml:space="preserve"> showed univariate genetic associations with multiple CVDs, and </w:t>
      </w:r>
      <w:r>
        <w:rPr>
          <w:rFonts w:hint="default" w:ascii="Times New Roman Regular" w:hAnsi="Times New Roman Regular" w:cs="Times New Roman Regular"/>
          <w:strike w:val="0"/>
          <w:color w:val="auto"/>
          <w:sz w:val="21"/>
          <w:szCs w:val="21"/>
          <w:highlight w:val="none"/>
          <w:lang w:val="en-US"/>
        </w:rPr>
        <w:t>53 regions (7.10%)</w:t>
      </w:r>
      <w:r>
        <w:rPr>
          <w:rFonts w:hint="default" w:ascii="Times New Roman Regular" w:hAnsi="Times New Roman Regular" w:cs="Times New Roman Regular"/>
          <w:strike w:val="0"/>
          <w:color w:val="auto"/>
          <w:sz w:val="21"/>
          <w:szCs w:val="21"/>
          <w:highlight w:val="none"/>
        </w:rPr>
        <w:t xml:space="preserve"> were associated with more than half of </w:t>
      </w:r>
      <w:r>
        <w:rPr>
          <w:rFonts w:hint="default" w:ascii="Times New Roman Regular" w:hAnsi="Times New Roman Regular" w:cs="Times New Roman Regular"/>
          <w:strike w:val="0"/>
          <w:color w:val="auto"/>
          <w:sz w:val="21"/>
          <w:szCs w:val="21"/>
          <w:highlight w:val="none"/>
          <w:lang w:val="en-US"/>
        </w:rPr>
        <w:t xml:space="preserve">the </w:t>
      </w:r>
      <w:r>
        <w:rPr>
          <w:rFonts w:hint="default" w:ascii="Times New Roman Regular" w:hAnsi="Times New Roman Regular" w:cs="Times New Roman Regular"/>
          <w:strike w:val="0"/>
          <w:color w:val="auto"/>
          <w:sz w:val="21"/>
          <w:szCs w:val="21"/>
          <w:highlight w:val="none"/>
        </w:rPr>
        <w:t xml:space="preserve">CVDs (Supplementary Data 30). </w:t>
      </w:r>
    </w:p>
    <w:p w14:paraId="45EC392F">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7519DFB9">
      <w:pPr>
        <w:numPr>
          <w:ilvl w:val="0"/>
          <w:numId w:val="0"/>
        </w:numPr>
        <w:spacing w:line="360" w:lineRule="auto"/>
        <w:jc w:val="both"/>
        <w:rPr>
          <w:rFonts w:hint="default" w:ascii="Times New Roman Regular" w:hAnsi="Times New Roman Regular" w:cs="Times New Roman Regular"/>
          <w:strike w:val="0"/>
          <w:color w:val="auto"/>
          <w:sz w:val="21"/>
          <w:szCs w:val="21"/>
          <w:highlight w:val="none"/>
          <w:lang w:val="en-US"/>
        </w:rPr>
      </w:pPr>
      <w:r>
        <w:rPr>
          <w:rFonts w:hint="default" w:ascii="Times New Roman Regular" w:hAnsi="Times New Roman Regular" w:cs="Times New Roman Regular"/>
          <w:strike w:val="0"/>
          <w:color w:val="auto"/>
          <w:sz w:val="21"/>
          <w:szCs w:val="21"/>
          <w:highlight w:val="none"/>
        </w:rPr>
        <w:t xml:space="preserve">Overall, </w:t>
      </w:r>
      <w:r>
        <w:rPr>
          <w:rFonts w:hint="default" w:ascii="Times New Roman Regular" w:hAnsi="Times New Roman Regular" w:cs="Times New Roman Regular"/>
          <w:strike w:val="0"/>
          <w:color w:val="auto"/>
          <w:sz w:val="21"/>
          <w:szCs w:val="21"/>
          <w:highlight w:val="none"/>
          <w:lang w:val="en-US"/>
        </w:rPr>
        <w:t>94</w:t>
      </w:r>
      <w:r>
        <w:rPr>
          <w:rFonts w:hint="default" w:ascii="Times New Roman Regular" w:hAnsi="Times New Roman Regular" w:cs="Times New Roman Regular"/>
          <w:strike w:val="0"/>
          <w:color w:val="auto"/>
          <w:sz w:val="21"/>
          <w:szCs w:val="21"/>
          <w:highlight w:val="none"/>
        </w:rPr>
        <w:t xml:space="preserve"> unique genomic regions showed significant bivariate associations </w:t>
      </w:r>
      <w:r>
        <w:rPr>
          <w:rFonts w:hint="default" w:ascii="Times New Roman Regular" w:hAnsi="Times New Roman Regular" w:cs="Times New Roman Regular"/>
          <w:strike w:val="0"/>
          <w:color w:val="auto"/>
          <w:sz w:val="21"/>
          <w:szCs w:val="21"/>
          <w:highlight w:val="none"/>
          <w:lang w:val="en-US"/>
        </w:rPr>
        <w:t>(</w:t>
      </w:r>
      <w:r>
        <w:rPr>
          <w:rFonts w:hint="default" w:ascii="Times New Roman Italic" w:hAnsi="Times New Roman Italic" w:cs="Times New Roman Italic"/>
          <w:i/>
          <w:iCs/>
          <w:strike w:val="0"/>
          <w:color w:val="auto"/>
          <w:sz w:val="21"/>
          <w:szCs w:val="21"/>
          <w:highlight w:val="none"/>
          <w:lang w:val="en-US"/>
        </w:rPr>
        <w:t>P</w:t>
      </w:r>
      <w:r>
        <w:rPr>
          <w:rFonts w:hint="default" w:ascii="Times New Roman Regular" w:hAnsi="Times New Roman Regular" w:cs="Times New Roman Regular"/>
          <w:strike w:val="0"/>
          <w:color w:val="auto"/>
          <w:sz w:val="21"/>
          <w:szCs w:val="21"/>
          <w:highlight w:val="none"/>
        </w:rPr>
        <w:t>-value &lt; 0.05</w:t>
      </w:r>
      <w:r>
        <w:rPr>
          <w:rFonts w:hint="default" w:ascii="Times New Roman Regular" w:hAnsi="Times New Roman Regular" w:cs="Times New Roman Regular"/>
          <w:strike w:val="0"/>
          <w:color w:val="auto"/>
          <w:sz w:val="21"/>
          <w:szCs w:val="21"/>
          <w:highlight w:val="none"/>
          <w:lang w:val="en-US"/>
        </w:rPr>
        <w:t>)</w:t>
      </w:r>
      <w:r>
        <w:rPr>
          <w:rFonts w:hint="default" w:ascii="Times New Roman Regular" w:hAnsi="Times New Roman Regular" w:cs="Times New Roman Regular"/>
          <w:strike w:val="0"/>
          <w:color w:val="auto"/>
          <w:sz w:val="21"/>
          <w:szCs w:val="21"/>
          <w:highlight w:val="none"/>
        </w:rPr>
        <w:t xml:space="preserve">, and </w:t>
      </w:r>
      <w:r>
        <w:rPr>
          <w:rFonts w:hint="default" w:ascii="Times New Roman Regular" w:hAnsi="Times New Roman Regular" w:cs="Times New Roman Regular"/>
          <w:strike w:val="0"/>
          <w:color w:val="auto"/>
          <w:sz w:val="21"/>
          <w:szCs w:val="21"/>
          <w:highlight w:val="none"/>
          <w:lang w:val="en-US"/>
        </w:rPr>
        <w:t>26</w:t>
      </w:r>
      <w:r>
        <w:rPr>
          <w:rFonts w:hint="default" w:ascii="Times New Roman Regular" w:hAnsi="Times New Roman Regular" w:cs="Times New Roman Regular"/>
          <w:strike w:val="0"/>
          <w:color w:val="auto"/>
          <w:sz w:val="21"/>
          <w:szCs w:val="21"/>
          <w:highlight w:val="none"/>
        </w:rPr>
        <w:t xml:space="preserve"> of these were implicated in multiple CVD pairs, further supporting the presence of mixed effect directions across CVDs. This pattern was most pronounced between CAD and Stroke, with </w:t>
      </w:r>
      <w:r>
        <w:rPr>
          <w:rFonts w:hint="default" w:ascii="Times New Roman Regular" w:hAnsi="Times New Roman Regular" w:cs="Times New Roman Regular"/>
          <w:strike w:val="0"/>
          <w:color w:val="auto"/>
          <w:sz w:val="21"/>
          <w:szCs w:val="21"/>
          <w:highlight w:val="none"/>
          <w:lang w:val="en-US"/>
        </w:rPr>
        <w:t>5</w:t>
      </w:r>
      <w:r>
        <w:rPr>
          <w:rFonts w:hint="default" w:ascii="Times New Roman Regular" w:hAnsi="Times New Roman Regular" w:cs="Times New Roman Regular"/>
          <w:strike w:val="0"/>
          <w:color w:val="auto"/>
          <w:sz w:val="21"/>
          <w:szCs w:val="21"/>
          <w:highlight w:val="none"/>
        </w:rPr>
        <w:t xml:space="preserve"> positively and </w:t>
      </w:r>
      <w:r>
        <w:rPr>
          <w:rFonts w:hint="default" w:ascii="Times New Roman Regular" w:hAnsi="Times New Roman Regular" w:cs="Times New Roman Regular"/>
          <w:strike w:val="0"/>
          <w:color w:val="auto"/>
          <w:sz w:val="21"/>
          <w:szCs w:val="21"/>
          <w:highlight w:val="none"/>
          <w:lang w:val="en-US"/>
        </w:rPr>
        <w:t>6</w:t>
      </w:r>
      <w:r>
        <w:rPr>
          <w:rFonts w:hint="default" w:ascii="Times New Roman Regular" w:hAnsi="Times New Roman Regular" w:cs="Times New Roman Regular"/>
          <w:strike w:val="0"/>
          <w:color w:val="auto"/>
          <w:sz w:val="21"/>
          <w:szCs w:val="21"/>
          <w:highlight w:val="none"/>
        </w:rPr>
        <w:t xml:space="preserve"> negatively correlated regions identified. A similar mixture of directions was also observed between CAD and HF, despite their strong positive genome-wide </w:t>
      </w:r>
      <w:r>
        <w:rPr>
          <w:rFonts w:hint="default" w:ascii="Times New Roman Italic" w:hAnsi="Times New Roman Italic" w:cs="Times New Roman Italic"/>
          <w:i/>
          <w:iCs/>
          <w:color w:val="auto"/>
          <w:szCs w:val="21"/>
          <w:highlight w:val="none"/>
          <w:lang w:eastAsia="zh-Hans"/>
        </w:rPr>
        <w:t>r</w:t>
      </w:r>
      <w:r>
        <w:rPr>
          <w:rFonts w:hint="default" w:ascii="Times New Roman Italic" w:hAnsi="Times New Roman Italic" w:cs="Times New Roman Italic"/>
          <w:i/>
          <w:iCs/>
          <w:color w:val="auto"/>
          <w:szCs w:val="21"/>
          <w:highlight w:val="none"/>
          <w:vertAlign w:val="subscript"/>
          <w:lang w:eastAsia="zh-Hans"/>
        </w:rPr>
        <w:t>g</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7</w:t>
      </w:r>
      <w:r>
        <w:rPr>
          <w:rFonts w:hint="default" w:ascii="Times New Roman Regular" w:hAnsi="Times New Roman Regular" w:cs="Times New Roman Regular"/>
          <w:strike w:val="0"/>
          <w:color w:val="auto"/>
          <w:sz w:val="21"/>
          <w:szCs w:val="21"/>
          <w:highlight w:val="none"/>
        </w:rPr>
        <w:t xml:space="preserve"> positive and 1 negative regions).</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However, only 1</w:t>
      </w:r>
      <w:r>
        <w:rPr>
          <w:rFonts w:hint="default" w:ascii="Times New Roman Regular" w:hAnsi="Times New Roman Regular" w:cs="Times New Roman Regular"/>
          <w:strike w:val="0"/>
          <w:color w:val="auto"/>
          <w:sz w:val="21"/>
          <w:szCs w:val="21"/>
          <w:highlight w:val="none"/>
          <w:lang w:val="en-US"/>
        </w:rPr>
        <w:t>5</w:t>
      </w:r>
      <w:r>
        <w:rPr>
          <w:rFonts w:hint="default" w:ascii="Times New Roman Regular" w:hAnsi="Times New Roman Regular" w:cs="Times New Roman Regular"/>
          <w:strike w:val="0"/>
          <w:color w:val="auto"/>
          <w:sz w:val="21"/>
          <w:szCs w:val="21"/>
          <w:highlight w:val="none"/>
        </w:rPr>
        <w:t xml:space="preserve"> distinct genomic regions remained significant for local genetic correlations after Bonferroni correction (</w:t>
      </w:r>
      <w:r>
        <w:rPr>
          <w:rFonts w:hint="default" w:ascii="Times New Roman Italic" w:hAnsi="Times New Roman Italic" w:cs="Times New Roman Italic"/>
          <w:i/>
          <w:iCs/>
          <w:strike w:val="0"/>
          <w:color w:val="auto"/>
          <w:sz w:val="21"/>
          <w:szCs w:val="21"/>
          <w:highlight w:val="none"/>
        </w:rPr>
        <w:t>P</w:t>
      </w:r>
      <w:r>
        <w:rPr>
          <w:rFonts w:hint="default" w:ascii="Times New Roman Regular" w:hAnsi="Times New Roman Regular" w:cs="Times New Roman Regular"/>
          <w:strike w:val="0"/>
          <w:color w:val="auto"/>
          <w:sz w:val="21"/>
          <w:szCs w:val="21"/>
          <w:highlight w:val="none"/>
        </w:rPr>
        <w:t xml:space="preserve"> = 0.05 / </w:t>
      </w:r>
      <w:r>
        <w:rPr>
          <w:rFonts w:hint="default" w:ascii="Times New Roman Regular" w:hAnsi="Times New Roman Regular" w:cs="Times New Roman Regular"/>
          <w:strike w:val="0"/>
          <w:color w:val="auto"/>
          <w:sz w:val="21"/>
          <w:szCs w:val="21"/>
          <w:highlight w:val="none"/>
          <w:lang w:val="en-US"/>
        </w:rPr>
        <w:t xml:space="preserve">the number </w:t>
      </w:r>
      <w:r>
        <w:rPr>
          <w:rFonts w:hint="default" w:ascii="Times New Roman Regular" w:hAnsi="Times New Roman Regular" w:cs="Times New Roman Regular"/>
          <w:strike w:val="0"/>
          <w:color w:val="auto"/>
          <w:sz w:val="21"/>
          <w:szCs w:val="21"/>
          <w:highlight w:val="none"/>
        </w:rPr>
        <w:t xml:space="preserve">of bivariate tests = 0.05 / </w:t>
      </w:r>
      <w:r>
        <w:rPr>
          <w:rFonts w:hint="default" w:ascii="Times New Roman Regular" w:hAnsi="Times New Roman Regular" w:cs="Times New Roman Regular"/>
          <w:strike w:val="0"/>
          <w:color w:val="auto"/>
          <w:sz w:val="21"/>
          <w:szCs w:val="21"/>
          <w:highlight w:val="none"/>
          <w:lang w:val="en-US"/>
        </w:rPr>
        <w:t>460</w:t>
      </w:r>
      <w:r>
        <w:rPr>
          <w:rFonts w:hint="default" w:ascii="Times New Roman Regular" w:hAnsi="Times New Roman Regular" w:cs="Times New Roman Regular"/>
          <w:strike w:val="0"/>
          <w:color w:val="auto"/>
          <w:sz w:val="21"/>
          <w:szCs w:val="21"/>
          <w:highlight w:val="none"/>
        </w:rPr>
        <w:t> = </w:t>
      </w:r>
      <w:r>
        <w:rPr>
          <w:rFonts w:hint="default" w:ascii="Times New Roman Regular" w:hAnsi="Times New Roman Regular" w:cs="Times New Roman Regular"/>
          <w:strike w:val="0"/>
          <w:color w:val="auto"/>
          <w:sz w:val="21"/>
          <w:szCs w:val="21"/>
          <w:highlight w:val="none"/>
          <w:lang w:val="en-US"/>
        </w:rPr>
        <w:t>1.09</w:t>
      </w:r>
      <w:r>
        <w:rPr>
          <w:rFonts w:hint="default" w:ascii="Times New Roman Regular" w:hAnsi="Times New Roman Regular" w:cs="Times New Roman Regular"/>
          <w:strike w:val="0"/>
          <w:color w:val="auto"/>
          <w:sz w:val="21"/>
          <w:szCs w:val="21"/>
          <w:highlight w:val="none"/>
        </w:rPr>
        <w:t> × 10</w:t>
      </w:r>
      <w:r>
        <w:rPr>
          <w:rFonts w:hint="default" w:ascii="Times New Roman Regular" w:hAnsi="Times New Roman Regular" w:cs="Times New Roman Regular"/>
          <w:strike w:val="0"/>
          <w:color w:val="auto"/>
          <w:sz w:val="21"/>
          <w:szCs w:val="21"/>
          <w:highlight w:val="none"/>
          <w:vertAlign w:val="superscript"/>
        </w:rPr>
        <w:t>-</w:t>
      </w:r>
      <w:r>
        <w:rPr>
          <w:rFonts w:hint="default" w:ascii="Times New Roman Regular" w:hAnsi="Times New Roman Regular" w:cs="Times New Roman Regular"/>
          <w:strike w:val="0"/>
          <w:color w:val="auto"/>
          <w:sz w:val="21"/>
          <w:szCs w:val="21"/>
          <w:highlight w:val="none"/>
          <w:vertAlign w:val="superscript"/>
          <w:lang w:val="en-US"/>
        </w:rPr>
        <w:t>4</w:t>
      </w:r>
      <w:r>
        <w:rPr>
          <w:rFonts w:hint="default" w:ascii="Times New Roman Regular" w:hAnsi="Times New Roman Regular" w:cs="Times New Roman Regular"/>
          <w:strike w:val="0"/>
          <w:color w:val="auto"/>
          <w:sz w:val="21"/>
          <w:szCs w:val="21"/>
          <w:highlight w:val="none"/>
        </w:rPr>
        <w:t>)</w:t>
      </w:r>
      <w:r>
        <w:rPr>
          <w:rFonts w:hint="default" w:ascii="Times New Roman Regular" w:hAnsi="Times New Roman Regular" w:cs="Times New Roman Regular"/>
          <w:strike w:val="0"/>
          <w:color w:val="auto"/>
          <w:sz w:val="21"/>
          <w:szCs w:val="21"/>
          <w:highlight w:val="none"/>
          <w:lang w:val="en-US"/>
        </w:rPr>
        <w:t>, and none were significant in more than one CVD pair (Supplementary Data 31).</w:t>
      </w:r>
    </w:p>
    <w:p w14:paraId="7D4F4E25">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p>
    <w:p w14:paraId="43868274">
      <w:pPr>
        <w:spacing w:line="360" w:lineRule="auto"/>
        <w:ind w:firstLine="0" w:firstLineChars="0"/>
        <w:jc w:val="left"/>
        <w:rPr>
          <w:rFonts w:hint="default" w:ascii="Times New Roman Bold" w:hAnsi="Times New Roman Bold" w:cs="Times New Roman Bold"/>
          <w:b/>
          <w:bCs/>
          <w:color w:val="auto"/>
          <w:szCs w:val="21"/>
          <w:highlight w:val="none"/>
        </w:rPr>
      </w:pPr>
      <w:r>
        <w:rPr>
          <w:rFonts w:hint="default" w:ascii="Times New Roman Regular" w:hAnsi="Times New Roman Regular" w:cs="Times New Roman Regular"/>
          <w:strike w:val="0"/>
          <w:color w:val="auto"/>
          <w:sz w:val="21"/>
          <w:szCs w:val="21"/>
          <w:highlight w:val="none"/>
        </w:rPr>
        <w:t xml:space="preserve">To further investigate whether the genomic regions identified by LAVA contained variants associated with multiple CVDs, we applied GWAS-PW to estimate pleiotropy probabilities across the 1,445 LAVA-defined regions shared by both traits. In total, GWAS-PW identified 1,099 unique genomic regions associated with variants influencing pairs of CVDs (PPA_3 &gt; 0.5 or PPA_4 &gt; 0.5, Supplementary Data 32), indicating shared regions and causal variants. Notably, 19 unique genomic regions showed consistency for loci shared by more than two trait pairs. Meanwhile, </w:t>
      </w:r>
      <w:r>
        <w:rPr>
          <w:rFonts w:hint="default" w:ascii="Times New Roman Regular" w:hAnsi="Times New Roman Regular" w:cs="Times New Roman Regular"/>
          <w:strike w:val="0"/>
          <w:color w:val="auto"/>
          <w:sz w:val="21"/>
          <w:szCs w:val="21"/>
          <w:highlight w:val="none"/>
          <w:lang w:val="en-US"/>
        </w:rPr>
        <w:t>15</w:t>
      </w:r>
      <w:r>
        <w:rPr>
          <w:rFonts w:hint="default" w:ascii="Times New Roman Regular" w:hAnsi="Times New Roman Regular" w:cs="Times New Roman Regular"/>
          <w:strike w:val="0"/>
          <w:color w:val="auto"/>
          <w:sz w:val="21"/>
          <w:szCs w:val="21"/>
          <w:highlight w:val="none"/>
        </w:rPr>
        <w:t xml:space="preserve"> genomic regions were identified by both bivariate LAVA and GWAS-PW analyses, showing strong positive local genetic correlations between CAD and PAD after Bonferroni correction. Overall, due to limited statistical power, the shared genetic architecture of major cardiovascular diseases in East Asian ancestry was partially confirmed. We still observed an unexpected genetic overlap beyond what was expected from genetic correlation in some trait pairs (such as CAD-Stroke).</w:t>
      </w:r>
    </w:p>
    <w:p w14:paraId="3514D044">
      <w:pPr>
        <w:spacing w:line="360" w:lineRule="auto"/>
        <w:ind w:firstLine="0" w:firstLineChars="0"/>
        <w:jc w:val="left"/>
        <w:rPr>
          <w:rFonts w:hint="default" w:ascii="Times New Roman Bold" w:hAnsi="Times New Roman Bold" w:cs="Times New Roman Bold"/>
          <w:b/>
          <w:bCs/>
          <w:color w:val="auto"/>
          <w:szCs w:val="21"/>
          <w:highlight w:val="none"/>
        </w:rPr>
      </w:pPr>
    </w:p>
    <w:p w14:paraId="2B1F711F">
      <w:pPr>
        <w:spacing w:line="360" w:lineRule="auto"/>
        <w:ind w:firstLine="0" w:firstLineChars="0"/>
        <w:jc w:val="left"/>
        <w:rPr>
          <w:rFonts w:hint="default" w:ascii="Times New Roman Regular" w:hAnsi="Times New Roman Regular" w:cs="Times New Roman Regular"/>
          <w:color w:val="auto"/>
          <w:szCs w:val="21"/>
          <w:highlight w:val="none"/>
          <w:lang w:eastAsia="zh-Hans"/>
        </w:rPr>
      </w:pPr>
      <w:r>
        <w:rPr>
          <w:rFonts w:hint="default" w:ascii="Times New Roman Bold" w:hAnsi="Times New Roman Bold" w:cs="Times New Roman Bold"/>
          <w:b/>
          <w:bCs/>
          <w:color w:val="auto"/>
          <w:szCs w:val="21"/>
          <w:highlight w:val="none"/>
        </w:rPr>
        <w:t>Causal association among the five CVDs (i.e.</w:t>
      </w:r>
      <w:r>
        <w:rPr>
          <w:rFonts w:hint="default" w:ascii="Times New Roman Bold" w:hAnsi="Times New Roman Bold" w:cs="Times New Roman Bold"/>
          <w:b/>
          <w:bCs/>
          <w:color w:val="auto"/>
          <w:szCs w:val="21"/>
          <w:highlight w:val="none"/>
          <w:lang w:val="en-US"/>
        </w:rPr>
        <w:t>,</w:t>
      </w:r>
      <w:r>
        <w:rPr>
          <w:rFonts w:hint="default" w:ascii="Times New Roman Bold" w:hAnsi="Times New Roman Bold" w:cs="Times New Roman Bold"/>
          <w:b/>
          <w:bCs/>
          <w:color w:val="auto"/>
          <w:szCs w:val="21"/>
          <w:highlight w:val="none"/>
        </w:rPr>
        <w:t xml:space="preserve"> vertical</w:t>
      </w:r>
      <w:r>
        <w:rPr>
          <w:rFonts w:ascii="Times New Roman Bold" w:hAnsi="Times New Roman Bold" w:cs="Times New Roman Bold"/>
          <w:b/>
          <w:bCs/>
          <w:color w:val="auto"/>
          <w:szCs w:val="21"/>
          <w:highlight w:val="none"/>
        </w:rPr>
        <w:t xml:space="preserve"> pleiotropy</w:t>
      </w:r>
      <w:r>
        <w:rPr>
          <w:rFonts w:hint="default" w:ascii="Times New Roman Bold" w:hAnsi="Times New Roman Bold" w:cs="Times New Roman Bold"/>
          <w:b/>
          <w:bCs/>
          <w:color w:val="auto"/>
          <w:szCs w:val="21"/>
          <w:highlight w:val="none"/>
        </w:rPr>
        <w:t xml:space="preserve">) of </w:t>
      </w:r>
      <w:r>
        <w:rPr>
          <w:rFonts w:hint="default" w:ascii="Times New Roman Bold" w:hAnsi="Times New Roman Bold" w:cs="Times New Roman Bold"/>
          <w:b/>
          <w:bCs/>
          <w:strike w:val="0"/>
          <w:color w:val="auto"/>
          <w:sz w:val="21"/>
          <w:szCs w:val="21"/>
          <w:highlight w:val="none"/>
          <w:lang w:val="en-AU"/>
        </w:rPr>
        <w:t>East Asian ancestry</w:t>
      </w:r>
    </w:p>
    <w:p w14:paraId="3969AEA8">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r>
        <w:rPr>
          <w:rFonts w:hint="eastAsia" w:ascii="Times New Roman Regular" w:hAnsi="Times New Roman Regular" w:cs="Times New Roman Regular"/>
          <w:strike w:val="0"/>
          <w:color w:val="auto"/>
          <w:sz w:val="21"/>
          <w:szCs w:val="21"/>
          <w:highlight w:val="none"/>
          <w:lang w:val="en-AU"/>
        </w:rPr>
        <w:t xml:space="preserve">To test for causal relationships (i.e., vertical pleiotropy), we performed the Latent Causal Variable (LCV) model to assess the partial genetic causality between the two traits. Notably, only one trait pair (AF-HF, GCP = 0.575,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lang w:val="en-AU"/>
        </w:rPr>
        <w:t> = 0.019) exhibited a trend towards partial genetic causality, suggesting that AF might have a partial influence on HF, although it did not withstand multiple testing corrections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lang w:val="en-AU"/>
        </w:rPr>
        <w:t xml:space="preserve"> &lt; 0.05 / number of combinations / MR tests = </w:t>
      </w:r>
      <w:r>
        <w:rPr>
          <w:rFonts w:hint="default" w:ascii="Times New Roman Regular" w:hAnsi="Times New Roman Regular" w:cs="Times New Roman Regular"/>
          <w:strike w:val="0"/>
          <w:color w:val="auto"/>
          <w:sz w:val="21"/>
          <w:szCs w:val="21"/>
          <w:highlight w:val="none"/>
          <w:lang w:val="en-US"/>
        </w:rPr>
        <w:t xml:space="preserve">0.05 / 6 / 2= </w:t>
      </w:r>
      <w:r>
        <w:rPr>
          <w:rFonts w:hint="eastAsia" w:ascii="Times New Roman Regular" w:hAnsi="Times New Roman Regular" w:cs="Times New Roman Regular"/>
          <w:strike w:val="0"/>
          <w:color w:val="auto"/>
          <w:sz w:val="21"/>
          <w:szCs w:val="21"/>
          <w:highlight w:val="none"/>
          <w:lang w:val="en-AU"/>
        </w:rPr>
        <w:t>4.17</w:t>
      </w:r>
      <w:r>
        <w:rPr>
          <w:rFonts w:hint="default" w:ascii="Times New Roman Regular" w:hAnsi="Times New Roman Regular" w:cs="Times New Roman Regular"/>
          <w:strike w:val="0"/>
          <w:color w:val="auto"/>
          <w:sz w:val="21"/>
          <w:szCs w:val="21"/>
          <w:highlight w:val="none"/>
        </w:rPr>
        <w:t> × </w:t>
      </w:r>
      <w:r>
        <w:rPr>
          <w:rFonts w:hint="eastAsia" w:ascii="Times New Roman Regular" w:hAnsi="Times New Roman Regular" w:cs="Times New Roman Regular"/>
          <w:strike w:val="0"/>
          <w:color w:val="auto"/>
          <w:sz w:val="21"/>
          <w:szCs w:val="21"/>
          <w:highlight w:val="none"/>
          <w:lang w:val="en-AU"/>
        </w:rPr>
        <w:t>10</w:t>
      </w:r>
      <w:r>
        <w:rPr>
          <w:rFonts w:hint="eastAsia" w:ascii="Times New Roman Regular" w:hAnsi="Times New Roman Regular" w:cs="Times New Roman Regular"/>
          <w:strike w:val="0"/>
          <w:color w:val="auto"/>
          <w:sz w:val="21"/>
          <w:szCs w:val="21"/>
          <w:highlight w:val="none"/>
          <w:vertAlign w:val="superscript"/>
          <w:lang w:val="en-AU"/>
        </w:rPr>
        <w:t>-3</w:t>
      </w:r>
      <w:r>
        <w:rPr>
          <w:rFonts w:hint="eastAsia" w:ascii="Times New Roman Regular" w:hAnsi="Times New Roman Regular" w:cs="Times New Roman Regular"/>
          <w:strike w:val="0"/>
          <w:color w:val="auto"/>
          <w:sz w:val="21"/>
          <w:szCs w:val="21"/>
          <w:highlight w:val="none"/>
          <w:lang w:val="en-AU"/>
        </w:rPr>
        <w:t>, Supplementary Data 33). The MRlap method was subsequently used to confirm the positive causal associations between AF and HF. We found that the AF-HF pair showed bias due to reverse causality, which was consistent with results observed in individuals of European ancestry.</w:t>
      </w:r>
    </w:p>
    <w:p w14:paraId="4F70BF11">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p>
    <w:p w14:paraId="0B26CDBB">
      <w:pPr>
        <w:numPr>
          <w:ilvl w:val="-1"/>
          <w:numId w:val="0"/>
        </w:numPr>
        <w:spacing w:line="360" w:lineRule="auto"/>
        <w:jc w:val="left"/>
        <w:rPr>
          <w:rFonts w:hint="eastAsia" w:ascii="Times New Roman Regular" w:hAnsi="Times New Roman Regular" w:cs="Times New Roman Regular"/>
          <w:strike w:val="0"/>
          <w:color w:val="auto"/>
          <w:sz w:val="21"/>
          <w:szCs w:val="21"/>
          <w:highlight w:val="none"/>
          <w:lang w:val="en-AU"/>
        </w:rPr>
      </w:pPr>
      <w:r>
        <w:rPr>
          <w:rFonts w:hint="eastAsia" w:ascii="Times New Roman Bold" w:hAnsi="Times New Roman Bold" w:cs="Times New Roman Bold"/>
          <w:b/>
          <w:bCs/>
          <w:color w:val="auto"/>
          <w:szCs w:val="21"/>
          <w:highlight w:val="none"/>
          <w:lang w:eastAsia="zh-Hans"/>
        </w:rPr>
        <w:t>Exploration of</w:t>
      </w:r>
      <w:r>
        <w:rPr>
          <w:rFonts w:ascii="Times New Roman Bold" w:hAnsi="Times New Roman Bold" w:cs="Times New Roman Bold"/>
          <w:b/>
          <w:bCs/>
          <w:color w:val="auto"/>
          <w:szCs w:val="21"/>
          <w:highlight w:val="none"/>
          <w:lang w:eastAsia="zh-Hans"/>
        </w:rPr>
        <w:t xml:space="preserve"> shared biological mechanisms among </w:t>
      </w:r>
      <w:r>
        <w:rPr>
          <w:rFonts w:hint="default" w:ascii="Times New Roman Bold" w:hAnsi="Times New Roman Bold" w:cs="Times New Roman Bold"/>
          <w:b/>
          <w:bCs/>
          <w:color w:val="auto"/>
          <w:szCs w:val="21"/>
          <w:highlight w:val="none"/>
          <w:lang w:eastAsia="zh-Hans"/>
        </w:rPr>
        <w:t xml:space="preserve">the five </w:t>
      </w:r>
      <w:r>
        <w:rPr>
          <w:rFonts w:ascii="Times New Roman Bold" w:hAnsi="Times New Roman Bold" w:cs="Times New Roman Bold"/>
          <w:b/>
          <w:bCs/>
          <w:color w:val="auto"/>
          <w:szCs w:val="21"/>
          <w:highlight w:val="none"/>
          <w:lang w:eastAsia="zh-Hans"/>
        </w:rPr>
        <w:t>CVDs</w:t>
      </w:r>
      <w:r>
        <w:rPr>
          <w:rFonts w:hint="default" w:ascii="Times New Roman Bold" w:hAnsi="Times New Roman Bold" w:cs="Times New Roman Bold"/>
          <w:b/>
          <w:bCs/>
          <w:color w:val="auto"/>
          <w:szCs w:val="21"/>
          <w:highlight w:val="none"/>
          <w:lang w:eastAsia="zh-Hans"/>
        </w:rPr>
        <w:t xml:space="preserve"> </w:t>
      </w:r>
      <w:r>
        <w:rPr>
          <w:rFonts w:hint="default" w:ascii="Times New Roman Bold" w:hAnsi="Times New Roman Bold" w:cs="Times New Roman Bold"/>
          <w:b/>
          <w:bCs/>
          <w:color w:val="auto"/>
          <w:szCs w:val="21"/>
          <w:highlight w:val="none"/>
        </w:rPr>
        <w:t xml:space="preserve">(i.e. </w:t>
      </w:r>
      <w:r>
        <w:rPr>
          <w:rFonts w:hint="default" w:ascii="Times New Roman Bold" w:hAnsi="Times New Roman Bold" w:cs="Times New Roman Bold" w:eastAsiaTheme="minorEastAsia"/>
          <w:b/>
          <w:bCs/>
          <w:color w:val="auto"/>
          <w:szCs w:val="21"/>
          <w:highlight w:val="none"/>
        </w:rPr>
        <w:t>horizontal</w:t>
      </w:r>
      <w:r>
        <w:rPr>
          <w:rFonts w:ascii="Times New Roman Bold" w:hAnsi="Times New Roman Bold" w:cs="Times New Roman Bold"/>
          <w:b/>
          <w:bCs/>
          <w:color w:val="auto"/>
          <w:szCs w:val="21"/>
          <w:highlight w:val="none"/>
        </w:rPr>
        <w:t xml:space="preserve"> pleiotropy</w:t>
      </w:r>
      <w:r>
        <w:rPr>
          <w:rFonts w:hint="default" w:ascii="Times New Roman Bold" w:hAnsi="Times New Roman Bold" w:cs="Times New Roman Bold"/>
          <w:b/>
          <w:bCs/>
          <w:color w:val="auto"/>
          <w:szCs w:val="21"/>
          <w:highlight w:val="none"/>
        </w:rPr>
        <w:t>) of East Asian ancestry</w:t>
      </w:r>
    </w:p>
    <w:p w14:paraId="090E7E01">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r>
        <w:rPr>
          <w:rFonts w:hint="eastAsia" w:ascii="Times New Roman Regular" w:hAnsi="Times New Roman Regular" w:cs="Times New Roman Regular"/>
          <w:strike w:val="0"/>
          <w:color w:val="auto"/>
          <w:sz w:val="21"/>
          <w:szCs w:val="21"/>
          <w:highlight w:val="none"/>
          <w:lang w:val="en-AU"/>
        </w:rPr>
        <w:t>We conducted cross-trait GWAS meta-analysis employing the MTAG methodology. As a result, we observed only a slight increase in the effective sample size for CAD (from 212,453 to 218,277), with a 'maxFDR' value less than 0.05. The 'maxFDR' values of the other four CVDs exceeded 0.05, indicating overall inflation due to violation of the homogeneous assumption. Considering the challenges of the MTAG results, we then conducted a comprehensive assessment of genetic overlap in the prior GWAS results of the five CVDs, covering genomic loci, SNPs, genes, and pathways.</w:t>
      </w:r>
    </w:p>
    <w:p w14:paraId="41FA4FFE">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p>
    <w:p w14:paraId="523F2786">
      <w:pPr>
        <w:numPr>
          <w:ilvl w:val="0"/>
          <w:numId w:val="0"/>
        </w:numPr>
        <w:spacing w:line="360" w:lineRule="auto"/>
        <w:jc w:val="both"/>
        <w:rPr>
          <w:rFonts w:hint="default" w:ascii="Times New Roman Regular" w:hAnsi="Times New Roman Regular" w:cs="Times New Roman Regular"/>
          <w:strike w:val="0"/>
          <w:color w:val="auto"/>
          <w:sz w:val="21"/>
          <w:szCs w:val="21"/>
          <w:highlight w:val="none"/>
        </w:rPr>
      </w:pPr>
      <w:r>
        <w:rPr>
          <w:rFonts w:hint="eastAsia" w:ascii="Times New Roman Regular" w:hAnsi="Times New Roman Regular" w:cs="Times New Roman Regular"/>
          <w:strike w:val="0"/>
          <w:color w:val="auto"/>
          <w:sz w:val="21"/>
          <w:szCs w:val="21"/>
          <w:highlight w:val="none"/>
          <w:lang w:val="en-AU"/>
        </w:rPr>
        <w:t>Among the notable findings, five pleiotropic loci exhibited genetic associations with multiple CVDs, although none were associated with more than half of the CVDs analyzed (Supplementary Data 34 and 37). However, multitrait colocalization analysis using HyPrColoc revealed strong evidence of shared causal variants across all loci (PP &gt; 0.70). Of these five loci, three (60%) were further supported by Metasoft analysis. For example, the locus</w:t>
      </w:r>
      <w:r>
        <w:rPr>
          <w:rFonts w:hint="default" w:ascii="Times New Roman Regular" w:hAnsi="Times New Roman Regular" w:cs="Times New Roman Regular"/>
          <w:strike w:val="0"/>
          <w:color w:val="auto"/>
          <w:sz w:val="21"/>
          <w:szCs w:val="21"/>
          <w:highlight w:val="none"/>
          <w:lang w:val="en-US"/>
        </w:rPr>
        <w:t xml:space="preserve"> </w:t>
      </w:r>
      <w:r>
        <w:rPr>
          <w:rFonts w:hint="eastAsia" w:ascii="Times New Roman Regular" w:hAnsi="Times New Roman Regular" w:cs="Times New Roman Regular"/>
          <w:strike w:val="0"/>
          <w:color w:val="auto"/>
          <w:sz w:val="21"/>
          <w:szCs w:val="21"/>
          <w:highlight w:val="none"/>
          <w:lang w:val="en-AU"/>
        </w:rPr>
        <w:t>7p21.1</w:t>
      </w:r>
      <w:r>
        <w:rPr>
          <w:rFonts w:hint="default" w:ascii="Times New Roman Regular" w:hAnsi="Times New Roman Regular" w:cs="Times New Roman Regular"/>
          <w:strike w:val="0"/>
          <w:color w:val="auto"/>
          <w:sz w:val="21"/>
          <w:szCs w:val="21"/>
          <w:highlight w:val="none"/>
          <w:lang w:val="en-US"/>
        </w:rPr>
        <w:t>,</w:t>
      </w:r>
      <w:r>
        <w:rPr>
          <w:rFonts w:hint="eastAsia" w:ascii="Times New Roman Regular" w:hAnsi="Times New Roman Regular" w:cs="Times New Roman Regular"/>
          <w:strike w:val="0"/>
          <w:color w:val="auto"/>
          <w:sz w:val="21"/>
          <w:szCs w:val="21"/>
          <w:highlight w:val="none"/>
          <w:lang w:val="en-AU"/>
        </w:rPr>
        <w:t xml:space="preserve"> surrounding SNP rs57301765 and located in</w:t>
      </w:r>
      <w:r>
        <w:rPr>
          <w:rFonts w:hint="default" w:ascii="Times New Roman Regular" w:hAnsi="Times New Roman Regular" w:cs="Times New Roman Regular"/>
          <w:strike w:val="0"/>
          <w:color w:val="auto"/>
          <w:sz w:val="21"/>
          <w:szCs w:val="21"/>
          <w:highlight w:val="none"/>
          <w:lang w:val="en-US"/>
        </w:rPr>
        <w:t xml:space="preserve"> the</w:t>
      </w:r>
      <w:r>
        <w:rPr>
          <w:rFonts w:hint="eastAsia" w:ascii="Times New Roman Regular" w:hAnsi="Times New Roman Regular" w:cs="Times New Roman Regular"/>
          <w:strike w:val="0"/>
          <w:color w:val="auto"/>
          <w:sz w:val="21"/>
          <w:szCs w:val="21"/>
          <w:highlight w:val="none"/>
          <w:lang w:val="en-AU"/>
        </w:rPr>
        <w:t xml:space="preserve"> intergenic region of the twist family bHLH transcription factor 1 gene </w:t>
      </w:r>
      <w:r>
        <w:rPr>
          <w:rFonts w:hint="default" w:ascii="Times New Roman Regular" w:hAnsi="Times New Roman Regular" w:cs="Times New Roman Regular"/>
          <w:strike w:val="0"/>
          <w:color w:val="auto"/>
          <w:sz w:val="21"/>
          <w:szCs w:val="21"/>
          <w:highlight w:val="none"/>
          <w:lang w:val="en-US"/>
        </w:rPr>
        <w:t>(</w:t>
      </w:r>
      <w:r>
        <w:rPr>
          <w:rFonts w:hint="default" w:ascii="Times New Roman Italic" w:hAnsi="Times New Roman Italic" w:cs="Times New Roman Italic"/>
          <w:i/>
          <w:iCs/>
          <w:strike w:val="0"/>
          <w:color w:val="auto"/>
          <w:sz w:val="21"/>
          <w:szCs w:val="21"/>
          <w:highlight w:val="none"/>
          <w:lang w:val="en-AU"/>
        </w:rPr>
        <w:t>TWIST1</w:t>
      </w:r>
      <w:r>
        <w:rPr>
          <w:rFonts w:hint="default" w:ascii="Times New Roman Regular" w:hAnsi="Times New Roman Regular" w:cs="Times New Roman Regular"/>
          <w:strike w:val="0"/>
          <w:color w:val="auto"/>
          <w:sz w:val="21"/>
          <w:szCs w:val="21"/>
          <w:highlight w:val="none"/>
          <w:lang w:val="en-US"/>
        </w:rPr>
        <w:t>)</w:t>
      </w:r>
      <w:r>
        <w:rPr>
          <w:rFonts w:hint="eastAsia" w:ascii="Times New Roman Regular" w:hAnsi="Times New Roman Regular" w:cs="Times New Roman Regular"/>
          <w:strike w:val="0"/>
          <w:color w:val="auto"/>
          <w:sz w:val="21"/>
          <w:szCs w:val="21"/>
          <w:highlight w:val="none"/>
          <w:lang w:val="en-AU"/>
        </w:rPr>
        <w:t xml:space="preserve"> and histone deacetylase 9 </w:t>
      </w:r>
      <w:r>
        <w:rPr>
          <w:rFonts w:hint="default" w:ascii="Times New Roman Regular" w:hAnsi="Times New Roman Regular" w:cs="Times New Roman Regular"/>
          <w:strike w:val="0"/>
          <w:color w:val="auto"/>
          <w:sz w:val="21"/>
          <w:szCs w:val="21"/>
          <w:highlight w:val="none"/>
          <w:lang w:val="en-US"/>
        </w:rPr>
        <w:t>(</w:t>
      </w:r>
      <w:r>
        <w:rPr>
          <w:rFonts w:hint="default" w:ascii="Times New Roman Italic" w:hAnsi="Times New Roman Italic" w:cs="Times New Roman Italic"/>
          <w:i/>
          <w:iCs/>
          <w:strike w:val="0"/>
          <w:color w:val="auto"/>
          <w:sz w:val="21"/>
          <w:szCs w:val="21"/>
          <w:highlight w:val="none"/>
          <w:lang w:val="en-AU"/>
        </w:rPr>
        <w:t>HDAC9</w:t>
      </w:r>
      <w:r>
        <w:rPr>
          <w:rFonts w:hint="default" w:ascii="Times New Roman Regular" w:hAnsi="Times New Roman Regular" w:cs="Times New Roman Regular"/>
          <w:strike w:val="0"/>
          <w:color w:val="auto"/>
          <w:sz w:val="21"/>
          <w:szCs w:val="21"/>
          <w:highlight w:val="none"/>
          <w:lang w:val="en-US"/>
        </w:rPr>
        <w:t>)</w:t>
      </w:r>
      <w:r>
        <w:rPr>
          <w:rFonts w:hint="eastAsia" w:ascii="Times New Roman Regular" w:hAnsi="Times New Roman Regular" w:cs="Times New Roman Regular"/>
          <w:strike w:val="0"/>
          <w:color w:val="auto"/>
          <w:sz w:val="21"/>
          <w:szCs w:val="21"/>
          <w:highlight w:val="none"/>
          <w:lang w:val="en-AU"/>
        </w:rPr>
        <w:t xml:space="preserve">, was strongly associated with </w:t>
      </w:r>
      <w:r>
        <w:rPr>
          <w:rFonts w:hint="default" w:ascii="Times New Roman Regular" w:hAnsi="Times New Roman Regular" w:cs="Times New Roman Regular"/>
          <w:strike w:val="0"/>
          <w:color w:val="auto"/>
          <w:sz w:val="21"/>
          <w:szCs w:val="21"/>
          <w:highlight w:val="none"/>
          <w:lang w:val="en-US"/>
        </w:rPr>
        <w:t>GWAS</w:t>
      </w:r>
      <w:r>
        <w:rPr>
          <w:rFonts w:hint="eastAsia" w:ascii="Times New Roman Regular" w:hAnsi="Times New Roman Regular" w:cs="Times New Roman Regular"/>
          <w:strike w:val="0"/>
          <w:color w:val="auto"/>
          <w:sz w:val="21"/>
          <w:szCs w:val="21"/>
          <w:highlight w:val="none"/>
          <w:lang w:val="en-AU"/>
        </w:rPr>
        <w:t xml:space="preserve">_CAD_EAS and </w:t>
      </w:r>
      <w:r>
        <w:rPr>
          <w:rFonts w:hint="default" w:ascii="Times New Roman Regular" w:hAnsi="Times New Roman Regular" w:cs="Times New Roman Regular"/>
          <w:strike w:val="0"/>
          <w:color w:val="auto"/>
          <w:sz w:val="21"/>
          <w:szCs w:val="21"/>
          <w:highlight w:val="none"/>
          <w:lang w:val="en-US"/>
        </w:rPr>
        <w:t>GWAS</w:t>
      </w:r>
      <w:r>
        <w:rPr>
          <w:rFonts w:hint="eastAsia" w:ascii="Times New Roman Regular" w:hAnsi="Times New Roman Regular" w:cs="Times New Roman Regular"/>
          <w:strike w:val="0"/>
          <w:color w:val="auto"/>
          <w:sz w:val="21"/>
          <w:szCs w:val="21"/>
          <w:highlight w:val="none"/>
          <w:lang w:val="en-AU"/>
        </w:rPr>
        <w:t>_PAD_EAS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vertAlign w:val="subscript"/>
          <w:lang w:val="en-AU"/>
        </w:rPr>
        <w:t>meta</w:t>
      </w:r>
      <w:r>
        <w:rPr>
          <w:rFonts w:hint="eastAsia" w:ascii="Times New Roman Regular" w:hAnsi="Times New Roman Regular" w:cs="Times New Roman Regular"/>
          <w:strike w:val="0"/>
          <w:color w:val="auto"/>
          <w:sz w:val="21"/>
          <w:szCs w:val="21"/>
          <w:highlight w:val="none"/>
          <w:lang w:val="en-AU"/>
        </w:rPr>
        <w:t xml:space="preserve"> = 3.30</w:t>
      </w:r>
      <w:r>
        <w:rPr>
          <w:rFonts w:hint="default" w:ascii="Times New Roman Regular" w:hAnsi="Times New Roman Regular" w:cs="Times New Roman Regular"/>
          <w:strike w:val="0"/>
          <w:color w:val="auto"/>
          <w:sz w:val="21"/>
          <w:szCs w:val="21"/>
          <w:highlight w:val="none"/>
        </w:rPr>
        <w:t> × </w:t>
      </w:r>
      <w:r>
        <w:rPr>
          <w:rFonts w:hint="eastAsia" w:ascii="Times New Roman Regular" w:hAnsi="Times New Roman Regular" w:cs="Times New Roman Regular"/>
          <w:strike w:val="0"/>
          <w:color w:val="auto"/>
          <w:sz w:val="21"/>
          <w:szCs w:val="21"/>
          <w:highlight w:val="none"/>
          <w:lang w:val="en-AU"/>
        </w:rPr>
        <w:t>10</w:t>
      </w:r>
      <w:r>
        <w:rPr>
          <w:rFonts w:hint="eastAsia" w:ascii="Times New Roman Regular" w:hAnsi="Times New Roman Regular" w:cs="Times New Roman Regular"/>
          <w:strike w:val="0"/>
          <w:color w:val="auto"/>
          <w:sz w:val="21"/>
          <w:szCs w:val="21"/>
          <w:highlight w:val="none"/>
          <w:vertAlign w:val="superscript"/>
          <w:lang w:val="en-AU"/>
        </w:rPr>
        <w:t>-13</w:t>
      </w:r>
      <w:r>
        <w:rPr>
          <w:rFonts w:hint="eastAsia" w:ascii="Times New Roman Regular" w:hAnsi="Times New Roman Regular" w:cs="Times New Roman Regular"/>
          <w:strike w:val="0"/>
          <w:color w:val="auto"/>
          <w:sz w:val="21"/>
          <w:szCs w:val="21"/>
          <w:highlight w:val="none"/>
          <w:lang w:val="en-AU"/>
        </w:rPr>
        <w:t xml:space="preserve">). This locus also colocalized with common vascular diseases in individuals of European ancestry, including </w:t>
      </w:r>
      <w:r>
        <w:rPr>
          <w:rFonts w:hint="default" w:ascii="Times New Roman Regular" w:hAnsi="Times New Roman Regular" w:cs="Times New Roman Regular"/>
          <w:strike w:val="0"/>
          <w:color w:val="auto"/>
          <w:sz w:val="21"/>
          <w:szCs w:val="21"/>
          <w:highlight w:val="none"/>
          <w:lang w:val="en-US"/>
        </w:rPr>
        <w:t>GWAS</w:t>
      </w:r>
      <w:r>
        <w:rPr>
          <w:rFonts w:hint="eastAsia" w:ascii="Times New Roman Regular" w:hAnsi="Times New Roman Regular" w:cs="Times New Roman Regular"/>
          <w:strike w:val="0"/>
          <w:color w:val="auto"/>
          <w:sz w:val="21"/>
          <w:szCs w:val="21"/>
          <w:highlight w:val="none"/>
          <w:lang w:val="en-AU"/>
        </w:rPr>
        <w:t xml:space="preserve">_CAD_EUR, </w:t>
      </w:r>
      <w:r>
        <w:rPr>
          <w:rFonts w:hint="default" w:ascii="Times New Roman Regular" w:hAnsi="Times New Roman Regular" w:cs="Times New Roman Regular"/>
          <w:strike w:val="0"/>
          <w:color w:val="auto"/>
          <w:sz w:val="21"/>
          <w:szCs w:val="21"/>
          <w:highlight w:val="none"/>
          <w:lang w:val="en-US"/>
        </w:rPr>
        <w:t>GWAS</w:t>
      </w:r>
      <w:r>
        <w:rPr>
          <w:rFonts w:hint="eastAsia" w:ascii="Times New Roman Regular" w:hAnsi="Times New Roman Regular" w:cs="Times New Roman Regular"/>
          <w:strike w:val="0"/>
          <w:color w:val="auto"/>
          <w:sz w:val="21"/>
          <w:szCs w:val="21"/>
          <w:highlight w:val="none"/>
          <w:lang w:val="en-AU"/>
        </w:rPr>
        <w:t xml:space="preserve">_PAD_EUR, and </w:t>
      </w:r>
      <w:r>
        <w:rPr>
          <w:rFonts w:hint="default" w:ascii="Times New Roman Regular" w:hAnsi="Times New Roman Regular" w:cs="Times New Roman Regular"/>
          <w:strike w:val="0"/>
          <w:color w:val="auto"/>
          <w:sz w:val="21"/>
          <w:szCs w:val="21"/>
          <w:highlight w:val="none"/>
          <w:lang w:val="en-US"/>
        </w:rPr>
        <w:t>GWAS</w:t>
      </w:r>
      <w:r>
        <w:rPr>
          <w:rFonts w:hint="eastAsia" w:ascii="Times New Roman Regular" w:hAnsi="Times New Roman Regular" w:cs="Times New Roman Regular"/>
          <w:strike w:val="0"/>
          <w:color w:val="auto"/>
          <w:sz w:val="21"/>
          <w:szCs w:val="21"/>
          <w:highlight w:val="none"/>
          <w:lang w:val="en-AU"/>
        </w:rPr>
        <w:t xml:space="preserve">_VTE_EUR, where the index SNP rs2107595 (mapped gene: </w:t>
      </w:r>
      <w:r>
        <w:rPr>
          <w:rFonts w:hint="default" w:ascii="Times New Roman Italic" w:hAnsi="Times New Roman Italic" w:cs="Times New Roman Italic"/>
          <w:i/>
          <w:iCs/>
          <w:strike w:val="0"/>
          <w:color w:val="auto"/>
          <w:sz w:val="21"/>
          <w:szCs w:val="21"/>
          <w:highlight w:val="none"/>
          <w:lang w:val="en-AU"/>
        </w:rPr>
        <w:t>HDAC9</w:t>
      </w:r>
      <w:r>
        <w:rPr>
          <w:rFonts w:hint="eastAsia" w:ascii="Times New Roman Regular" w:hAnsi="Times New Roman Regular" w:cs="Times New Roman Regular"/>
          <w:strike w:val="0"/>
          <w:color w:val="auto"/>
          <w:sz w:val="21"/>
          <w:szCs w:val="21"/>
          <w:highlight w:val="none"/>
          <w:lang w:val="en-AU"/>
        </w:rPr>
        <w:t xml:space="preserve"> and </w:t>
      </w:r>
      <w:r>
        <w:rPr>
          <w:rFonts w:hint="default" w:ascii="Times New Roman Italic" w:hAnsi="Times New Roman Italic" w:cs="Times New Roman Italic"/>
          <w:i/>
          <w:iCs/>
          <w:strike w:val="0"/>
          <w:color w:val="auto"/>
          <w:sz w:val="21"/>
          <w:szCs w:val="21"/>
          <w:highlight w:val="none"/>
          <w:lang w:val="en-AU"/>
        </w:rPr>
        <w:t>TWIST1</w:t>
      </w:r>
      <w:r>
        <w:rPr>
          <w:rFonts w:hint="eastAsia" w:ascii="Times New Roman Regular" w:hAnsi="Times New Roman Regular" w:cs="Times New Roman Regular"/>
          <w:strike w:val="0"/>
          <w:color w:val="auto"/>
          <w:sz w:val="21"/>
          <w:szCs w:val="21"/>
          <w:highlight w:val="none"/>
          <w:lang w:val="en-AU"/>
        </w:rPr>
        <w:t xml:space="preserve">) was identified as a shared causal variant. Ma </w:t>
      </w:r>
      <w:r>
        <w:rPr>
          <w:rFonts w:hint="default" w:ascii="Times New Roman Italic" w:hAnsi="Times New Roman Italic" w:cs="Times New Roman Italic"/>
          <w:i/>
          <w:iCs/>
          <w:strike w:val="0"/>
          <w:color w:val="auto"/>
          <w:sz w:val="21"/>
          <w:szCs w:val="21"/>
          <w:highlight w:val="none"/>
          <w:lang w:val="en-AU"/>
        </w:rPr>
        <w:t>et al</w:t>
      </w:r>
      <w:r>
        <w:rPr>
          <w:rFonts w:hint="eastAsia" w:ascii="Times New Roman Regular" w:hAnsi="Times New Roman Regular" w:cs="Times New Roman Regular"/>
          <w:strike w:val="0"/>
          <w:color w:val="auto"/>
          <w:sz w:val="21"/>
          <w:szCs w:val="21"/>
          <w:highlight w:val="none"/>
          <w:lang w:val="en-AU"/>
        </w:rPr>
        <w:t xml:space="preserve">. reported that a detailed analysis of GWAS SNPs at the </w:t>
      </w:r>
      <w:r>
        <w:rPr>
          <w:rFonts w:hint="default" w:ascii="Times New Roman Italic" w:hAnsi="Times New Roman Italic" w:cs="Times New Roman Italic"/>
          <w:i/>
          <w:iCs/>
          <w:strike w:val="0"/>
          <w:color w:val="auto"/>
          <w:sz w:val="21"/>
          <w:szCs w:val="21"/>
          <w:highlight w:val="none"/>
          <w:lang w:val="en-AU"/>
        </w:rPr>
        <w:t>HDAC9</w:t>
      </w:r>
      <w:r>
        <w:rPr>
          <w:rFonts w:hint="eastAsia" w:ascii="Times New Roman Regular" w:hAnsi="Times New Roman Regular" w:cs="Times New Roman Regular"/>
          <w:strike w:val="0"/>
          <w:color w:val="auto"/>
          <w:sz w:val="21"/>
          <w:szCs w:val="21"/>
          <w:highlight w:val="none"/>
          <w:lang w:val="en-AU"/>
        </w:rPr>
        <w:t>-associated CAD risk locus identified rs2107595 as the lead SNP, although rs57301765 is in high LD with rs2107595 (</w:t>
      </w:r>
      <w:r>
        <w:rPr>
          <w:rFonts w:hint="default" w:ascii="Times New Roman Italic" w:hAnsi="Times New Roman Italic" w:cs="Times New Roman Italic"/>
          <w:i/>
          <w:iCs/>
          <w:strike w:val="0"/>
          <w:color w:val="auto"/>
          <w:sz w:val="21"/>
          <w:szCs w:val="21"/>
          <w:highlight w:val="none"/>
          <w:lang w:val="en-AU"/>
        </w:rPr>
        <w:t>r</w:t>
      </w:r>
      <w:r>
        <w:rPr>
          <w:rFonts w:hint="default" w:ascii="Times New Roman Italic" w:hAnsi="Times New Roman Italic" w:cs="Times New Roman Italic"/>
          <w:i/>
          <w:iCs/>
          <w:strike w:val="0"/>
          <w:color w:val="auto"/>
          <w:sz w:val="21"/>
          <w:szCs w:val="21"/>
          <w:highlight w:val="none"/>
          <w:vertAlign w:val="superscript"/>
          <w:lang w:val="en-AU"/>
        </w:rPr>
        <w:t>2</w:t>
      </w:r>
      <w:r>
        <w:rPr>
          <w:rFonts w:hint="eastAsia" w:ascii="Times New Roman Regular" w:hAnsi="Times New Roman Regular" w:cs="Times New Roman Regular"/>
          <w:strike w:val="0"/>
          <w:color w:val="auto"/>
          <w:sz w:val="21"/>
          <w:szCs w:val="21"/>
          <w:highlight w:val="none"/>
          <w:lang w:val="en-AU"/>
        </w:rPr>
        <w:t xml:space="preserve"> = 0.96 in Europeans) and exhibits a comparable GWAS</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lang w:val="en-AU"/>
        </w:rPr>
        <w:t>-value. Subsequent experiments showed that the rs2107595 locus can regulate TWIST1 expression and suggested a functional role in vascular smooth muscle cells.</w:t>
      </w:r>
      <w:r>
        <w:rPr>
          <w:rFonts w:hint="default" w:ascii="Times New Roman Regular" w:hAnsi="Times New Roman Regular" w:cs="Times New Roman Regular"/>
          <w:strike w:val="0"/>
          <w:color w:val="auto"/>
          <w:sz w:val="21"/>
          <w:szCs w:val="21"/>
          <w:highlight w:val="none"/>
        </w:rPr>
        <w:t xml:space="preserve"> We further assessed whether these pleiotropic loci colocalized with metabolic traits, including anthropometric, blood pressure, lipidemic, glycemic, kidney function, liver function traits, and others such as C-reactive protein (CRP)</w:t>
      </w:r>
      <w:r>
        <w:rPr>
          <w:rFonts w:hint="default" w:ascii="Times New Roman Regular" w:hAnsi="Times New Roman Regular" w:cs="Times New Roman Regular"/>
          <w:strike w:val="0"/>
          <w:color w:val="auto"/>
          <w:sz w:val="21"/>
          <w:szCs w:val="21"/>
          <w:highlight w:val="none"/>
        </w:rPr>
        <w:fldChar w:fldCharType="begin"/>
      </w:r>
      <w:r>
        <w:rPr>
          <w:rFonts w:hint="default" w:ascii="Times New Roman Regular" w:hAnsi="Times New Roman Regular" w:cs="Times New Roman Regular"/>
          <w:strike w:val="0"/>
          <w:color w:val="auto"/>
          <w:sz w:val="21"/>
          <w:szCs w:val="21"/>
          <w:highlight w:val="none"/>
          <w:lang w:eastAsia="zh-CN"/>
        </w:rPr>
        <w:instrText xml:space="preserve"> ADDIN NE.Ref.{9AA66EC6-756E-4A71-8B39-BA257843C57C}</w:instrText>
      </w:r>
      <w:r>
        <w:rPr>
          <w:rFonts w:hint="default" w:ascii="Times New Roman Regular" w:hAnsi="Times New Roman Regular" w:cs="Times New Roman Regular"/>
          <w:strike w:val="0"/>
          <w:color w:val="auto"/>
          <w:sz w:val="21"/>
          <w:szCs w:val="21"/>
          <w:highlight w:val="none"/>
        </w:rPr>
        <w:fldChar w:fldCharType="separate"/>
      </w:r>
      <w:r>
        <w:rPr>
          <w:rFonts w:hint="default" w:ascii="Times New Roman" w:hAnsi="Times New Roman" w:eastAsia="Times New Roman"/>
          <w:color w:val="auto"/>
          <w:sz w:val="21"/>
          <w:szCs w:val="24"/>
          <w:highlight w:val="none"/>
          <w:vertAlign w:val="superscript"/>
        </w:rPr>
        <w:t>34</w:t>
      </w:r>
      <w:r>
        <w:rPr>
          <w:rFonts w:hint="eastAsia" w:ascii="Times New Roman Regular" w:hAnsi="Times New Roman Regular" w:eastAsia="Times New Roman Regular"/>
          <w:color w:val="auto"/>
          <w:sz w:val="21"/>
          <w:szCs w:val="24"/>
          <w:highlight w:val="none"/>
          <w:vertAlign w:val="superscript"/>
        </w:rPr>
        <w:t>-</w:t>
      </w:r>
      <w:r>
        <w:rPr>
          <w:rFonts w:hint="default" w:ascii="Times New Roman" w:hAnsi="Times New Roman" w:eastAsia="Times New Roman"/>
          <w:color w:val="auto"/>
          <w:sz w:val="21"/>
          <w:szCs w:val="24"/>
          <w:highlight w:val="none"/>
          <w:vertAlign w:val="superscript"/>
        </w:rPr>
        <w:t>36</w:t>
      </w:r>
      <w:r>
        <w:rPr>
          <w:rFonts w:hint="default" w:ascii="Times New Roman Regular" w:hAnsi="Times New Roman Regular" w:cs="Times New Roman Regular"/>
          <w:strike w:val="0"/>
          <w:color w:val="auto"/>
          <w:sz w:val="21"/>
          <w:szCs w:val="21"/>
          <w:highlight w:val="none"/>
        </w:rPr>
        <w:fldChar w:fldCharType="end"/>
      </w:r>
      <w:r>
        <w:rPr>
          <w:rFonts w:hint="default" w:ascii="Times New Roman Regular" w:hAnsi="Times New Roman Regular" w:cs="Times New Roman Regular"/>
          <w:strike w:val="0"/>
          <w:color w:val="auto"/>
          <w:sz w:val="21"/>
          <w:szCs w:val="21"/>
          <w:highlight w:val="none"/>
        </w:rPr>
        <w:t xml:space="preserve">. Multi-trait colocalization analysis using HyPrColoc further highlighted the pleiotropic locus 7p21.1, which was found to colocalize with a shared causal variant (i.e., rs57301765, mapped to </w:t>
      </w:r>
      <w:r>
        <w:rPr>
          <w:rFonts w:hint="default" w:ascii="Times New Roman Italic" w:hAnsi="Times New Roman Italic" w:cs="Times New Roman Italic"/>
          <w:i/>
          <w:iCs/>
          <w:strike w:val="0"/>
          <w:color w:val="auto"/>
          <w:sz w:val="21"/>
          <w:szCs w:val="21"/>
          <w:highlight w:val="none"/>
        </w:rPr>
        <w:t>HDAC9</w:t>
      </w:r>
      <w:r>
        <w:rPr>
          <w:rFonts w:hint="default" w:ascii="Times New Roman Regular" w:hAnsi="Times New Roman Regular" w:cs="Times New Roman Regular"/>
          <w:strike w:val="0"/>
          <w:color w:val="auto"/>
          <w:sz w:val="21"/>
          <w:szCs w:val="21"/>
          <w:highlight w:val="none"/>
        </w:rPr>
        <w:t xml:space="preserve"> and </w:t>
      </w:r>
      <w:r>
        <w:rPr>
          <w:rFonts w:hint="default" w:ascii="Times New Roman Italic" w:hAnsi="Times New Roman Italic" w:cs="Times New Roman Italic"/>
          <w:i/>
          <w:iCs/>
          <w:strike w:val="0"/>
          <w:color w:val="auto"/>
          <w:sz w:val="21"/>
          <w:szCs w:val="21"/>
          <w:highlight w:val="none"/>
        </w:rPr>
        <w:t>TWIST1</w:t>
      </w:r>
      <w:r>
        <w:rPr>
          <w:rFonts w:hint="default" w:ascii="Times New Roman Regular" w:hAnsi="Times New Roman Regular" w:cs="Times New Roman Regular"/>
          <w:strike w:val="0"/>
          <w:color w:val="auto"/>
          <w:sz w:val="21"/>
          <w:szCs w:val="21"/>
          <w:highlight w:val="none"/>
        </w:rPr>
        <w:t>), supporting the important role of blood pressure traits in CVD development.</w:t>
      </w:r>
    </w:p>
    <w:p w14:paraId="4E1249A6">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p>
    <w:p w14:paraId="1C68980D">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r>
        <w:rPr>
          <w:rFonts w:hint="eastAsia" w:ascii="Times New Roman Regular" w:hAnsi="Times New Roman Regular" w:cs="Times New Roman Regular"/>
          <w:strike w:val="0"/>
          <w:color w:val="auto"/>
          <w:sz w:val="21"/>
          <w:szCs w:val="21"/>
          <w:highlight w:val="none"/>
          <w:lang w:val="en-AU"/>
        </w:rPr>
        <w:t>Of the 119 lead SNPs and 201 susceptibility genes that reached genome-wide significance (GWS) for any of the six CVDs based on MAGMA analysis, only a small fraction were shared across multiple CVDs.</w:t>
      </w:r>
      <w:r>
        <w:rPr>
          <w:rFonts w:hint="default" w:ascii="Times New Roman Regular" w:hAnsi="Times New Roman Regular" w:cs="Times New Roman Regular"/>
          <w:strike w:val="0"/>
          <w:color w:val="auto"/>
          <w:sz w:val="21"/>
          <w:szCs w:val="21"/>
          <w:highlight w:val="none"/>
          <w:lang w:val="en-US"/>
        </w:rPr>
        <w:t xml:space="preserve"> </w:t>
      </w:r>
      <w:r>
        <w:rPr>
          <w:rFonts w:hint="eastAsia" w:ascii="Times New Roman Regular" w:hAnsi="Times New Roman Regular" w:cs="Times New Roman Regular"/>
          <w:strike w:val="0"/>
          <w:color w:val="auto"/>
          <w:sz w:val="21"/>
          <w:szCs w:val="21"/>
          <w:highlight w:val="none"/>
          <w:lang w:val="en-AU"/>
        </w:rPr>
        <w:t>Specifically, only 6 (</w:t>
      </w:r>
      <w:r>
        <w:rPr>
          <w:rFonts w:hint="default" w:ascii="Times New Roman Regular" w:hAnsi="Times New Roman Regular" w:cs="Times New Roman Regular"/>
          <w:strike w:val="0"/>
          <w:color w:val="auto"/>
          <w:sz w:val="21"/>
          <w:szCs w:val="21"/>
          <w:highlight w:val="none"/>
        </w:rPr>
        <w:t>5.04</w:t>
      </w:r>
      <w:r>
        <w:rPr>
          <w:rFonts w:hint="eastAsia" w:ascii="Times New Roman Regular" w:hAnsi="Times New Roman Regular" w:cs="Times New Roman Regular"/>
          <w:strike w:val="0"/>
          <w:color w:val="auto"/>
          <w:sz w:val="21"/>
          <w:szCs w:val="21"/>
          <w:highlight w:val="none"/>
          <w:lang w:val="en-AU"/>
        </w:rPr>
        <w:t xml:space="preserve">%) </w:t>
      </w:r>
      <w:r>
        <w:rPr>
          <w:rFonts w:hint="default" w:ascii="Times New Roman Regular" w:hAnsi="Times New Roman Regular" w:cs="Times New Roman Regular"/>
          <w:strike w:val="0"/>
          <w:color w:val="auto"/>
          <w:sz w:val="21"/>
          <w:szCs w:val="21"/>
          <w:highlight w:val="none"/>
          <w:lang w:val="en-US"/>
        </w:rPr>
        <w:t>l</w:t>
      </w:r>
      <w:r>
        <w:rPr>
          <w:rFonts w:hint="eastAsia" w:ascii="Times New Roman Regular" w:hAnsi="Times New Roman Regular" w:cs="Times New Roman Regular"/>
          <w:strike w:val="0"/>
          <w:color w:val="auto"/>
          <w:sz w:val="21"/>
          <w:szCs w:val="21"/>
          <w:highlight w:val="none"/>
          <w:lang w:val="en-AU"/>
        </w:rPr>
        <w:t>ead SNPs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lang w:val="en-AU"/>
        </w:rPr>
        <w:t> &lt; 1.</w:t>
      </w:r>
      <w:r>
        <w:rPr>
          <w:rFonts w:hint="default" w:ascii="Times New Roman Regular" w:hAnsi="Times New Roman Regular" w:cs="Times New Roman Regular"/>
          <w:strike w:val="0"/>
          <w:color w:val="auto"/>
          <w:sz w:val="21"/>
          <w:szCs w:val="21"/>
          <w:highlight w:val="none"/>
        </w:rPr>
        <w:t>25 × </w:t>
      </w:r>
      <w:r>
        <w:rPr>
          <w:rFonts w:hint="eastAsia" w:ascii="Times New Roman Regular" w:hAnsi="Times New Roman Regular" w:cs="Times New Roman Regular"/>
          <w:strike w:val="0"/>
          <w:color w:val="auto"/>
          <w:sz w:val="21"/>
          <w:szCs w:val="21"/>
          <w:highlight w:val="none"/>
          <w:lang w:val="en-AU"/>
        </w:rPr>
        <w:t>10</w:t>
      </w:r>
      <w:r>
        <w:rPr>
          <w:rFonts w:hint="eastAsia" w:ascii="Times New Roman Regular" w:hAnsi="Times New Roman Regular" w:cs="Times New Roman Regular"/>
          <w:strike w:val="0"/>
          <w:color w:val="auto"/>
          <w:sz w:val="21"/>
          <w:szCs w:val="21"/>
          <w:highlight w:val="none"/>
          <w:vertAlign w:val="superscript"/>
          <w:lang w:val="en-AU"/>
        </w:rPr>
        <w:t>-8</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Supplementary Data</w:t>
      </w:r>
      <w:r>
        <w:rPr>
          <w:rFonts w:hint="eastAsia" w:ascii="Times New Roman Regular" w:hAnsi="Times New Roman Regular" w:cs="Times New Roman Regular"/>
          <w:strike w:val="0"/>
          <w:color w:val="auto"/>
          <w:sz w:val="21"/>
          <w:szCs w:val="21"/>
          <w:highlight w:val="none"/>
          <w:lang w:val="en-AU"/>
        </w:rPr>
        <w:t xml:space="preserve"> </w:t>
      </w:r>
      <w:r>
        <w:rPr>
          <w:rFonts w:hint="default" w:ascii="Times New Roman Regular" w:hAnsi="Times New Roman Regular" w:cs="Times New Roman Regular"/>
          <w:strike w:val="0"/>
          <w:color w:val="auto"/>
          <w:sz w:val="21"/>
          <w:szCs w:val="21"/>
          <w:highlight w:val="none"/>
          <w:lang w:val="en-US"/>
        </w:rPr>
        <w:t>38</w:t>
      </w:r>
      <w:r>
        <w:rPr>
          <w:rFonts w:hint="eastAsia" w:ascii="Times New Roman Regular" w:hAnsi="Times New Roman Regular" w:cs="Times New Roman Regular"/>
          <w:strike w:val="0"/>
          <w:color w:val="auto"/>
          <w:sz w:val="21"/>
          <w:szCs w:val="21"/>
          <w:highlight w:val="none"/>
          <w:lang w:val="en-AU"/>
        </w:rPr>
        <w:t>) and 6 (</w:t>
      </w:r>
      <w:r>
        <w:rPr>
          <w:rFonts w:hint="default" w:ascii="Times New Roman Regular" w:hAnsi="Times New Roman Regular" w:cs="Times New Roman Regular"/>
          <w:strike w:val="0"/>
          <w:color w:val="auto"/>
          <w:sz w:val="21"/>
          <w:szCs w:val="21"/>
          <w:highlight w:val="none"/>
        </w:rPr>
        <w:t>2.99</w:t>
      </w:r>
      <w:r>
        <w:rPr>
          <w:rFonts w:hint="eastAsia" w:ascii="Times New Roman Regular" w:hAnsi="Times New Roman Regular" w:cs="Times New Roman Regular"/>
          <w:strike w:val="0"/>
          <w:color w:val="auto"/>
          <w:sz w:val="21"/>
          <w:szCs w:val="21"/>
          <w:highlight w:val="none"/>
          <w:lang w:val="en-AU"/>
        </w:rPr>
        <w:t>%) susceptibility genes (</w:t>
      </w:r>
      <w:r>
        <w:rPr>
          <w:rFonts w:hint="default" w:ascii="Times New Roman Italic" w:hAnsi="Times New Roman Italic" w:cs="Times New Roman Italic"/>
          <w:i/>
          <w:iCs/>
          <w:strike w:val="0"/>
          <w:color w:val="auto"/>
          <w:sz w:val="21"/>
          <w:szCs w:val="21"/>
          <w:highlight w:val="none"/>
          <w:lang w:val="en-AU"/>
        </w:rPr>
        <w:t>P</w:t>
      </w:r>
      <w:r>
        <w:rPr>
          <w:rFonts w:hint="eastAsia" w:ascii="Times New Roman Regular" w:hAnsi="Times New Roman Regular" w:cs="Times New Roman Regular"/>
          <w:strike w:val="0"/>
          <w:color w:val="auto"/>
          <w:sz w:val="21"/>
          <w:szCs w:val="21"/>
          <w:highlight w:val="none"/>
          <w:lang w:val="en-AU"/>
        </w:rPr>
        <w:t> &lt; </w:t>
      </w:r>
      <w:r>
        <w:rPr>
          <w:rFonts w:hint="default" w:ascii="Times New Roman Regular" w:hAnsi="Times New Roman Regular" w:cs="Times New Roman Regular"/>
          <w:strike w:val="0"/>
          <w:color w:val="auto"/>
          <w:sz w:val="21"/>
          <w:szCs w:val="21"/>
          <w:highlight w:val="none"/>
        </w:rPr>
        <w:t>7.09 × </w:t>
      </w:r>
      <w:r>
        <w:rPr>
          <w:rFonts w:hint="eastAsia" w:ascii="Times New Roman Regular" w:hAnsi="Times New Roman Regular" w:cs="Times New Roman Regular"/>
          <w:strike w:val="0"/>
          <w:color w:val="auto"/>
          <w:sz w:val="21"/>
          <w:szCs w:val="21"/>
          <w:highlight w:val="none"/>
          <w:lang w:val="en-AU"/>
        </w:rPr>
        <w:t>10</w:t>
      </w:r>
      <w:r>
        <w:rPr>
          <w:rFonts w:hint="eastAsia" w:ascii="Times New Roman Regular" w:hAnsi="Times New Roman Regular" w:cs="Times New Roman Regular"/>
          <w:strike w:val="0"/>
          <w:color w:val="auto"/>
          <w:sz w:val="21"/>
          <w:szCs w:val="21"/>
          <w:highlight w:val="none"/>
          <w:vertAlign w:val="superscript"/>
          <w:lang w:val="en-AU"/>
        </w:rPr>
        <w:t>-7</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Supplementary Data</w:t>
      </w:r>
      <w:r>
        <w:rPr>
          <w:rFonts w:hint="eastAsia" w:ascii="Times New Roman Regular" w:hAnsi="Times New Roman Regular" w:cs="Times New Roman Regular"/>
          <w:strike w:val="0"/>
          <w:color w:val="auto"/>
          <w:sz w:val="21"/>
          <w:szCs w:val="21"/>
          <w:highlight w:val="none"/>
          <w:lang w:val="en-AU"/>
        </w:rPr>
        <w:t xml:space="preserve"> </w:t>
      </w:r>
      <w:r>
        <w:rPr>
          <w:rFonts w:hint="default" w:ascii="Times New Roman Regular" w:hAnsi="Times New Roman Regular" w:cs="Times New Roman Regular"/>
          <w:strike w:val="0"/>
          <w:color w:val="auto"/>
          <w:sz w:val="21"/>
          <w:szCs w:val="21"/>
          <w:highlight w:val="none"/>
          <w:lang w:val="en-US"/>
        </w:rPr>
        <w:t>36</w:t>
      </w:r>
      <w:r>
        <w:rPr>
          <w:rFonts w:hint="eastAsia" w:ascii="Times New Roman Regular" w:hAnsi="Times New Roman Regular" w:cs="Times New Roman Regular"/>
          <w:strike w:val="0"/>
          <w:color w:val="auto"/>
          <w:sz w:val="21"/>
          <w:szCs w:val="21"/>
          <w:highlight w:val="none"/>
          <w:lang w:val="en-AU"/>
        </w:rPr>
        <w:t>) achieved genome-wide significance in more than one CVD.</w:t>
      </w:r>
      <w:r>
        <w:rPr>
          <w:rFonts w:hint="default" w:ascii="Times New Roman Regular" w:hAnsi="Times New Roman Regular" w:cs="Times New Roman Regular"/>
          <w:strike w:val="0"/>
          <w:color w:val="auto"/>
          <w:sz w:val="21"/>
          <w:szCs w:val="21"/>
          <w:highlight w:val="none"/>
          <w:lang w:val="en-US"/>
        </w:rPr>
        <w:t xml:space="preserve"> Collectively, these results suggest that shared genetic signals across multiple CVDs—especially within common genomic regions supported by strong colocalization evidence—are further supported by comparative analyses at both the SNP and gene levels across the five CVDs.</w:t>
      </w:r>
    </w:p>
    <w:p w14:paraId="6FDF1061">
      <w:pPr>
        <w:numPr>
          <w:ilvl w:val="0"/>
          <w:numId w:val="0"/>
        </w:numPr>
        <w:spacing w:line="360" w:lineRule="auto"/>
        <w:jc w:val="both"/>
        <w:rPr>
          <w:rFonts w:hint="eastAsia" w:ascii="Times New Roman Regular" w:hAnsi="Times New Roman Regular" w:cs="Times New Roman Regular"/>
          <w:strike w:val="0"/>
          <w:color w:val="auto"/>
          <w:sz w:val="21"/>
          <w:szCs w:val="21"/>
          <w:highlight w:val="none"/>
          <w:lang w:val="en-AU"/>
        </w:rPr>
      </w:pPr>
    </w:p>
    <w:p w14:paraId="04C939A7">
      <w:pPr>
        <w:spacing w:line="360" w:lineRule="auto"/>
        <w:rPr>
          <w:rFonts w:hint="default" w:ascii="Times New Roman Regular" w:hAnsi="Times New Roman Regular" w:cs="Times New Roman Regular"/>
          <w:strike w:val="0"/>
          <w:color w:val="auto"/>
          <w:sz w:val="21"/>
          <w:szCs w:val="21"/>
          <w:highlight w:val="none"/>
        </w:rPr>
      </w:pPr>
      <w:r>
        <w:rPr>
          <w:rFonts w:hint="eastAsia" w:ascii="Times New Roman Regular" w:hAnsi="Times New Roman Regular" w:cs="Times New Roman Regular"/>
          <w:strike w:val="0"/>
          <w:color w:val="auto"/>
          <w:sz w:val="21"/>
          <w:szCs w:val="21"/>
          <w:highlight w:val="none"/>
          <w:lang w:val="en-AU"/>
        </w:rPr>
        <w:t xml:space="preserve">Although shared genes and regions across CVDs are relatively few, the distinct genes implicated in each disease might be involved in common biological pathways or enriched in similar tissues or functional categories. To test this hypothesis, we performed gene set enrichment analysis based on MAGMA-identified susceptibility genes. After applying stringent multiple testing correction for 9,398 gene sets across the five CVDs (7,744 and 1,654 gene sets for GO BP and Reactome, respectively; </w:t>
      </w:r>
      <w:r>
        <w:rPr>
          <w:rFonts w:hint="default" w:ascii="Times New Roman Italic" w:hAnsi="Times New Roman Italic" w:cs="Times New Roman Italic"/>
          <w:i/>
          <w:iCs/>
          <w:strike w:val="0"/>
          <w:color w:val="auto"/>
          <w:sz w:val="21"/>
          <w:szCs w:val="21"/>
          <w:highlight w:val="none"/>
        </w:rPr>
        <w:t>P</w:t>
      </w:r>
      <w:r>
        <w:rPr>
          <w:rFonts w:hint="eastAsia" w:ascii="Times New Roman Regular" w:hAnsi="Times New Roman Regular" w:cs="Times New Roman Regular"/>
          <w:strike w:val="0"/>
          <w:color w:val="auto"/>
          <w:sz w:val="21"/>
          <w:szCs w:val="21"/>
          <w:highlight w:val="none"/>
          <w:lang w:val="en-AU"/>
        </w:rPr>
        <w:t xml:space="preserve">  = </w:t>
      </w:r>
      <w:r>
        <w:rPr>
          <w:rFonts w:hint="default" w:ascii="Times New Roman Regular" w:hAnsi="Times New Roman Regular" w:cs="Times New Roman Regular"/>
          <w:strike w:val="0"/>
          <w:color w:val="auto"/>
          <w:sz w:val="21"/>
          <w:szCs w:val="21"/>
          <w:highlight w:val="none"/>
          <w:lang w:val="en-US"/>
        </w:rPr>
        <w:t>0</w:t>
      </w:r>
      <w:r>
        <w:rPr>
          <w:rFonts w:hint="eastAsia" w:ascii="Times New Roman Regular" w:hAnsi="Times New Roman Regular" w:cs="Times New Roman Regular"/>
          <w:strike w:val="0"/>
          <w:color w:val="auto"/>
          <w:sz w:val="21"/>
          <w:szCs w:val="21"/>
          <w:highlight w:val="none"/>
          <w:lang w:val="en-AU"/>
        </w:rPr>
        <w:t>.05 / 9,398 / 4 = 1.33 × 10</w:t>
      </w:r>
      <w:r>
        <w:rPr>
          <w:rFonts w:hint="eastAsia" w:ascii="Times New Roman Regular" w:hAnsi="Times New Roman Regular" w:cs="Times New Roman Regular"/>
          <w:strike w:val="0"/>
          <w:color w:val="auto"/>
          <w:sz w:val="21"/>
          <w:szCs w:val="21"/>
          <w:highlight w:val="none"/>
          <w:vertAlign w:val="superscript"/>
          <w:lang w:val="en-AU"/>
        </w:rPr>
        <w:t>-6</w:t>
      </w:r>
      <w:r>
        <w:rPr>
          <w:rFonts w:hint="eastAsia" w:ascii="Times New Roman Regular" w:hAnsi="Times New Roman Regular" w:cs="Times New Roman Regular"/>
          <w:strike w:val="0"/>
          <w:color w:val="auto"/>
          <w:sz w:val="21"/>
          <w:szCs w:val="21"/>
          <w:highlight w:val="none"/>
          <w:lang w:val="en-AU"/>
        </w:rPr>
        <w:t>;</w:t>
      </w:r>
      <w:r>
        <w:rPr>
          <w:rFonts w:hint="default" w:ascii="Times New Roman Regular" w:hAnsi="Times New Roman Regular" w:cs="Times New Roman Regular"/>
          <w:strike w:val="0"/>
          <w:color w:val="auto"/>
          <w:sz w:val="21"/>
          <w:szCs w:val="21"/>
          <w:highlight w:val="none"/>
        </w:rPr>
        <w:t xml:space="preserve"> </w:t>
      </w:r>
      <w:r>
        <w:rPr>
          <w:rFonts w:hint="default" w:ascii="Times New Roman Regular" w:hAnsi="Times New Roman Regular" w:cs="Times New Roman Regular"/>
          <w:strike w:val="0"/>
          <w:color w:val="auto"/>
          <w:sz w:val="21"/>
          <w:szCs w:val="21"/>
          <w:highlight w:val="none"/>
          <w:lang w:val="en-US"/>
        </w:rPr>
        <w:t>Supplementary Data</w:t>
      </w:r>
      <w:r>
        <w:rPr>
          <w:rFonts w:hint="eastAsia" w:ascii="Times New Roman Regular" w:hAnsi="Times New Roman Regular" w:cs="Times New Roman Regular"/>
          <w:strike w:val="0"/>
          <w:color w:val="auto"/>
          <w:sz w:val="21"/>
          <w:szCs w:val="21"/>
          <w:highlight w:val="none"/>
          <w:lang w:val="en-AU"/>
        </w:rPr>
        <w:t xml:space="preserve"> </w:t>
      </w:r>
      <w:r>
        <w:rPr>
          <w:rFonts w:hint="default" w:ascii="Times New Roman Regular" w:hAnsi="Times New Roman Regular" w:cs="Times New Roman Regular"/>
          <w:strike w:val="0"/>
          <w:color w:val="auto"/>
          <w:sz w:val="21"/>
          <w:szCs w:val="21"/>
          <w:highlight w:val="none"/>
          <w:lang w:val="en-US"/>
        </w:rPr>
        <w:t>39</w:t>
      </w:r>
      <w:r>
        <w:rPr>
          <w:rFonts w:hint="eastAsia" w:ascii="Times New Roman Regular" w:hAnsi="Times New Roman Regular" w:cs="Times New Roman Regular"/>
          <w:strike w:val="0"/>
          <w:color w:val="auto"/>
          <w:sz w:val="21"/>
          <w:szCs w:val="21"/>
          <w:highlight w:val="none"/>
          <w:lang w:val="en-AU"/>
        </w:rPr>
        <w:t>), we found that significant gene set enrichment was predominantly observed in AF and CAD. Importantly, none of the gene sets showed significant enrichment in more than one CVD.</w:t>
      </w:r>
      <w:r>
        <w:rPr>
          <w:rFonts w:hint="default" w:ascii="Times New Roman Regular" w:hAnsi="Times New Roman Regular" w:cs="Times New Roman Regular"/>
          <w:strike w:val="0"/>
          <w:color w:val="auto"/>
          <w:sz w:val="21"/>
          <w:szCs w:val="21"/>
          <w:highlight w:val="none"/>
        </w:rPr>
        <w:t xml:space="preserve"> The absence of East Asian-specific reference panels in several commonly used tools, including TWAS, SMR, and GARFIELD, limited our ability to identify tissue-specific genes, functional annotations, and candidate causal proteins.</w:t>
      </w:r>
      <w:r>
        <w:rPr>
          <w:rFonts w:hint="default" w:ascii="Times New Roman Regular" w:hAnsi="Times New Roman Regular" w:cs="Times New Roman Regular"/>
          <w:strike w:val="0"/>
          <w:color w:val="auto"/>
          <w:sz w:val="21"/>
          <w:szCs w:val="21"/>
          <w:highlight w:val="none"/>
          <w:lang w:val="en-US"/>
        </w:rPr>
        <w:t xml:space="preserve"> </w:t>
      </w:r>
      <w:r>
        <w:rPr>
          <w:rFonts w:hint="default" w:ascii="Times New Roman Regular" w:hAnsi="Times New Roman Regular" w:cs="Times New Roman Regular"/>
          <w:strike w:val="0"/>
          <w:color w:val="auto"/>
          <w:sz w:val="21"/>
          <w:szCs w:val="21"/>
          <w:highlight w:val="none"/>
        </w:rPr>
        <w:t>Overall, the limited overlap in lead SNPs, genomic regions, genes, and enriched gene sets across the five CVDs in East Asian populations poses challenges for interpreting these results as evidence of shared genetic liability to CVDs.</w:t>
      </w:r>
    </w:p>
    <w:p w14:paraId="640598E6">
      <w:pPr>
        <w:rPr>
          <w:rFonts w:ascii="Times New Roman Bold" w:hAnsi="Times New Roman Bold" w:cs="Times New Roman Bold"/>
          <w:b/>
          <w:bCs/>
          <w:color w:val="auto"/>
          <w:szCs w:val="21"/>
          <w:highlight w:val="none"/>
        </w:rPr>
      </w:pPr>
      <w:r>
        <w:rPr>
          <w:rFonts w:ascii="Times New Roman Bold" w:hAnsi="Times New Roman Bold" w:cs="Times New Roman Bold"/>
          <w:b/>
          <w:bCs/>
          <w:color w:val="auto"/>
          <w:szCs w:val="21"/>
          <w:highlight w:val="none"/>
        </w:rPr>
        <w:br w:type="page"/>
      </w:r>
    </w:p>
    <w:p w14:paraId="191DE23B">
      <w:pPr>
        <w:spacing w:beforeLines="0" w:afterLines="0" w:line="360" w:lineRule="auto"/>
        <w:jc w:val="left"/>
        <w:rPr>
          <w:rFonts w:hint="default"/>
          <w:color w:val="auto"/>
          <w:sz w:val="21"/>
          <w:szCs w:val="21"/>
          <w:highlight w:val="none"/>
        </w:rPr>
      </w:pPr>
      <w:r>
        <w:rPr>
          <w:color w:val="auto"/>
          <w:sz w:val="21"/>
          <w:szCs w:val="21"/>
          <w:highlight w:val="none"/>
        </w:rPr>
        <w:fldChar w:fldCharType="begin"/>
      </w:r>
      <w:r>
        <w:rPr>
          <w:rFonts w:hint="eastAsia"/>
          <w:color w:val="auto"/>
          <w:sz w:val="21"/>
          <w:szCs w:val="21"/>
          <w:highlight w:val="none"/>
          <w:lang w:eastAsia="zh-CN"/>
        </w:rPr>
        <w:instrText xml:space="preserve"> ADDIN NE.Bib</w:instrText>
      </w:r>
      <w:r>
        <w:rPr>
          <w:color w:val="auto"/>
          <w:sz w:val="21"/>
          <w:szCs w:val="21"/>
          <w:highlight w:val="none"/>
        </w:rPr>
        <w:fldChar w:fldCharType="separate"/>
      </w:r>
      <w:r>
        <w:rPr>
          <w:rFonts w:ascii="Times New Roman Bold" w:hAnsi="Times New Roman Bold" w:cs="Times New Roman Bold"/>
          <w:b/>
          <w:bCs/>
          <w:color w:val="auto"/>
          <w:highlight w:val="none"/>
        </w:rPr>
        <w:t xml:space="preserve">Supplementary </w:t>
      </w:r>
      <w:r>
        <w:rPr>
          <w:rFonts w:hint="default" w:ascii="Times New Roman Bold" w:hAnsi="Times New Roman Bold" w:cs="Times New Roman Bold"/>
          <w:b/>
          <w:bCs/>
          <w:color w:val="auto"/>
          <w:highlight w:val="none"/>
          <w:lang w:val="en-US"/>
        </w:rPr>
        <w:t>R</w:t>
      </w:r>
      <w:r>
        <w:rPr>
          <w:rFonts w:hint="default" w:ascii="Times New Roman" w:hAnsi="Times New Roman" w:eastAsia="Times New Roman"/>
          <w:b/>
          <w:color w:val="auto"/>
          <w:sz w:val="21"/>
          <w:szCs w:val="21"/>
          <w:highlight w:val="none"/>
        </w:rPr>
        <w:t>eferences</w:t>
      </w:r>
    </w:p>
    <w:p w14:paraId="78C5F46C">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1.</w:t>
      </w:r>
      <w:r>
        <w:rPr>
          <w:rFonts w:hint="default" w:ascii="Times New Roman" w:hAnsi="Times New Roman" w:eastAsia="Times New Roman"/>
          <w:color w:val="auto"/>
          <w:sz w:val="21"/>
          <w:szCs w:val="21"/>
          <w:highlight w:val="none"/>
        </w:rPr>
        <w:tab/>
      </w:r>
      <w:bookmarkStart w:id="0" w:name="_neb2704D4BA_115B_4D0F_8B71_BEFF276021E9"/>
      <w:r>
        <w:rPr>
          <w:rFonts w:hint="default" w:ascii="Times New Roman" w:hAnsi="Times New Roman" w:eastAsia="Times New Roman"/>
          <w:color w:val="auto"/>
          <w:sz w:val="21"/>
          <w:szCs w:val="21"/>
          <w:highlight w:val="none"/>
        </w:rPr>
        <w:t>Nielsen, J. B. et al. Biobank-driven genomic discovery yields new insight into atrial fibrillation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biology.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50</w:t>
      </w:r>
      <w:r>
        <w:rPr>
          <w:rFonts w:hint="default" w:ascii="Times New Roman" w:hAnsi="Times New Roman" w:eastAsia="Times New Roman"/>
          <w:color w:val="auto"/>
          <w:sz w:val="21"/>
          <w:szCs w:val="21"/>
          <w:highlight w:val="none"/>
        </w:rPr>
        <w:t>, 1234-1239 (2018).</w:t>
      </w:r>
      <w:bookmarkEnd w:id="0"/>
    </w:p>
    <w:p w14:paraId="731D280E">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2.</w:t>
      </w:r>
      <w:r>
        <w:rPr>
          <w:rFonts w:hint="default" w:ascii="Times New Roman" w:hAnsi="Times New Roman" w:eastAsia="Times New Roman"/>
          <w:color w:val="auto"/>
          <w:sz w:val="21"/>
          <w:szCs w:val="21"/>
          <w:highlight w:val="none"/>
        </w:rPr>
        <w:tab/>
      </w:r>
      <w:bookmarkStart w:id="1" w:name="_nebDF24CFAB_BAD0_4BC9_A56D_74588F2547A0"/>
      <w:r>
        <w:rPr>
          <w:rFonts w:hint="default" w:ascii="Times New Roman" w:hAnsi="Times New Roman" w:eastAsia="Times New Roman"/>
          <w:color w:val="auto"/>
          <w:sz w:val="21"/>
          <w:szCs w:val="21"/>
          <w:highlight w:val="none"/>
        </w:rPr>
        <w:t>Aragam, K. G. et al. Discovery and systematic characterization of risk variants and genes for coronary</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artery disease in over a million participants.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54</w:t>
      </w:r>
      <w:r>
        <w:rPr>
          <w:rFonts w:hint="default" w:ascii="Times New Roman" w:hAnsi="Times New Roman" w:eastAsia="Times New Roman"/>
          <w:color w:val="auto"/>
          <w:sz w:val="21"/>
          <w:szCs w:val="21"/>
          <w:highlight w:val="none"/>
        </w:rPr>
        <w:t>, 1803-1815 (2022).</w:t>
      </w:r>
      <w:bookmarkEnd w:id="1"/>
    </w:p>
    <w:p w14:paraId="1A3BDC57">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3.</w:t>
      </w:r>
      <w:r>
        <w:rPr>
          <w:rFonts w:hint="default" w:ascii="Times New Roman" w:hAnsi="Times New Roman" w:eastAsia="Times New Roman"/>
          <w:color w:val="auto"/>
          <w:sz w:val="21"/>
          <w:szCs w:val="21"/>
          <w:highlight w:val="none"/>
        </w:rPr>
        <w:tab/>
      </w:r>
      <w:bookmarkStart w:id="2" w:name="_neb17D82E05_EA59_4B43_B520_6A0632E7D0CE"/>
      <w:r>
        <w:rPr>
          <w:rFonts w:hint="default" w:ascii="Times New Roman" w:hAnsi="Times New Roman" w:eastAsia="Times New Roman"/>
          <w:color w:val="auto"/>
          <w:sz w:val="21"/>
          <w:szCs w:val="21"/>
          <w:highlight w:val="none"/>
        </w:rPr>
        <w:t>Ghouse, J. et al. Genome-wide meta-analysis identifies 93 risk loci and enables risk prediction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equivalent to monogenic forms of venous thromboembolism.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55</w:t>
      </w:r>
      <w:r>
        <w:rPr>
          <w:rFonts w:hint="default" w:ascii="Times New Roman" w:hAnsi="Times New Roman" w:eastAsia="Times New Roman"/>
          <w:color w:val="auto"/>
          <w:sz w:val="21"/>
          <w:szCs w:val="21"/>
          <w:highlight w:val="none"/>
        </w:rPr>
        <w:t>, 399-409 (2023).</w:t>
      </w:r>
      <w:bookmarkEnd w:id="2"/>
    </w:p>
    <w:p w14:paraId="60726279">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4.</w:t>
      </w:r>
      <w:r>
        <w:rPr>
          <w:rFonts w:hint="default" w:ascii="Times New Roman" w:hAnsi="Times New Roman" w:eastAsia="Times New Roman"/>
          <w:color w:val="auto"/>
          <w:sz w:val="21"/>
          <w:szCs w:val="21"/>
          <w:highlight w:val="none"/>
        </w:rPr>
        <w:tab/>
      </w:r>
      <w:bookmarkStart w:id="3" w:name="_nebF9ED76C1_BD5D_425A_9A72_0CE95A5F0DDA"/>
      <w:r>
        <w:rPr>
          <w:rFonts w:hint="default" w:ascii="Times New Roman" w:hAnsi="Times New Roman" w:eastAsia="Times New Roman"/>
          <w:color w:val="auto"/>
          <w:sz w:val="21"/>
          <w:szCs w:val="21"/>
          <w:highlight w:val="none"/>
        </w:rPr>
        <w:t>Shah, S. et al. Genome-wide association and Mendelian randomisation analysis provide insights</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into the pathogenesis of heart failure. </w:t>
      </w:r>
      <w:r>
        <w:rPr>
          <w:rFonts w:hint="default" w:ascii="Times New Roman" w:hAnsi="Times New Roman" w:eastAsia="Times New Roman"/>
          <w:i/>
          <w:color w:val="auto"/>
          <w:sz w:val="21"/>
          <w:szCs w:val="21"/>
          <w:highlight w:val="none"/>
        </w:rPr>
        <w:t>Nat. Commun.</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11</w:t>
      </w:r>
      <w:r>
        <w:rPr>
          <w:rFonts w:hint="default" w:ascii="Times New Roman" w:hAnsi="Times New Roman" w:eastAsia="Times New Roman"/>
          <w:color w:val="auto"/>
          <w:sz w:val="21"/>
          <w:szCs w:val="21"/>
          <w:highlight w:val="none"/>
        </w:rPr>
        <w:t>, 163 (2020).</w:t>
      </w:r>
      <w:bookmarkEnd w:id="3"/>
    </w:p>
    <w:p w14:paraId="30065DC1">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5.</w:t>
      </w:r>
      <w:r>
        <w:rPr>
          <w:rFonts w:hint="default" w:ascii="Times New Roman" w:hAnsi="Times New Roman" w:eastAsia="Times New Roman"/>
          <w:color w:val="auto"/>
          <w:sz w:val="21"/>
          <w:szCs w:val="21"/>
          <w:highlight w:val="none"/>
        </w:rPr>
        <w:tab/>
      </w:r>
      <w:bookmarkStart w:id="4" w:name="_neb1FCC35EA_0D33_422A_89BD_20BDEB2BAA9E"/>
      <w:r>
        <w:rPr>
          <w:rFonts w:hint="default" w:ascii="Times New Roman" w:hAnsi="Times New Roman" w:eastAsia="Times New Roman"/>
          <w:color w:val="auto"/>
          <w:sz w:val="21"/>
          <w:szCs w:val="21"/>
          <w:highlight w:val="none"/>
        </w:rPr>
        <w:t>Rasooly, D. et al. Genome-wide association analysis and Mendelian randomization proteomics identify</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drug targets for heart failure. </w:t>
      </w:r>
      <w:r>
        <w:rPr>
          <w:rFonts w:hint="default" w:ascii="Times New Roman" w:hAnsi="Times New Roman" w:eastAsia="Times New Roman"/>
          <w:i/>
          <w:color w:val="auto"/>
          <w:sz w:val="21"/>
          <w:szCs w:val="21"/>
          <w:highlight w:val="none"/>
        </w:rPr>
        <w:t>Nat. Commun.</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14</w:t>
      </w:r>
      <w:r>
        <w:rPr>
          <w:rFonts w:hint="default" w:ascii="Times New Roman" w:hAnsi="Times New Roman" w:eastAsia="Times New Roman"/>
          <w:color w:val="auto"/>
          <w:sz w:val="21"/>
          <w:szCs w:val="21"/>
          <w:highlight w:val="none"/>
        </w:rPr>
        <w:t>, 3826 (2023).</w:t>
      </w:r>
      <w:bookmarkEnd w:id="4"/>
    </w:p>
    <w:p w14:paraId="33B92249">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6.</w:t>
      </w:r>
      <w:r>
        <w:rPr>
          <w:rFonts w:hint="default" w:ascii="Times New Roman" w:hAnsi="Times New Roman" w:eastAsia="Times New Roman"/>
          <w:color w:val="auto"/>
          <w:sz w:val="21"/>
          <w:szCs w:val="21"/>
          <w:highlight w:val="none"/>
        </w:rPr>
        <w:tab/>
      </w:r>
      <w:bookmarkStart w:id="5" w:name="_neb1B20110C_58B7_486D_B0C2_20621864BEE4"/>
      <w:r>
        <w:rPr>
          <w:rFonts w:hint="default" w:ascii="Times New Roman" w:hAnsi="Times New Roman" w:eastAsia="Times New Roman"/>
          <w:color w:val="auto"/>
          <w:sz w:val="21"/>
          <w:szCs w:val="21"/>
          <w:highlight w:val="none"/>
        </w:rPr>
        <w:t xml:space="preserve">van Zuydam, N. R. et al. Genome-Wide Association Study of Peripheral Artery Disease. </w:t>
      </w:r>
      <w:r>
        <w:rPr>
          <w:rFonts w:hint="default" w:ascii="Times New Roman" w:hAnsi="Times New Roman" w:eastAsia="Times New Roman"/>
          <w:i/>
          <w:color w:val="auto"/>
          <w:sz w:val="21"/>
          <w:szCs w:val="21"/>
          <w:highlight w:val="none"/>
        </w:rPr>
        <w:t>Circ.-Genom. Precis.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14</w:t>
      </w:r>
      <w:r>
        <w:rPr>
          <w:rFonts w:hint="default" w:ascii="Times New Roman" w:hAnsi="Times New Roman" w:eastAsia="Times New Roman"/>
          <w:color w:val="auto"/>
          <w:sz w:val="21"/>
          <w:szCs w:val="21"/>
          <w:highlight w:val="none"/>
        </w:rPr>
        <w:t>, e2862 (2021).</w:t>
      </w:r>
      <w:bookmarkEnd w:id="5"/>
    </w:p>
    <w:p w14:paraId="18EF05ED">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7.</w:t>
      </w:r>
      <w:r>
        <w:rPr>
          <w:rFonts w:hint="default" w:ascii="Times New Roman" w:hAnsi="Times New Roman" w:eastAsia="Times New Roman"/>
          <w:color w:val="auto"/>
          <w:sz w:val="21"/>
          <w:szCs w:val="21"/>
          <w:highlight w:val="none"/>
        </w:rPr>
        <w:tab/>
      </w:r>
      <w:bookmarkStart w:id="6" w:name="_neb4C810721_8F6E_4AA6_8542_00BFDB77188D"/>
      <w:r>
        <w:rPr>
          <w:rFonts w:hint="default" w:ascii="Times New Roman" w:hAnsi="Times New Roman" w:eastAsia="Times New Roman"/>
          <w:color w:val="auto"/>
          <w:sz w:val="21"/>
          <w:szCs w:val="21"/>
          <w:highlight w:val="none"/>
        </w:rPr>
        <w:t>Kullo, I. J. et al. The ATXN2-SH2B3 locus is associated with peripheral arterial disease: an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electronic medical record-based genome-wide association study. </w:t>
      </w:r>
      <w:r>
        <w:rPr>
          <w:rFonts w:hint="default" w:ascii="Times New Roman" w:hAnsi="Times New Roman" w:eastAsia="Times New Roman"/>
          <w:i/>
          <w:color w:val="auto"/>
          <w:sz w:val="21"/>
          <w:szCs w:val="21"/>
          <w:highlight w:val="none"/>
        </w:rPr>
        <w:t>Front.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w:t>
      </w:r>
      <w:r>
        <w:rPr>
          <w:rFonts w:hint="default" w:ascii="Times New Roman" w:hAnsi="Times New Roman" w:eastAsia="Times New Roman"/>
          <w:color w:val="auto"/>
          <w:sz w:val="21"/>
          <w:szCs w:val="21"/>
          <w:highlight w:val="none"/>
        </w:rPr>
        <w:t>, 166 (2014).</w:t>
      </w:r>
      <w:bookmarkEnd w:id="6"/>
    </w:p>
    <w:p w14:paraId="2B710EA1">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8.</w:t>
      </w:r>
      <w:r>
        <w:rPr>
          <w:rFonts w:hint="default" w:ascii="Times New Roman" w:hAnsi="Times New Roman" w:eastAsia="Times New Roman"/>
          <w:color w:val="auto"/>
          <w:sz w:val="21"/>
          <w:szCs w:val="21"/>
          <w:highlight w:val="none"/>
        </w:rPr>
        <w:tab/>
      </w:r>
      <w:bookmarkStart w:id="7" w:name="_neb26AC6E45_7E36_4780_B609_3E354C24B829"/>
      <w:r>
        <w:rPr>
          <w:rFonts w:hint="default" w:ascii="Times New Roman" w:hAnsi="Times New Roman" w:eastAsia="Times New Roman"/>
          <w:color w:val="auto"/>
          <w:sz w:val="21"/>
          <w:szCs w:val="21"/>
          <w:highlight w:val="none"/>
        </w:rPr>
        <w:t xml:space="preserve">Sakaue, S. et al. A cross-population atlas of genetic associations for 220 human phenotypes.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53</w:t>
      </w:r>
      <w:r>
        <w:rPr>
          <w:rFonts w:hint="default" w:ascii="Times New Roman" w:hAnsi="Times New Roman" w:eastAsia="Times New Roman"/>
          <w:color w:val="auto"/>
          <w:sz w:val="21"/>
          <w:szCs w:val="21"/>
          <w:highlight w:val="none"/>
        </w:rPr>
        <w:t>, 1415-1424 (2021).</w:t>
      </w:r>
      <w:bookmarkEnd w:id="7"/>
    </w:p>
    <w:p w14:paraId="28B0BE90">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 xml:space="preserve"> 9.</w:t>
      </w:r>
      <w:r>
        <w:rPr>
          <w:rFonts w:hint="default" w:ascii="Times New Roman" w:hAnsi="Times New Roman" w:eastAsia="Times New Roman"/>
          <w:color w:val="auto"/>
          <w:sz w:val="21"/>
          <w:szCs w:val="21"/>
          <w:highlight w:val="none"/>
        </w:rPr>
        <w:tab/>
      </w:r>
      <w:bookmarkStart w:id="8" w:name="_nebE840ADBF_7506_40BA_89C3_0791157D14C0"/>
      <w:r>
        <w:rPr>
          <w:rFonts w:hint="default" w:ascii="Times New Roman" w:hAnsi="Times New Roman" w:eastAsia="Times New Roman"/>
          <w:color w:val="auto"/>
          <w:sz w:val="21"/>
          <w:szCs w:val="21"/>
          <w:highlight w:val="none"/>
        </w:rPr>
        <w:t>Carcel-Marquez, J. et al. A Polygenic Risk Score Based on a Cardioembolic Stroke Multitrait Analysis</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Improves a Clinical Prediction Model for This Stroke Subtype. </w:t>
      </w:r>
      <w:r>
        <w:rPr>
          <w:rFonts w:hint="default" w:ascii="Times New Roman" w:hAnsi="Times New Roman" w:eastAsia="Times New Roman"/>
          <w:i/>
          <w:color w:val="auto"/>
          <w:sz w:val="21"/>
          <w:szCs w:val="21"/>
          <w:highlight w:val="none"/>
        </w:rPr>
        <w:t>Front. Cardiovasc.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9</w:t>
      </w:r>
      <w:r>
        <w:rPr>
          <w:rFonts w:hint="default" w:ascii="Times New Roman" w:hAnsi="Times New Roman" w:eastAsia="Times New Roman"/>
          <w:color w:val="auto"/>
          <w:sz w:val="21"/>
          <w:szCs w:val="21"/>
          <w:highlight w:val="none"/>
        </w:rPr>
        <w:t>, 940696 (2022).</w:t>
      </w:r>
      <w:bookmarkEnd w:id="8"/>
    </w:p>
    <w:p w14:paraId="39EFAE49">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10.</w:t>
      </w:r>
      <w:r>
        <w:rPr>
          <w:rFonts w:hint="default" w:ascii="Times New Roman" w:hAnsi="Times New Roman" w:eastAsia="Times New Roman"/>
          <w:color w:val="auto"/>
          <w:sz w:val="21"/>
          <w:szCs w:val="21"/>
          <w:highlight w:val="none"/>
        </w:rPr>
        <w:tab/>
      </w:r>
      <w:bookmarkStart w:id="9" w:name="_neb973C6D9E_88ED_4B35_9EB2_44FE80311983"/>
      <w:r>
        <w:rPr>
          <w:rFonts w:hint="default" w:ascii="Times New Roman" w:hAnsi="Times New Roman" w:eastAsia="Times New Roman"/>
          <w:color w:val="auto"/>
          <w:sz w:val="21"/>
          <w:szCs w:val="21"/>
          <w:highlight w:val="none"/>
        </w:rPr>
        <w:t xml:space="preserve">Roselli, C. et al. Multi-ethnic genome-wide association study for atrial fibrillation.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50</w:t>
      </w:r>
      <w:r>
        <w:rPr>
          <w:rFonts w:hint="default" w:ascii="Times New Roman" w:hAnsi="Times New Roman" w:eastAsia="Times New Roman"/>
          <w:color w:val="auto"/>
          <w:sz w:val="21"/>
          <w:szCs w:val="21"/>
          <w:highlight w:val="none"/>
        </w:rPr>
        <w:t>, 1225-1233 (2018).</w:t>
      </w:r>
      <w:bookmarkEnd w:id="9"/>
    </w:p>
    <w:p w14:paraId="5EF54AAC">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11.</w:t>
      </w:r>
      <w:r>
        <w:rPr>
          <w:rFonts w:hint="default" w:ascii="Times New Roman" w:hAnsi="Times New Roman" w:eastAsia="Times New Roman"/>
          <w:color w:val="auto"/>
          <w:sz w:val="21"/>
          <w:szCs w:val="21"/>
          <w:highlight w:val="none"/>
        </w:rPr>
        <w:tab/>
      </w:r>
      <w:bookmarkStart w:id="10" w:name="_neb95AF03CD_FD1B_4C69_A287_35D2399F0DAE"/>
      <w:r>
        <w:rPr>
          <w:rFonts w:hint="default" w:ascii="Times New Roman" w:hAnsi="Times New Roman" w:eastAsia="Times New Roman"/>
          <w:color w:val="auto"/>
          <w:sz w:val="21"/>
          <w:szCs w:val="21"/>
          <w:highlight w:val="none"/>
        </w:rPr>
        <w:t>Hartiala, J. A. et al. Genome-wide analysis identifies novel susceptibility loci for myocardial</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infarction. </w:t>
      </w:r>
      <w:r>
        <w:rPr>
          <w:rFonts w:hint="default" w:ascii="Times New Roman" w:hAnsi="Times New Roman" w:eastAsia="Times New Roman"/>
          <w:i/>
          <w:color w:val="auto"/>
          <w:sz w:val="21"/>
          <w:szCs w:val="21"/>
          <w:highlight w:val="none"/>
        </w:rPr>
        <w:t>Eur. Heart J.</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42</w:t>
      </w:r>
      <w:r>
        <w:rPr>
          <w:rFonts w:hint="default" w:ascii="Times New Roman" w:hAnsi="Times New Roman" w:eastAsia="Times New Roman"/>
          <w:color w:val="auto"/>
          <w:sz w:val="21"/>
          <w:szCs w:val="21"/>
          <w:highlight w:val="none"/>
        </w:rPr>
        <w:t>, 919-933 (2021).</w:t>
      </w:r>
      <w:bookmarkEnd w:id="10"/>
    </w:p>
    <w:p w14:paraId="4106EDD4">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12.</w:t>
      </w:r>
      <w:r>
        <w:rPr>
          <w:rFonts w:hint="default" w:ascii="Times New Roman" w:hAnsi="Times New Roman" w:eastAsia="Times New Roman"/>
          <w:color w:val="auto"/>
          <w:sz w:val="21"/>
          <w:szCs w:val="21"/>
          <w:highlight w:val="none"/>
        </w:rPr>
        <w:tab/>
      </w:r>
      <w:bookmarkStart w:id="11" w:name="_nebAF2DB512_1DB5_4D91_BB37_BE60CEA1E39D"/>
      <w:r>
        <w:rPr>
          <w:rFonts w:hint="default" w:ascii="Times New Roman" w:hAnsi="Times New Roman" w:eastAsia="Times New Roman"/>
          <w:color w:val="auto"/>
          <w:sz w:val="21"/>
          <w:szCs w:val="21"/>
          <w:highlight w:val="none"/>
        </w:rPr>
        <w:t>van der Harst, P. &amp; Verweij, N. Identification of 64 Novel Genetic Loci Provides an Expanded View on the Genetic</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Architecture of Coronary Artery Disease. </w:t>
      </w:r>
      <w:r>
        <w:rPr>
          <w:rFonts w:hint="default" w:ascii="Times New Roman" w:hAnsi="Times New Roman" w:eastAsia="Times New Roman"/>
          <w:i/>
          <w:color w:val="auto"/>
          <w:sz w:val="21"/>
          <w:szCs w:val="21"/>
          <w:highlight w:val="none"/>
        </w:rPr>
        <w:t>Circ. Res.</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122</w:t>
      </w:r>
      <w:r>
        <w:rPr>
          <w:rFonts w:hint="default" w:ascii="Times New Roman" w:hAnsi="Times New Roman" w:eastAsia="Times New Roman"/>
          <w:color w:val="auto"/>
          <w:sz w:val="21"/>
          <w:szCs w:val="21"/>
          <w:highlight w:val="none"/>
        </w:rPr>
        <w:t>, 433-443 (2018).</w:t>
      </w:r>
      <w:bookmarkEnd w:id="11"/>
    </w:p>
    <w:p w14:paraId="002F5CAE">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13.</w:t>
      </w:r>
      <w:r>
        <w:rPr>
          <w:rFonts w:hint="default" w:ascii="Times New Roman" w:hAnsi="Times New Roman" w:eastAsia="Times New Roman"/>
          <w:color w:val="auto"/>
          <w:sz w:val="21"/>
          <w:szCs w:val="21"/>
          <w:highlight w:val="none"/>
        </w:rPr>
        <w:tab/>
      </w:r>
      <w:bookmarkStart w:id="12" w:name="_neb452626E4_C03F_4169_818F_B59BF0E2BA6D"/>
      <w:r>
        <w:rPr>
          <w:rFonts w:hint="default" w:ascii="Times New Roman" w:hAnsi="Times New Roman" w:eastAsia="Times New Roman"/>
          <w:color w:val="auto"/>
          <w:sz w:val="21"/>
          <w:szCs w:val="21"/>
          <w:highlight w:val="none"/>
        </w:rPr>
        <w:t>A genome-wide association study in Europeans and South Asians identifies five new</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loci for coronary artery disease.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43</w:t>
      </w:r>
      <w:r>
        <w:rPr>
          <w:rFonts w:hint="default" w:ascii="Times New Roman" w:hAnsi="Times New Roman" w:eastAsia="Times New Roman"/>
          <w:color w:val="auto"/>
          <w:sz w:val="21"/>
          <w:szCs w:val="21"/>
          <w:highlight w:val="none"/>
        </w:rPr>
        <w:t>, 339-344 (2011).</w:t>
      </w:r>
      <w:bookmarkEnd w:id="12"/>
    </w:p>
    <w:p w14:paraId="544CAF04">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14.</w:t>
      </w:r>
      <w:r>
        <w:rPr>
          <w:rFonts w:hint="default" w:ascii="Times New Roman" w:hAnsi="Times New Roman" w:eastAsia="Times New Roman"/>
          <w:color w:val="auto"/>
          <w:sz w:val="21"/>
          <w:szCs w:val="21"/>
          <w:highlight w:val="none"/>
        </w:rPr>
        <w:tab/>
      </w:r>
      <w:bookmarkStart w:id="13" w:name="_nebDC49672D_094D_40FC_A8CF_5E5FF12E771A"/>
      <w:r>
        <w:rPr>
          <w:rFonts w:hint="default" w:ascii="Times New Roman" w:hAnsi="Times New Roman" w:eastAsia="Times New Roman"/>
          <w:color w:val="auto"/>
          <w:sz w:val="21"/>
          <w:szCs w:val="21"/>
          <w:highlight w:val="none"/>
        </w:rPr>
        <w:t>Tcheandjieu, C. et al. Large-scale genome-wide association study of coronary artery disease in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genetically diverse populations. </w:t>
      </w:r>
      <w:r>
        <w:rPr>
          <w:rFonts w:hint="default" w:ascii="Times New Roman" w:hAnsi="Times New Roman" w:eastAsia="Times New Roman"/>
          <w:i/>
          <w:color w:val="auto"/>
          <w:sz w:val="21"/>
          <w:szCs w:val="21"/>
          <w:highlight w:val="none"/>
        </w:rPr>
        <w:t>Nat.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28</w:t>
      </w:r>
      <w:r>
        <w:rPr>
          <w:rFonts w:hint="default" w:ascii="Times New Roman" w:hAnsi="Times New Roman" w:eastAsia="Times New Roman"/>
          <w:color w:val="auto"/>
          <w:sz w:val="21"/>
          <w:szCs w:val="21"/>
          <w:highlight w:val="none"/>
        </w:rPr>
        <w:t>, 1679-1692 (2022).</w:t>
      </w:r>
      <w:bookmarkEnd w:id="13"/>
    </w:p>
    <w:p w14:paraId="5B8C68A8">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15.</w:t>
      </w:r>
      <w:r>
        <w:rPr>
          <w:rFonts w:hint="default" w:ascii="Times New Roman" w:hAnsi="Times New Roman" w:eastAsia="Times New Roman"/>
          <w:color w:val="auto"/>
          <w:sz w:val="21"/>
          <w:szCs w:val="21"/>
          <w:highlight w:val="none"/>
        </w:rPr>
        <w:tab/>
      </w:r>
      <w:bookmarkStart w:id="14" w:name="_neb22E2FF21_4BB6_430A_AE74_F066F0A4160F"/>
      <w:r>
        <w:rPr>
          <w:rFonts w:hint="default" w:ascii="Times New Roman" w:hAnsi="Times New Roman" w:eastAsia="Times New Roman"/>
          <w:color w:val="auto"/>
          <w:sz w:val="21"/>
          <w:szCs w:val="21"/>
          <w:highlight w:val="none"/>
        </w:rPr>
        <w:t>Zhuang, Z., Yao, M., Wong, J., Liu, Z. &amp; Huang, T. Shared genetic etiology and causality between body fat percentage and</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cardiovascular diseases: a large-scale genome-wide cross-trait analysis. </w:t>
      </w:r>
      <w:r>
        <w:rPr>
          <w:rFonts w:hint="default" w:ascii="Times New Roman" w:hAnsi="Times New Roman" w:eastAsia="Times New Roman"/>
          <w:i/>
          <w:color w:val="auto"/>
          <w:sz w:val="21"/>
          <w:szCs w:val="21"/>
          <w:highlight w:val="none"/>
        </w:rPr>
        <w:t>Bmc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19</w:t>
      </w:r>
      <w:r>
        <w:rPr>
          <w:rFonts w:hint="default" w:ascii="Times New Roman" w:hAnsi="Times New Roman" w:eastAsia="Times New Roman"/>
          <w:color w:val="auto"/>
          <w:sz w:val="21"/>
          <w:szCs w:val="21"/>
          <w:highlight w:val="none"/>
        </w:rPr>
        <w:t>, 100 (2021).</w:t>
      </w:r>
      <w:bookmarkEnd w:id="14"/>
    </w:p>
    <w:p w14:paraId="65532E60">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16.</w:t>
      </w:r>
      <w:r>
        <w:rPr>
          <w:rFonts w:hint="default" w:ascii="Times New Roman" w:hAnsi="Times New Roman" w:eastAsia="Times New Roman"/>
          <w:color w:val="auto"/>
          <w:sz w:val="21"/>
          <w:szCs w:val="21"/>
          <w:highlight w:val="none"/>
        </w:rPr>
        <w:tab/>
      </w:r>
      <w:bookmarkStart w:id="15" w:name="_nebB4769573_8391_4D13_953A_4420576F6075"/>
      <w:r>
        <w:rPr>
          <w:rFonts w:hint="default" w:ascii="Times New Roman" w:hAnsi="Times New Roman" w:eastAsia="Times New Roman"/>
          <w:color w:val="auto"/>
          <w:sz w:val="21"/>
          <w:szCs w:val="21"/>
          <w:highlight w:val="none"/>
        </w:rPr>
        <w:t>Levin, M. G. et al. Genome-wide association and multi-trait analyses characterize the common genetic</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architecture of heart failure. </w:t>
      </w:r>
      <w:r>
        <w:rPr>
          <w:rFonts w:hint="default" w:ascii="Times New Roman" w:hAnsi="Times New Roman" w:eastAsia="Times New Roman"/>
          <w:i/>
          <w:color w:val="auto"/>
          <w:sz w:val="21"/>
          <w:szCs w:val="21"/>
          <w:highlight w:val="none"/>
        </w:rPr>
        <w:t>Nat. Commun.</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13</w:t>
      </w:r>
      <w:r>
        <w:rPr>
          <w:rFonts w:hint="default" w:ascii="Times New Roman" w:hAnsi="Times New Roman" w:eastAsia="Times New Roman"/>
          <w:color w:val="auto"/>
          <w:sz w:val="21"/>
          <w:szCs w:val="21"/>
          <w:highlight w:val="none"/>
        </w:rPr>
        <w:t>, 6914 (2022).</w:t>
      </w:r>
      <w:bookmarkEnd w:id="15"/>
    </w:p>
    <w:p w14:paraId="740A3C48">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17.</w:t>
      </w:r>
      <w:r>
        <w:rPr>
          <w:rFonts w:hint="default" w:ascii="Times New Roman" w:hAnsi="Times New Roman" w:eastAsia="Times New Roman"/>
          <w:color w:val="auto"/>
          <w:sz w:val="21"/>
          <w:szCs w:val="21"/>
          <w:highlight w:val="none"/>
        </w:rPr>
        <w:tab/>
      </w:r>
      <w:bookmarkStart w:id="16" w:name="_neb21FF131A_02B4_460F_99A5_A738523E8308"/>
      <w:r>
        <w:rPr>
          <w:rFonts w:hint="default" w:ascii="Times New Roman" w:hAnsi="Times New Roman" w:eastAsia="Times New Roman"/>
          <w:color w:val="auto"/>
          <w:sz w:val="21"/>
          <w:szCs w:val="21"/>
          <w:highlight w:val="none"/>
        </w:rPr>
        <w:t>Klarin, D. et al. Genome-wide association study of peripheral artery disease in the Million Veteran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Program. </w:t>
      </w:r>
      <w:r>
        <w:rPr>
          <w:rFonts w:hint="default" w:ascii="Times New Roman" w:hAnsi="Times New Roman" w:eastAsia="Times New Roman"/>
          <w:i/>
          <w:color w:val="auto"/>
          <w:sz w:val="21"/>
          <w:szCs w:val="21"/>
          <w:highlight w:val="none"/>
        </w:rPr>
        <w:t>Nat.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25</w:t>
      </w:r>
      <w:r>
        <w:rPr>
          <w:rFonts w:hint="default" w:ascii="Times New Roman" w:hAnsi="Times New Roman" w:eastAsia="Times New Roman"/>
          <w:color w:val="auto"/>
          <w:sz w:val="21"/>
          <w:szCs w:val="21"/>
          <w:highlight w:val="none"/>
        </w:rPr>
        <w:t>, 1274-1279 (2019).</w:t>
      </w:r>
      <w:bookmarkEnd w:id="16"/>
    </w:p>
    <w:p w14:paraId="62E9DC49">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18.</w:t>
      </w:r>
      <w:r>
        <w:rPr>
          <w:rFonts w:hint="default" w:ascii="Times New Roman" w:hAnsi="Times New Roman" w:eastAsia="Times New Roman"/>
          <w:color w:val="auto"/>
          <w:sz w:val="21"/>
          <w:szCs w:val="21"/>
          <w:highlight w:val="none"/>
        </w:rPr>
        <w:tab/>
      </w:r>
      <w:bookmarkStart w:id="17" w:name="_neb0FAA462E_2F1E_48B8_982C_BB7CE736CB8C"/>
      <w:r>
        <w:rPr>
          <w:rFonts w:hint="default" w:ascii="Times New Roman" w:hAnsi="Times New Roman" w:eastAsia="Times New Roman"/>
          <w:color w:val="auto"/>
          <w:sz w:val="21"/>
          <w:szCs w:val="21"/>
          <w:highlight w:val="none"/>
        </w:rPr>
        <w:t>Dichgans, M. et al. Shared genetic susceptibility to ischemic stroke and coronary artery disease: a</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genome-wide analysis of common variants. </w:t>
      </w:r>
      <w:r>
        <w:rPr>
          <w:rFonts w:hint="default" w:ascii="Times New Roman" w:hAnsi="Times New Roman" w:eastAsia="Times New Roman"/>
          <w:i/>
          <w:color w:val="auto"/>
          <w:sz w:val="21"/>
          <w:szCs w:val="21"/>
          <w:highlight w:val="none"/>
        </w:rPr>
        <w:t>Stroke</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45</w:t>
      </w:r>
      <w:r>
        <w:rPr>
          <w:rFonts w:hint="default" w:ascii="Times New Roman" w:hAnsi="Times New Roman" w:eastAsia="Times New Roman"/>
          <w:color w:val="auto"/>
          <w:sz w:val="21"/>
          <w:szCs w:val="21"/>
          <w:highlight w:val="none"/>
        </w:rPr>
        <w:t>, 24-36 (2014).</w:t>
      </w:r>
      <w:bookmarkEnd w:id="17"/>
    </w:p>
    <w:p w14:paraId="21BB4989">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19.</w:t>
      </w:r>
      <w:r>
        <w:rPr>
          <w:rFonts w:hint="default" w:ascii="Times New Roman" w:hAnsi="Times New Roman" w:eastAsia="Times New Roman"/>
          <w:color w:val="auto"/>
          <w:sz w:val="21"/>
          <w:szCs w:val="21"/>
          <w:highlight w:val="none"/>
        </w:rPr>
        <w:tab/>
      </w:r>
      <w:bookmarkStart w:id="18" w:name="_neb4C0393B5_BFDE_4E36_9A1F_24669028F97F"/>
      <w:r>
        <w:rPr>
          <w:rFonts w:hint="default" w:ascii="Times New Roman" w:hAnsi="Times New Roman" w:eastAsia="Times New Roman"/>
          <w:color w:val="auto"/>
          <w:sz w:val="21"/>
          <w:szCs w:val="21"/>
          <w:highlight w:val="none"/>
        </w:rPr>
        <w:t xml:space="preserve">Mishra, A. et al. Stroke genetics informs drug discovery and risk prediction across ancestries. </w:t>
      </w:r>
      <w:r>
        <w:rPr>
          <w:rFonts w:hint="default" w:ascii="Times New Roman" w:hAnsi="Times New Roman" w:eastAsia="Times New Roman"/>
          <w:i/>
          <w:color w:val="auto"/>
          <w:sz w:val="21"/>
          <w:szCs w:val="21"/>
          <w:highlight w:val="none"/>
        </w:rPr>
        <w:t>Nature</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611</w:t>
      </w:r>
      <w:r>
        <w:rPr>
          <w:rFonts w:hint="default" w:ascii="Times New Roman" w:hAnsi="Times New Roman" w:eastAsia="Times New Roman"/>
          <w:color w:val="auto"/>
          <w:sz w:val="21"/>
          <w:szCs w:val="21"/>
          <w:highlight w:val="none"/>
        </w:rPr>
        <w:t>, 115-123 (2022).</w:t>
      </w:r>
      <w:bookmarkEnd w:id="18"/>
    </w:p>
    <w:p w14:paraId="2DA78CB3">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20.</w:t>
      </w:r>
      <w:r>
        <w:rPr>
          <w:rFonts w:hint="default" w:ascii="Times New Roman" w:hAnsi="Times New Roman" w:eastAsia="Times New Roman"/>
          <w:color w:val="auto"/>
          <w:sz w:val="21"/>
          <w:szCs w:val="21"/>
          <w:highlight w:val="none"/>
        </w:rPr>
        <w:tab/>
      </w:r>
      <w:bookmarkStart w:id="19" w:name="_neb710E7CB1_4453_4C2F_8AEE_AF6C7512BF7C"/>
      <w:r>
        <w:rPr>
          <w:rFonts w:hint="default" w:ascii="Times New Roman" w:hAnsi="Times New Roman" w:eastAsia="Times New Roman"/>
          <w:color w:val="auto"/>
          <w:sz w:val="21"/>
          <w:szCs w:val="21"/>
          <w:highlight w:val="none"/>
        </w:rPr>
        <w:t>Ruff, C. T. et al. Comparison of the efficacy and safety of new oral anticoagulants with warfarin in</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patients with atrial fibrillation: a meta-analysis of randomised trials. </w:t>
      </w:r>
      <w:r>
        <w:rPr>
          <w:rFonts w:hint="default" w:ascii="Times New Roman" w:hAnsi="Times New Roman" w:eastAsia="Times New Roman"/>
          <w:i/>
          <w:color w:val="auto"/>
          <w:sz w:val="21"/>
          <w:szCs w:val="21"/>
          <w:highlight w:val="none"/>
        </w:rPr>
        <w:t>Lancet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383</w:t>
      </w:r>
      <w:r>
        <w:rPr>
          <w:rFonts w:hint="default" w:ascii="Times New Roman" w:hAnsi="Times New Roman" w:eastAsia="Times New Roman"/>
          <w:color w:val="auto"/>
          <w:sz w:val="21"/>
          <w:szCs w:val="21"/>
          <w:highlight w:val="none"/>
        </w:rPr>
        <w:t>, 955-962 (2014).</w:t>
      </w:r>
      <w:bookmarkEnd w:id="19"/>
    </w:p>
    <w:p w14:paraId="12705D4E">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21.</w:t>
      </w:r>
      <w:r>
        <w:rPr>
          <w:rFonts w:hint="default" w:ascii="Times New Roman" w:hAnsi="Times New Roman" w:eastAsia="Times New Roman"/>
          <w:color w:val="auto"/>
          <w:sz w:val="21"/>
          <w:szCs w:val="21"/>
          <w:highlight w:val="none"/>
        </w:rPr>
        <w:tab/>
      </w:r>
      <w:bookmarkStart w:id="20" w:name="_neb5BE2FA27_77F8_4A5E_B3B4_8446C3DB1B1D"/>
      <w:r>
        <w:rPr>
          <w:rFonts w:hint="default" w:ascii="Times New Roman" w:hAnsi="Times New Roman" w:eastAsia="Times New Roman"/>
          <w:color w:val="auto"/>
          <w:sz w:val="21"/>
          <w:szCs w:val="21"/>
          <w:highlight w:val="none"/>
        </w:rPr>
        <w:t xml:space="preserve">Natarajan, P. &amp; Kathiresan, S. PCSK9 Inhibitors. </w:t>
      </w:r>
      <w:r>
        <w:rPr>
          <w:rFonts w:hint="default" w:ascii="Times New Roman" w:hAnsi="Times New Roman" w:eastAsia="Times New Roman"/>
          <w:i/>
          <w:color w:val="auto"/>
          <w:sz w:val="21"/>
          <w:szCs w:val="21"/>
          <w:highlight w:val="none"/>
        </w:rPr>
        <w:t>Cell</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165</w:t>
      </w:r>
      <w:r>
        <w:rPr>
          <w:rFonts w:hint="default" w:ascii="Times New Roman" w:hAnsi="Times New Roman" w:eastAsia="Times New Roman"/>
          <w:color w:val="auto"/>
          <w:sz w:val="21"/>
          <w:szCs w:val="21"/>
          <w:highlight w:val="none"/>
        </w:rPr>
        <w:t>, 1037 (2016).</w:t>
      </w:r>
      <w:bookmarkEnd w:id="20"/>
    </w:p>
    <w:p w14:paraId="7CE48808">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22.</w:t>
      </w:r>
      <w:r>
        <w:rPr>
          <w:rFonts w:hint="default" w:ascii="Times New Roman" w:hAnsi="Times New Roman" w:eastAsia="Times New Roman"/>
          <w:color w:val="auto"/>
          <w:sz w:val="21"/>
          <w:szCs w:val="21"/>
          <w:highlight w:val="none"/>
        </w:rPr>
        <w:tab/>
      </w:r>
      <w:bookmarkStart w:id="21" w:name="_neb39AB2E7D_38EA_49FC_8854_258B9F5B796B"/>
      <w:r>
        <w:rPr>
          <w:rFonts w:hint="default" w:ascii="Times New Roman" w:hAnsi="Times New Roman" w:eastAsia="Times New Roman"/>
          <w:color w:val="auto"/>
          <w:sz w:val="21"/>
          <w:szCs w:val="21"/>
          <w:highlight w:val="none"/>
        </w:rPr>
        <w:t xml:space="preserve">Zarrin, A. A., Bao, K., Lupardus, P. &amp; Vucic, D. Kinase inhibition in autoimmunity and inflammation. </w:t>
      </w:r>
      <w:r>
        <w:rPr>
          <w:rFonts w:hint="default" w:ascii="Times New Roman" w:hAnsi="Times New Roman" w:eastAsia="Times New Roman"/>
          <w:i/>
          <w:color w:val="auto"/>
          <w:sz w:val="21"/>
          <w:szCs w:val="21"/>
          <w:highlight w:val="none"/>
        </w:rPr>
        <w:t>Nat. Rev. Drug Discov.</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20</w:t>
      </w:r>
      <w:r>
        <w:rPr>
          <w:rFonts w:hint="default" w:ascii="Times New Roman" w:hAnsi="Times New Roman" w:eastAsia="Times New Roman"/>
          <w:color w:val="auto"/>
          <w:sz w:val="21"/>
          <w:szCs w:val="21"/>
          <w:highlight w:val="none"/>
        </w:rPr>
        <w:t>, 39-63 (2021).</w:t>
      </w:r>
      <w:bookmarkEnd w:id="21"/>
    </w:p>
    <w:p w14:paraId="63919D3E">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23.</w:t>
      </w:r>
      <w:r>
        <w:rPr>
          <w:rFonts w:hint="default" w:ascii="Times New Roman" w:hAnsi="Times New Roman" w:eastAsia="Times New Roman"/>
          <w:color w:val="auto"/>
          <w:sz w:val="21"/>
          <w:szCs w:val="21"/>
          <w:highlight w:val="none"/>
        </w:rPr>
        <w:tab/>
      </w:r>
      <w:bookmarkStart w:id="22" w:name="_nebF1D221CB_D2F6_470E_A94F_FEC937C427D2"/>
      <w:r>
        <w:rPr>
          <w:rFonts w:hint="default" w:ascii="Times New Roman" w:hAnsi="Times New Roman" w:eastAsia="Times New Roman"/>
          <w:color w:val="auto"/>
          <w:sz w:val="21"/>
          <w:szCs w:val="21"/>
          <w:highlight w:val="none"/>
        </w:rPr>
        <w:t>Croft, M. &amp; Siegel, R. M. Beyond TNF: TNF superfamily cytokines as targets for the treatment of rheumatic</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diseases. </w:t>
      </w:r>
      <w:r>
        <w:rPr>
          <w:rFonts w:hint="default" w:ascii="Times New Roman" w:hAnsi="Times New Roman" w:eastAsia="Times New Roman"/>
          <w:i/>
          <w:color w:val="auto"/>
          <w:sz w:val="21"/>
          <w:szCs w:val="21"/>
          <w:highlight w:val="none"/>
        </w:rPr>
        <w:t>Nat. Rev. Rheumatol.</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13</w:t>
      </w:r>
      <w:r>
        <w:rPr>
          <w:rFonts w:hint="default" w:ascii="Times New Roman" w:hAnsi="Times New Roman" w:eastAsia="Times New Roman"/>
          <w:color w:val="auto"/>
          <w:sz w:val="21"/>
          <w:szCs w:val="21"/>
          <w:highlight w:val="none"/>
        </w:rPr>
        <w:t>, 217-233 (2017).</w:t>
      </w:r>
      <w:bookmarkEnd w:id="22"/>
    </w:p>
    <w:p w14:paraId="614CEC28">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24.</w:t>
      </w:r>
      <w:r>
        <w:rPr>
          <w:rFonts w:hint="default" w:ascii="Times New Roman" w:hAnsi="Times New Roman" w:eastAsia="Times New Roman"/>
          <w:color w:val="auto"/>
          <w:sz w:val="21"/>
          <w:szCs w:val="21"/>
          <w:highlight w:val="none"/>
        </w:rPr>
        <w:tab/>
      </w:r>
      <w:bookmarkStart w:id="23" w:name="_neb4A62BE93_5A7E_48C3_9636_E53BD49F5CBF"/>
      <w:r>
        <w:rPr>
          <w:rFonts w:hint="default" w:ascii="Times New Roman" w:hAnsi="Times New Roman" w:eastAsia="Times New Roman"/>
          <w:color w:val="auto"/>
          <w:sz w:val="21"/>
          <w:szCs w:val="21"/>
          <w:highlight w:val="none"/>
        </w:rPr>
        <w:t>Schwartz, G. G. et al. Peripheral Artery Disease and Venous Thromboembolic Events After Acute Coronary</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Syndrome: Role of Lipoprotein(a) and Modification by Alirocumab: Prespecified</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Analysis of the ODYSSEY OUTCOMES Randomized Clinical Trial. </w:t>
      </w:r>
      <w:r>
        <w:rPr>
          <w:rFonts w:hint="default" w:ascii="Times New Roman" w:hAnsi="Times New Roman" w:eastAsia="Times New Roman"/>
          <w:i/>
          <w:color w:val="auto"/>
          <w:sz w:val="21"/>
          <w:szCs w:val="21"/>
          <w:highlight w:val="none"/>
        </w:rPr>
        <w:t>Circulation</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141</w:t>
      </w:r>
      <w:r>
        <w:rPr>
          <w:rFonts w:hint="default" w:ascii="Times New Roman" w:hAnsi="Times New Roman" w:eastAsia="Times New Roman"/>
          <w:color w:val="auto"/>
          <w:sz w:val="21"/>
          <w:szCs w:val="21"/>
          <w:highlight w:val="none"/>
        </w:rPr>
        <w:t>, 1608-1617 (2020).</w:t>
      </w:r>
      <w:bookmarkEnd w:id="23"/>
    </w:p>
    <w:p w14:paraId="584EF871">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25.</w:t>
      </w:r>
      <w:r>
        <w:rPr>
          <w:rFonts w:hint="default" w:ascii="Times New Roman" w:hAnsi="Times New Roman" w:eastAsia="Times New Roman"/>
          <w:color w:val="auto"/>
          <w:sz w:val="21"/>
          <w:szCs w:val="21"/>
          <w:highlight w:val="none"/>
        </w:rPr>
        <w:tab/>
      </w:r>
      <w:bookmarkStart w:id="24" w:name="_nebEF54D9EE_CA00_47B5_9490_902F9628D2BD"/>
      <w:r>
        <w:rPr>
          <w:rFonts w:hint="default" w:ascii="Times New Roman" w:hAnsi="Times New Roman" w:eastAsia="Times New Roman"/>
          <w:color w:val="auto"/>
          <w:sz w:val="21"/>
          <w:szCs w:val="21"/>
          <w:highlight w:val="none"/>
        </w:rPr>
        <w:t>Bikdeli, B. et al. Efficacy and Safety Considerations With Dose-Reduced Direct Oral Anticoagulants:</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A Review. </w:t>
      </w:r>
      <w:r>
        <w:rPr>
          <w:rFonts w:hint="default" w:ascii="Times New Roman" w:hAnsi="Times New Roman" w:eastAsia="Times New Roman"/>
          <w:i/>
          <w:color w:val="auto"/>
          <w:sz w:val="21"/>
          <w:szCs w:val="21"/>
          <w:highlight w:val="none"/>
        </w:rPr>
        <w:t>Jama Cardiol.</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7</w:t>
      </w:r>
      <w:r>
        <w:rPr>
          <w:rFonts w:hint="default" w:ascii="Times New Roman" w:hAnsi="Times New Roman" w:eastAsia="Times New Roman"/>
          <w:color w:val="auto"/>
          <w:sz w:val="21"/>
          <w:szCs w:val="21"/>
          <w:highlight w:val="none"/>
        </w:rPr>
        <w:t>, 747-759 (2022).</w:t>
      </w:r>
      <w:bookmarkEnd w:id="24"/>
    </w:p>
    <w:p w14:paraId="4BF8E24A">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26.</w:t>
      </w:r>
      <w:r>
        <w:rPr>
          <w:rFonts w:hint="default" w:ascii="Times New Roman" w:hAnsi="Times New Roman" w:eastAsia="Times New Roman"/>
          <w:color w:val="auto"/>
          <w:sz w:val="21"/>
          <w:szCs w:val="21"/>
          <w:highlight w:val="none"/>
        </w:rPr>
        <w:tab/>
      </w:r>
      <w:bookmarkStart w:id="25" w:name="_neb85BB13F9_08C1_4B82_A244_9B6E057B4A35"/>
      <w:r>
        <w:rPr>
          <w:rFonts w:hint="default" w:ascii="Times New Roman" w:hAnsi="Times New Roman" w:eastAsia="Times New Roman"/>
          <w:color w:val="auto"/>
          <w:sz w:val="21"/>
          <w:szCs w:val="21"/>
          <w:highlight w:val="none"/>
        </w:rPr>
        <w:t xml:space="preserve">Ferkingstad, E. et al. Large-scale integration of the plasma proteome with genetics and disease.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53</w:t>
      </w:r>
      <w:r>
        <w:rPr>
          <w:rFonts w:hint="default" w:ascii="Times New Roman" w:hAnsi="Times New Roman" w:eastAsia="Times New Roman"/>
          <w:color w:val="auto"/>
          <w:sz w:val="21"/>
          <w:szCs w:val="21"/>
          <w:highlight w:val="none"/>
        </w:rPr>
        <w:t>, 1712-1721 (2021).</w:t>
      </w:r>
      <w:bookmarkEnd w:id="25"/>
    </w:p>
    <w:p w14:paraId="10F8F3CA">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27.</w:t>
      </w:r>
      <w:r>
        <w:rPr>
          <w:rFonts w:hint="default" w:ascii="Times New Roman" w:hAnsi="Times New Roman" w:eastAsia="Times New Roman"/>
          <w:color w:val="auto"/>
          <w:sz w:val="21"/>
          <w:szCs w:val="21"/>
          <w:highlight w:val="none"/>
        </w:rPr>
        <w:tab/>
      </w:r>
      <w:bookmarkStart w:id="26" w:name="_neb376A04A9_1632_426C_BEC6_8C0E88560853"/>
      <w:r>
        <w:rPr>
          <w:rFonts w:hint="default" w:ascii="Times New Roman" w:hAnsi="Times New Roman" w:eastAsia="Times New Roman"/>
          <w:color w:val="auto"/>
          <w:sz w:val="21"/>
          <w:szCs w:val="21"/>
          <w:highlight w:val="none"/>
        </w:rPr>
        <w:t xml:space="preserve">Sun, B. B. et al. Plasma proteomic associations with genetics and health in the UK Biobank. </w:t>
      </w:r>
      <w:r>
        <w:rPr>
          <w:rFonts w:hint="default" w:ascii="Times New Roman" w:hAnsi="Times New Roman" w:eastAsia="Times New Roman"/>
          <w:i/>
          <w:color w:val="auto"/>
          <w:sz w:val="21"/>
          <w:szCs w:val="21"/>
          <w:highlight w:val="none"/>
        </w:rPr>
        <w:t>Nature</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622</w:t>
      </w:r>
      <w:r>
        <w:rPr>
          <w:rFonts w:hint="default" w:ascii="Times New Roman" w:hAnsi="Times New Roman" w:eastAsia="Times New Roman"/>
          <w:color w:val="auto"/>
          <w:sz w:val="21"/>
          <w:szCs w:val="21"/>
          <w:highlight w:val="none"/>
        </w:rPr>
        <w:t>, 329-338 (2023).</w:t>
      </w:r>
      <w:bookmarkEnd w:id="26"/>
    </w:p>
    <w:p w14:paraId="0B13F5CD">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28.</w:t>
      </w:r>
      <w:r>
        <w:rPr>
          <w:rFonts w:hint="default" w:ascii="Times New Roman" w:hAnsi="Times New Roman" w:eastAsia="Times New Roman"/>
          <w:color w:val="auto"/>
          <w:sz w:val="21"/>
          <w:szCs w:val="21"/>
          <w:highlight w:val="none"/>
        </w:rPr>
        <w:tab/>
      </w:r>
      <w:bookmarkStart w:id="27" w:name="_nebEBA4E271_9662_44F1_BC9C_C752C22CCB42"/>
      <w:r>
        <w:rPr>
          <w:rFonts w:hint="default" w:ascii="Times New Roman" w:hAnsi="Times New Roman" w:eastAsia="Times New Roman"/>
          <w:color w:val="auto"/>
          <w:sz w:val="21"/>
          <w:szCs w:val="21"/>
          <w:highlight w:val="none"/>
        </w:rPr>
        <w:t>Zhu, Z. et al. Integration of summary data from GWAS and eQTL studies predicts complex trait</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gene targets.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48</w:t>
      </w:r>
      <w:r>
        <w:rPr>
          <w:rFonts w:hint="default" w:ascii="Times New Roman" w:hAnsi="Times New Roman" w:eastAsia="Times New Roman"/>
          <w:color w:val="auto"/>
          <w:sz w:val="21"/>
          <w:szCs w:val="21"/>
          <w:highlight w:val="none"/>
        </w:rPr>
        <w:t>, 481-487 (2016).</w:t>
      </w:r>
      <w:bookmarkEnd w:id="27"/>
    </w:p>
    <w:p w14:paraId="2E031372">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29.</w:t>
      </w:r>
      <w:r>
        <w:rPr>
          <w:rFonts w:hint="default" w:ascii="Times New Roman" w:hAnsi="Times New Roman" w:eastAsia="Times New Roman"/>
          <w:color w:val="auto"/>
          <w:sz w:val="21"/>
          <w:szCs w:val="21"/>
          <w:highlight w:val="none"/>
        </w:rPr>
        <w:tab/>
      </w:r>
      <w:bookmarkStart w:id="28" w:name="_neb1B322231_7215_4BF8_AE32_FFA7DAA9C972"/>
      <w:r>
        <w:rPr>
          <w:rFonts w:hint="default" w:ascii="Times New Roman" w:hAnsi="Times New Roman" w:eastAsia="Times New Roman"/>
          <w:color w:val="auto"/>
          <w:sz w:val="21"/>
          <w:szCs w:val="21"/>
          <w:highlight w:val="none"/>
        </w:rPr>
        <w:t>Wu, Y. et al. Integrative analysis of omics summary data reveals putative mechanisms underlying</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complex traits. </w:t>
      </w:r>
      <w:r>
        <w:rPr>
          <w:rFonts w:hint="default" w:ascii="Times New Roman" w:hAnsi="Times New Roman" w:eastAsia="Times New Roman"/>
          <w:i/>
          <w:color w:val="auto"/>
          <w:sz w:val="21"/>
          <w:szCs w:val="21"/>
          <w:highlight w:val="none"/>
        </w:rPr>
        <w:t>Nat. Commun.</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9</w:t>
      </w:r>
      <w:r>
        <w:rPr>
          <w:rFonts w:hint="default" w:ascii="Times New Roman" w:hAnsi="Times New Roman" w:eastAsia="Times New Roman"/>
          <w:color w:val="auto"/>
          <w:sz w:val="21"/>
          <w:szCs w:val="21"/>
          <w:highlight w:val="none"/>
        </w:rPr>
        <w:t>, 918 (2018).</w:t>
      </w:r>
      <w:bookmarkEnd w:id="28"/>
    </w:p>
    <w:p w14:paraId="2759650E">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30.</w:t>
      </w:r>
      <w:r>
        <w:rPr>
          <w:rFonts w:hint="default" w:ascii="Times New Roman" w:hAnsi="Times New Roman" w:eastAsia="Times New Roman"/>
          <w:color w:val="auto"/>
          <w:sz w:val="21"/>
          <w:szCs w:val="21"/>
          <w:highlight w:val="none"/>
        </w:rPr>
        <w:tab/>
      </w:r>
      <w:bookmarkStart w:id="29" w:name="_nebE3ADED80_D8CE_49EE_8E4C_FB41F27BDE5E"/>
      <w:r>
        <w:rPr>
          <w:rFonts w:hint="default" w:ascii="Times New Roman" w:hAnsi="Times New Roman" w:eastAsia="Times New Roman"/>
          <w:color w:val="auto"/>
          <w:sz w:val="21"/>
          <w:szCs w:val="21"/>
          <w:highlight w:val="none"/>
        </w:rPr>
        <w:t>Giambartolomei, C. et al. Bayesian test for colocalisation between pairs of genetic association studies</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using summary statistics. </w:t>
      </w:r>
      <w:r>
        <w:rPr>
          <w:rFonts w:hint="default" w:ascii="Times New Roman" w:hAnsi="Times New Roman" w:eastAsia="Times New Roman"/>
          <w:i/>
          <w:color w:val="auto"/>
          <w:sz w:val="21"/>
          <w:szCs w:val="21"/>
          <w:highlight w:val="none"/>
        </w:rPr>
        <w:t>Plos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10</w:t>
      </w:r>
      <w:r>
        <w:rPr>
          <w:rFonts w:hint="default" w:ascii="Times New Roman" w:hAnsi="Times New Roman" w:eastAsia="Times New Roman"/>
          <w:color w:val="auto"/>
          <w:sz w:val="21"/>
          <w:szCs w:val="21"/>
          <w:highlight w:val="none"/>
        </w:rPr>
        <w:t>, e1004383 (2014).</w:t>
      </w:r>
      <w:bookmarkEnd w:id="29"/>
    </w:p>
    <w:p w14:paraId="4E5501BF">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31.</w:t>
      </w:r>
      <w:r>
        <w:rPr>
          <w:rFonts w:hint="default" w:ascii="Times New Roman" w:hAnsi="Times New Roman" w:eastAsia="Times New Roman"/>
          <w:color w:val="auto"/>
          <w:sz w:val="21"/>
          <w:szCs w:val="21"/>
          <w:highlight w:val="none"/>
        </w:rPr>
        <w:tab/>
      </w:r>
      <w:bookmarkStart w:id="30" w:name="_neb8B3A7481_34F3_4CEF_B16F_1E898172B730"/>
      <w:r>
        <w:rPr>
          <w:rFonts w:hint="default" w:ascii="Times New Roman" w:hAnsi="Times New Roman" w:eastAsia="Times New Roman"/>
          <w:color w:val="auto"/>
          <w:sz w:val="21"/>
          <w:szCs w:val="21"/>
          <w:highlight w:val="none"/>
        </w:rPr>
        <w:t>Finan, C. et al. The druggable genome and support for target identification and validation in drug</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development. </w:t>
      </w:r>
      <w:r>
        <w:rPr>
          <w:rFonts w:hint="default" w:ascii="Times New Roman" w:hAnsi="Times New Roman" w:eastAsia="Times New Roman"/>
          <w:i/>
          <w:color w:val="auto"/>
          <w:sz w:val="21"/>
          <w:szCs w:val="21"/>
          <w:highlight w:val="none"/>
        </w:rPr>
        <w:t>Sci. Transl.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9</w:t>
      </w:r>
      <w:r>
        <w:rPr>
          <w:rFonts w:hint="default" w:ascii="Times New Roman" w:hAnsi="Times New Roman" w:eastAsia="Times New Roman"/>
          <w:color w:val="auto"/>
          <w:sz w:val="21"/>
          <w:szCs w:val="21"/>
          <w:highlight w:val="none"/>
        </w:rPr>
        <w:t>, (2017).</w:t>
      </w:r>
      <w:bookmarkEnd w:id="30"/>
    </w:p>
    <w:p w14:paraId="25D9F922">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32.</w:t>
      </w:r>
      <w:r>
        <w:rPr>
          <w:rFonts w:hint="default" w:ascii="Times New Roman" w:hAnsi="Times New Roman" w:eastAsia="Times New Roman"/>
          <w:color w:val="auto"/>
          <w:sz w:val="21"/>
          <w:szCs w:val="21"/>
          <w:highlight w:val="none"/>
        </w:rPr>
        <w:tab/>
      </w:r>
      <w:bookmarkStart w:id="31" w:name="_nebFF9B1B45_4831_483C_A94C_434081B3401C"/>
      <w:r>
        <w:rPr>
          <w:rFonts w:hint="default" w:ascii="Times New Roman" w:hAnsi="Times New Roman" w:eastAsia="Times New Roman"/>
          <w:color w:val="auto"/>
          <w:sz w:val="21"/>
          <w:szCs w:val="21"/>
          <w:highlight w:val="none"/>
        </w:rPr>
        <w:t>Ishigaki, K. et al. Large-scale genome-wide association study in a Japanese population identifies</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novel susceptibility loci across different diseases.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52</w:t>
      </w:r>
      <w:r>
        <w:rPr>
          <w:rFonts w:hint="default" w:ascii="Times New Roman" w:hAnsi="Times New Roman" w:eastAsia="Times New Roman"/>
          <w:color w:val="auto"/>
          <w:sz w:val="21"/>
          <w:szCs w:val="21"/>
          <w:highlight w:val="none"/>
        </w:rPr>
        <w:t>, 669-679 (2020).</w:t>
      </w:r>
      <w:bookmarkEnd w:id="31"/>
    </w:p>
    <w:p w14:paraId="3A721C71">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33.</w:t>
      </w:r>
      <w:r>
        <w:rPr>
          <w:rFonts w:hint="default" w:ascii="Times New Roman" w:hAnsi="Times New Roman" w:eastAsia="Times New Roman"/>
          <w:color w:val="auto"/>
          <w:sz w:val="21"/>
          <w:szCs w:val="21"/>
          <w:highlight w:val="none"/>
        </w:rPr>
        <w:tab/>
      </w:r>
      <w:bookmarkStart w:id="32" w:name="_neb716349DD_2D1A_4AB9_8C63_9C3DA2ADAFB6"/>
      <w:r>
        <w:rPr>
          <w:rFonts w:hint="default" w:ascii="Times New Roman" w:hAnsi="Times New Roman" w:eastAsia="Times New Roman"/>
          <w:color w:val="auto"/>
          <w:sz w:val="21"/>
          <w:szCs w:val="21"/>
          <w:highlight w:val="none"/>
        </w:rPr>
        <w:t>Zhang, Z. et al. Genome-wide association analyses identified novel susceptibility loci for</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pulmonary embolism among Han Chinese population. </w:t>
      </w:r>
      <w:r>
        <w:rPr>
          <w:rFonts w:hint="default" w:ascii="Times New Roman" w:hAnsi="Times New Roman" w:eastAsia="Times New Roman"/>
          <w:i/>
          <w:color w:val="auto"/>
          <w:sz w:val="21"/>
          <w:szCs w:val="21"/>
          <w:highlight w:val="none"/>
        </w:rPr>
        <w:t>Bmc Med.</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21</w:t>
      </w:r>
      <w:r>
        <w:rPr>
          <w:rFonts w:hint="default" w:ascii="Times New Roman" w:hAnsi="Times New Roman" w:eastAsia="Times New Roman"/>
          <w:color w:val="auto"/>
          <w:sz w:val="21"/>
          <w:szCs w:val="21"/>
          <w:highlight w:val="none"/>
        </w:rPr>
        <w:t>, 153 (2023).</w:t>
      </w:r>
      <w:bookmarkEnd w:id="32"/>
    </w:p>
    <w:p w14:paraId="78F4073F">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34.</w:t>
      </w:r>
      <w:r>
        <w:rPr>
          <w:rFonts w:hint="default" w:ascii="Times New Roman" w:hAnsi="Times New Roman" w:eastAsia="Times New Roman"/>
          <w:color w:val="auto"/>
          <w:sz w:val="21"/>
          <w:szCs w:val="21"/>
          <w:highlight w:val="none"/>
        </w:rPr>
        <w:tab/>
      </w:r>
      <w:bookmarkStart w:id="33" w:name="_nebC36C72F6_A32B_4EE9_9C9B_B15B5D9D0120"/>
      <w:r>
        <w:rPr>
          <w:rFonts w:hint="default" w:ascii="Times New Roman" w:hAnsi="Times New Roman" w:eastAsia="Times New Roman"/>
          <w:color w:val="auto"/>
          <w:sz w:val="21"/>
          <w:szCs w:val="21"/>
          <w:highlight w:val="none"/>
        </w:rPr>
        <w:t>Akiyama, M. et al. Genome-wide association study identifies 112 new loci for body mass index in the</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Japanese population.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49</w:t>
      </w:r>
      <w:r>
        <w:rPr>
          <w:rFonts w:hint="default" w:ascii="Times New Roman" w:hAnsi="Times New Roman" w:eastAsia="Times New Roman"/>
          <w:color w:val="auto"/>
          <w:sz w:val="21"/>
          <w:szCs w:val="21"/>
          <w:highlight w:val="none"/>
        </w:rPr>
        <w:t>, 1458-1467 (2017).</w:t>
      </w:r>
      <w:bookmarkEnd w:id="33"/>
    </w:p>
    <w:p w14:paraId="4B783D45">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35.</w:t>
      </w:r>
      <w:r>
        <w:rPr>
          <w:rFonts w:hint="default" w:ascii="Times New Roman" w:hAnsi="Times New Roman" w:eastAsia="Times New Roman"/>
          <w:color w:val="auto"/>
          <w:sz w:val="21"/>
          <w:szCs w:val="21"/>
          <w:highlight w:val="none"/>
        </w:rPr>
        <w:tab/>
      </w:r>
      <w:bookmarkStart w:id="34" w:name="_neb8E9A791F_F123_49A8_A645_DAB5ECBECAED"/>
      <w:r>
        <w:rPr>
          <w:rFonts w:hint="default" w:ascii="Times New Roman" w:hAnsi="Times New Roman" w:eastAsia="Times New Roman"/>
          <w:color w:val="auto"/>
          <w:sz w:val="21"/>
          <w:szCs w:val="21"/>
          <w:highlight w:val="none"/>
        </w:rPr>
        <w:t>Wong, H. S. et al. Genome-wide association study identifies genetic risk loci for adiposity in a</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Taiwanese population. </w:t>
      </w:r>
      <w:r>
        <w:rPr>
          <w:rFonts w:hint="default" w:ascii="Times New Roman" w:hAnsi="Times New Roman" w:eastAsia="Times New Roman"/>
          <w:i/>
          <w:color w:val="auto"/>
          <w:sz w:val="21"/>
          <w:szCs w:val="21"/>
          <w:highlight w:val="none"/>
        </w:rPr>
        <w:t>Plos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18</w:t>
      </w:r>
      <w:r>
        <w:rPr>
          <w:rFonts w:hint="default" w:ascii="Times New Roman" w:hAnsi="Times New Roman" w:eastAsia="Times New Roman"/>
          <w:color w:val="auto"/>
          <w:sz w:val="21"/>
          <w:szCs w:val="21"/>
          <w:highlight w:val="none"/>
        </w:rPr>
        <w:t>, e1009952 (2022).</w:t>
      </w:r>
      <w:bookmarkEnd w:id="34"/>
    </w:p>
    <w:p w14:paraId="3BF9DEFD">
      <w:pPr>
        <w:spacing w:beforeLines="0" w:afterLines="0" w:line="288" w:lineRule="auto"/>
        <w:ind w:left="420" w:hanging="420"/>
        <w:rPr>
          <w:rFonts w:hint="default"/>
          <w:color w:val="auto"/>
          <w:sz w:val="21"/>
          <w:szCs w:val="21"/>
          <w:highlight w:val="none"/>
        </w:rPr>
      </w:pPr>
      <w:r>
        <w:rPr>
          <w:rFonts w:hint="default" w:ascii="Times New Roman" w:hAnsi="Times New Roman" w:eastAsia="Times New Roman"/>
          <w:color w:val="auto"/>
          <w:sz w:val="21"/>
          <w:szCs w:val="21"/>
          <w:highlight w:val="none"/>
        </w:rPr>
        <w:t>36.</w:t>
      </w:r>
      <w:r>
        <w:rPr>
          <w:rFonts w:hint="default" w:ascii="Times New Roman" w:hAnsi="Times New Roman" w:eastAsia="Times New Roman"/>
          <w:color w:val="auto"/>
          <w:sz w:val="21"/>
          <w:szCs w:val="21"/>
          <w:highlight w:val="none"/>
        </w:rPr>
        <w:tab/>
      </w:r>
      <w:bookmarkStart w:id="35" w:name="_neb47B2168D_C718_444F_8F2B_A850D01E9770"/>
      <w:r>
        <w:rPr>
          <w:rFonts w:hint="default" w:ascii="Times New Roman" w:hAnsi="Times New Roman" w:eastAsia="Times New Roman"/>
          <w:color w:val="auto"/>
          <w:sz w:val="21"/>
          <w:szCs w:val="21"/>
          <w:highlight w:val="none"/>
        </w:rPr>
        <w:t>Kanai, M. et al. Genetic analysis of quantitative traits in the Japanese population links cell</w:t>
      </w:r>
      <w:r>
        <w:rPr>
          <w:rFonts w:hint="default" w:ascii="Times New Roman" w:hAnsi="Times New Roman" w:eastAsia="Times New Roman"/>
          <w:color w:val="auto"/>
          <w:sz w:val="21"/>
          <w:szCs w:val="21"/>
          <w:highlight w:val="none"/>
          <w:lang w:val="en-US"/>
        </w:rPr>
        <w:t xml:space="preserve"> </w:t>
      </w:r>
      <w:r>
        <w:rPr>
          <w:rFonts w:hint="default" w:ascii="Times New Roman" w:hAnsi="Times New Roman" w:eastAsia="Times New Roman"/>
          <w:color w:val="auto"/>
          <w:sz w:val="21"/>
          <w:szCs w:val="21"/>
          <w:highlight w:val="none"/>
        </w:rPr>
        <w:t xml:space="preserve">types to complex human diseases. </w:t>
      </w:r>
      <w:r>
        <w:rPr>
          <w:rFonts w:hint="default" w:ascii="Times New Roman" w:hAnsi="Times New Roman" w:eastAsia="Times New Roman"/>
          <w:i/>
          <w:color w:val="auto"/>
          <w:sz w:val="21"/>
          <w:szCs w:val="21"/>
          <w:highlight w:val="none"/>
        </w:rPr>
        <w:t>Nat. Genet.</w:t>
      </w:r>
      <w:r>
        <w:rPr>
          <w:rFonts w:hint="default" w:ascii="Times New Roman" w:hAnsi="Times New Roman" w:eastAsia="Times New Roman"/>
          <w:color w:val="auto"/>
          <w:sz w:val="21"/>
          <w:szCs w:val="21"/>
          <w:highlight w:val="none"/>
        </w:rPr>
        <w:t xml:space="preserve"> </w:t>
      </w:r>
      <w:r>
        <w:rPr>
          <w:rFonts w:hint="default" w:ascii="Times New Roman" w:hAnsi="Times New Roman" w:eastAsia="Times New Roman"/>
          <w:b/>
          <w:color w:val="auto"/>
          <w:sz w:val="21"/>
          <w:szCs w:val="21"/>
          <w:highlight w:val="none"/>
        </w:rPr>
        <w:t>50</w:t>
      </w:r>
      <w:r>
        <w:rPr>
          <w:rFonts w:hint="default" w:ascii="Times New Roman" w:hAnsi="Times New Roman" w:eastAsia="Times New Roman"/>
          <w:color w:val="auto"/>
          <w:sz w:val="21"/>
          <w:szCs w:val="21"/>
          <w:highlight w:val="none"/>
        </w:rPr>
        <w:t>, 390-400 (2018).</w:t>
      </w:r>
      <w:bookmarkEnd w:id="35"/>
    </w:p>
    <w:p w14:paraId="4E0CAADE">
      <w:pPr>
        <w:spacing w:line="360" w:lineRule="auto"/>
        <w:rPr>
          <w:color w:val="auto"/>
          <w:highlight w:val="none"/>
        </w:rPr>
      </w:pPr>
      <w:r>
        <w:rPr>
          <w:color w:val="auto"/>
          <w:sz w:val="21"/>
          <w:szCs w:val="21"/>
          <w:highlight w:val="none"/>
        </w:rPr>
        <w:fldChar w:fldCharType="end"/>
      </w: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Arial Bold">
    <w:panose1 w:val="020B06040202020902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Arial Regular">
    <w:panose1 w:val="020B0604020202090204"/>
    <w:charset w:val="00"/>
    <w:family w:val="auto"/>
    <w:pitch w:val="default"/>
    <w:sig w:usb0="E0000AFF" w:usb1="00007843" w:usb2="00000001" w:usb3="00000000" w:csb0="400001BF" w:csb1="DFF70000"/>
  </w:font>
  <w:font w:name="Times New Roman Bold Italic">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Arial Unicode MS">
    <w:panose1 w:val="020B0604020202020204"/>
    <w:charset w:val="86"/>
    <w:family w:val="auto"/>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4496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110BC">
                          <w:pPr>
                            <w:pStyle w:val="3"/>
                            <w:rPr>
                              <w:rFonts w:hint="eastAsia" w:ascii="Arial Regular" w:hAnsi="Arial Regular" w:cs="Arial Regular"/>
                            </w:rPr>
                          </w:pPr>
                          <w:r>
                            <w:rPr>
                              <w:rFonts w:ascii="Arial Regular" w:hAnsi="Arial Regular" w:cs="Arial Regular"/>
                            </w:rPr>
                            <w:fldChar w:fldCharType="begin"/>
                          </w:r>
                          <w:r>
                            <w:rPr>
                              <w:rFonts w:ascii="Arial Regular" w:hAnsi="Arial Regular" w:cs="Arial Regular"/>
                            </w:rPr>
                            <w:instrText xml:space="preserve"> PAGE  \* MERGEFORMAT </w:instrText>
                          </w:r>
                          <w:r>
                            <w:rPr>
                              <w:rFonts w:ascii="Arial Regular" w:hAnsi="Arial Regular" w:cs="Arial Regular"/>
                            </w:rPr>
                            <w:fldChar w:fldCharType="separate"/>
                          </w:r>
                          <w:r>
                            <w:rPr>
                              <w:rFonts w:ascii="Arial Regular" w:hAnsi="Arial Regular" w:cs="Arial Regular"/>
                            </w:rPr>
                            <w:t>1</w:t>
                          </w:r>
                          <w:r>
                            <w:rPr>
                              <w:rFonts w:ascii="Arial Regular" w:hAnsi="Arial Regular" w:cs="Arial Regula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7EE110BC">
                    <w:pPr>
                      <w:pStyle w:val="3"/>
                      <w:rPr>
                        <w:rFonts w:hint="eastAsia" w:ascii="Arial Regular" w:hAnsi="Arial Regular" w:cs="Arial Regular"/>
                      </w:rPr>
                    </w:pPr>
                    <w:r>
                      <w:rPr>
                        <w:rFonts w:ascii="Arial Regular" w:hAnsi="Arial Regular" w:cs="Arial Regular"/>
                      </w:rPr>
                      <w:fldChar w:fldCharType="begin"/>
                    </w:r>
                    <w:r>
                      <w:rPr>
                        <w:rFonts w:ascii="Arial Regular" w:hAnsi="Arial Regular" w:cs="Arial Regular"/>
                      </w:rPr>
                      <w:instrText xml:space="preserve"> PAGE  \* MERGEFORMAT </w:instrText>
                    </w:r>
                    <w:r>
                      <w:rPr>
                        <w:rFonts w:ascii="Arial Regular" w:hAnsi="Arial Regular" w:cs="Arial Regular"/>
                      </w:rPr>
                      <w:fldChar w:fldCharType="separate"/>
                    </w:r>
                    <w:r>
                      <w:rPr>
                        <w:rFonts w:ascii="Arial Regular" w:hAnsi="Arial Regular" w:cs="Arial Regular"/>
                      </w:rPr>
                      <w:t>1</w:t>
                    </w:r>
                    <w:r>
                      <w:rPr>
                        <w:rFonts w:ascii="Arial Regular" w:hAnsi="Arial Regular" w:cs="Arial Regular"/>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2ZDQxNDNjZjVjMDQ2NzE4ZTVjZGJkZmNiNWQxOWEifQ=="/>
    <w:docVar w:name="NE.Ref{00350D11-9BCA-437E-B020-329A29721054}" w:val=" ADDIN NE.Ref.{00350D11-9BCA-437E-B020-329A29721054}&lt;Citation&gt;&lt;Group&gt;&lt;References&gt;&lt;Item&gt;&lt;ID&gt;1205&lt;/ID&gt;&lt;UID&gt;{1B20110C-58B7-486D-B0C2-20621864BEE4}&lt;/UID&gt;&lt;Title&gt;Genome-Wide Association Study of Peripheral Artery Disease&lt;/Title&gt;&lt;Template&gt;Journal Article&lt;/Template&gt;&lt;Star&gt;0&lt;/Star&gt;&lt;Tag&gt;0&lt;/Tag&gt;&lt;Author&gt;van Zuydam, N R; Stiby, A; Abdalla, M; Austin, E; Dahlstrom, E H; McLachlan, S; Vlachopoulou, E; Ahlqvist, E; Di Liao, C; Sandholm, N; Forsblom, C; Mahajan, A; Robertson, N R; Rayner, N W; Lindholm, E; Sinisalo, J; Perola, M; Kallio, M; Weiss, E; Price, J; Paterson, A; Klein, B; Salomaa, V; Palmer, CNA; Groop, P H; Groop, L; McCarthy, M I; de Andrade, M; Morris, A P; Hopewell, J C; Colhoun, H M; Kullo, I J&lt;/Author&gt;&lt;Year&gt;2021&lt;/Year&gt;&lt;Details&gt;&lt;_accession_num&gt;34601942&lt;/_accession_num&gt;&lt;_author_adr&gt;Department of Immunology, Genetics and Pathology, Science for Life Laboratory,  Uppsala University, Sweden (N.R.v.Z.).; Wellcome Centre for Human Genetics, Nuffield Department of Medicine (N.R.v.Z.,  M.A., A.M., N.R.R., N.W.R., M.I.M., A.P.M.), University of Oxford, United  Kingdom.; Oxford Centre for Diabetes, Endocrinology and Metabolism, Radcliffe Department of  Medicine (N.R.v.Z., A.M., N.R.R., N.W.R., M.I.M.), University of Oxford, United  Kingdom.; Clinical Trial Service Unit and Epidemiological Studies Unit, Nuffield Department  of Population Health (A.S., J.C.H.), University of Oxford, United Kingdom.; Wellcome Centre for Human Genetics, Nuffield Department of Medicine (N.R.v.Z.,  M.A., A.M., N.R.R., N.W.R., M.I.M., A.P.M.), University of Oxford, United  Kingdom.; Department of Cardiovascular Medicine and the Gonda Vascular Center, Mayo Clinic,  Rochester, MN (E. Austin, M.d.A., I.J.K.).; Folkhalsan Institute of Genetics, Folkhalsan Research Center, Helsinki, Finland  (E.H.D., N.S., C.F., P.-H.G.).; Abdominal Center, Nephrology (E.H.D., N.S., C.F., P.-H.G.), University of  Helsinki, Finland.; Helsinki University Hospital, Research Program for Clinical and Molecular  Metabolism, Faculty of Medicine (E.H.D., N.S., C.F., P.-H.G.), University of  Helsinki, Finland.; Usher Institute of Population Health Sciences and Informatics, The University of  Edinburgh, United Kingdom (S.M., E.W., J.P.).; Department of Medicine, Helsinki University Central Hospital (E.V.), University  of Helsinki, Finland.; Genomics, Diabetes and Endocrinology, Lund University Diabetes Centre, Malmo,  Sweden (E. Ahlqvist, E.L., L.G.).; Dalla Lana School of Public Health, University of Toronto, ON, Canada (C.D.L.,  A.P.).; Genetics &amp;amp; Genome Biology, SickKids, Toronto, ON, Canada (C.D.L., A.P.).; Folkhalsan Institute of Genetics, Folkhalsan Research Center, Helsinki, Finland  (E.H.D., N.S., C.F., P.-H.G.).; Abdominal Center, Nephrology (E.H.D., N.S., C.F., P.-H.G.), University of  Helsinki, Finland.; Helsinki University Hospital, Research Program for Clinical and Molecular  Metabolism, Faculty of Medicine (E.H.D., N.S., C.F., P.-H.G.), University of  Helsinki, Finland.; Folkhalsan Institute of Genetics, Folkhalsan Research Center, Helsinki, Finland  (E.H.D., N.S., C.F., P.-H.G.).; Abdominal Center, Nephrology (E.H.D., N.S., C.F., P.-H.G.), University of  Helsinki, Finland.; Helsinki University Hospital, Research Program for Clinical and Molecular  Metabolism, Faculty of Medicine (E.H.D., N.S., C.F., P.-H.G.), University of  Helsinki, Finland.; Wellcome Centre for Human Genetics, Nuffield Department of Medicine (N.R.v.Z.,  M.A., A.M., N.R.R., N.W.R., M.I.M., A.P.M.), University of Oxford, United  Kingdom.; Oxford Centre for Diabetes, Endocrinology and Metabolism, Radcliffe Department of  Medicine (N.R.v.Z., A.M., N.R.R., N.W.R., M.I.M.), University of Oxford, United  Kingdom.; Now with Genentech, South San Francisco, CA (A.M., M.I.M.).; Wellcome Centre for Human Genetics, Nuffield Department of Medicine (N.R.v.Z.,  M.A., A.M., N.R.R., N.W.R., M.I.M., A.P.M.), University of Oxford, United  Kingdom.; Oxford Centre for Diabetes, Endocrinology and Metabolism, Radcliffe Department of  Medicine (N.R.v.Z., A.M., N.R.R., N.W.R., M.I.M.), University of Oxford, United  Kingdom.; Wellcome Centre for Human Genetics, Nuffield Department of Medicine (N.R.v.Z.,  M.A., A.M., N.R.R., N.W.R., M.I.M., A.P.M.), University of Oxford, United  Kingdom.; Oxford Centre for Diabetes, Endocrinology and Metabolism, Radcliffe Department of  Medicine (N.R.v.Z., A.M., N.R.R., N.W.R., M.I.M.), University of Oxford, United  Kingdom.; Department of Human Genetics, Wellcome Trust Sanger Institute, Hinxton,  Cambridgeshire, United Kingdom (N.W.R.).; Genomics, Diabetes and Endocrinology, Lund University Diabetes Centre, Malmo,  Sweden (E. Ahlqvist, E.L., L.G.).; Heart and Lung Center (J.S.), University of Helsinki, Finland.; Institute for Molecular Medicine Finland (FIMM) (M.P., L.G.), University of  Helsinki, Finland.; Finnish Institute for Health and Welfare, Helsinki, Finland (M.P., V.S.).; Vascular Surgery, Abdominal Center (M.K.), University of Helsinki, Finland.; Usher Institute of Population Health Sciences and Informatics, The University of  Edinburgh, United Kingdom (S.M., E.W., J.P.).; Usher Institute of Population Health Sciences and Informatics, The University of  Edinburgh, United Kingdom (S.M., E.W., J.P.).; Dalla Lana School of Public Health, University of Toronto, ON, Canada (C.D.L.,  A.P.).; Genetics &amp;amp; Genome Biology, SickKids, Toronto, ON, Canada (C.D.L., A.P.).; Ocular Epidemiology Research Group, University of Wisconsin-Madison (B.K.).; Finnish Institute for Health and Welfare, Helsinki, Finland (M.P., V.S.).; Pat Macpherson Centre for Pharmacogenetics and Pharmacogenomics, Ninewells  Hospital and Medical School, University of Dundee, United Kingdom (C.N.A.P.).; Folkhalsan Institute of Genetics, Folkhalsan Research Center, Helsinki, Finland  (E.H.D., N.S., C.F., P.-H.G.).; Abdominal Center, Nephrology (E.H.D., N.S., C.F., P.-H.G.), University of  Helsinki, Finland.; Helsinki University Hospital, Research Program for Clinical and Molecular  Metabolism, Faculty of Medicine (E.H.D., N.S., C.F., P.-H.G.), University of  Helsinki, Finland.; Department of Medicine, Central Clinical School, Monash University, Melbourne,  Victoria, Australia (P.-H.G.).; Institute for Molecular Medicine Finland (FIMM) (M.P., L.G.), University of  Helsinki, Finland.; Genomics, Diabetes and Endocrinology, Lund University Diabetes Centre, Malmo,  Sweden (E. Ahlqvist, E.L., L.G.).; Wellcome Centre for Human Genetics, Nuffield Department of Medicine (N.R.v.Z.,  M.A., A.M., N.R.R., N.W.R., M.I.M., A.P.M.), University of Oxford, United  Kingdom.; Oxford Centre for Diabetes, Endocrinology and Metabolism, Radcliffe Department of  Medicine (N.R.v.Z., A.M., N.R.R., N.W.R., M.I.M.), University of Oxford, United  Kingdom.; Oxford NIHR Biomedical Research Centre, Oxford University Hospitals Trust, United  Kingdom (M.I.M.).; Now with Genentech, South San Francisco, CA (A.M., M.I.M.).; Department of Cardiovascular Medicine and the Gonda Vascular Center, Mayo Clinic,  Rochester, MN (E. Austin, M.d.A., I.J.K.).; Wellcome Centre for Human Genetics, Nuffield Department of Medicine (N.R.v.Z.,  M.A., A.M., N.R.R., N.W.R., M.I.M., A.P.M.), University of Oxford, United  Kingdom.; Department of Biostatistics, University of Liverpool, United Kingdom (A.P.M.).; Centre for Genetics and Genomics Versus Arthritis, Centre for Musculoskeletal  Research, The University of Manchester, United Kingdom (A.P.M.).; Clinical Trial Service Unit and Epidemiological Studies Unit, Nuffield Department  of Population Health (A.S., J.C.H.), University of Oxford, United Kingdom.; Institute of Genetics and Molecular Medicine, University of Edinburgh, Western  General Hospital Campus, United Kingdom (H.M.C.).; Department of Cardiovascular Medicine and the Gonda Vascular Center, Mayo Clinic,  Rochester, MN (E. Austin, M.d.A., I.J.K.).&lt;/_author_adr&gt;&lt;_created&gt;65011497&lt;/_created&gt;&lt;_date&gt;2021-10-01&lt;/_date&gt;&lt;_date_display&gt;2021 Oct&lt;/_date_display&gt;&lt;_db_updated&gt;PubMed&lt;/_db_updated&gt;&lt;_doi&gt;10.1161/CIRCGEN.119.002862&lt;/_doi&gt;&lt;_impact_factor&gt;   6.054&lt;/_impact_factor&gt;&lt;_isbn&gt;2574-8300 (Electronic); 2574-8300 (Linking)&lt;/_isbn&gt;&lt;_issue&gt;5&lt;/_issue&gt;&lt;_journal&gt;Circ Genom Precis Med&lt;/_journal&gt;&lt;_keywords&gt;diabetes; genome-wide association study; peripheral vascular disease; smoking&lt;/_keywords&gt;&lt;_language&gt;eng&lt;/_language&gt;&lt;_modified&gt;65011497&lt;/_modified&gt;&lt;_pages&gt;e002862&lt;/_pages&gt;&lt;_subject_headings&gt;Female; *Genetic Predisposition to Disease; Genome-Wide Association Study; Humans; Male; Peripheral Arterial Disease/epidemiology/*genetics; *Polymorphism, Single Nucleotide&lt;/_subject_headings&gt;&lt;_tertiary_title&gt;Circulation. Genomic and precision medicine&lt;/_tertiary_title&gt;&lt;_type_work&gt;Journal Article; Research Support, N.I.H., Extramural; Research Support, Non-U.S. Gov&amp;apos;t&lt;/_type_work&gt;&lt;_url&gt;http://www.ncbi.nlm.nih.gov/entrez/query.fcgi?cmd=Retrieve&amp;amp;db=pubmed&amp;amp;dopt=Abstract&amp;amp;list_uids=34601942&amp;amp;query_hl=1&lt;/_url&gt;&lt;_volume&gt;14&lt;/_volume&gt;&lt;/Details&gt;&lt;Extra&gt;&lt;DBUID&gt;{F96A950B-833F-4880-A151-76DA2D6A2879}&lt;/DBUID&gt;&lt;/Extra&gt;&lt;/Item&gt;&lt;/References&gt;&lt;/Group&gt;&lt;/Citation&gt;_x000a_"/>
    <w:docVar w:name="NE.Ref{01906306-9392-4214-A2F7-C7F74D4D56B1}" w:val=" ADDIN NE.Ref.{01906306-9392-4214-A2F7-C7F74D4D56B1}&lt;Citation&gt;&lt;Group&gt;&lt;References&gt;&lt;Item&gt;&lt;ID&gt;1221&lt;/ID&gt;&lt;UID&gt;{57BC4B82-188F-4034-8D6C-64F552E0A16F}&lt;/UID&gt;&lt;Title&gt;PCSK9 Inhibitors&lt;/Title&gt;&lt;Template&gt;Journal Article&lt;/Template&gt;&lt;Star&gt;0&lt;/Star&gt;&lt;Tag&gt;0&lt;/Tag&gt;&lt;Author&gt;Natarajan, P; Kathiresan, S&lt;/Author&gt;&lt;Year&gt;2016&lt;/Year&gt;&lt;Details&gt;&lt;_accession_num&gt;27203103&lt;/_accession_num&gt;&lt;_author_adr&gt;Center for Human Genetic Research and Cardiovascular Research Center,  Massachusetts General Hospital, Boston, MA 02114, USA; Broad Institute of Harvard  and MIT, Cambridge, MA 02142, USA; Harvard Medical School, Boston, MA 02115, USA.; Center for Human Genetic Research and Cardiovascular Research Center,  Massachusetts General Hospital, Boston, MA 02114, USA; Broad Institute of Harvard  and MIT, Cambridge, MA 02142, USA; Harvard Medical School, Boston, MA 02115, USA.  Electronic address: skathiresan@partners.org.&lt;/_author_adr&gt;&lt;_date_display&gt;2016 May 19&lt;/_date_display&gt;&lt;_date&gt;2016-05-19&lt;/_date&gt;&lt;_doi&gt;10.1016/j.cell.2016.05.016&lt;/_doi&gt;&lt;_isbn&gt;1097-4172 (Electronic); 0092-8674 (Linking)&lt;/_isbn&gt;&lt;_issue&gt;5&lt;/_issue&gt;&lt;_journal&gt;Cell&lt;/_journal&gt;&lt;_language&gt;eng&lt;/_language&gt;&lt;_ori_publication&gt;Copyright (c) 2016 Elsevier Inc. All rights reserved.&lt;/_ori_publication&gt;&lt;_pages&gt;1037&lt;/_pages&gt;&lt;_subject_headings&gt;Antibodies, Monoclonal/*therapeutic use; Antibodies, Monoclonal, Humanized; Anticholesteremic Agents/*therapeutic use; Cholesterol, LDL/blood; Humans&lt;/_subject_headings&gt;&lt;_tertiary_title&gt;Cell&lt;/_tertiary_title&gt;&lt;_type_work&gt;Journal Article&lt;/_type_work&gt;&lt;_url&gt;http://www.ncbi.nlm.nih.gov/entrez/query.fcgi?cmd=Retrieve&amp;amp;db=pubmed&amp;amp;dopt=Abstract&amp;amp;list_uids=27203103&amp;amp;query_hl=1&lt;/_url&gt;&lt;_volume&gt;165&lt;/_volume&gt;&lt;_created&gt;65014281&lt;/_created&gt;&lt;_modified&gt;65014281&lt;/_modified&gt;&lt;_db_updated&gt;PubMed&lt;/_db_updated&gt;&lt;_impact_factor&gt;  41.584&lt;/_impact_factor&gt;&lt;_collection_scope&gt;SCI;SCIE&lt;/_collection_scope&gt;&lt;/Details&gt;&lt;Extra&gt;&lt;DBUID&gt;{F96A950B-833F-4880-A151-76DA2D6A2879}&lt;/DBUID&gt;&lt;/Extra&gt;&lt;/Item&gt;&lt;/References&gt;&lt;/Group&gt;&lt;/Citation&gt;_x000a_"/>
    <w:docVar w:name="NE.Ref{0A9C60A2-8A05-4A12-B841-22290DB8C78D}" w:val=" ADDIN NE.Ref.{0A9C60A2-8A05-4A12-B841-22290DB8C78D}&lt;Citation&gt;&lt;Group&gt;&lt;References&gt;&lt;Item&gt;&lt;ID&gt;1209&lt;/ID&gt;&lt;UID&gt;{B4D6D50C-9428-4E9D-9A6E-58CE2C251A4F}&lt;/UID&gt;&lt;Title&gt;Genome-wide analysis identifies novel susceptibility loci for myocardial  infarction&lt;/Title&gt;&lt;Template&gt;Journal Article&lt;/Template&gt;&lt;Star&gt;0&lt;/Star&gt;&lt;Tag&gt;0&lt;/Tag&gt;&lt;Author&gt;Hartiala, J A; Han, Y; Jia, Q; Hilser, J R; Huang, P; Gukasyan, J; Schwartzman, W S; Cai, Z; Biswas, S; Tregouet, D A; Smith, N L; Seldin, M; Pan, C; Mehrabian, M; Lusis, A J; Bazeley, P; Sun, Y V; Liu, C; Quyyumi, A A; Scholz, M; Thiery, J; Delgado, G E; Kleber, M E; Marz, W; Howe, L J; Asselbergs, F W; van Vugt, M; Vlachojannis, G J; Patel, R S; Lyytikainen, L P; Kahonen, M; Lehtimaki, T; Nieminen, TVM; Kuukasjarvi, P; Laurikka, J O; Chang, X; Heng, C K; Jiang, R; Kraus, W E; Hauser, E R; Ferguson, J F; Reilly, M P; Ito, K; Koyama, S; Kamatani, Y; Komuro, I; Stolze, L K; Romanoski, C E; Khan, M D; Turner, A W; Miller, C L; Aherrahrou, R; Civelek, M; Ma, L; Bjorkegren, JLM; Kumar, S R; Tang, WHW; Hazen, S L; Allayee, H&lt;/Author&gt;&lt;Year&gt;2021&lt;/Year&gt;&lt;Details&gt;&lt;_accession_num&gt;33532862&lt;/_accession_num&gt;&lt;_author_adr&gt;Department of Preventive Medicine, Keck School of Medicine, University of  Southern California, 2250 Alcazar Street, CSC202,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Institut National pour la Sante et la Recherche Medicale (INSERM) UMR_S 1219,  Bordeaux Population Health Research Center, University of Bordeaux, 33076  Bordeaux, France.; Department of Epidemiology, University of Washington, Seattle, WA 98101, USA.; Department of Veterans Affairs, Seattle Epidemiologic Research and Information  Center, Office of Research and Development, Seattle, WA 98108, USA.; Kaiser Permanente Washington Health Research Institute, Kaiser Permanente  Washington, Seattle, WA 98101, USA.; Department of Biological Chemistry and Center for Epigenetics and Metabolism, UC  Irvine School of Medicine, Irvine, CA 92697, USA.; Department of Human Genetics, David Geffen School of Medicine of UCLA, Los  Angeles, CA 90095, USA.; Department of Medicine, David Geffen School of Medicine of UCLA, Los Angeles, CA  90095, USA.; Department of Human Genetics, David Geffen School of Medicine of UCLA, Los  Angeles, CA 90095, USA.; Department of Medicine, David Geffen School of Medicine of UCLA, Los Angeles, CA  90095, USA.; Department of Microbiology, Immunology, &amp;amp; Molecular Genetics, David Geffen School  of Medicine of UCLA, Los Angeles, CA 90095, USA.; Center for Clinical Genomics, Cleveland Clinic, Cleveland, OH 44195, USA.; Department of Cardiovascular Medicine, Cleveland Clinic, Cleveland, OH 44195,  USA.; Department of Cardiovascular &amp;amp; Metabolic Sciences, Cleveland Clinic, Cleveland,  OH 44195, USA.; Department of Epidemiology, Emory University Rollins School of Public Health,  1518 Clifton Rd. NE, Atlanta, GA 30322, USA.; Department of Biomedical Informatics, Emory University School of Medicine,  Atlanta, GA 30322, USA.; Department of Epidemiology, Emory University Rollins School of Public Health,  1518 Clifton Rd. NE, Atlanta, GA 30322, USA.; Division of Cardiology, Department of Medicine, Emory Clinical Cardiovascular  Research Institute, Emory University School of Medicine, 1462 Clifton Rd NE,  Suite # 507, Atlanta, GA 30322, USA.; Division of Cardiology, Department of Medicine, Emory Clinical Cardiovascular  Research Institute, Emory University School of Medicine, 1462 Clifton Rd NE,  Suite # 507, Atlanta, GA 30322, USA.; Institute for Medical Informatics, Statistics and Epidemiology, University of  Leipzig, 04107 Leipzig, Germany.; LIFE Research Center for Civilization Diseases, University of Leipzig, 04103  Leipzig, Germany.; LIFE Research Center for Civilization Diseases, University of Leipzig, 04103  Leipzig, Germany.; Institute of Laboratory Medicine, Clinical Chemistry and Molecular Diagnostics,  University Hospital, 04103 Leipzig, Germany.; Vth Department of Medicine, Medical Faculty Mannheim, Heidelberg University,  Theodor-Kutzer-Ufer 1-3, 68167 Mannheim, Germany.; Vth Department of Medicine, Medical Faculty Mannheim, Heidelberg University,  Theodor-Kutzer-Ufer 1-3, 68167 Mannheim, Germany.; Vth Department of Medicine, Medical Faculty Mannheim, Heidelberg University,  Theodor-Kutzer-Ufer 1-3, 68167 Mannheim, Germany.; SYNLAB Academy, SYNLAB Holding Deutschland GmbH, 86156 Augsburg, Germany.; Clinical Institute of Medical and Chemical Laboratory Diagnostics, Medical  University of Graz, 8036 Graz, Austria.; Institute of Cardiovascular Science, Faculty of Population Health Sciences,  University College London, London WC1E 6HX, UK.; Institute of Cardiovascular Science, Faculty of Population Health Sciences,  University College London, London WC1E 6HX, UK.; Health Data Research UK and Institute of Health Informatics, University College  London, London NW1 2DA, UK.; Division Heart &amp;amp; Lungs, Department of Cardiology, University Medical Center  Utrecht, Utrecht University, 3584 CX Utrecht, the Netherlands.; Division Heart &amp;amp; Lungs, Department of Cardiology, University Medical Center  Utrecht, Utrecht University, 3584 CX Utrecht, the Netherlands.; Division Heart &amp;amp; Lungs, Department of Cardiology, University Medical Center  Utrecht, Utrecht University, 3584 CX Utrecht, the Netherlands.; Institute of Cardiovascular Science, Faculty of Population Health Sciences,  University College London, London WC1E 6HX, UK.; Bart&amp;apos;s Heart Centre, St Bartholomew&amp;apos;s Hospital, London EC1A 2DA, UK.; Department of Clinical Chemistry, Fimlab Laboratories, Tampere 33520, Finland.; Department of Clinical Chemistry, Finnish Cardiovascular Research Center-Tampere,  Faculty of Medicine and Health Technology, Tampere University, Tampere 33014,  Finland.; Department of Cardiology, Heart Center, Tampere University Hospital, Tampere  33521, Finland.; Department of Clinical Physiology, Tampere University Hospital, Tampere 33521,  Finland.; Department of Clinical Physiology, Finnish Cardiovascular Research  Center-Tampere, Faculty of Medicine and Health Technology, Tampere University,  Tampere 33014, Finland.; Department of Clinical Chemistry, Fimlab Laboratories, Tampere 33520, Finland.; Department of Clinical Chemistry, Finnish Cardiovascular Research Center-Tampere,  Faculty of Medicine and Health Technology, Tampere University, Tampere 33014,  Finland.; Department of Internal Medicine, Paijat-Hame Central Hospital, Lahti 15850,  Finland.; Department of Cardio-Thoracic Surgery, Finnish Cardiovascular Research  Center-Tampere, Faculty of Medicine and Health Technology, Tampere University,  Tampere 33014, Finland.; Department of Cardio-Thoracic Surgery, Finnish Cardiovascular Research  Center-Tampere, Faculty of Medicine and Health Technology, Tampere University,  Tampere 33014, Finland.; Department of Cardio-Thoracic Surgery, Heart Center, Tampere University Hospital,  Tampere 33521, Finland.; Department of Paediatrics, Yong Loo Lin School of Medicine, National University  of Singapore, Singapore 119228, Singapore.; Khoo Teck Puat-National University Children&amp;apos;s Medical Institute, National  University Health System, Singapore 119074, Singapore.; Department of Paediatrics, Yong Loo Lin School of Medicine, National University  of Singapore, Singapore 119228, Singapore.; Khoo Teck Puat-National University Children&amp;apos;s Medical Institute, National  University Health System, Singapore 119074, Singapore.; Department of Psychiatry &amp;amp; Behavioral Sciences, Duke University School of  Medicine Durham, NC 27710, USA.; Duke Molecular Physiology Institute, Duke University School of Medicine Durham,  NC 27710, USA.; Department of Medicine, Duke University School of Medicine Durham, NC 27710, USA.; Duke Molecular Physiology Institute, Duke University School of Medicine Durham,  NC 27710, USA.; Department of Biostatistics &amp;amp; Bioinformatics, Duke University School of Medicine  Durham, NC 27710, USA.; Department of Medicine, Vanderbilt University Medical Center, Nashville, TN  37232, USA.; Cardiometabolic Genomics Program, Division of Cardiology, Department of Medicine,  Columbia University Irving Medical Center, New York, NY 10032, USA.; Irving Institute for Clinical and Translational Research, Columbia University,  New York, NY 10032, USA.; Laboratory for Cardiovascular Genomics and Informatics, RIKEN Center for  Integrative Medical Sciences, Kanagawa 230-0045, Japan.; Laboratory for Cardiovascular Genomics and Informatics, RIKEN Center for  Integrative Medical Sciences, Kanagawa 230-0045, Japan.; Laboratory for Statistical and Translational Genetics, RIKEN Center for  Integrative Medical Sciences, Kanagawa 230-0045, Japan.; Human Disease Genomics, Center for Genomic Medicine, Kyoto University Graduate  School of Medicine, Kyoto 606-8501, Japan.; Laboratory of Complex Trait Genomics, Department of Computational Biology and  Medical Sciences, Graduate School of Frontier Sciences, The University of Tokyo,  Tokyo 108-0071, Japan.; Department of Cardiovascular Medicine, Graduate School of Medicine, The  University of Tokyo, Tokyo, Japan.; Department of Cellular and Molecular Medicine, University of Arizona College of  Medicine, Tucson, AZ 85721, USA.; Department of Cellular and Molecular Medicine, University of Arizona College of  Medicine, Tucson, AZ 85721,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Genetics &amp;amp; Genomic Sciences, Institute of Genomics and Multiscale  Biology, Icahn School of Medicine at Mount Sinai, New York, NY 10029, USA.; Department of Genetics &amp;amp; Genomic Sciences, Institute of Genomics and Multiscale  Biology, Icahn School of Medicine at Mount Sinai, New York, NY 10029, USA.; Integrated Cardio Metabolic Centre, Department of Medicine, Karolinska  Institutet, Karolinska Universitetssjukhuset, 141 57 Huddinge, Sweden.; Department of Surgery, Keck School of Medicine, University of Southern  California, Los Angeles, CA 90033, USA.; Center for Clinical Genomics, Cleveland Clinic, Cleveland, OH 44195, USA.; Department of Cardiovascular Medicine, Cleveland Clinic, Cleveland, OH 44195,  USA.; Department of Cardiovascular &amp;amp; Metabolic Sciences, Cleveland Clinic, Cleveland,  OH 44195, USA.; Department of Cardiovascular Medicine, Cleveland Clinic, Cleveland, OH 44195,  USA.; Department of Cardiovascular &amp;amp; Metabolic Sciences, Cleveland Clinic, Cleveland,  OH 44195,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lt;/_author_adr&gt;&lt;_date_display&gt;2021 Mar 1&lt;/_date_display&gt;&lt;_date&gt;2021-03-01&lt;/_date&gt;&lt;_doi&gt;10.1093/eurheartj/ehaa1040&lt;/_doi&gt;&lt;_isbn&gt;1522-9645 (Electronic); 0195-668X (Print); 0195-668X (Linking)&lt;/_isbn&gt;&lt;_issue&gt;9&lt;/_issue&gt;&lt;_journal&gt;Eur Heart J&lt;/_journal&gt;&lt;_keywords&gt;Genetic factors; Genome-wide association study; Meta-analysis; Myocardial infarction; SLC44A3&lt;/_keywords&gt;&lt;_language&gt;eng&lt;/_language&gt;&lt;_ori_publication&gt;Published on behalf of the European Society of Cardiology. All rights reserved. (c) _x000d__x000a_      The Author(s) 2021. For permissions, please email: journals.permissions@oup.com.&lt;/_ori_publication&gt;&lt;_pages&gt;919-933&lt;/_pages&gt;&lt;_subject_headings&gt;*Coronary Artery Disease/genetics; Endothelial Cells; Genetic Predisposition to Disease/genetics; Genome-Wide Association Study; Humans; Japan; *Myocardial Infarction/genetics; Polymorphism, Single Nucleotide/genetics; Risk Factors&lt;/_subject_headings&gt;&lt;_tertiary_title&gt;European heart journal&lt;/_tertiary_title&gt;&lt;_type_work&gt;Journal Article; Meta-Analysis; Research Support, N.I.H., Extramural; Research Support, Non-U.S. Gov&amp;apos;t&lt;/_type_work&gt;&lt;_url&gt;http://www.ncbi.nlm.nih.gov/entrez/query.fcgi?cmd=Retrieve&amp;amp;db=pubmed&amp;amp;dopt=Abstract&amp;amp;list_uids=33532862&amp;amp;query_hl=1&lt;/_url&gt;&lt;_volume&gt;42&lt;/_volume&gt;&lt;_created&gt;65014269&lt;/_created&gt;&lt;_modified&gt;65014269&lt;/_modified&gt;&lt;_db_updated&gt;PubMed&lt;/_db_updated&gt;&lt;_impact_factor&gt;  29.983&lt;/_impact_factor&gt;&lt;_collection_scope&gt;SCI;SCIE&lt;/_collection_scope&gt;&lt;/Details&gt;&lt;Extra&gt;&lt;DBUID&gt;{F96A950B-833F-4880-A151-76DA2D6A2879}&lt;/DBUID&gt;&lt;/Extra&gt;&lt;/Item&gt;&lt;/References&gt;&lt;/Group&gt;&lt;Group&gt;&lt;References&gt;&lt;Item&gt;&lt;ID&gt;1210&lt;/ID&gt;&lt;UID&gt;{0F81086B-DDB4-48CD-A54D-A8B90A110696}&lt;/UID&gt;&lt;Title&gt;Identification of 64 Novel Genetic Loci Provides an Expanded View on the Genetic  Architecture of Coronary Artery Disease&lt;/Title&gt;&lt;Template&gt;Journal Article&lt;/Template&gt;&lt;Star&gt;0&lt;/Star&gt;&lt;Tag&gt;0&lt;/Tag&gt;&lt;Author&gt;van der Harst, P; Verweij, N&lt;/Author&gt;&lt;Year&gt;2018&lt;/Year&gt;&lt;Details&gt;&lt;_accession_num&gt;29212778&lt;/_accession_num&gt;&lt;_author_adr&gt;From the Department of Cardiology (P.v.d.H., N.V.) and Department of Genetics  (P.v.d.H.), University Medical Center Groningen, University of Groningen, The  Netherlands; and Durrer Center for Cardiogenetic Research, Netherlands Heart  Institute, Utrecht (P.v.d.H.). p.van.der.harst@umcg.nl.; From the Department of Cardiology (P.v.d.H., N.V.) and Department of Genetics  (P.v.d.H.), University Medical Center Groningen, University of Groningen, The  Netherlands; and Durrer Center for Cardiogenetic Research, Netherlands Heart  Institute, Utrecht (P.v.d.H.).&lt;/_author_adr&gt;&lt;_date_display&gt;2018 Feb 2&lt;/_date_display&gt;&lt;_date&gt;2018-02-02&lt;/_date&gt;&lt;_doi&gt;10.1161/CIRCRESAHA.117.312086&lt;/_doi&gt;&lt;_isbn&gt;1524-4571 (Electronic); 0009-7330 (Print); 0009-7330 (Linking)&lt;/_isbn&gt;&lt;_issue&gt;3&lt;/_issue&gt;&lt;_journal&gt;Circ Res&lt;/_journal&gt;&lt;_keywords&gt;computational biology; coronary artery disease; genetics; genome-wide association study; sample size&lt;/_keywords&gt;&lt;_language&gt;eng&lt;/_language&gt;&lt;_ori_publication&gt;(c) 2017 The Authors.&lt;/_ori_publication&gt;&lt;_pages&gt;433-443&lt;/_pages&gt;&lt;_subject_headings&gt;3&amp;apos; Untranslated Regions; Atrial Fibrillation/genetics; Case-Control Studies; Causality; Chromatin/genetics; Coronary Artery Disease/*genetics; Enhancer Elements, Genetic; Gene Expression Regulation; Genome-Wide Association Study; Heart Failure/genetics; Humans; Mutation, Missense; *Polymorphism, Single Nucleotide; Quantitative Trait Loci&lt;/_subject_headings&gt;&lt;_tertiary_title&gt;Circulation research&lt;/_tertiary_title&gt;&lt;_type_work&gt;Journal Article; Meta-Analysis; Research Support, Non-U.S. Gov&amp;apos;t&lt;/_type_work&gt;&lt;_url&gt;http://www.ncbi.nlm.nih.gov/entrez/query.fcgi?cmd=Retrieve&amp;amp;db=pubmed&amp;amp;dopt=Abstract&amp;amp;list_uids=29212778&amp;amp;query_hl=1&lt;/_url&gt;&lt;_volume&gt;122&lt;/_volume&gt;&lt;_created&gt;65014270&lt;/_created&gt;&lt;_modified&gt;65014270&lt;/_modified&gt;&lt;_db_updated&gt;PubMed&lt;/_db_updated&gt;&lt;_impact_factor&gt;  17.367&lt;/_impact_factor&gt;&lt;_collection_scope&gt;SCI;SCIE&lt;/_collection_scope&gt;&lt;/Details&gt;&lt;Extra&gt;&lt;DBUID&gt;{F96A950B-833F-4880-A151-76DA2D6A2879}&lt;/DBUID&gt;&lt;/Extra&gt;&lt;/Item&gt;&lt;/References&gt;&lt;/Group&gt;&lt;Group&gt;&lt;References&gt;&lt;Item&gt;&lt;ID&gt;1211&lt;/ID&gt;&lt;UID&gt;{981F8E09-8AB8-4C75-87FA-BE7C3F02CC03}&lt;/UID&gt;&lt;Title&gt;Large-scale genome-wide association study of coronary artery disease in  genetically diverse populations&lt;/Title&gt;&lt;Template&gt;Journal Article&lt;/Template&gt;&lt;Star&gt;0&lt;/Star&gt;&lt;Tag&gt;0&lt;/Tag&gt;&lt;Author&gt;Tcheandjieu, C; Zhu, X; Hilliard, A T; Clarke, S L; Napolioni, V; Ma, S; Lee, K M; Fang, H; Chen, F; Lu, Y; Tsao, N L; Raghavan, S; Koyama, S; Gorman, B R; Vujkovic, M; Klarin, D; Levin, M G; Sinnott-Armstrong, N; Wojcik, G L; Plomondon, M E; Maddox, T M; Waldo, S W; Bick, A G; Pyarajan, S; Huang, J; Song, R; Ho, Y L; Buyske, S; Kooperberg, C; Haessler, J; Loos, RJF; Do, R; Verbanck, M; Chaudhary, K; North, K E; Avery, C L; Graff, M; Haiman, C A; Le Marchand, L; Wilkens, L R; Bis, J C; Leonard, H; Shen, B; Lange, L A; Giri, A; Dikilitas, O; Kullo, I J; Stanaway, I B; Jarvik, G P; Gordon, A S; Hebbring, S; Namjou, B; Kaufman, K M; Ito, K; Ishigaki, K; Kamatani, Y; Verma, S S; Ritchie, M D; Kember, R L; Baras, A; Lotta, L A; Kathiresan, S; Hauser, E R; Miller, D R; Lee, J S; Saleheen, D; Reaven, P D; Cho, K; Gaziano, J M; Natarajan, P; Huffman, J E; Voight, B F; Rader, D J; Chang, K M; Lynch, J A; Damrauer, S M; Wilson, PWF; Tang, H; Sun, Y V; Tsao, P S; O&amp;apos;Donnell, C J; Assimes, T L&lt;/Author&gt;&lt;Year&gt;2022&lt;/Year&gt;&lt;Details&gt;&lt;_accession_num&gt;35915156&lt;/_accession_num&gt;&lt;_author_adr&gt;VA Palo Alto Health Care System, Palo Alto, CA, USA.  catherine.tcheandjieu@gladstone.ucsf.edu.; Department of Medicine, Division of Cardiovascular Medicine, Stanford University  School of Medicine, Stanford, CA, USA. catherine.tcheandjieu@gladstone.ucsf.edu.; Gladstone Institute of Data Science and Biotechnology, Gladstone Institutes, San  Francisco, CA, USA. catherine.tcheandjieu@gladstone.ucsf.edu.; Department of Epidemiology and Biostatistics, University of California San  Francisco, San Francisco, CA, USA. catherine.tcheandjieu@gladstone.ucsf.edu.; VA Palo Alto Health Care System, Palo Alto, CA, USA.; Department of Statistics, Stanford University, Stanford, CA, USA.; Department of Statistics, The Pennsylvania State University, University Park, PA,  USA.; Huck Institutes of the Life Sciences, The Pennsylvania State University,  University Park, PA, USA.; VA Palo Alto Health Care System, Palo Alto, CA, USA.; VA Palo Alto Health Care System, Palo Alto, CA, USA.; Department of Medicine, Division of Cardiovascular Medicine, Stanford University  School of Medicine, Stanford, CA, USA.; School of Biosciences and Veterinary Medicine, University of Camerino, Camerino,  Italy.; Department of Neurology and Neurological Sciences, Stanford University School of  Medicine, Stanford, CA, USA.; Department of Statistics, Stanford University, Stanford, CA, USA.; VA Informatics and Computing Infrastructure, VA Salt Lake City Health Care  System, Salt Lake City, UT, USA.; Department of Genetics, Stanford University School of Medicine, Stanford, CA,  USA.; Department of Preventive Medicine, Center for Genetic Epidemiology, University of  Southern California, Los Angeles, CA, USA.; Vanderbilt Genetics Institute, Vanderbilt University Medical Center, Nashville,  TN, USA.; Department of Surgery, University of Pennsylvania Perelman School of Medicine,  Philadelphia, PA, USA.; Medicine Service, VA Eastern Colorado Health Care System, Aurora, CO, USA.; Department of Medicine, University of Colorado Anschutz Medical Campus, Aurora,  CO, USA.; Laboratory for Cardiovascular Genomics and Informatics, RIKEN Center for  Integrative Medical Sciences, Yokohama, Kanagawa, Japan.; VA Boston Healthcare System, Boston, MA, USA.; Booz Allen Hamilton, McLean, VA, USA.; Corporal Michael J. Crescenz VA Medical Center, Philadelphia, PA, USA.; Department of Medicine, University of Pennsylvania Perelman School of Medicine,  Philadelphia, PA, USA.; VA Palo Alto Health Care System, Palo Alto, CA, USA.; VA Boston Healthcare System, Boston, MA, USA.; Center for Genomic Medicine, Massachusetts General Hospital, Boston, MA, USA.; Program in Medical and Population Genetics, Broad Institute of MIT and Harvard,  Cambridge, MA, USA.; Division of Vascular Surgery and Endovascular Therapy, University of Florida  School of Medicine, Gainesville, FL, USA.; Stanford University School of Medicine, Stanford, CA, USA.; Corporal Michael J. Crescenz VA Medical Center, Philadelphia, PA, USA.; Department of Medicine, University of Pennsylvania Perelman School of Medicine,  Philadelphia, PA, USA.; VA Palo Alto Health Care System, Palo Alto, CA, USA.; Department of Genetics, Stanford University School of Medicine, Stanford, CA,  USA.; Department of Epidemiology, Bloomberg School of Public Health, Johns Hopkins  University, Baltimore, MD, USA.; Department of Medicine, Rocky Mountain Regional VA Medical Center, Aurora, CO,  USA.; CART Program, VHA Office of Quality and Patient Safety, Washington, DC, USA.; Healthcare Innovation Lab, JC HealthCare/Washington University School of  Medicine, St Louis, MO, USA.; Division of Cardiology, Washington University School of Medicine, St Louis, MO,  USA.; Department of Medicine, Rocky Mountain Regional VA Medical Center, Aurora, CO,  USA.; CART Program, VHA Office of Quality and Patient Safety, Washington, DC, USA.; Division of Cardiology, University of Colorado School of Medicine, Aurora, CO,  USA.; Department of Biomedical Informatics, Division of Genetic Medicine, Vanderbilt  University Medical Center, Nashville, TN, USA.; VA Boston Healthcare System, Boston, MA, USA.; Department of Medicine, Brigham Women&amp;apos;s Hospital, Harvard Medical School, Boston,  MA, USA.; VA Boston Healthcare System, Boston, MA, USA.; Department of Global Health, Peking University School of Public Health, Beijing,  China.; School of Public Health and Emergency Management, Southern University of Science  and Technology, Shenzhen, China.; VA Boston Healthcare System, Boston, MA, USA.; VA Boston Healthcare System, Boston, MA, USA.; Department of Statistics, Rutgers University, Piscataway, NJ, USA.; Division of Public Health Sciences, Fred Hutchinson Cancer Center, Seattle, WA,  USA.; Division of Public Health Sciences, Fred Hutchinson Cancer Center, Seattle, WA,  USA.; Charles Bronfman Institute for Personalized Medicine, Icahn School of Medicine at  Mount Sinai, New York, NY, USA.; Charles Bronfman Institute for Personalized Medicine, Icahn School of Medicine at  Mount Sinai, New York, NY, USA.; Department of Genetics and Genomic Sciences, Icahn School of Medicine at Mount  Sinai, New York, NY, USA.; Charles Bronfman Institute for Personalized Medicine, Icahn School of Medicine at  Mount Sinai, New York, NY, USA.; Department of Genetics and Genomic Sciences, Icahn School of Medicine at Mount  Sinai, New York, NY, USA.; EA 7537 BioSTM, Universite de Paris, Paris, France.; Charles Bronfman Institute for Personalized Medicine, Icahn School of Medicine at  Mount Sinai, New York, NY, USA.; Department of Genetics and Genomic Sciences, Icahn School of Medicine at Mount  Sinai, New York, NY, USA.; Department of Epidemiology, Gillings School of Global Public Health, University  of North Carolina, Chapel Hill, NC, USA.; Department of Epidemiology, Gillings School of Global Public Health, University  of North Carolina, Chapel Hill, NC, USA.; Department of Epidemiology, Gillings School of Global Public Health, University  of North Carolina, Chapel Hill, NC, USA.; Department of Preventive Medicine, Center for Genetic Epidemiology, University of  Southern California, Los Angeles, CA, USA.; Cancer Epidemiology Program, University of Hawaii Cancer Center, University of  Hawaii, Honolulu, HI, USA.; Cancer Epidemiology Program, University of Hawaii Cancer Center, University of  Hawaii, Honolulu, HI, USA.; Department of Medicine, Cardiovascular Health Research Unit, University of  Washington, Seattle, WA, USA.; Molecular Genetics Section, Laboratory of Neurogenetics, National Institute on  Aging, Bethesda, MD, USA.; Data Tecnica Int&amp;apos;l, LLC, Glen Echo, MD, USA.; Health Disparities Research Section, National Institute on Aging, National  Institutes of Health, Baltimore, MD, USA.; Department of Medicine, Division of Biomedical Informatics and Personalized  Medicine, Aurora, CO, USA.; Lifecourse Epidemiology of Adiposity and Diabetes (LEAD) Center, Aurora, CO, USA.; Department of Epidemiology, Colorado School of Public Health, University of  Colorado Anschutz Medical Campus, Aurora, CO, USA.; Department of Medicine, Division of Epidemiology, Vanderbilt University Medical  Center, Nashville, TN, USA.; Department of Obstetrics and Gynecology, Division of Quantitative Sciences,  Vanderbilt University Medical Center, Nashville, TN, USA.; Department of Cardiovascular Medicine, Mayo Clinic, Rochester, MN, USA.; Department of Cardiovascular Medicine, Mayo Clinic, Rochester, MN, USA.; Department of Medicine, Division of Nephrology, University of Washington,  Seattle, WA, USA.; Department of Medicine, Medical Genetics, University of Washington School of  Medicine, Seattle, WA, USA.; Department of Genome Sciences, University of Washington School of Medicine,  Seattle, WA, USA.; Center for Genetic Medicine, Northwestern University Feinberg School of Medicine,  Chicago, IL, USA.; Center for Precision Medicine Research, Marshfield Clinic Research Institute,  Marshfield, WI, USA.; Center for Autoimmune Genomics and Etiology, Cincinnati Children&amp;apos;s Hospital  Medical Center, Cincinnati, OH, USA.; Department of Pediatrics, University of Cincinnati College of Medicine,  Cincinnati, OH, USA.; Center for Autoimmune Genomics and Etiology, Cincinnati Children&amp;apos;s Hospital  Medical Center, Cincinnati, OH, USA.; Laboratory for Cardiovascular Genomics and Informatics, RIKEN Center for  Integrative Medical Sciences, Yokohama, Kanagawa, Japan.; Laboratory for Statistical Analysis, RIKEN Center for Integrative Medical  Sciences, Yokohama, Kanagawa, Japan.; Laboratory for Statistical Analysis, RIKEN Center for Integrative Medical  Sciences, Yokohama, Kanagawa, Japan.; Department of Computational Biology and Medical Sciences, Graduate School of  Frontier Sciences - The University of Tokyo, Tokyo, Japan.; Department of Genetics, University of Pennsylvania Perelman School of Medicine,  Philadelphia, PA, USA.; Institute for Biomedical Informatics, University of Pennsylvania Perelman School  of Medicine, Philadelphia, PA, USA.; Department of Genetics, University of Pennsylvania Perelman School of Medicine,  Philadelphia, PA, USA.; Institute for Biomedical Informatics, University of Pennsylvania Perelman School  of Medicine, Philadelphia, PA, USA.; Corporal Michael J. Crescenz VA Medical Center, Philadelphia, PA, USA.; Department of Psychiatry, University of Pennsylvania Perelman School of Medicine,  Philadelphia, PA, USA.; Regeneron Genetics Center, Tarrytown, NY, USA.; Regeneron Genetics Center, Tarrytown, NY, USA.; Program in Medical and Population Genetics, Broad Institute of MIT and Harvard,  Cambridge, MA, USA.; Department of Medicine, Harvard Medical School, Boston, MA, USA.; Department of Medicine, Cardiology Division, Massachusetts General Hospital,  Boston, MA, USA.; Verve Therapeutics, Cambridge, MA, USA.; Cooperative Studies Program Epidemiology Center-Durham, Durham VA Health Care  System, Durham, NC, USA.; Department of Biostatistics and Bioinformatics, Duke University Medical Center,  Durham, NC, USA.; Center for Healthcare Organization and Implementation Research, Bedford VA  Healthcare System, Bedford, MA, USA.; Center for Population Health, Department of Biomedical and Nutritional Sciences,  University of Massachusetts, Lowell, MA, USA.; VA Palo Alto Health Care System, Palo Alto, CA, USA.; Department of Medicine, Stanford University School of Medicine, Stanford, CA,  USA.; Corporal Michael J. Crescenz VA Medical Center, Philadelphia, PA, USA.; Department of Medicine, Division of Cardiology, Columbia University, New York,  NY, USA.; Phoenix VA Health Care System, Phoenix, AZ, USA.; College of Medicine, University of Arizona, Phoenix, AZ, USA.; VA Boston Healthcare System, Boston, MA, USA.; Department of Medicine, Brigham Women&amp;apos;s Hospital, Harvard Medical School, Boston,  MA, USA.; VA Boston Healthcare System, Boston, MA, USA.; Department of Medicine, Brigham Women&amp;apos;s Hospital, Harvard Medical School, Boston,  MA, USA.; Program in Medical and Population Genetics, Broad Institute of MIT and Harvard,  Cambridge, MA, USA.; Department of Medicine, Cardiology Division, Massachusetts General Hospital,  Boston, MA, USA.; Cardiovascular Research Center, Massachusetts General Hospital, Boston, MA, USA.; VA Boston Healthcare System, Boston, MA, USA.; Corporal Michael J. Crescenz VA Medical Center, Philadelphia, PA, USA.; Department of Genetics, University of Pennsylvania Perelman School of Medicine,  Philadelphia, PA, USA.; Department of Systems Pharmacology and Translational Therapeutics, University of  Pennsylvania Perelman School of Medicine, Philadelphia, PA, USA.; Institute of Translational Medicine and Therapeutics, University of Pennsylvania  Perelman School of Medicine, Philadelphia, PA, USA.; Department of Medicine, University of Pennsylvania Perelman School of Medicine,  Philadelphia, PA, USA.; Corporal Michael J. Crescenz VA Medical Center, Philadelphia, PA, USA.; Department of Medicine, University of Pennsylvania Perelman School of Medicine,  Philadelphia, PA, USA.; VA Salt Lake City Health Care System, Salt Lake City, UT, USA.; College of Nursing and Health Sciences, University of Massachusetts, Boston, MA,  USA.; Department of Surgery, University of Pennsylvania Perelman School of Medicine,  Philadelphia, PA, USA.; Corporal Michael J. Crescenz VA Medical Center, Philadelphia, PA, USA.; Department of Genetics, University of Pennsylvania Perelman School of Medicine,  Philadelphia, PA, USA.; Atlanta VA Medical Center, Atlanta, GA, USA.; Division of Cardiology, Emory University School of Medicine, Atlanta, GA, USA.; Department of Genetics, Stanford University School of Medicine, Stanford, CA,  USA.; Atlanta VA Health Care System, Atlanta, GA, USA.; Department of Epidemiology, Emory University Rollins School of Public Health,  Atlanta, GA, USA.; VA Palo Alto Health Care System, Palo Alto, CA, USA.; Department of Medicine, Stanford University School of Medicine, Stanford, CA,  USA.; Cardiovascular Institute, Stanford University School of Medicine, Stanford, CA,  USA.; VA Boston Healthcare System, Boston, MA, USA.; Department of Medicine, Brigham Women&amp;apos;s Hospital, Harvard Medical School, Boston,  MA, USA.; VA Palo Alto Health Care System, Palo Alto, CA, USA. tassimes@stanford.edu.; Department of Medicine, Division of Cardiovascular Medicine, Stanford University  School of Medicine, Stanford, CA, USA. tassimes@stanford.edu.; Cardiovascular Institute, Stanford University School of Medicine, Stanford, CA,  USA. tassimes@stanford.edu.; Department of Epidemiology and Population Health, Stanford University School of  Medicine, Stanford, CA, USA. tassimes@stanford.edu.&lt;/_author_adr&gt;&lt;_date_display&gt;2022 Aug&lt;/_date_display&gt;&lt;_date&gt;2022-08-01&lt;/_date&gt;&lt;_doi&gt;10.1038/s41591-022-01891-3&lt;/_doi&gt;&lt;_isbn&gt;1546-170X (Electronic); 1078-8956 (Print); 1078-8956 (Linking)&lt;/_isbn&gt;&lt;_issue&gt;8&lt;/_issue&gt;&lt;_journal&gt;Nat Med&lt;/_journal&gt;&lt;_language&gt;eng&lt;/_language&gt;&lt;_ori_publication&gt;(c) 2022. This is a U.S. Government work and not under copyright protection in the _x000d__x000a_      US; foreign copyright protection may apply.&lt;/_ori_publication&gt;&lt;_pages&gt;1679-1692&lt;/_pages&gt;&lt;_subject_headings&gt;*Coronary Artery Disease/genetics; Genetic Predisposition to Disease/genetics; *Genome-Wide Association Study; Humans; Polymorphism, Single Nucleotide/genetics; Risk Factors&lt;/_subject_headings&gt;&lt;_tertiary_title&gt;Nature medicine&lt;/_tertiary_title&gt;&lt;_type_work&gt;Journal Article; Research Support, N.I.H., Extramural; Research Support, N.I.H., Intramural; Research Support, Non-U.S. Gov&amp;apos;t; Research Support, U.S. Gov&amp;apos;t, Non-P.H.S.&lt;/_type_work&gt;&lt;_url&gt;http://www.ncbi.nlm.nih.gov/entrez/query.fcgi?cmd=Retrieve&amp;amp;db=pubmed&amp;amp;dopt=Abstract&amp;amp;list_uids=35915156&amp;amp;query_hl=1&lt;/_url&gt;&lt;_volume&gt;28&lt;/_volume&gt;&lt;_created&gt;65014270&lt;/_created&gt;&lt;_modified&gt;65014270&lt;/_modified&gt;&lt;_db_updated&gt;PubMed&lt;/_db_updated&gt;&lt;_impact_factor&gt;  53.440&lt;/_impact_factor&gt;&lt;_collection_scope&gt;SCI;SCIE&lt;/_collection_scope&gt;&lt;/Details&gt;&lt;Extra&gt;&lt;DBUID&gt;{F96A950B-833F-4880-A151-76DA2D6A2879}&lt;/DBUID&gt;&lt;/Extra&gt;&lt;/Item&gt;&lt;/References&gt;&lt;/Group&gt;&lt;Group&gt;&lt;References&gt;&lt;Item&gt;&lt;ID&gt;1212&lt;/ID&gt;&lt;UID&gt;{B01E27F2-4A9E-4882-B470-EA83707CD6A1}&lt;/UID&gt;&lt;Title&gt;Transethnic Meta-Analysis of Genome-Wide Association Studies Identifies Three New  Loci and Characterizes Population-Specific Differences for Coronary Artery  Disease&lt;/Title&gt;&lt;Template&gt;Journal Article&lt;/Template&gt;&lt;Star&gt;0&lt;/Star&gt;&lt;Tag&gt;0&lt;/Tag&gt;&lt;Author&gt;Matsunaga, H; Ito, K; Akiyama, M; Takahashi, A; Koyama, S; Nomura, S; Ieki, H; Ozaki, K; Onouchi, Y; Sakaue, S; Suna, S; Ogishima, S; Yamamoto, M; Hozawa, A; Satoh, M; Sasaki, M; Yamaji, T; Sawada, N; Iwasaki, M; Tsugane, S; Tanaka, K; Arisawa, K; Ikezaki, H; Takashima, N; Naito, M; Wakai, K; Tanaka, H; Sakata, Y; Morita, H; Sakata, Y; Matsuda, K; Murakami, Y; Akazawa, H; Kubo, M; Kamatani, Y; Komuro, I&lt;/Author&gt;&lt;Year&gt;2020&lt;/Year&gt;&lt;Details&gt;&lt;_accession_num&gt;32469254&lt;/_accession_num&gt;&lt;_author_adr&gt;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Laboratory for Statistical Analysis (M.A., A.T., S. Sakaue, Y.K.), Kanagawa.; Laboratory for Statistical Analysis (M.A., A.T., S. Sakaue, Y.K.), Kanagawa.; Department of Genomic Medicine, Research Institute, National Cerebral &amp;amp;  Cardiovascular Center, Osaka (A.T.).; Laboratory for Cardiovascular Genomics &amp;amp; Informatics (H. Matsunaga, K.I., S.K.,  H. Ieki, K.O., Y.O.), Kanagawa.; Department of Cardiovascular Medicine, Graduate School of Medicine (H. Matsunaga,  S.N., H. Ieki, H.M., H.A., I.K.), University of Tokyo.; Genome Science Division, Research Center for Advanced Science &amp;amp; Technologies  (S.N.), University of Tokyo.; 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Division for Genomic Medicine, Medical Genome Center, National Center for  Geriatrics &amp;amp; Gerontology, Obu (K.O.).; Laboratory for Cardiovascular Genomics &amp;amp; Informatics (H. Matsunaga, K.I., S.K.,  H. Ieki, K.O., Y.O.), Kanagawa.; Department of Public Health, Chiba University Graduate School of Medicine (Y.O.).; Laboratory for Statistical Analysis (M.A., A.T., S. Sakaue, Y.K.), Kanagawa.; Department of Cardiovascular Medicine, Osaka University Graduate School of  Medicine, Suita (S. Suna, Yasushi Sakata).; Tohoku Medical Megabank Organization (S.O., M.Y.), Tohoku University, Sendai.; Tohoku Medical Megabank Organization (S.O., M.Y.), Tohoku University, Sendai.; Department of Preventive Medicine &amp;amp; Epidemiology (A.H.), Tohoku University,  Sendai.; Iwate Tohoku Medical Megabank Organization, Iwate Medical University (M. Satoh,  M. Sasaki).; Iwate Tohoku Medical Megabank Organization, Iwate Medical University (M. Satoh,  M. Sasaki).; Division of Epidemiology (T.Y., N.S., M.I.), National Cancer Center, Tokyo.; Division of Epidemiology (T.Y., N.S., M.I.), National Cancer Center, Tokyo.; Division of Epidemiology (T.Y., N.S., M.I.), National Cancer Center, Tokyo.; Center for Public Health Sciences (S.T.), National Cancer Center, Tokyo.; Department of Preventive Medicine, Faculty of Medicine, Saga University (K.T.).; Department of Preventive Medicine, Institute of Biomedical Sciences, Tokushima  University Graduate School (K.A.).; Department of Environmental Medicine &amp;amp; Infectious Diseases, Graduate School of  Medical Sciences, Kyushu University, Fukuoka (H. Ikezaki).; Department of Public Health, Shiga University of Medical Science, Otsu (N.T.).; Department of Oral Epidemiology, Graduate School of Biomedical &amp;amp; Health Sciences,  Hiroshima University (M.N.).; Department of Preventive Medicine (M.N., K.W.), Nagoya University Graduate School  of Medicine.; Department of Preventive Medicine (M.N., K.W.), Nagoya University Graduate School  of Medicine.; Department of Epidemiology (H.T.), Nagoya University Graduate School of Medicine.; Division of Epidemiology &amp;amp; Prevention, Aichi Cancer Center Research Institute,  Nagoya (H.T.).; Department of Cardiovascular Medicine, Tohoku University Graduate School of  Medicine, Sendai (Yasuhiko Sakata).; Department of Cardiovascular Medicine, Graduate School of Medicine (H. Matsunaga,  S.N., H. Ieki, H.M., H.A., I.K.), University of Tokyo.; Department of Cardiovascular Medicine, Osaka University Graduate School of  Medicine, Suita (S. Suna, Yasushi Sakata).; Department of Computational Biology &amp;amp; Medical Science, Graduate School of  Frontier Sciences (K.M.), University of Tokyo.; Division of Molecular Pathology, Institute of Medical Science (Y.M.), University  of Tokyo.; Department of Cardiovascular Medicine, Graduate School of Medicine (H. Matsunaga,  S.N., H. Ieki, H.M., H.A., I.K.), University of Tokyo.; RIKEN Center for Integrative Medical Sciences (M.K.), Kanagawa.; Laboratory for Statistical Analysis (M.A., A.T., S. Sakaue, Y.K.), Kanagawa.; Kyoto-McGill International Collaborative School in Genomic Medicine, Kyoto  University Graduate School of Medicine, Japan (Y.K.).; Department of Cardiovascular Medicine, Graduate School of Medicine (H. Matsunaga,  S.N., H. Ieki, H.M., H.A., I.K.), University of Tokyo.&lt;/_author_adr&gt;&lt;_date_display&gt;2020 Jun&lt;/_date_display&gt;&lt;_date&gt;2020-06-01&lt;/_date&gt;&lt;_doi&gt;10.1161/CIRCGEN.119.002670&lt;/_doi&gt;&lt;_isbn&gt;2574-8300 (Electronic); 2574-8300 (Linking)&lt;/_isbn&gt;&lt;_issue&gt;3&lt;/_issue&gt;&lt;_journal&gt;Circ Genom Precis Med&lt;/_journal&gt;&lt;_keywords&gt;chromosome; coronary artery disease; genome-wide association study; myocardial infarction; single nucleotide polymorphism&lt;/_keywords&gt;&lt;_language&gt;eng&lt;/_language&gt;&lt;_pages&gt;e002670&lt;/_pages&gt;&lt;_subject_headings&gt;*Asian People/ethnology/genetics; Chromosomes, Human/*genetics; *Coronary Artery Disease/ethnology/genetics; Female; *Genetic Loci; Genome-Wide Association Study; Humans; Japan/ethnology; Male; Meta-Analysis as Topic; United Kingdom/ethnology; *White People/ethnology/genetics&lt;/_subject_headings&gt;&lt;_tertiary_title&gt;Circulation. Genomic and precision medicine&lt;/_tertiary_title&gt;&lt;_type_work&gt;Clinical Trial; Journal Article; Research Support, Non-U.S. Gov&amp;apos;t&lt;/_type_work&gt;&lt;_url&gt;http://www.ncbi.nlm.nih.gov/entrez/query.fcgi?cmd=Retrieve&amp;amp;db=pubmed&amp;amp;dopt=Abstract&amp;amp;list_uids=32469254&amp;amp;query_hl=1&lt;/_url&gt;&lt;_volume&gt;13&lt;/_volume&gt;&lt;_created&gt;65014271&lt;/_created&gt;&lt;_modified&gt;65014271&lt;/_modified&gt;&lt;_db_updated&gt;PubMed&lt;/_db_updated&gt;&lt;_impact_factor&gt;   6.054&lt;/_impact_factor&gt;&lt;/Details&gt;&lt;Extra&gt;&lt;DBUID&gt;{F96A950B-833F-4880-A151-76DA2D6A2879}&lt;/DBUID&gt;&lt;/Extra&gt;&lt;/Item&gt;&lt;/References&gt;&lt;/Group&gt;&lt;Group&gt;&lt;References&gt;&lt;Item&gt;&lt;ID&gt;1207&lt;/ID&gt;&lt;UID&gt;{48CE2683-ABA5-408E-95E6-2000CCDB2A1A}&lt;/UID&gt;&lt;Title&gt;Leveraging Polygenic Functional Enrichment to Improve GWAS Power&lt;/Title&gt;&lt;Template&gt;Journal Article&lt;/Template&gt;&lt;Star&gt;0&lt;/Star&gt;&lt;Tag&gt;0&lt;/Tag&gt;&lt;Author&gt;Kichaev, G; Bhatia, G; Loh, P R; Gazal, S; Burch, K; Freund, M K; Schoech, A; Pasaniuc, B; Price, A L&lt;/Author&gt;&lt;Year&gt;2019&lt;/Year&gt;&lt;Details&gt;&lt;_accession_num&gt;30595370&lt;/_accession_num&gt;&lt;_author_adr&gt;Interdepartamental Program in Bioinformatics, University of California, Los  Angeles, CA 90095, USA. Electronic address: gkichaev@ucla.edu.; Department of Epidemiology. Harvard T. H. Chan School of Public Health, Boston,  MA 02115, USA.; Department of Epidemiology. Harvard T. H. Chan School of Public Health, Boston,  MA 02115, USA; Program in Medical and Population Genetics, Broad Institute,  Cambridge, MA 02142, USA.; Department of Epidemiology. Harvard T. H. Chan School of Public Health, Boston,  MA 02115, USA; Program in Medical and Population Genetics, Broad Institute,  Cambridge, MA 02142, USA.; Interdepartamental Program in Bioinformatics, University of California, Los  Angeles, CA 90095, USA.; Department of Human Genetics, University of California, Los Angeles, CA 90095,  USA.; Department of Epidemiology. Harvard T. H. Chan School of Public Health, Boston,  MA 02115, USA; Program in Medical and Population Genetics, Broad Institute,  Cambridge, MA 02142, USA.; Interdepartamental Program in Bioinformatics, University of California, Los  Angeles, CA 90095, USA; Department of Human Genetics, University of California,  Los Angeles, CA 90095, USA; Department Pathology and Laboratory Medicine,  University of California, Los Angeles, CA 90095, USA.; Department of Epidemiology. Harvard T. H. Chan School of Public Health, Boston,  MA 02115, USA; Program in Medical and Population Genetics, Broad Institute,  Cambridge, MA 02142, USA; Department of Biostatistics, Harvard T. H. Chan School  of Public Health, Boston, MA 02115, USA. Electronic address:  aprice@hsph.harvard.edu.&lt;/_author_adr&gt;&lt;_date_display&gt;2019 Jan 3&lt;/_date_display&gt;&lt;_date&gt;2019-01-03&lt;/_date&gt;&lt;_doi&gt;10.1016/j.ajhg.2018.11.008&lt;/_doi&gt;&lt;_isbn&gt;1537-6605 (Electronic); 0002-9297 (Print); 0002-9297 (Linking)&lt;/_isbn&gt;&lt;_issue&gt;1&lt;/_issue&gt;&lt;_journal&gt;Am J Hum Genet&lt;/_journal&gt;&lt;_keywords&gt;GWAS; complex traits; functional genomics&lt;/_keywords&gt;&lt;_language&gt;eng&lt;/_language&gt;&lt;_ori_publication&gt;Copyright (c) 2018 American Society of Human Genetics. Published by Elsevier Inc. _x000d__x000a_      All rights reserved.&lt;/_ori_publication&gt;&lt;_pages&gt;65-75&lt;/_pages&gt;&lt;_subject_headings&gt;Calibration; Databases, Genetic; Datasets as Topic; False Positive Reactions; *Genome-Wide Association Study; Humans; Multifactorial Inheritance/*genetics; Polymorphism, Single Nucleotide/*genetics; Probability; Reproducibility of Results; United Kingdom&lt;/_subject_headings&gt;&lt;_tertiary_title&gt;American journal of human genetics&lt;/_tertiary_title&gt;&lt;_type_work&gt;Journal Article; Research Support, N.I.H., Extramural&lt;/_type_work&gt;&lt;_url&gt;http://www.ncbi.nlm.nih.gov/entrez/query.fcgi?cmd=Retrieve&amp;amp;db=pubmed&amp;amp;dopt=Abstract&amp;amp;list_uids=30595370&amp;amp;query_hl=1&lt;/_url&gt;&lt;_volume&gt;104&lt;/_volume&gt;&lt;_created&gt;65014262&lt;/_created&gt;&lt;_modified&gt;65014262&lt;/_modified&gt;&lt;_db_updated&gt;PubMed&lt;/_db_updated&gt;&lt;_impact_factor&gt;  11.025&lt;/_impact_factor&gt;&lt;_collection_scope&gt;SCI;SCIE&lt;/_collection_scope&gt;&lt;_accessed&gt;65014266&lt;/_accessed&gt;&lt;/Details&gt;&lt;Extra&gt;&lt;DBUID&gt;{F96A950B-833F-4880-A151-76DA2D6A2879}&lt;/DBUID&gt;&lt;/Extra&gt;&lt;/Item&gt;&lt;/References&gt;&lt;/Group&gt;&lt;Group&gt;&lt;References&gt;&lt;Item&gt;&lt;ID&gt;1214&lt;/ID&gt;&lt;UID&gt;{B8EAF4E7-E66D-4CEF-AABE-230C07EA1EDD}&lt;/UID&gt;&lt;Title&gt;A genome-wide association study in Europeans and South Asians identifies five new  loci for coronary artery disease&lt;/Title&gt;&lt;Template&gt;Journal Article&lt;/Template&gt;&lt;Star&gt;0&lt;/Star&gt;&lt;Tag&gt;0&lt;/Tag&gt;&lt;Author/&gt;&lt;Year&gt;2011&lt;/Year&gt;&lt;Details&gt;&lt;_accession_num&gt;21378988&lt;/_accession_num&gt;&lt;_date_display&gt;2011 Mar 6&lt;/_date_display&gt;&lt;_date&gt;2011-03-06&lt;/_date&gt;&lt;_doi&gt;10.1038/ng.782&lt;/_doi&gt;&lt;_isbn&gt;1546-1718 (Electronic); 1061-4036 (Linking)&lt;/_isbn&gt;&lt;_issue&gt;4&lt;/_issue&gt;&lt;_journal&gt;Nat Genet&lt;/_journal&gt;&lt;_language&gt;eng&lt;/_language&gt;&lt;_pages&gt;339-44&lt;/_pages&gt;&lt;_subject_headings&gt;ADAM Proteins/genetics; ADAMTS7 Protein; Adult; Aged; Asian People/genetics; Case-Control Studies; Coronary Artery Disease/*genetics; Female; Genetic Predisposition to Disease; Genome-Wide Association Study; Humans; Lymphokines/genetics; Male; Middle Aged; Oligonucleotide Array Sequence Analysis; Platelet-Derived Growth Factor/genetics; Polymorphism, Single Nucleotide; Quantitative Trait Loci; Sterol Esterase/genetics; Transcription Factors/genetics; White People/genetics&lt;/_subject_headings&gt;&lt;_tertiary_title&gt;Nature genetics&lt;/_tertiary_title&gt;&lt;_type_work&gt;Journal Article; Meta-Analysis; Research Support, Non-U.S. Gov&amp;apos;t&lt;/_type_work&gt;&lt;_url&gt;http://www.ncbi.nlm.nih.gov/entrez/query.fcgi?cmd=Retrieve&amp;amp;db=pubmed&amp;amp;dopt=Abstract&amp;amp;list_uids=21378988&amp;amp;query_hl=1&lt;/_url&gt;&lt;_volume&gt;43&lt;/_volume&gt;&lt;_created&gt;65014274&lt;/_created&gt;&lt;_modified&gt;65014274&lt;/_modified&gt;&lt;_db_updated&gt;PubMed&lt;/_db_updated&gt;&lt;_impact_factor&gt;  38.330&lt;/_impact_factor&gt;&lt;_collection_scope&gt;SCI;SCIE&lt;/_collection_scope&gt;&lt;/Details&gt;&lt;Extra&gt;&lt;DBUID&gt;{F96A950B-833F-4880-A151-76DA2D6A2879}&lt;/DBUID&gt;&lt;/Extra&gt;&lt;/Item&gt;&lt;/References&gt;&lt;/Group&gt;&lt;/Citation&gt;_x000a_"/>
    <w:docVar w:name="NE.Ref{0F536BC3-55FF-4988-89AD-6AE2F2C54F56}" w:val=" ADDIN NE.Ref.{0F536BC3-55FF-4988-89AD-6AE2F2C54F56}&lt;Citation&gt;&lt;Group&gt;&lt;References&gt;&lt;Item&gt;&lt;ID&gt;643&lt;/ID&gt;&lt;UID&gt;{8B3A7481-34F3-4CEF-B16F-1E898172B730}&lt;/UID&gt;&lt;Title&gt;The druggable genome and support for target identification and validation in drug  development&lt;/Title&gt;&lt;Template&gt;Journal Article&lt;/Template&gt;&lt;Star&gt;0&lt;/Star&gt;&lt;Tag&gt;0&lt;/Tag&gt;&lt;Author&gt;Finan, C; Gaulton, A; Kruger, F A; Lumbers, R T; Shah, T; Engmann, J; Galver, L; Kelley, R; Karlsson, A; Santos, R; Overington, J P; Hingorani, A D; Casas, J P&lt;/Author&gt;&lt;Year&gt;2017&lt;/Year&gt;&lt;Details&gt;&lt;_accession_num&gt;28356508&lt;/_accession_num&gt;&lt;_author_adr&gt;Institute of Cardiovascular Science, Faculty of Population Health, University  College London, London WC1E 6BT, U.K.; Farr Institute of Health Informatics, University College London, London WC1E 6BT,  U.K.; European Molecular Biology Laboratory, European Bioinformatics Institute,  Wellcome Genome Campus, Hinxton, Cambridge CB10 1SD, U.K.; Institute of Cardiovascular Science, Faculty of Population Health, University  College London, London WC1E 6BT, U.K.; BenevolentAI, 40 Churchway, London, U.K.; Institute of Cardiovascular Science, Faculty of Population Health, University  College London, London WC1E 6BT, U.K.; Farr Institute of Health Informatics, University College London, London WC1E 6BT,  U.K.; Institute of Cardiovascular Science, Faculty of Population Health, University  College London, London WC1E 6BT, U.K.; Farr Institute of Health Informatics, University College London, London WC1E 6BT,  U.K.; Institute of Cardiovascular Science, Faculty of Population Health, University  College London, London WC1E 6BT, U.K.; Farr Institute of Health Informatics, University College London, London WC1E 6BT,  U.K.; Illumina Inc., 5200 Illumina Way, San Diego, CA 92122, USA.; Illumina Inc., 5200 Illumina Way, San Diego, CA 92122, USA.; European Molecular Biology Laboratory, European Bioinformatics Institute,  Wellcome Genome Campus, Hinxton, Cambridge CB10 1SD, U.K.; European Molecular Biology Laboratory, European Bioinformatics Institute,  Wellcome Genome Campus, Hinxton, Cambridge CB10 1SD, U.K.; European Molecular Biology Laboratory, European Bioinformatics Institute,  Wellcome Genome Campus, Hinxton, Cambridge CB10 1SD, U.K. jpo@md.catapult.org.uk  a.hingorani@ucl.ac.uk jp.casas@ucl.ac.uk.; BenevolentAI, 40 Churchway, London, U.K.; Institute of Cardiovascular Science, Faculty of Population Health, University  College London, London WC1E 6BT, U.K. jpo@md.catapult.org.uk  a.hingorani@ucl.ac.uk jp.casas@ucl.ac.uk.; Farr Institute of Health Informatics, University College London, London WC1E 6BT,  U.K.; Farr Institute of Health Informatics, University College London, London WC1E 6BT,  U.K. jpo@md.catapult.org.uk a.hingorani@ucl.ac.uk jp.casas@ucl.ac.uk.&lt;/_author_adr&gt;&lt;_date_display&gt;2017 Mar 29&lt;/_date_display&gt;&lt;_date&gt;2017-03-29&lt;/_date&gt;&lt;_doi&gt;10.1126/scitranslmed.aag1166&lt;/_doi&gt;&lt;_isbn&gt;1946-6242 (Electronic); 1946-6234 (Print); 1946-6234 (Linking)&lt;/_isbn&gt;&lt;_issue&gt;383&lt;/_issue&gt;&lt;_journal&gt;Sci Transl Med&lt;/_journal&gt;&lt;_language&gt;eng&lt;/_language&gt;&lt;_ori_publication&gt;Copyright (c) 2017, American Association for the Advancement of Science.&lt;/_ori_publication&gt;&lt;_subject_headings&gt;*Drug Discovery; Drug Repositioning; Genetic Loci; *Genome, Human; Genome-Wide Association Study; Humans; Linkage Disequilibrium/genetics; *Molecular Targeted Therapy; Phenotype; Polymorphism, Single Nucleotide/genetics; Reproducibility of Results; Translational Research, Biomedical&lt;/_subject_headings&gt;&lt;_tertiary_title&gt;Science translational medicine&lt;/_tertiary_title&gt;&lt;_type_work&gt;Journal Article&lt;/_type_work&gt;&lt;_url&gt;http://www.ncbi.nlm.nih.gov/entrez/query.fcgi?cmd=Retrieve&amp;amp;db=pubmed&amp;amp;dopt=Abstract&amp;amp;list_uids=28356508&amp;amp;query_hl=1&lt;/_url&gt;&lt;_volume&gt;9&lt;/_volume&gt;&lt;_created&gt;65767647&lt;/_created&gt;&lt;_modified&gt;65767647&lt;/_modified&gt;&lt;_db_updated&gt;PubMed&lt;/_db_updated&gt;&lt;_impact_factor&gt;  15.800&lt;/_impact_factor&gt;&lt;_social_category&gt;细胞生物学(1) &amp;amp; 医学：研究与实验(1)&lt;/_social_category&gt;&lt;_collection_scope&gt;SCIE&lt;/_collection_scope&gt;&lt;/Details&gt;&lt;Extra&gt;&lt;DBUID&gt;{03752FAB-B361-4F66-989B-C711D9502F78}&lt;/DBUID&gt;&lt;/Extra&gt;&lt;/Item&gt;&lt;/References&gt;&lt;/Group&gt;&lt;/Citation&gt;_x000a_"/>
    <w:docVar w:name="NE.Ref{18CBAE1D-8AB1-4305-939B-91EBDD7D1F9A}" w:val=" ADDIN NE.Ref.{18CBAE1D-8AB1-4305-939B-91EBDD7D1F9A}&lt;Citation&gt;&lt;Group&gt;&lt;References&gt;&lt;Item&gt;&lt;ID&gt;1400&lt;/ID&gt;&lt;UID&gt;{4C0393B5-BFDE-4E36-9A1F-24669028F97F}&lt;/UID&gt;&lt;Title&gt;Stroke genetics informs drug discovery and risk prediction across ancestries&lt;/Title&gt;&lt;Template&gt;Journal Article&lt;/Template&gt;&lt;Star&gt;0&lt;/Star&gt;&lt;Tag&gt;0&lt;/Tag&gt;&lt;Author&gt;Mishra, A; Malik, R; Hachiya, T; Jurgenson, T; Namba, S; Posner, D C; Kamanu, F K; Koido, M; Le Grand, Q; Shi, M; He, Y; Georgakis, M K; Caro, I; Krebs, K; Liaw, Y C; Vaura, F C; Lin, K; Winsvold, B S; Srinivasasainagendra, V; Parodi, L; Bae, H J; Chauhan, G; Chong, M R; Tomppo, L; Akinyemi, R; Roshchupkin, G V; Habib, N; Jee, Y H; Thomassen, J Q; Abedi, V; Carcel-Marquez, J; Nygaard, M; Leonard, H L; Yang, C; Yonova-Doing, E; Knol, M J; Lewis, A J; Judy, R L; Ago, T; Amouyel, P; Armstrong, N D; Bakker, M K; Bartz, T M; Bennett, D A; Bis, J C; Bordes, C; Borte, S; Cain, A; Ridker, P M; Cho, K; Chen, Z; Cruchaga, C; Cole, J W; de Jager, P L; de Cid, R; Endres, M; Ferreira, L E; Geerlings, M I; Gasca, N C; Gudnason, V; Hata, J; He, J; Heath, A K; Ho, Y L; Havulinna, A S; Hopewell, J C; Hyacinth, H I; Inouye, M; Jacob, M A; Jeon, C E; Jern, C; Kamouchi, M; Keene, K L; Kitazono, T; Kittner, S J; Konuma, T; Kumar, A; Lacaze, P; Launer, L J; Lee, K J; Lepik, K; Li, J; Li, L; Manichaikul, A; Markus, H S; Marston, N A; Meitinger, T; Mitchell, B D; Montellano, F A; Morisaki, T; Mosley, T H; Nalls, M A; Nordestgaard, B G; O&amp;apos;Donnell, M J; Okada, Y; Onland-Moret, N C; Ovbiagele, B; Peters, A; Psaty, B M; Rich, S S; Rosand, J; Sabatine, M S; Sacco, R L; Saleheen, D; Sandset, E C; Salomaa, V; Sargurupremraj, M; Sasaki, M; Satizabal, C L; Schmidt, C O; Shimizu, A; Smith, N L; Sloane, K L; Sutoh, Y; Sun, Y V; Tanno, K; Tiedt, S; Tatlisumak, T; Torres-Aguila, N P; Tiwari, H K; Tregouet, D A; Trompet, S; Tuladhar, A M; Tybjaerg-Hansen, A; van Vugt, M; Vibo, R; Verma, S S; Wiggins, K L; Wennberg, P; Woo, D; Wilson, PWF; Xu, H; Yang, Q; Yoon, K; Millwood, I Y; Gieger, C; Ninomiya, T; Grabe, H J; Jukema, J W; Rissanen, I L; Strbian, D; Kim, Y J; Chen, P H; Mayerhofer, E; Howson, JMM; Irvin, M R; Adams, H; Wassertheil-Smoller, S; Christensen, K; Ikram, M A; Rundek, T; Worrall, B B; Lathrop, G M; Riaz, M; Simonsick, E M; Korv, J; Franca, PHC; Zand, R; Prasad, K; Frikke-Schmidt, R; de Leeuw, F E; Liman, T; Haeusler, K G; Ruigrok, Y M; Heuschmann, P U; Longstreth, W T; Jung, K J; Bastarache, L; Pare, G; Damrauer, S M; Chasman, D I; Rotter, J I; Anderson, C D; Zwart, J A; Niiranen, T J; Fornage, M; Liaw, Y P; Seshadri, S; Fernandez-Cadenas, I; Walters, R G; Ruff, C T; Owolabi, M O; Huffman, J E; Milani, L; Kamatani, Y; Dichgans, M; Debette, S&lt;/Author&gt;&lt;Year&gt;2022&lt;/Year&gt;&lt;Details&gt;&lt;_accession_num&gt;36180795&lt;/_accession_num&gt;&lt;_author_adr&gt;Bordeaux Population Health Research Center, University of Bordeaux, Inserm, UMR  1219, Bordeaux, France.; Institute for Stroke and Dementia Research (ISD), University Hospital, LMU  Munich, Munich, Germany.; Iwate Tohoku Medical Megabank Organization, Iwate Medical University, Iwate,  Japan.; Estonian Genome Centre, Institute of Genomics, University of Tartu, Tartu,  Estonia.; Institute of Mathematics and Statistics, University of Tartu, Tartu, Estonia.; Department of Statistical Genetics, Osaka University Graduate School of Medicine,  Suita, Japan.; Massachusetts Veterans Epidemiology Research and Information Center (MAVERIC), VA  Boston Healthcare System, Boston, MA, USA.; TIMI Study Group, Boston, MA, USA.; Division of Cardiovascular Medicine, Brigham and Women&amp;apos;s Hospital, Harvard  Medical School, Boston, MA, USA.; Division of Molecular Pathology, Institute of Medical Sciences, The University of  Tokyo, Tokyo, Japan.; Laboratory of Complex Trait Genomics, Graduate School of Frontier Sciences, The  University of Tokyo, Tokyo, Japan.; Bordeaux Population Health Research Center, University of Bordeaux, Inserm, UMR  1219, Bordeaux, France.; Laboratory of Complex Trait Genomics, Graduate School of Frontier Sciences, The  University of Tokyo, Tokyo, Japan.; Laboratory of Complex Trait Genomics, Graduate School of Frontier Sciences, The  University of Tokyo, Tokyo, Japan.; Institute for Stroke and Dementia Research (ISD), University Hospital, LMU  Munich, Munich, Germany.; Center for Genomic Medicine, Massachusetts General Hospital, Boston, MA, USA.; Program in Medical and Population Genetics, Broad Institute of Harvard and the  Massachusetts Institute of Technology, Cambridge, MA, USA.; Bordeaux Population Health Research Center, University of Bordeaux, Inserm, UMR  1219, Bordeaux, France.; Estonian Genome Centre, Institute of Genomics, University of Tartu, Tartu,  Estonia.; Laboratory of Clinical Genome Sequencing, Department of Computational Biology and  Medical Sciences, Graduate School of Frontier Sciences, The University of Tokyo,  Tokyo, Japan.; Department of Public Health and Institute of Public Health, Chung Shan Medical  University, Taichung, Taiwan.; Department of Internal Medicine, University of Turku, Turku, Finland.; Department of Public Health and Welfare, Finnish Institute for Health and  Welfare, Turku, Finland.; Nuffield Department of Population Health, University of Oxford, Oxford, UK.;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Department of Neurology, Oslo University Hospital, Oslo, Norway.; Department of Biostatistics, School of Public Health, University of Alabama at  Birmingham, Birmingham, AL, USA.; Center for Genomic Medicine, Massachusetts General Hospital, Boston, MA, USA.; Program in Medical and Population Genetics, Broad Institute of Harvard and the  Massachusetts Institute of Technology, Cambridge, MA, USA.; Department of Neurology and Cerebrovascular Disease Center, Seoul National  University Bundang Hospital, Seoul National University College of Medicine,  Seongnam, Republic of Korea.; Rajendra Institute of Medical Sciences, Ranchi, India.; Thrombosis and Atherosclerosis Research Institute, David Braley Cardiac, Vascular  and Stroke Research Institute, Hamilton, Ontario, Canada.; Department of Pathology and Molecular Medicine, Michael G. DeGroote School of  Medicine, McMaster University, Hamilton, Ontario, Canada.; Department of Neurology, Helsinki University Hospital and University of Helsinki,  Helsinki, Finland.; Center for Genomic and Precision Medicine, College of Medicine, University of  Ibadan, Ibadan, Nigeria.; Neuroscience and Ageing Research Unit Institute for Advanced Medical Research and  Training, College of Medicine, University of Ibadan, Ibadan, Nigeria.; Department of Epidemiology, Erasmus MC University Medical Center Rotterdam,  Rotterdam, The Netherlands.; Department of Radiology and Nuclear Medicine, Erasmus MC University Medical  Center Rotterdam, Rotterdam, The Netherlands.; The Edmond and Lily Safra Center for Brain Sciences, The Hebrew University of  Jerusalem, Jerusalem, Israel.; Department of Epidemiology, Harvard T. H. Chan School of Public Health, Boston,  MA, USA.; Department of Clinical Biochemistry, Copenhagen University  Hospital-Rigshospitalet, Copenhagen, Denmark.; Department of Molecular and Functional Genomics, Weis Center for Research,  Geisinger Health System, Danville, VA, USA.; Department of Public Health Sciences, College of Medicine, The Pennsylvania State  University, State College, PA, USA.; Stroke Pharmacogenomics and Genetics Laboratory, Biomedical Research Institute  Sant Pau (IIB Sant Pau), Barcelona, Spain.; Departament de Medicina, Universitat Autonoma de Barcelona, Barcelona, Spain.; The Danish Twin Registry, Department of Public Health, University of Southern  Denmark, Odense, Denmark.; Department of Clinical Genetics, Odense University Hospital, Odense, Denmark.; Center for Alzheimer&amp;apos;s and Related Dementias, National Institutes of Health,  Bethesda, MD, USA.; Laboratory of Neurogenetics, National Institute on Aging, National Institutes of  Health, Bethesda, MD, USA.; Data Tecnica International, Glen Echo, MD, USA.; Center for Public Health Genomics, University of Virginia, Charlottesville, VA,  USA.; Department of Biochemistry and Molecular Genetics, University of Virginia,  Charlottesville, VA, USA.; British Heart Foundation Cardiovascular Epidemiology Unit, Department of Public  Health and Primary Care, University of Cambridge, Cambridge, UK.; Department of Genetics, Novo Nordisk Research Centre Oxford, Oxford, UK.; Department of Epidemiology, Erasmus MC University Medical Center Rotterdam,  Rotterdam, The Netherlands.; Department of Biomedical Informatics, Vanderbilt University Medical Center,  Nashville, TN, USA.; Department of Surgery, University of Pennsylvania, Philadelphia, PA, USA.; Department of Medicine and Clinical Science, Graduate School of Medical Sciences,  Kyushu University, Fukuoka, Japan.; University of Lille, INSERM U1167, RID-AGE, LabEx DISTALZ, Risk Factors and  Molecular Determinants of Aging-Related Diseases, Lille, France.; CHU Lille, Public Health Department, Lille, France.; Institut Pasteur de Lille, Lille, France.; Department of Epidemiology, University of Alabama at Birmingham, Birmingham, AL,  USA.; UMC Utrecht Brain Center, Department of Neurology and Neurosurgery, University  Medical Center Utrecht, University Utrecht, Utrecht, The Netherlands.; Cardiovascular Health Research Unit, Department of Medicine, University of  Washington, Seattle, WA, USA.; Department of Biostatistics, University of Washington, Seattle, WA, USA.; Rush Alzheimer&amp;apos;s Disease Center, Rush University Medical Center, Chicago, IL,  USA.; Cardiovascular Health Research Unit, Department of Medicine, University of  Washington, Seattle, WA, USA.; Bordeaux Population Health Research Center, University of Bordeaux, Inserm, UMR  1219, Bordeaux, France.; K. G. Jebsen Center for Genetic Epidemiology, Department of Public Health and  Nursing, Faculty of Medicine and Health Sciences, Norwegian University of Science  and Technology (NTNU), Trondheim, Norway.; Institute of Clinical Medicine, Faculty of Medicine, University of Oslo, Oslo,  Norway.; Research and Communication Unit for Musculoskeletal Health (FORMI), Department of  Research and Innovation, Division of Clinical Neuroscience, Oslo University  Hospital, Oslo, Norway.; The Edmond and Lily Safra Center for Brain Sciences, The Hebrew University of  Jerusalem, Jerusalem, Israel.; Division of Preventive Medicine, Brigham and Women&amp;apos;s Hospital, Boston, MA, USA.; Harvard Medical School, Boston, MA, USA.; Massachusetts Veterans Epidemiology Research and Information Center (MAVERIC), VA  Boston Healthcare System, Boston, MA, USA.; Nuffield Department of Population Health, University of Oxford, Oxford, UK.; MRC Population Health Research Unit, University of Oxford, Oxford, UK.; Department of Psychiatry, Washington University School of Medicine, Saint Louis,  MO, USA.; NeuroGenomics and Informatics Center, Washington University School of Medicine,  Saint Louis, MO, USA.; VA Maryland Health Care System, Baltimore, MD, USA.; Department of Neurology, University of Maryland School of Medicine, Baltimore,  MD, USA.; Program in Medical and Population Genetics, Broad Institute of Harvard and the  Massachusetts Institute of Technology, Cambridge, MA, USA.; Center for Translational and Computational Neuroimmunology, Department of  Neurology, Columbia University Medical Center, New York, NY, USA.; GenomesForLife-GCAT Lab Group, Germans Trias i Pujol Research Institute (IGTP),  Badalona, Spain.; Klinik und Hochschulambulanz fur Neurologie, Charite-Universitatsmedizin Berlin,  Berlin, Germany.; Center for Stroke Research Berlin, Berlin, Germany.; German Center for Neurodegenerative Diseases (DZNE), partner site Berlin, Berlin,  Germany.; German Centre for Cardiovascular Research (DZHK), partner site Berlin, Berlin,  Germany.; Post-Graduation Program on Health and Environment, Department of Medicine and  Joinville Stroke Biobank, University of the Region of Joinville, Santa Catarina,  Brazil.; Department of Epidemiology, Julius Center for Health Sciences and Primary Care,  University Medical Center Utrecht, Utrecht University, Utrecht, The Netherlands.; Department of Biostatistics, University of Washington, Seattle, WA, USA.; Icelandic Heart Association, Kopavogur, Iceland.; Faculty of Medicine, University of Iceland, Reykjavik, Iceland.; Department of Epidemiology and Public Health, Graduate School of Medical  Sciences, Kyushu University, Fukuoka, Japan.; Department of Biomedical Informatics, Vanderbilt University Medical Center,  Nashville, TN, USA.; Department of Epidemiology and Biostatistics, School of Public Health, Imperial  College London, London, UK.; Massachusetts Veterans Epidemiology Research and Information Center (MAVERIC), VA  Boston Healthcare System, Boston, MA, USA.; Department of Public Health and Welfare, Finnish Institute for Health and  Welfare, Helsinki, Finland.; Institute for Molecular Medicine Finland, FIMM-HiLIFE, Helsinki, Finland.; Clinical Trial Service and Epidemiological Studies Unit (CTSU), Nuffield  Department of Population Health, University of Oxford, Oxford, UK.; Department of Neurology and Rehabilitation Medicine, University of Cincinnati  College of Medicine, Cincinnati, OH, USA.; British Heart Foundation Cardiovascular Epidemiology Unit, Department of Public  Health and Primary Care, University of Cambridge, Cambridge, UK.; Cambridge Baker Systems Genomics Initiative, Department of Public Health and  Primary Care, University of Cambridge, Cambridge, UK.; Cambridge Baker Systems Genomics Initiative, Baker Heart and Diabetes Institute,  Melbourne, Victoria, Australia.; Health Data Research UK Cambridge, Wellcome Genome Campus and University of  Cambridge, Cambridge, UK.; British Heart Foundation Centre of Research Excellence, University of Cambridge,  Cambridge, UK.; Department of Neurology, Donders Center for Medical Neuroscience, Radboud  University Medical Center, Nijmegen, The Netherlands.; Los Angeles County Department of Public Health, Los Angeles, CA, USA.; Institute of Biomedicine, Department of Laboratory Medicine, the Sahlgrenska  Academy, University of Gothenburg, Gothenburg, Sweden.; Department of Clinical Genetics and Genomics, Sahlgrenska University Hospital,  Gothenburg, Sweden.; Department of Health Care Administration and Management, Graduate School of  Medical Sciences, Kyushu University, Fukuoka, Japan.; Department of Biology, Brody School of Medicine Center for Health Disparities,  East Carolina University, Greenville, NC, USA.; Department of Medicine and Clinical Science, Graduate School of Medical Sciences,  Kyushu University, Fukuoka, Japan.; Department of Neurology, University of Maryland School of Medicine, Baltimore,  MD, USA.; Department of Neurology and Geriatric Research and Education Clinical Center, VA  Maryland Health Care System, Baltimore, MD, USA.; Department of Statistical Genetics, Osaka University Graduate School of Medicine,  Suita, Japan.; Rajendra Institute of Medical Sciences, Ranchi, India.; Department of Epidemiology and Preventive Medicine, School of Public Health and  Preventive Medicine, Monash University, Melbourne, Victoria, Australia.; Intramural Research Program, National Institute on Aging, NIH, Baltimore, MD,  USA.; Department of Neurology, Korea University Guro Hospital, Seoul, Republic of  Korea.; Estonian Genome Centre, Institute of Genomics, University of Tartu, Tartu,  Estonia.; Department of Computational Biology, University of Lausanne, Lausanne,  Switzerland.; Swiss Institute of Bioinformatics, Lausanne, Switzerland.; University Center for Primary Care and Public Health, Lausanne, Switzerland.; Department of Molecular and Functional Genomics, Weis Center for Research,  Geisinger Health System, Danville, VA, USA.; Department of Epidemiology and Biostatistics, School of Public Health, Peking  University Health Science Center, Beijing, China.; Center for Public Health Genomics, University of Virginia, Charlottesville, VA,  USA.; Stroke Research Group, Department of Clinical Neurosciences, University of  Cambridge, Cambridge, UK.; TIMI Study Group, Boston, MA, USA.; Division of Cardiovascular Medicine, Brigham and Women&amp;apos;s Hospital, Harvard  Medical School, Boston, MA, USA.; Institute of Human Genetics, Technical University of Munich, Munich, Germany.; Institute of Human Genetics, Helmholtz Zentrum Munchen, German Research Center  for Environmental Health, Neuherberg, Germany.; Department of Medicine, University of Maryland School of Medicine, Baltimore, MD,  USA.; Geriatrics Research and Education Clinical Center, Baltimore Veterans  Administration Medical Center, Baltimore, MD, USA.; Institute of Clinical Epidemiology and Biometry, University of Wurzburg,  Wurzburg, Germany.; Department of Neurology, University Hospital Wurzburg, Wurzburg, Germany.; Division of Molecular Pathology, Institute of Medical Sciences, The University of  Tokyo, Tokyo, Japan.; The MIND Center, University of Mississippi Medical Center, Jackson, MS, USA.; Center for Alzheimer&amp;apos;s and Related Dementias, National Institutes of Health,  Bethesda, MD, USA.; Laboratory of Neurogenetics, National Institute on Aging, National Institutes of  Health, Bethesda, MD, USA.; Data Tecnica International, Glen Echo, MD, USA.; Department of Clinical Biochemistry, Copenhagen University Hospital-Herlev and  Gentofte, Copenhagen, Denmark.; Department of Clinical Medicine, University of Copenhagen, Copenhagen, Denmark.; College of Medicine Nursing and Health Science, NUI Galway, Galway, Ireland.; Department of Statistical Genetics, Osaka University Graduate School of Medicine,  Suita, Japan.; Department of Genome Informatics, Graduate School of Medicine, The University of  Tokyo, Tokyo, Japan.; Laboratory for Systems Genetics, RIKEN Center for Integrative Medical Sciences,  Yokohama, Japan.; Laboratory of Statistical Immunology, Immunology Frontier Research Center  (WPI-IFReC), Osaka University, Suita, Japan.; Integrated Frontier Research for Medical Science Division, Institute for Open and  Transdisciplinary Research Initiatives, Osaka University, Suita, Japan.; Center for Infectious Disease Education and Research (CiDER), Osaka University,  Suita, Japan.; Department of Epidemiology, Julius Center for Health Sciences and Primary Care,  University Medical Center Utrecht, Utrecht University, Utrecht, The Netherlands.; Weill Institute for Neurosciences, University of California, San Francisco, San  Francisco, CA, USA.; Institute of Epidemiology, Helmholtz Zentrum Munchen,, German Research Center for  Environmental Health, Neuherberg, Germany.; Institute for Medical Information Processing, Biometry and Epidemiology, Ludwig  Maximilian University Munich, Munich, Germany.; German Centre for Cardiovascular Research (DZHK), partner site Munich, Munich,  Germany.; Cardiovascular Health Research Unit, Department of Medicine, University of  Washington, Seattle, WA, USA.; Department of Epidemiology, University of Washington, Seattle, WA, USA.; Department of Health Systems and Population Health, University of Washington,  Seattle, WA, USA.; Center for Public Health Genomics, University of Virginia, Charlottesville, V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TIMI Study Group, Boston, MA, USA.; Division of Cardiovascular Medicine, Brigham and Women&amp;apos;s Hospital, Harvard  Medical School, Boston, MA, USA.; Department of Neurology, University of Miami Miller School of Medicine, Miami,  FL, USA.; Evelyn F. McKnight Brain Institute, Gainesville, FL, USA.; Division of Cardiology, Department of Medicine, Columbia University, New York,  NY, USA.; Stroke Unit, Department of Neurology, Oslo University Hospital, Oslo, Norway.; Research and Development, The Norwegian Air Ambulance Foundation, Oslo, Norway.; Department of Public Health and Welfare, Finnish Institute for Health and  Welfare, Helsinki, Finland.; Glenn Biggs Institute for Alzheimer&amp;apos;s and Neurodegenerative Diseases, University  of Texas Health Sciences Center, San Antonio, TX, USA.; Iwate Tohoku Medical Megabank Organization, Iwate Medical University, Iwate,  Japan.; Glenn Biggs Institute for Alzheimer&amp;apos;s and Neurodegenerative Diseases, University  of Texas Health Sciences Center, San Antonio, TX, USA.; Framingham Heart Study, Framingham, MA, USA.; University Medicine Greifswald, Institute for Community Medicine, SHIP/KEF,  Greifswald, Germany.; Iwate Tohoku Medical Megabank Organization, Iwate Medical University, Iwate,  Japan.; Department of Epidemiology, University of Washington, Seattle, WA, USA.; Kaiser Permanente Washington Health Research Institute, Kaiser Permanente  Washington, Seattle, WA, USA.; Department of Veterans Affairs Office of Research and Development, Seattle  Epidemiologic Research and Information Center, Seattle, WA, USA.; Department of Neurology, University of Pennsylvania, Philadelphia, PA, USA.; Iwate Tohoku Medical Megabank Organization, Iwate Medical University, Iwate,  Japan.; Atlanta VA Health Care System, Decatur, GA, USA.; Department of Epidemiology, Emory University Rollins School of Public Health,  Atlanta, GA, USA.; Iwate Tohoku Medical Megabank Organization, Iwate Medical University, Iwate,  Japan.; Institute for Stroke and Dementia Research (ISD), University Hospital, LMU  Munich, Munich, Germany.; Department of Clinical Neuroscience, Institute of Neuroscience and Physiology,  Sahlgrenska Unviersity Hospital, Gothenburg, Sweden.; Stroke Pharmacogenomics and Genetics Laboratory, Biomedical Research Institute  Sant Pau (IIB Sant Pau), Barcelona, Spain.; Department of Biostatistics, School of Public Health, University of Alabama at  Birmingham, Birmingham, AL, USA.; Bordeaux Population Health Research Center, University of Bordeaux, Inserm, UMR  1219, Bordeaux, France.; Department of Internal Medicine, Section of Gerontology and Geriatrics, Leiden  University Medical Center, Leiden, The Netherlands.; Department of Cardiology, Leiden University Medical Center, Leiden, The  Netherlands.; Department of Neurology, Donders Center for Medical Neuroscience, Radboud  University Medical Center, Nijmegen, The Netherlands.; Department of Clinical Biochemistry, Copenhagen University  Hospital-Rigshospitalet, Copenhagen, Denmark.; Department of Clinical Medicine, University of Copenhagen, Copenhagen, Denmark.; Division Heart &amp;amp; Lungs, Department of Cardiology, University Medical Center  Utrecht, Utrecht University, Utrecht, The Netherlands.; Department of Neurology and Neurosurgery, University of Tartu, Tartu, Estonia.; Department of Pathology and Laboratory Medicine, University of Pennsylvania,  Philadelphia, PA, USA.; Cardiovascular Health Research Unit, Department of Medicine, University of  Washington, Seattle, WA, USA.; Department of Public Health and Clinical Medicine, Umea University, Umea, Sweden.; Department of Neurology and Rehabilitation Medicine, University of Cincinnati  College of Medicine, Cincinnati, OH, USA.; Atlanta VA Health Care System, Decatur, GA, USA.; Department of Medicine, Division of Cardiovascular Disease, Emory University  School of Medicine, Atlanta, GA, USA.; Department of Medicine, University of Maryland School of Medicine, Baltimore, MD,  USA.; Framingham Heart Study, Framingham, MA, USA.; Department of Biostatistics, Boston University School of Public Health, Boston,  MA, USA.; Division of Genome Science, Department of Precision Medicine, National Institute  of Health, Cheongju, Republic of Korea.; Nuffield Department of Population Health, University of Oxford, Oxford, UK.; MRC Population Health Research Unit, University of Oxford, Oxford, UK.; Research Unit Molecular Epidemiology, Institute of Epidemiology, Helmholtz  Zentrum Munchen, German Research Center for Environmental Health, Neuherberg,  Germany.; Department of Epidemiology and Public Health, Graduate School of Medical  Sciences, Kyushu University, Fukuoka, Japan.; Department of Psychiatry and Psychotherapy, University Medicine Greifswald,  Greifswald, Germany.; German Center for Neurodegenerative Diseases (DZNE), site Rostock/Greifswald,  Rostock, Germany.; Department of Cardiology, Leiden University Medical Center, Leiden, The  Netherlands.; Netherlands Heart Institute, Utrecht, The Netherlands.; Einthoven Laboratory for Experimental Vascular Medicine, LUMC, Leiden, The  Netherlands.; Department of Epidemiology, Julius Center for Health Sciences and Primary Care,  University Medical Center Utrecht, Utrecht University, Utrecht, The Netherlands.; Department of Neurology, Helsinki University Hospital and University of Helsinki,  Helsinki, Finland.; Division of Genome Science, Department of Precision Medicine, National Institute  of Health, Cheongju, Republic of Korea.; Department of Public Health and Institute of Public Health, Chung Shan Medical  University, Taichung, Taiwan.; Center for Genomic Medicine, Massachusetts General Hospital, Boston, MA, USA.; Program in Medical and Population Genetics, Broad Institute of Harvard and the  Massachusetts Institute of Technology, Cambridge, MA, USA.; British Heart Foundation Cardiovascular Epidemiology Unit, Department of Public  Health and Primary Care, University of Cambridge, Cambridge, UK.; Department of Genetics, Novo Nordisk Research Centre Oxford, Oxford, UK.; Department of Epidemiology, University of Alabama at Birmingham, Birmingham, AL,  USA.; Department of Clinical Genetics, Department of Radiology and Nuclear Medicine,  Erasmus MC, Rotterdam, The Netherlands.; Latin American Brain Health (BrainLat), Universidad Adolfo Ibanez, Santiago,  Chile.; Department of Epidemiology and Population Health, Albert Einstein College of  Medicine, New York, NY, USA.; The Danish Twin Registry, Department of Public Health, University of Southern  Denmark, Odense, Denmark.; Department of Clinical Genetics, Odense University Hospital, Odense, Denmark.; Department of Clinical Biochemistry and Pharmacology, Odense University Hospital,  Odense, Denmark.; Department of Epidemiology, Erasmus MC University Medical Center Rotterdam,  Rotterdam, The Netherlands.; Department of Neurology, University of Miami Miller School of Medicine, Miami,  FL, USA.; Evelyn F. McKnight Brain Institute, Gainesville, FL, USA.; Department of Neurology, University of Virginia, Charlottesville, VA, USA.; Department of Public Health Science, University of Virginia, Charlottesville, VA,  USA.; McGill Genome Centre, Montreal, Quebec, Canada.; Department of Epidemiology and Preventive Medicine, School of Public Health and  Preventive Medicine, Monash University, Melbourne, Victoria, Australia.; Longitudinal Studies Section, Translational Gerontology Branch, National  Institute on Aging, Baltimore, MD, USA.; Department of Neurology and Neurosurgery, University of Tartu, Tartu, Estonia.; Post-Graduation Program on Health and Environment, Department of Medicine and  Joinville Stroke Biobank, University of the Region of Joinville, Santa Catarina,  Brazil.; Geisinger Neuroscience Institute, Geisinger Health System, Danville, PA, USA.; Department of Neurology, College of Medicine, The Pennsylvania State University,  State College, PA, USA.; Rajendra Institute of Medical Sciences, Ranchi, India.; Department of Clinical Biochemistry, Copenhagen University  Hospital-Rigshospitalet, Copenhagen, Denmark.; Department of Clinical Medicine, University of Copenhagen, Copenhagen, Denmark.; Department of Neurology, Donders Center for Medical Neuroscience, Radboud  University Medical Center, Nijmegen, The Netherlands.; Center for Stroke Research Berlin, Berlin, Germany.; Department of Epidemiology, Julius Center for Health Sciences and Primary Care,  University Medical Center Utrecht, Utrecht University, Utrecht, The Netherlands.; Klinik fur Neurologie, Carl von Ossietzky University of Oldenburg, Oldenburg,  Germany.; Department of Neurology, University Hospital Wurzburg, Wurzburg, Germany.; UMC Utrecht Brain Center, Department of Neurology and Neurosurgery, University  Medical Center Utrecht, University Utrecht, Utrecht, The Netherlands.; Institute of Clinical Epidemiology and Biometry, University of Wurzburg,  Wurzburg, Germany.; Comprehensive Heart Failure Center, University Hospital Wurzburg, Wurzburg,  Germany.; Clinical Trial Center, University Hospital Wurzburg, Wurzburg, Germany.; Department of Epidemiology, University of Washington, Seattle, WA, USA.; Department of Neurology, University of Washington, Seattle, WA, USA.; Nuffield Department of Population Health, University of Oxford, Oxford, UK.; Institute for Health Promotion, Graduate School of Public Health, Yonsei  University, Seoul, Republic of Korea.; Department of Biomedical Informatics, Vanderbilt University Medical Center,  Nashville, TN, USA.; Thrombosis and Atherosclerosis Research Institute, David Braley Cardiac, Vascular  and Stroke Research Institute, Hamilton, Ontario, Canada.; Department of Pathology and Molecular Medicine, Michael G. DeGroote School of  Medicine, McMaster University, Hamilton, Ontario, Canada.; Department of Health Research Methods, Evidence and Impact, McMaster University,  Hamilton, Ontario, Canada.; Population Health Research Institute, David Braley Cardiac, Vascular and Stroke  Research Institute, Hamilton, Ontario, Canada.; Department of Surgery and Department of Genetics, University of Pennsylvania,  Philadelphia, PA, USA.; Corporal Michael Crescenz VA Medical Center, Philadelphia, PA, USA.; Division of Preventive Medicine, Brigham and Women&amp;apos;s Hospital, Boston, MA, USA.; Harvard Medical School, Boston, MA, USA.; The Institute for Translational Genomics and Population Sciences, Department of  Pediatrics, The Lundquist Institute for Biomedical Innovation at Harbor-UCLA  Medical Center, Torrance, C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Department of Neurology, Brigham and Women&amp;apos;s Hospital, Boston, MA, USA.;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Institute of Clinical Medicine, Faculty of Medicine, University of Oslo, Oslo,  Norway.; Department of Internal Medicine, University of Turku, Turku, Finland.; Department of Public Health and Welfare, Finnish Institute for Health and  Welfare, Turku, Finland.; Division of Medicine, Turku University Hospital, Turku, Finland.; Brown Foundation Institute of Molecular Medicine, McGovern Medical School,  University of Texas Health Science Center at Houston, Houston, TX, USA.; Human Genetics Center, School of Public Health, University of Texas Health  Science Center at Houston, Houston, TX, USA.; Department of Public Health and Institute of Public Health, Chung Shan Medical  University, Taichung, Taiwan.; Department of Medical Imaging, Chung Shan Medical University Hospital, Taichung,  Taiwan.; Glenn Biggs Institute for Alzheimer&amp;apos;s and Neurodegenerative Diseases, University  of Texas Health Sciences Center, San Antonio, TX, USA.; Framingham Heart Study, Framingham, MA, USA.; Department of Neurology, Boston University School of Medicine, Boston, MA, USA.; Stroke Pharmacogenomics and Genetics Laboratory, Biomedical Research Institute  Sant Pau (IIB Sant Pau), Barcelona, Spain.; Nuffield Department of Population Health, University of Oxford, Oxford, UK.; MRC Population Health Research Unit, University of Oxford, Oxford, UK.; TIMI Study Group, Boston, MA, USA.; Division of Cardiovascular Medicine, Brigham and Women&amp;apos;s Hospital, Harvard  Medical School, Boston, MA, USA.; Center for Genomic and Precision Medicine, College of Medicine, University of  Ibadan, Ibadan, Nigeria.; Department of Medicine, University of Ibadan, Ibadan, Nigeria.; Massachusetts Veterans Epidemiology Research and Information Center (MAVERIC), VA  Boston Healthcare System, Boston, MA, USA.; Estonian Genome Centre, Institute of Genomics, University of Tartu, Tartu,  Estonia.; Laboratory of Complex Trait Genomics, Graduate School of Frontier Sciences, The  University of Tokyo, Tokyo, Japan.; Institute for Stroke and Dementia Research (ISD), University Hospital, LMU  Munich, Munich, Germany. Martin.Dichgans@med.uni-muenchen.de.; Munich Cluster for Systems Neurology, Munich, Germany.  Martin.Dichgans@med.uni-muenchen.de.; German Center for Neurodegenerative Diseases (DZNE), Munich, Germany.  Martin.Dichgans@med.uni-muenchen.de.; Bordeaux Population Health Research Center, University of Bordeaux, Inserm, UMR  1219, Bordeaux, France. stephanie.debette@u-bordeaux.fr.; Department of Neurology, Institute for Neurodegenerative Diseases, CHU de  Bordeaux, Bordeaux, France. stephanie.debette@u-bordeaux.fr.&lt;/_author_adr&gt;&lt;_date_display&gt;2022 Nov&lt;/_date_display&gt;&lt;_date&gt;2022-11-01&lt;/_date&gt;&lt;_doi&gt;10.1038/s41586-022-05165-3&lt;/_doi&gt;&lt;_isbn&gt;1476-4687 (Electronic); 0028-0836 (Print); 0028-0836 (Linking)&lt;/_isbn&gt;&lt;_issue&gt;7934&lt;/_issue&gt;&lt;_journal&gt;Nature&lt;/_journal&gt;&lt;_language&gt;eng&lt;/_language&gt;&lt;_ori_publication&gt;(c) 2022. The Author(s).&lt;/_ori_publication&gt;&lt;_pages&gt;115-123&lt;/_pages&gt;&lt;_subject_headings&gt;Humans; Brain Ischemia/genetics; *Drug Discovery; *Genetic Predisposition to Disease/genetics; Genome-Wide Association Study; *Ischemic Stroke/genetics; Molecular Targeted Therapy; Multifactorial Inheritance; Europe/ethnology; Asia, Eastern/ethnology; Africa/ethnology&lt;/_subject_headings&gt;&lt;_tertiary_title&gt;Nature&lt;/_tertiary_title&gt;&lt;_type_work&gt;Journal Article; Meta-Analysis; Research Support, N.I.H., Extramural; Research Support, Non-U.S. Gov&amp;apos;t&lt;/_type_work&gt;&lt;_url&gt;http://www.ncbi.nlm.nih.gov/entrez/query.fcgi?cmd=Retrieve&amp;amp;db=pubmed&amp;amp;dopt=Abstract&amp;amp;list_uids=36180795&amp;amp;query_hl=1&lt;/_url&gt;&lt;_volume&gt;611&lt;/_volume&gt;&lt;_created&gt;65212739&lt;/_created&gt;&lt;_modified&gt;65212739&lt;/_modified&gt;&lt;_db_updated&gt;PubMed&lt;/_db_updated&gt;&lt;_impact_factor&gt;  49.962&lt;/_impact_factor&gt;&lt;_collection_scope&gt;SCI;SCIE&lt;/_collection_scope&gt;&lt;/Details&gt;&lt;Extra&gt;&lt;DBUID&gt;{F96A950B-833F-4880-A151-76DA2D6A2879}&lt;/DBUID&gt;&lt;/Extra&gt;&lt;/Item&gt;&lt;/References&gt;&lt;/Group&gt;&lt;/Citation&gt;_x000a_"/>
    <w:docVar w:name="NE.Ref{1BBD95C2-5F57-4B48-9F2C-A3418FEB11C5}" w:val=" ADDIN NE.Ref.{1BBD95C2-5F57-4B48-9F2C-A3418FEB11C5}&lt;Citation&gt;&lt;Group&gt;&lt;References&gt;&lt;Item&gt;&lt;ID&gt;1428&lt;/ID&gt;&lt;UID&gt;{1FCC35EA-0D33-422A-89BD-20BDEB2BAA9E}&lt;/UID&gt;&lt;Title&gt;Genome-wide association analysis and Mendelian randomization proteomics identify  drug targets for heart failure&lt;/Title&gt;&lt;Template&gt;Journal Article&lt;/Template&gt;&lt;Star&gt;0&lt;/Star&gt;&lt;Tag&gt;0&lt;/Tag&gt;&lt;Author&gt;Rasooly, D; Peloso, G M; Pereira, A C; Dashti, H; Giambartolomei, C; Wheeler, E; Aung, N; Ferolito, B R; Pietzner, M; Farber-Eger, E H; Wells, Q S; Kosik, N M; Gaziano, L; Posner, D C; Bento, A P; Hui, Q; Liu, C; Aragam, K; Wang, Z; Charest, B; Huffman, J E; Wilson, PWF; Phillips, L S; Whittaker, J; Munroe, P B; Petersen, S E; Cho, K; Leach, A R; Magarinos, M P; Gaziano, J M; Langenberg, C; Sun, Y V; Joseph, J; Casas, J P&lt;/Author&gt;&lt;Year&gt;2023&lt;/Year&gt;&lt;Details&gt;&lt;_accession_num&gt;37429843&lt;/_accession_num&gt;&lt;_author_adr&gt;Division of Aging, Brigham and Women&amp;apos;s Hospital, Harvard Medical School, 75  Francis St., Boston, MA, 02130, USA. drasooly@bwh.harvard.edu.; Massachusetts Veterans Epidemiology Research and Information Center (MAVERIC), VA  Boston Healthcare System, 150. S. Huntington Ave, Boston, MA, 02130, USA.  drasooly@bwh.harvard.edu.; Massachusetts Veterans Epidemiology Research and Information Center (MAVERIC), VA  Boston Healthcare System, 150. S. Huntington Ave, Boston, MA, 02130, USA.; Department of Biostatistics, Boston University School of Public Health, 801  Massachusetts Ave Crosstown Centre, Boston, MA, 02118, USA.; Laboratory of Genetics and Molecular Cardiology, Heart Institute, University of  Sao Paulo, Av Dr Eneas de Carvalho Aguiar 54, Sao Paulo, 5403000, Brazil.; Genetics Department, Harvard Medical School, Harvard University, 77 Avenue Louis  Pasteur, Boston, MA, 02115, USA.; Division of Aging, Brigham and Women&amp;apos;s Hospital, Harvard Medical School, 75  Francis St., Boston, MA, 02130, USA.; Broad Institute of MIT and Harvard, 415 Main St., Cambridge, MA, 02142, USA.; Health Data Science Centre, Human Technopole, V.le Rita Levi-Montalcini, 1,  Milan, 20157, Italy.; Central RNA Lab, Non-coding RNAs and RNA-based Therapeutics, Istituto Italiano di  Tecnologia, Via Morego 30, 16163, Genova, Italy.; MRC Epidemiology Unit, Institute of Metabolic Science, University of Cambridge,  Addenbrookes Hospital, IMS, Box 285, Cambridge, CB2 0QQ, UK.; William Harvey Research Institute, Barts and The London School of Medicine and  Dentistry, Queen Mary University of London, London, EC1M 6BQ, UK.; Barts Heart Centre, St Bartholomew&amp;apos;s Hospital, Barts Health NHS Trust, West  Smithfield, London, UK.; Massachusetts Veterans Epidemiology Research and Information Center (MAVERIC), VA  Boston Healthcare System, 150. S. Huntington Ave, Boston, MA, 02130, USA.; MRC Epidemiology Unit, Institute of Metabolic Science, University of Cambridge,  Addenbrookes Hospital, IMS, Box 285, Cambridge, CB2 0QQ, UK.; Computational Medicine, Berlin Institute of Health (BIH) at Charite -  Universitatsmedizin Berlin, Kapelle Ufer 2, Berlin, 10117, Germany.; Precision Healthcare University Research Institute, Queen Mary University of  London, London, UK.; Vanderbilt Institute for Clinical and Translational Research, Vanderbilt  University Medical Center, Nashville, TN, USA.; Vanderbilt University Med. Ctr., Departments of Medicine (Cardiology), Biomedical  Informatics, and Pharmacology, Nashville, TN, USA.; Massachusetts Veterans Epidemiology Research and Information Center (MAVERIC), VA  Boston Healthcare System, 150. S. Huntington Ave, Boston, MA, 02130, USA.; Massachusetts Veterans Epidemiology Research and Information Center (MAVERIC), VA  Boston Healthcare System, 150. S. Huntington Ave, Boston, MA, 02130, USA.; BHF Cardiovascular Epidemiology Unit, Department of Public Health and Primary  Care, University of Cambridge, Worts Causeway, Cambridge, CB1 8RN, UK.; Massachusetts Veterans Epidemiology Research and Information Center (MAVERIC), VA  Boston Healthcare System, 150. S. Huntington Ave, Boston, MA, 02130, USA.; Department of Chemical Biology, European Molecular Biology Laboratory, European  Bioinformatics Institute, Wellcome Genome Campus, Hinxton, CB10 1SD, UK.; Department of Epidemiology, Emory University Rollins School of Public Health,  1518 Clifton Rd NE, Atlanta, GA, 30322, USA.; Atlanta VA Health Care System, 1670 Clairmont Road, Decatur, GA, 30033, USA.; Department of Epidemiology, Emory University Rollins School of Public Health,  1518 Clifton Rd NE, Atlanta, GA, 30322, USA.; Massachusetts Veterans Epidemiology Research and Information Center (MAVERIC), VA  Boston Healthcare System, 150. S. Huntington Ave, Boston, MA, 02130, USA.; Broad Institute of MIT and Harvard, 415 Main St., Cambridge, MA, 02142, USA.; Massachusetts General Hospital, Boston, MA, 02114, USA.; Department of Epidemiology, Emory University Rollins School of Public Health,  1518 Clifton Rd NE, Atlanta, GA, 30322, USA.; Massachusetts Veterans Epidemiology Research and Information Center (MAVERIC), VA  Boston Healthcare System, 150. S. Huntington Ave, Boston, MA, 02130, USA.; Massachusetts Veterans Epidemiology Research and Information Center (MAVERIC), VA  Boston Healthcare System, 150. S. Huntington Ave, Boston, MA, 02130, USA.; Atlanta VA Health Care System, 1670 Clairmont Road, Decatur, GA, 30033, USA.; Division of Cardiology, Department of Medicine, Emory University School of  Medicine, 1639 Pierce Dr NE, Atlanta, GA, 30322, USA.; Atlanta VA Health Care System, 1670 Clairmont Road, Decatur, GA, 30033, USA.; Division of Endocrinology, Emory University, 101 Woodruff Circle, WMRB 1027,  Atlanta, GA, 30322, USA.; MRC Biostatistics Unit, University of Cambridge, Cambridge, CB2 0SR, United  Kingdom.; William Harvey Research Institute, Barts and The London Faculty of Medicine and  Dentistry, Queen Mary University of London, Charterhouse Square, London, EC1M  6BQ, UK.; National Institute for Health Research, Barts Biomedical Research Centre, Queen  Mary University of London, London, UK.; Barts Heart Centre, St Bartholomew&amp;apos;s Hospital, Barts Health NHS Trust, West  Smithfield, London, UK.; William Harvey Research Institute, NIHR Barts Biomedical Research Centre, Queen  Mary University of London, Charterhouse Square, London, EC1M 68Q, UK.; Division of Aging, Brigham and Women&amp;apos;s Hospital, Harvard Medical School, 75  Francis St., Boston, MA, 02130, USA.; Massachusetts Veterans Epidemiology Research and Information Center (MAVERIC), VA  Boston Healthcare System, 150. S. Huntington Ave, Boston, MA, 02130, USA.; Department of Chemical Biology, European Molecular Biology Laboratory, European  Bioinformatics Institute, Wellcome Genome Campus, Hinxton, CB10 1SD, UK.; Department of Chemical Biology, European Molecular Biology Laboratory, European  Bioinformatics Institute, Wellcome Genome Campus, Hinxton, CB10 1SD, UK.; Division of Aging, Brigham and Women&amp;apos;s Hospital, Harvard Medical School, 75  Francis St., Boston, MA, 02130, USA.; Massachusetts Veterans Epidemiology Research and Information Center (MAVERIC), VA  Boston Healthcare System, 150. S. Huntington Ave, Boston, MA, 02130, USA.; MRC Epidemiology Unit, Institute of Metabolic Science, University of Cambridge,  Addenbrookes Hospital, IMS, Box 285, Cambridge, CB2 0QQ, UK.; Computational Medicine, Berlin Institute of Health (BIH) at Charite -  Universitatsmedizin Berlin, Kapelle Ufer 2, Berlin, 10117, Germany.; Precision Healthcare University Research Institute, Queen Mary University of  London, London, UK.; Department of Epidemiology, Emory University Rollins School of Public Health,  1518 Clifton Rd NE, Atlanta, GA, 30322, USA.; Atlanta VA Health Care System, 1670 Clairmont Road, Decatur, GA, 30033, USA.; Department of Biomedical Informatics, Emory University School of Medicine, 1639  Pierce Dr NE, Atlanta, GA, 30332, USA.; Cardiology Section, VA Providence Healthcare System, 830 Chalkstone Avenue,  Providence, RI, 02908, USA. jacob.joseph@va.gov.; Department of Medicine, Warren Alpert Medical School of Brown University, 222  Richmond Street, Providence, RI, 02903, USA. jacob.joseph@va.gov.; Division of Aging, Brigham and Women&amp;apos;s Hospital, Harvard Medical School, 75  Francis St., Boston, MA, 02130, USA.; Massachusetts Veterans Epidemiology Research and Information Center (MAVERIC), VA  Boston Healthcare System, 150. S. Huntington Ave, Boston, MA, 02130, USA.&lt;/_author_adr&gt;&lt;_date_display&gt;2023 Jul 10&lt;/_date_display&gt;&lt;_date&gt;2023-07-10&lt;/_date&gt;&lt;_doi&gt;10.1038/s41467-023-39253-3&lt;/_doi&gt;&lt;_isbn&gt;2041-1723 (Electronic); 2041-1723 (Linking)&lt;/_isbn&gt;&lt;_issue&gt;1&lt;/_issue&gt;&lt;_journal&gt;Nat Commun&lt;/_journal&gt;&lt;_language&gt;eng&lt;/_language&gt;&lt;_ori_publication&gt;(c) 2023. The Author(s).&lt;/_ori_publication&gt;&lt;_pages&gt;3826&lt;/_pages&gt;&lt;_subject_headings&gt;Humans; *Genome-Wide Association Study; Mendelian Randomization Analysis; Proteomics; *Heart Failure/drug therapy/genetics&lt;/_subject_headings&gt;&lt;_tertiary_title&gt;Nature communication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7429843&amp;amp;query_hl=1&lt;/_url&gt;&lt;_volume&gt;14&lt;/_volume&gt;&lt;_created&gt;65212807&lt;/_created&gt;&lt;_modified&gt;65212807&lt;/_modified&gt;&lt;_db_updated&gt;PubMed&lt;/_db_updated&gt;&lt;_impact_factor&gt;  14.919&lt;/_impact_factor&gt;&lt;_collection_scope&gt;SCI;SCIE&lt;/_collection_scope&gt;&lt;/Details&gt;&lt;Extra&gt;&lt;DBUID&gt;{F96A950B-833F-4880-A151-76DA2D6A2879}&lt;/DBUID&gt;&lt;/Extra&gt;&lt;/Item&gt;&lt;/References&gt;&lt;/Group&gt;&lt;/Citation&gt;_x000a_"/>
    <w:docVar w:name="NE.Ref{1CF7C2A4-69C0-49C5-A334-D57388734418}" w:val=" ADDIN NE.Ref.{1CF7C2A4-69C0-49C5-A334-D57388734418}&lt;Citation&gt;&lt;Group&gt;&lt;References&gt;&lt;Item&gt;&lt;ID&gt;1403&lt;/ID&gt;&lt;UID&gt;{9021B0C0-D238-4D8E-B09D-E100DE559385}&lt;/UID&gt;&lt;Title&gt;Multiancestry genome-wide association study of 520,000 subjects identifies 32  loci associated with stroke and stroke subtypes&lt;/Title&gt;&lt;Template&gt;Journal Article&lt;/Template&gt;&lt;Star&gt;0&lt;/Star&gt;&lt;Tag&gt;0&lt;/Tag&gt;&lt;Author&gt;Malik, R; Chauhan, G; Traylor, M; Sargurupremraj, M; Okada, Y; Mishra, A; Rutten-Jacobs, L; Giese, A K; van der Laan, S W; Gretarsdottir, S; Anderson, C D; Chong, M; Adams, HHH; Ago, T; Almgren, P; Amouyel, P; Ay, H; Bartz, T M; Benavente, O R; Bevan, S; Boncoraglio, G B; Brown, RD Jr; Butterworth, A S; Carrera, C; Carty, C L; Chasman, D I; Chen, W M; Cole, J W; Correa, A; Cotlarciuc, I; Cruchaga, C; Danesh, J; de Bakker, PIW; DeStefano, A L; den Hoed, M; Duan, Q; Engelter, S T; Falcone, G J; Gottesman, R F; Grewal, R P; Gudnason, V; Gustafsson, S; Haessler, J; Harris, T B; Hassan, A; Havulinna, A S; Heckbert, S R; Holliday, E G; Howard, G; Hsu, F C; Hyacinth, H I; Ikram, M A; Ingelsson, E; Irvin, M R; Jian, X; Jimenez-Conde, J; Johnson, J A; Jukema, J W; Kanai, M; Keene, K L; Kissela, B M; Kleindorfer, D O; Kooperberg, C; Kubo, M; Lange, L A; Langefeld, C D; Langenberg, C; Launer, L J; Lee, J M; Lemmens, R; Leys, D; Lewis, C M; Lin, W Y; Lindgren, A G; Lorentzen, E; Magnusson, P K; Maguire, J; Manichaikul, A; McArdle, P F; Meschia, J F; Mitchell, B D; Mosley, T H; Nalls, M A; Ninomiya, T; O&amp;apos;Donnell, M J; Psaty, B M; Pulit, S L; Rannikmae, K; Reiner, A P; Rexrode, K M; Rice, K; Rich, S S; Ridker, P M; Rost, N S; Rothwell, P M; Rotter, J I; Rundek, T; Sacco, R L; Sakaue, S; Sale, M M; Salomaa, V; Sapkota, B R; Schmidt, R; Schmidt, C O; Schminke, U; Sharma, P; Slowik, A; Sudlow, CLM; Tanislav, C; Tatlisumak, T; Taylor, K D; Thijs, VNS; Thorleifsson, G; Thorsteinsdottir, U; Tiedt, S; Trompet, S; Tzourio, C; van Duijn, C M; Walters, M; Wareham, N J; Wassertheil-Smoller, S; Wilson, J G; Wiggins, K L; Yang, Q; Yusuf, S; Bis, J C; Pastinen, T; Ruusalepp, A; Schadt, E E; Koplev, S; Bjorkegren, JLM; Codoni, V; Civelek, M; Smith, N L; Tregouet, D A; Christophersen, I E; Roselli, C; Lubitz, S A; Ellinor, P T; Tai, E S; Kooner, J S; Kato, N; He, J; van der Harst, P; Elliott, P; Chambers, J C; Takeuchi, F; Johnson, A D; Sanghera, D K; Melander, O; Jern, C; Strbian, D; Fernandez-Cadenas, I; Longstreth, WT Jr; Rolfs, A; Hata, J; Woo, D; Rosand, J; Pare, G; Hopewell, J C; Saleheen, D; Stefansson, K; Worrall, B B; Kittner, S J; Seshadri, S; Fornage, M; Markus, H S; Howson, JMM; Kamatani, Y; Debette, S; Dichgans, M&lt;/Author&gt;&lt;Year&gt;2018&lt;/Year&gt;&lt;Details&gt;&lt;_accession_num&gt;29531354&lt;/_accession_num&gt;&lt;_author_adr&gt;Institute for Stroke and Dementia Research (ISD), University Hospital, LMU  Munich, Munich, Germany.; Centre for Brain Research, Indian Institute of Science, Bangalore, India.; INSERM U1219 Bordeaux Population Health Research Center, University of Bordeaux,  France.; Stroke Research Group, Division of Clinical Neurosciences, University of  Cambridge, Cambridge, UK.; Department of Neurology, Institute for Neurodegenerative Disease, Bordeaux  University Hospital, Bordeaux, France.; Laboratory for Statistical Analysis, RIKEN Center for Integrative Medical  Sciences, Yokohama, Japan.; Department of Statistical Genetics, Osaka University Graduate School of Medicine,  Osaka, Japan.; Laboratory of Statistical Immunology, Immunology Frontier Research Center  (WPI-IFReC), Osaka University, Suita, Japan.; Stroke Research Group, Division of Clinical Neurosciences, University of  Cambridge, Cambridge, UK.; Department of Neurology, Institute for Neurodegenerative Disease, Bordeaux  University Hospital, Bordeaux, France.; INSERM U1219 Bordeaux Population Health Research Center, University of Bordeaux,  France.; Department of Neurology, Massachusetts General Hospital (MGH), Harvard Medical  School, Boston, MA, USA.; Laboratory of Experimental Cardiology, Department of Cardiology, Division of  Heart and Lungs, University Medical Center Utrecht, University of Utrecht,  Utrecht, the Netherlands.; deCODE genetics/AMGEN Inc., Reykjavik, Iceland.; Center for Genomic Medicine, MGH, Boston, MA, USA.; J. Philip Kistler Stroke Research Center, Department of Neurology, MGH, Boston,  MA, USA.; Program in Medical and Population Genetics, Broad Institute, Cambridge, MA, USA.; Population Health Research Institute, McMaster University, Hamilton, Ontario,  Canada.; Department of Epidemiology, Erasmus University Medical Center, Rotterdam, the  Netherlands.; Department of Radiology and Nuclear Medicine, Erasmus University Medical Center,  Rotterdam, the Netherlands.; Department of Medicine and Clinical Science, Graduate School of Medical Sciences,  Kyushu University, Fukuoka, Japan.; Department of Clinical Sciences, Lund University, Malmo, Sweden.; INSERM, Institut Pasteur de Lille, LabEx DISTALZ-UMR1167, Risk Factors and  Molecular Determinants of Aging-Related Diseases, Universite Lille, Lille,  France.; Centre Hospitalier Universite Lille, Epidemiology and Public Health Department,  Lille, France.; J. Philip Kistler Stroke Research Center, Department of Neurology, MGH, Boston,  MA, USA.; AA Martinos Center for Biomedical Imaging, Department of Radiology, MGH, Harvard  Medical School, Boston, MA, USA.; Cardiovascular Health Research Unit, Departments of Biostatistics and Medicine,  University of Washington, Seattle, WA, USA.; Division of Neurology, Faculty of Medicine, Brain Research Center, University of  British Columbia, Vancouver, British Columbia, Canada.; School of Life Science, University of Lincoln, Lincoln, UK.; Department of Cerebrovascular Diseases, Fondazione IRCCS Istituto Neurologico  &amp;apos;Carlo Besta&amp;apos;, Milan, Italy.; Department of Neurology, Mayo Clinic Rochester, Rochester, MN, USA.; MRC/BHF Cardiovascular Epidemiology Unit, Department of Public Health and Primary  Care, University of Cambridge, Cambridge, UK.; National Institute for Health Research Blood and Transplant Research Unit in  Donor Health and Genomics, University of Cambridge, Cambridge, UK.; Neurovascular Research Laboratory, Vall d&amp;apos;Hebron Institut of Research, Neurology  and Medicine Departments-Universitat Autonoma de Barcelona, Vall d&amp;apos;Hebron  Hospital, Barcelona, Spain.; Stroke Pharmacogenomics and Genetics, Fundacio Docencia i Recerca MutuaTerrassa,  Terrassa, Spain.; Children&amp;apos;s Research Institute, Children&amp;apos;s National Medical Center, Washington,  DC, USA.; Center for Translational Science, George Washington University, Washington, DC,  USA.; Division of Preventive Medicine, Brigham and Women&amp;apos;s Hospital, Boston, MA, USA.; Harvard Medical School, Boston, MA, USA.; Center for Public Health Genomics, Department of Public Health Sciences,  University of Virginia, Charlottesville, VA, USA.; Department of Neurology, University of Maryland School of Medicine and Baltimore  VAMC, Baltimore, MD, USA.; Departments of Medicine, Pediatrics and Population Health Science, University of  Mississippi Medical Center, Jackson, MS, USA.; Institute of Cardiovascular Research, Royal Holloway University of London,  London, UK, and Ashford and St Peters Hospital, Surrey, UK.; Department of Psychiatry, Hope Center Program on Protein Aggregation and  Neurodegeneration (HPAN), Washington University School of Medicine, St. Louis,  MO, USA.; Department of Developmental Biology, Washington University School of Medicine,  St. Louis, MO, USA.; MRC/BHF Cardiovascular Epidemiology Unit, Department of Public Health and Primary  Care, University of Cambridge, Cambridge, UK.; NIHR Blood and Transplant Research Unit in Donor Health and Genomics, Department  of Public Health and Primary Care, University of Cambridge, Cambridge, UK.; Wellcome Trust Sanger Institute, Hinxton, Cambridge, UK.; British Heart Foundation, Cambridge Centre of Excellence, Department of Medicine,  University of Cambridge, Cambridge, UK.; Department of Medical Genetics, University Medical Center Utrecht, Utrecht, the  Netherlands.; Department of Epidemiology, Julius Center for Health Sciences and Primary Care,  University Medical Center Utrecht, Utrecht, the Netherlands.; Boston University School of Public Health, Boston, MA, USA.; Framingham Heart Study, Framingham, MA, USA.; Department of Immunology, Genetics and Pathology and Science for Life Laboratory,  Uppsala University, Uppsala, Sweden.; Department of Genetics, University of North Carolina, Chapel Hill, NC, USA.; Department of Neurology and Stroke Center, Basel University Hospital, Basel,  Switzerland.; Neurorehabilitation Unit, University of Basel and University Center for Medicine  of Aging and Rehabilitation Basel, Felix Platter Hospital, Basel, Switzerland.; Department of Neurology, Yale University School of Medicine, New Haven, CT, USA.; Program in Medical and Population Genetics, Broad Institute of Harvard and MIT,  Cambridge, MA, USA.; Department of Neurology, Johns Hopkins University School of Medicine, Baltimore,  MD, USA.; Neuroscience Institute, SF Medical Center, Trenton, NJ, USA.; Icelandic Heart Association Research Institute, Kopavogur, Iceland.; Faculty of Medicine, University of Iceland, Reykjavik, Iceland.; Department of Medical Sciences, Molecular Epidemiology and Science for Life  Laboratory, Uppsala University, Uppsala, Sweden.; Division of Public Health Sciences, Fred Hutchinson Cancer Research Center,  Seattle, WA, USA.; Laboratory of Epidemiology and Population Science, National Institute on Aging,  National Institutes of Health, Bethesda, MD, USA.; Department of Neurology, Leeds General Infirmary, Leeds Teaching Hospitals NHS  Trust, Leeds, UK.; National Institute for Health and Welfare, Helsinki, Finland.; FIMM-Institute for Molecular Medicine Finland, Helsinki, Finland.; Department of Epidemiology, University of Washington, Seattle, WA, USA.; Public Health Stream, Hunter Medical Research Institute, New Lambton, New South  Wales, Australia.; Faculty of Health and Medicine, University of Newcastle, Newcastle, New South  Wales, Australia.; School of Public Health, University of Alabama at Birmingham, Birmingham, AL,  USA.; Department of Biostatistical Sciences, Wake Forest School of Medicine,  Winston-Salem, NC, USA.; Aflac Cancer and Blood Disorder Center, Department of Pediatrics, Emory  University School of Medicine, Atlanta, GA, USA.; Department of Epidemiology, Erasmus University Medical Center, Rotterdam, the  Netherlands.; Department of Medicine, Division of Cardiovascular Medicine, Stanford University  School of Medicine, Stanford, CA, USA.; Department of Medical Sciences, Molecular Epidemiology and Science for Life  Laboratory, Uppsala University, Uppsala, Sweden.; Epidemiology, School of Public Health, University of Alabama at Birmingham,  Birmingham, AL, USA.; Brown Foundation Institute of Molecular Medicine, University of Texas Health  Science Center at Houston, Houston, TX, USA.; Neurovascular Research Group (NEUVAS), Neurology Department, Institut Hospital  del Mar d&amp;apos;Investigacio Medica, Universitat Autonoma de Barcelona, Barcelona,  Spain.; Department of Pharmacotherapy and Translational Research and Center for  Pharmacogenomics, University of Florida, College of Pharmacy, Gainesville, FL,  USA.; Division of Cardiovascular Medicine, College of Medicine, University of Florida,  Gainesville, FL, USA.; Department of Cardiology, Leiden University Medical Center, Leiden, the  Netherlands.; Laboratory for Statistical Analysis, RIKEN Center for Integrative Medical  Sciences, Yokohama, Japan.; Department of Statistical Genetics, Osaka University Graduate School of Medicine,  Osaka, Japan.; Program in Bioinformatics and Integrative Genomics, Harvard Medical School,  Boston, MA, USA.; Department of Biology, East Carolina University, Greenville, NC, USA.; Center for Health Disparities, East Carolina University, Greenville, NC, USA.; University of Cincinnati College of Medicine, Cincinnati, OH, USA.; University of Cincinnati College of Medicine, Cincinnati, OH, USA.; Division of Public Health Sciences, Fred Hutchinson Cancer Research Center,  Seattle, WA, USA.; RIKEN Center for Integrative Medical Sciences, Yokohama, Japan.; Department of Medicine, University of Colorado Denver, Anschutz Medical Campus,  Aurora, CO, USA.; Center for Public Health Genomics and Department of Biostatistical Sciences, Wake  Forest School of Medicine, Winston-Salem, NC, USA.; MRC Epidemiology Unit, University of Cambridge School of Clinical Medicine,  Institute of Metabolic Science, Cambridge, UK.; Intramural Research Program, National Institute on Aging, National Institutes of  Health, Bethesda, MD, USA.; Department of Neurology, Radiology, and Biomedical Engineering, Washington  University School of Medicine, St. Louis, MO, USA.; Department of Neurosciences, Experimental Neurology, KU Leuven-University of  Leuven, Leuven, Belgium.; VIB Center for Brain &amp;amp; Disease Research, University Hospitals Leuven, Department  of Neurology, Leuven, Belgium.; INSERM U 1171, CHU Lille, Universite Lille, Lille, France.; Department of Medical and Molecular Genetics, King&amp;apos;s College London, London, UK.; SGDP Centre, Institute of Psychiatry, Psychology &amp;amp; Neuroscience, King&amp;apos;s College  London, London, UK.; MRC/BHF Cardiovascular Epidemiology Unit, Department of Public Health and Primary  Care, University of Cambridge, Cambridge, UK.; Northern Institute for Cancer Research, Newcastle University, Newcastle, UK.; Department of Clinical Sciences Lund, Neurology, Lund University, Lund, Sweden.; Department of Neurology and Rehabilitation Medicine, Skane University Hospital,  Lund, Sweden.; Bioinformatics Core Facility, University of Gothenburg, Gothenburg, Sweden.; Department of Medical Epidemiology and Biostatistics, Karolinska Institutet,  Stockholm, Sweden.; University of Technology Sydney, Faculty of Health, Ultimo, New South Wales,  Australia.; Center for Public Health Genomics, Department of Public Health Sciences,  University of Virginia, Charlottesville, VA, USA.; Department of Medicine, University of Maryland School of Medicine, Baltimore, MD,  USA.; Department of Neurology, Mayo Clinic, Jacksonville, FL, USA.; Department of Medicine, University of Maryland School of Medicine, Baltimore, MD,  USA.; Geriatrics Research and Education Clinical Center, Baltimore Veterans  Administration Medical Center, Baltimore, MD, USA.; Division of Geriatrics, School of Medicine, University of Mississippi Medical  Center, Jackson, MS, USA.; Memory Impairment and Neurodegenerative Dementia Center, University of  Mississippi Medical Center, Jackson, MS, USA.; Laboratory of Neurogenetics, National Institute on Aging, National Institutes of  Health, Bethesda, MD, USA.; Data Tecnica International, Glen Echo, MD, USA.; Department of Epidemiology and Public Health, Graduate School of Medical  Sciences, Kyushu University, Fukuoka, Japan.; Population Health Research Institute, McMaster University, Hamilton, Ontario,  Canada.; Clinical Research Facility, Department of Medicine, NUI Galway, Galway, Ireland.; Cardiovascular Health Research Unit, Department of Medicine, University of  Washington, Seattle, WA, USA.; Department of Epidemiology, University of Washington, Seattle, WA, USA.; Department of Health Services, University of Washington, Seattle, WA, USA.; Kaiser Permanente Washington Health Research Institute, Seattle, WA, USA.; Department of Medical Genetics, University Medical Center Utrecht, Utrecht, the  Netherlands.; Brain Center Rudolf Magnus, Department of Neurology, University Medical Center  Utrecht, Utrecht, the Netherlands.; Usher Institute of Population Health Sciences and Informatics, University of  Edinburgh, Edinburgh, UK.; Centre for Clinical Brain Sciences, University of Edinburgh, Edinburgh, UK.; Department of Epidemiology, University of Washington, Seattle, WA, USA.; Fred Hutchinson Cancer Research Center, University of Washington, Seattle, WA,  USA.; Department of Medicine, Brigham and Women&amp;apos;s Hospital, Boston, MA, USA.; Department of Biostatistics, University of Washington, Seattle, WA, USA.; Center for Public Health Genomics, Department of Public Health Sciences,  University of Virginia, Charlottesville, VA, USA.; Division of Preventive Medicine, Brigham and Women&amp;apos;s Hospital, Boston, MA, USA.; Harvard Medical School, Boston, MA, USA.; Department of Neurology, Massachusetts General Hospital (MGH), Harvard Medical  School, Boston, MA, USA.; J. Philip Kistler Stroke Research Center, Department of Neurology, MGH, Boston,  MA, USA.; Nuffield Department of Clinical Neurosciences, University of Oxford, Oxford, UK.; Institute for Translational Genomics and Population Sciences, Los Angeles  Biomedical Research Institute at Harbor-UCLA Medical Center, Torrance, CA, USA.; Division of Genomic Outcomes, Department of Pediatrics, Harbor-UCLA Medical  Center, Torrance, CA, USA.; Department of Neurology, Miller School of Medicine, University of Miami, Miami,  FL, USA.; Department of Neurology, Miller School of Medicine, University of Miami, Miami,  FL, USA.; Department of Statistical Genetics, Osaka University Graduate School of Medicine,  Osaka, Japan.; Department of Allergy and Rheumatology, Graduate School of Medicine, University  of Tokyo, Tokyo, Japan.; Center for Public Health Genomics, University of Virginia, Charlottesville, VA,  USA.; National Institute for Health and Welfare, Helsinki, Finland.; Department of Pediatrics, College of Medicine, University of Oklahoma Health  Sciences Center, Oklahoma City, OK, USA.; Department of Neurology, Medical University of Graz, Graz, Austria.; Institute for Community Medicine, SHIP-KEF, University Medicine Greifswald,  Greifswald, Germany.; Department of Neurology, University Medicine Greifswald, Greifswald, Germany.; Institute of Cardiovascular Research, Royal Holloway University of London,  London, UK, and Ashford and St Peters Hospital, Surrey, UK.; Department of Neurology, Jagiellonian University, Krakow, Poland.; Usher Institute of Population Health Sciences and Informatics, University of  Edinburgh, Edinburgh, UK.; Centre for Clinical Brain Sciences, University of Edinburgh, Edinburgh, UK.; Department of Neurology, Justus Liebig University, Giessen, Germany.; Department of Clinical Neurosciences/Neurology, Institute of Neuroscience and  Physiology, Sahlgrenska Academy at University of Gothenburg, Gothenburg, Sweden.; Sahlgrenska University Hospital, Gothenburg, Sweden.; Institute for Translational Genomics and Population Sciences, Los Angeles  Biomedical Research Institute at Harbor-UCLA Medical Center, Torrance, CA, USA.; Division of Genomic Outcomes, Department of Pediatrics, Harbor-UCLA Medical  Center, Torrance, CA, USA.; Stroke Division, Florey Institute of Neuroscience and Mental Health, University  of Melbourne, Heidelberg, Victoria, Australia.; Austin Health, Department of Neurology, Heidelberg, Victoria, Australia.; deCODE genetics/AMGEN Inc., Reykjavik, Iceland.; deCODE genetics/AMGEN Inc., Reykjavik, Iceland.; Institute for Stroke and Dementia Research (ISD), University Hospital, LMU  Munich, Munich, Germany.; Department of Internal Medicine, Section Gerontology and Geriatrics, Leiden  University Medical Center, Leiden, the Netherlands.; Department of Neurology, Institute for Neurodegenerative Disease, Bordeaux  University Hospital, Bordeaux, France.; INSERM, U1219, Bordeaux, France.; Department of Public Health, Bordeaux University Hospital, Bordeaux, France.; Genetic Epidemiology Unit, Department of Epidemiology, Erasmus University Medical  Center, Rotterdam, the Netherlands.; Center for Medical Systems Biology, Leiden, the Netherlands.; School of Medicine, Dentistry and Nursing at the University of Glasgow, Glasgow,  UK.; MRC Epidemiology Unit, University of Cambridge School of Clinical Medicine,  Institute of Metabolic Science, Cambridge, UK.; Department of Epidemiology and Population Health, Albert Einstein College of  Medicine, New York, NY, USA.; Department of Physiology and Biophysics, University of Mississippi Medical  Center, Jackson, MS, USA.; Cardiovascular Health Research Unit, Department of Medicine, University of  Washington, Seattle, WA, USA.; Boston University School of Public Health, Boston, MA, USA.; Population Health Research Institute, McMaster University, Hamilton, Ontario,  Canada.; Cardiovascular Health Research Unit, Department of Medicine, University of  Washington, Seattle, WA, USA.; Department of Human Genetics, McGill University, Montreal, Quebec, Canada.; Department of Pathophysiology, Institute of Biomedicine and Translation Medicine,  University of Tartu, Tartu, Estonia.; Department of Cardiac Surgery, Tartu University Hospital, Tartu, Estonia.; Clinical Gene Networks AB, Stockholm, Sweden.; Department of Genetics and Genomic Sciences, Icahn Institute for Genomics and  Multiscale Biology Icahn School of Medicine at Mount Sinai, New York, NY, USA.; Department of Genetics and Genomic Sciences, Icahn Institute for Genomics and  Multiscale Biology Icahn School of Medicine at Mount Sinai, New York, NY, USA.; Department of Genetics and Genomic Sciences, Icahn Institute for Genomics and  Multiscale Biology Icahn School of Medicine at Mount Sinai, New York, NY, USA.; Department of Pathophysiology, Institute of Biomedicine and Translation Medicine,  Biomeedikum, University of Tartu, Tartu, Estonia.; Integrated Cardio Metabolic Centre, Department of Medicine, Karolinska  Institutet, Karolinska Universitetssjukhuset, Huddinge, Sweden.; Clinical Gene Networks AB, Stockholm, Sweden.; UPMC Univ. Paris 06, INSERM, UMR_S 1166, Team Genomics &amp;amp; Pathophysiology of  Cardiovascular Diseases, Sorbonne Universites, Paris, France.; ICAN Institute for Cardiometabolism and Nutrition, Paris, France.; Center for Public Health Genomics, University of Virginia, Charlottesville, VA,  USA.; Department of Biomedical Engineering, University of Virginia, Charlottesville,  VA, USA.; Department of Epidemiology, University of Washington, Seattle, WA, USA.; Group Health Research Institute, Group Health Cooperative, Seattle, WA, USA.; Seattle Epidemiologic Research and Information Center, VA Office of Research and  Development, Seattle, WA, USA.; UPMC Univ. Paris 06, INSERM, UMR_S 1166, Team Genomics &amp;amp; Pathophysiology of  Cardiovascular Diseases, Sorbonne Universites, Paris, France.; ICAN Institute for Cardiometabolism and Nutrition, Paris, France.; Program in Medical and Population Genetics, Broad Institute of Harvard and MIT,  Cambridge, MA, USA.; Cardiovascular Research Center, MGH, Boston, MA, USA.; Department of Medical Research, Baerum Hospital, Vestre Viken Hospital Trust,  Gjettum, Norway.; Program in Medical and Population Genetics, Broad Institute of Harvard and MIT,  Cambridge, MA, USA.; Program in Medical and Population Genetics, Broad Institute of Harvard and MIT,  Cambridge, MA, USA.; Cardiovascular Research Center, MGH, Boston, MA, USA.; Program in Medical and Population Genetics, Broad Institute of Harvard and MIT,  Cambridge, MA, USA.; Cardiovascular Research Center, MGH, Boston, MA, USA.; Saw Swee Hock School of Public Health, National University of Singapore and  National University Health System, Singapore, Singapore.; National Heart and Lung Institute, Imperial College London, London, UK.; Department of Gene Diagnostics and Therapeutics, Research Institute, National  Center for Global Health and Medicine, Tokyo, Japan.; Department of Epidemiology, Tulane University School of Public Health and  Tropical Medicine, New Orleans, LA, USA.; Department of Cardiology, University Medical Center Groningen, University of  Groningen, Groningen, the Netherlands.; MRC-PHE Centre for Environment and Health, School of Public Health, Department of  Epidemiology and Biostatistics and the NIHR Imperial Biomedical Research Centre,  Imperial College London, London, UK.; Department of Epidemiology and Biostatistics, Imperial College London, London,  UK.; Department of Cardiology, Ealing Hospital NHS Trust, Southall, UK.; Department of Gene Diagnostics and Therapeutics, Research Institute, National  Center for Global Health and Medicine, Tokyo, Japan.; Framingham Heart Study, Framingham, MA, USA.; National Heart, Lung and Blood Research Institute, Division of Intramural  Research, Population Sciences Branch, Framingham, MA, USA.; Department of Pediatrics, College of Medicine, University of Oklahoma Health  Sciences Center, Oklahoma City, OK, USA.; Department of Pharmaceutical Sciences, College of Pharmacy, University of  Oklahoma Health Sciences Center, Oklahoma City, OK, USA.; Oklahoma Center for Neuroscience, Oklahoma City, OK, USA.; Department of Clinical Sciences, Lund University, Malmo, Sweden.; Department of Pathology and Genetics, Institute of Biomedicine, Sahlgrenska  Academy at University of Gothenburg, Gothenburg, Sweden.; Department of Neurology, Helsinki University Hospital, Helsinki, Finland.; Clinical Neurosciences, Neurology, University of Helsinki, Helsinki, Finland.; Neurovascular Research Laboratory, Vall d&amp;apos;Hebron Institut of Research, Neurology  and Medicine Departments-Universitat Autonoma de Barcelona, Vall d&amp;apos;Hebron  Hospital, Barcelona, Spain.; Stroke Pharmacogenomics and Genetics, Fundacio Docencia i Recerca MutuaTerrassa,  Terrassa, Spain.; Department of Epidemiology, University of Washington, Seattle, WA, USA.; Department of Neurology, University of Washington, Seattle, WA, USA.; Albrecht Kossel Institute, University Clinic of Rostock, Rostock, Germany.; Department of Epidemiology and Public Health, Graduate School of Medical  Sciences, Kyushu University, Fukuoka, Japan.; University of Cincinnati College of Medicine, Cincinnati, OH, USA.; Center for Genomic Medicine, MGH, Boston, MA, USA.; J. Philip Kistler Stroke Research Center, Department of Neurology, MGH, Boston,  MA, USA.; Program in Medical and Population Genetics, Broad Institute, Cambridge, MA, USA.; Population Health Research Institute, McMaster University, Hamilton, Ontario,  Canada.; Clinical Trial Service Unit and Epidemiological Studies Unit, Nuffield Department  of Population Health, University of Oxford, Oxford, UK.; Department of Genetics, Perelman School of Medicine, University of Pennsylvania,  Philadelphia, PA, USA.; deCODE genetics/AMGEN Inc., Reykjavik, Iceland.; Faculty of Medicine, University of Iceland, Reykjavik, Iceland.; Departments of Neurology and Public Health Sciences, University of Virginia  School of Medicine, Charlottesville, VA, USA.; Department of Neurology, University of Maryland School of Medicine and Baltimore  VAMC, Baltimore, MD, USA.; Framingham Heart Study, Framingham, MA, USA.; Glenn Biggs Institute for Alzheimer&amp;apos;s and Neurodegenerative Diseases, University  of Texas Health Sciences Center, San Antonio, San Antonio, TX, USA.; Brown Foundation Institute of Molecular Medicine, University of Texas Health  Science Center at Houston, Houston, TX, USA.; Human Genetics Center, University of Texas Health Science Center at Houston,  Houston, TX, USA.; INSERM U1219 Bordeaux Population Health Research Center, University of Bordeaux,  France.; MRC/BHF Cardiovascular Epidemiology Unit, Department of Public Health and Primary  Care, University of Cambridge, Cambridge, UK.; Laboratory for Statistical Analysis, RIKEN Center for Integrative Medical  Sciences, Yokohama, Japan.; Center for Genomic Medicine, Kyoto University Graduate School of Medicine, Kyoto,  Japan.; Stroke Research Group, Division of Clinical Neurosciences, University of  Cambridge, Cambridge, UK. stephanie.debette@u-bordeaux.fr.; Department of Neurology, Institute for Neurodegenerative Disease, Bordeaux  University Hospital, Bordeaux, France. stephanie.debette@u-bordeaux.fr.; Institute for Stroke and Dementia Research (ISD), University Hospital, LMU  Munich, Munich, Germany. martin.dichgans@med.uni-muenchen.de.; Munich Cluster for Systems Neurology (SyNergy), Munich, Germany.  martin.dichgans@med.uni-muenchen.de.; German Center for Neurodegenerative Diseases (DZNE), Munich, Germany.  martin.dichgans@med.uni-muenchen.de.&lt;/_author_adr&gt;&lt;_collection_scope&gt;SCI;SCIE&lt;/_collection_scope&gt;&lt;_created&gt;65212743&lt;/_created&gt;&lt;_date&gt;2018-04-01&lt;/_date&gt;&lt;_date_display&gt;2018 Apr&lt;/_date_display&gt;&lt;_db_updated&gt;PubMed&lt;/_db_updated&gt;&lt;_doi&gt;10.1038/s41588-018-0058-3&lt;/_doi&gt;&lt;_impact_factor&gt;  38.330&lt;/_impact_factor&gt;&lt;_isbn&gt;1546-1718 (Electronic); 1061-4036 (Print); 1061-4036 (Linking)&lt;/_isbn&gt;&lt;_issue&gt;4&lt;/_issue&gt;&lt;_journal&gt;Nat Genet&lt;/_journal&gt;&lt;_language&gt;eng&lt;/_language&gt;&lt;_modified&gt;65212743&lt;/_modified&gt;&lt;_pages&gt;524-537&lt;/_pages&gt;&lt;_subject_headings&gt;Computational Biology; Databases, Genetic; Epigenesis, Genetic; Female; Gene Regulatory Networks; Genetic Loci; Genetic Predisposition to Disease; Genome-Wide Association Study; Humans; INDEL Mutation; Linkage Disequilibrium; Male; Models, Genetic; Polymorphism, Single Nucleotide; Risk Factors; Stroke/classification/*genetics/physiopathology&lt;/_subject_headings&gt;&lt;_tertiary_title&gt;Nature genetics&lt;/_tertiary_title&gt;&lt;_type_work&gt;Journal Article; Meta-Analysis&lt;/_type_work&gt;&lt;_url&gt;http://www.ncbi.nlm.nih.gov/entrez/query.fcgi?cmd=Retrieve&amp;amp;db=pubmed&amp;amp;dopt=Abstract&amp;amp;list_uids=29531354&amp;amp;query_hl=1&lt;/_url&gt;&lt;_volume&gt;50&lt;/_volume&gt;&lt;/Details&gt;&lt;Extra&gt;&lt;DBUID&gt;{F96A950B-833F-4880-A151-76DA2D6A2879}&lt;/DBUID&gt;&lt;/Extra&gt;&lt;/Item&gt;&lt;/References&gt;&lt;/Group&gt;&lt;Group&gt;&lt;References&gt;&lt;Item&gt;&lt;ID&gt;1404&lt;/ID&gt;&lt;UID&gt;{3295ADF6-FE77-4BE4-BDE8-432AD26BD311}&lt;/UID&gt;&lt;Title&gt;Alternate approach to stroke phenotyping identifies a genetic risk locus for  small vessel stroke&lt;/Title&gt;&lt;Template&gt;Journal Article&lt;/Template&gt;&lt;Star&gt;0&lt;/Star&gt;&lt;Tag&gt;0&lt;/Tag&gt;&lt;Author&gt;von Berg, J; van der Laan, S W; McArdle, P F; Malik, R; Kittner, S J; Mitchell, B D; Worrall, B B; de Ridder, J; Pulit, S L&lt;/Author&gt;&lt;Year&gt;2020&lt;/Year&gt;&lt;Details&gt;&lt;_accession_num&gt;32047268&lt;/_accession_num&gt;&lt;_author_adr&gt;Genetics, Center for Molecular Medicine, University Medical Centre Utrecht,  Utrecht, The Netherlands.; Central Diagnostics Laboratory, Division Laboratories, Pharmacy, and Biomedical  Genetics, University Medical Center Utrecht, Utrecht, The Netherlands.; Division of Endocrinology, Diabetes, and Nutrition, Department of Medicine,  University of Maryland School of Medicine, Baltimore, MD, USA.; Institute for Stroke and Dementia Research (ISD), University Hospital, LMU  Munich, Munich, Germany.; Department of Neurology, Veterans Affairs Maryland Healthcare System and  University of Maryland School of Medicine, Baltimore, MD, USA.; Division of Endocrinology, Diabetes, and Nutrition, Department of Medicine,  University of Maryland School of Medicine, Baltimore, MD, USA.; Departments of Neurology and Public Health Sciences, University of Virginia,  Charlottesville, VA, USA.; Genetics, Center for Molecular Medicine, University Medical Centre Utrecht,  Utrecht, The Netherlands. j.deridder-4@umcutrecht.nl.; Oncode Institute, Utrecht, The Netherlands. j.deridder-4@umcutrecht.nl.; Genetics, Center for Molecular Medicine, University Medical Centre Utrecht,  Utrecht, The Netherlands. sara.pulit@gmail.com.; Big Data Institute, Li Ka Shing Center for Health Information and Discovery,  Oxford University, Oxford, UK. sara.pulit@gmail.com.; Program in Medical and Population Genetics, Broad Institute, Boston, MA, USA.  sara.pulit@gmail.com.&lt;/_author_adr&gt;&lt;_collection_scope&gt;SCI;SCIE&lt;/_collection_scope&gt;&lt;_created&gt;65212744&lt;/_created&gt;&lt;_date&gt;2020-07-01&lt;/_date&gt;&lt;_date_display&gt;2020 Jul&lt;/_date_display&gt;&lt;_db_updated&gt;PubMed&lt;/_db_updated&gt;&lt;_doi&gt;10.1038/s41431-020-0580-5&lt;/_doi&gt;&lt;_impact_factor&gt;   4.246&lt;/_impact_factor&gt;&lt;_isbn&gt;1476-5438 (Electronic); 1018-4813 (Print); 1018-4813 (Linking)&lt;/_isbn&gt;&lt;_issue&gt;7&lt;/_issue&gt;&lt;_journal&gt;Eur J Hum Genet&lt;/_journal&gt;&lt;_language&gt;eng&lt;/_language&gt;&lt;_modified&gt;65212744&lt;/_modified&gt;&lt;_pages&gt;963-972&lt;/_pages&gt;&lt;_subject_headings&gt;*Genetic Predisposition to Disease; Genome-Wide Association Study/*methods; Humans; *Phenotype; *Polymorphism, Single Nucleotide; Quantitative Trait Loci; Stroke, Lacunar/*genetics/pathology&lt;/_subject_headings&gt;&lt;_tertiary_title&gt;European journal of human genetics : EJHG&lt;/_tertiary_title&gt;&lt;_type_work&gt;Journal Article; Research Support, N.I.H., Extramural; Research Support, Non-U.S. Gov&amp;apos;t; Research Support, U.S. Gov&amp;apos;t, Non-P.H.S.&lt;/_type_work&gt;&lt;_url&gt;http://www.ncbi.nlm.nih.gov/entrez/query.fcgi?cmd=Retrieve&amp;amp;db=pubmed&amp;amp;dopt=Abstract&amp;amp;list_uids=32047268&amp;amp;query_hl=1&lt;/_url&gt;&lt;_volume&gt;28&lt;/_volume&gt;&lt;/Details&gt;&lt;Extra&gt;&lt;DBUID&gt;{F96A950B-833F-4880-A151-76DA2D6A2879}&lt;/DBUID&gt;&lt;/Extra&gt;&lt;/Item&gt;&lt;/References&gt;&lt;/Group&gt;&lt;Group&gt;&lt;References&gt;&lt;Item&gt;&lt;ID&gt;1405&lt;/ID&gt;&lt;UID&gt;{D5030640-5BB0-4ECD-A29A-E75F7FDC00FA}&lt;/UID&gt;&lt;Title&gt;Loci associated with ischaemic stroke and its subtypes (SiGN): a genome-wide  association study&lt;/Title&gt;&lt;Template&gt;Journal Article&lt;/Template&gt;&lt;Star&gt;0&lt;/Star&gt;&lt;Tag&gt;0&lt;/Tag&gt;&lt;Author/&gt;&lt;Year&gt;2016&lt;/Year&gt;&lt;Details&gt;&lt;_accession_num&gt;26708676&lt;/_accession_num&gt;&lt;_collection_scope&gt;SCIE&lt;/_collection_scope&gt;&lt;_created&gt;65212744&lt;/_created&gt;&lt;_date&gt;2016-02-01&lt;/_date&gt;&lt;_date_display&gt;2016 Feb&lt;/_date_display&gt;&lt;_db_updated&gt;PubMed&lt;/_db_updated&gt;&lt;_doi&gt;10.1016/S1474-4422(15)00338-5&lt;/_doi&gt;&lt;_impact_factor&gt;  44.182&lt;/_impact_factor&gt;&lt;_isbn&gt;1474-4465 (Electronic); 1474-4422 (Print); 1474-4422 (Linking)&lt;/_isbn&gt;&lt;_issue&gt;2&lt;/_issue&gt;&lt;_journal&gt;Lancet Neurol&lt;/_journal&gt;&lt;_language&gt;eng&lt;/_language&gt;&lt;_modified&gt;65212745&lt;/_modified&gt;&lt;_ori_publication&gt;Copyright (c) 2016 Elsevier Ltd. All rights reserved.&lt;/_ori_publication&gt;&lt;_pages&gt;174-184&lt;/_pages&gt;&lt;_subject_headings&gt;Adolescent; Adult; Aged; Aged, 80 and over; Brain Ischemia/classification/*genetics; Case-Control Studies; Cohort Studies; Genetic Loci; Genome-Wide Association Study/*methods; Humans; Middle Aged; Nerve Tissue Proteins/*genetics; Stroke/classification/*genetics; Tetraspanins/*genetics; Young Adult&lt;/_subject_headings&gt;&lt;_tertiary_title&gt;The Lancet. Neurology&lt;/_tertiary_title&gt;&lt;_type_work&gt;Journal Article; Research Support, N.I.H., Extramural&lt;/_type_work&gt;&lt;_url&gt;http://www.ncbi.nlm.nih.gov/entrez/query.fcgi?cmd=Retrieve&amp;amp;db=pubmed&amp;amp;dopt=Abstract&amp;amp;list_uids=26708676&amp;amp;query_hl=1&lt;/_url&gt;&lt;_volume&gt;15&lt;/_volume&gt;&lt;/Details&gt;&lt;Extra&gt;&lt;DBUID&gt;{F96A950B-833F-4880-A151-76DA2D6A2879}&lt;/DBUID&gt;&lt;/Extra&gt;&lt;/Item&gt;&lt;/References&gt;&lt;/Group&gt;&lt;Group&gt;&lt;References&gt;&lt;Item&gt;&lt;ID&gt;1406&lt;/ID&gt;&lt;UID&gt;{696D9FE8-5F12-41B1-9F6F-1B602F022952}&lt;/UID&gt;&lt;Title&gt;Genetic risk factors for ischaemic stroke and its subtypes (the METASTROKE  collaboration): a meta-analysis of genome-wide association studies&lt;/Title&gt;&lt;Template&gt;Journal Article&lt;/Template&gt;&lt;Star&gt;0&lt;/Star&gt;&lt;Tag&gt;0&lt;/Tag&gt;&lt;Author&gt;Traylor, M; Farrall, M; Holliday, E G; Sudlow, C; Hopewell, J C; Cheng, Y C; Fornage, M; Ikram, M A; Malik, R; Bevan, S; Thorsteinsdottir, U; Nalls, M A; Longstreth, W; Wiggins, K L; Yadav, S; Parati, E A; Destefano, A L; Worrall, B B; Kittner, S J; Khan, M S; Reiner, A P; Helgadottir, A; Achterberg, S; Fernandez-Cadenas, I; Abboud, S; Schmidt, R; Walters, M; Chen, W M; Ringelstein, E B; O&amp;apos;Donnell, M; Ho, W K; Pera, J; Lemmens, R; Norrving, B; Higgins, P; Benn, M; Sale, M; Kuhlenbaumer, G; Doney, A S; Vicente, A M; Delavaran, H; Algra, A; Davies, G; Oliveira, S A; Palmer, C N; Deary, I; Schmidt, H; Pandolfo, M; Montaner, J; Carty, C; de Bakker, P I; Kostulas, K; Ferro, J M; van Zuydam, N R; Valdimarsson, E; Nordestgaard, B G; Lindgren, A; Thijs, V; Slowik, A; Saleheen, D; Pare, G; Berger, K; Thorleifsson, G; Hofman, A; Mosley, T H; Mitchell, B D; Furie, K; Clarke, R; Levi, C; Seshadri, S; Gschwendtner, A; Boncoraglio, G B; Sharma, P; Bis, J C; Gretarsdottir, S; Psaty, B M; Rothwell, P M; Rosand, J; Meschia, J F; Stefansson, K; Dichgans, M; Markus, H S&lt;/Author&gt;&lt;Year&gt;2012&lt;/Year&gt;&lt;Details&gt;&lt;_accession_num&gt;23041239&lt;/_accession_num&gt;&lt;_author_adr&gt;Stroke and Dementia Research Centre, St George&amp;apos;s University of London, London,  UK.&lt;/_author_adr&gt;&lt;_collection_scope&gt;SCIE&lt;/_collection_scope&gt;&lt;_created&gt;65212745&lt;/_created&gt;&lt;_date&gt;2012-11-01&lt;/_date&gt;&lt;_date_display&gt;2012 Nov&lt;/_date_display&gt;&lt;_db_updated&gt;PubMed&lt;/_db_updated&gt;&lt;_doi&gt;10.1016/S1474-4422(12)70234-X&lt;/_doi&gt;&lt;_impact_factor&gt;  44.182&lt;/_impact_factor&gt;&lt;_isbn&gt;1474-4465 (Electronic); 1474-4422 (Print); 1474-4422 (Linking)&lt;/_isbn&gt;&lt;_issue&gt;11&lt;/_issue&gt;&lt;_journal&gt;Lancet Neurol&lt;/_journal&gt;&lt;_language&gt;eng&lt;/_language&gt;&lt;_modified&gt;65212745&lt;/_modified&gt;&lt;_ori_publication&gt;Copyright (c) 2012 Elsevier Ltd. All rights reserved.&lt;/_ori_publication&gt;&lt;_pages&gt;951-62&lt;/_pages&gt;&lt;_subject_headings&gt;Brain Ischemia/diagnosis/*genetics; Databases, Genetic/trends; Genetic Predisposition to Disease/*genetics; Genome-Wide Association Study/*methods/trends; Humans; Risk Factors; Stroke/diagnosis/*genetics&lt;/_subject_headings&gt;&lt;_tertiary_title&gt;The Lancet. Neurology&lt;/_tertiary_title&gt;&lt;_type_work&gt;Journal Article; Meta-Analysis; Research Support, N.I.H., Extramural; Research Support, Non-U.S. Gov&amp;apos;t&lt;/_type_work&gt;&lt;_url&gt;http://www.ncbi.nlm.nih.gov/entrez/query.fcgi?cmd=Retrieve&amp;amp;db=pubmed&amp;amp;dopt=Abstract&amp;amp;list_uids=23041239&amp;amp;query_hl=1&lt;/_url&gt;&lt;_volume&gt;11&lt;/_volume&gt;&lt;/Details&gt;&lt;Extra&gt;&lt;DBUID&gt;{F96A950B-833F-4880-A151-76DA2D6A2879}&lt;/DBUID&gt;&lt;/Extra&gt;&lt;/Item&gt;&lt;/References&gt;&lt;/Group&gt;&lt;/Citation&gt;_x000a_"/>
    <w:docVar w:name="NE.Ref{233B461B-00FB-4619-AB1B-38F7FB78BB2E}" w:val=" ADDIN NE.Ref.{233B461B-00FB-4619-AB1B-38F7FB78BB2E}&lt;Citation&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258CC451-2AC5-4FC3-BCFC-32DE7D8FC890}" w:val=" ADDIN NE.Ref.{258CC451-2AC5-4FC3-BCFC-32DE7D8FC890}&lt;Citation&gt;&lt;Group&gt;&lt;References&gt;&lt;Item&gt;&lt;ID&gt;633&lt;/ID&gt;&lt;UID&gt;{39AB2E7D-38EA-49FC-8854-258B9F5B796B}&lt;/UID&gt;&lt;Title&gt;Kinase inhibition in autoimmunity and inflammation&lt;/Title&gt;&lt;Template&gt;Journal Article&lt;/Template&gt;&lt;Star&gt;0&lt;/Star&gt;&lt;Tag&gt;0&lt;/Tag&gt;&lt;Author&gt;Zarrin, A A; Bao, K; Lupardus, P; Vucic, D&lt;/Author&gt;&lt;Year&gt;2021&lt;/Year&gt;&lt;Details&gt;&lt;_accession_num&gt;33077936&lt;/_accession_num&gt;&lt;_author_adr&gt;Discovery Department, TRex Bio, South San Francisco, CA, USA. ali@trex.bio.; Early Discovery Biochemistry Department, Genentech, South San Francisco, CA, USA.; Protein Science Group, Synthekine, Menlo Park, CA, USA.; Early Discovery Biochemistry Department, Genentech, South San Francisco, CA, USA.&lt;/_author_adr&gt;&lt;_date_display&gt;2021 Jan&lt;/_date_display&gt;&lt;_date&gt;2021-01-01&lt;/_date&gt;&lt;_doi&gt;10.1038/s41573-020-0082-8&lt;/_doi&gt;&lt;_isbn&gt;1474-1784 (Electronic); 1474-1776 (Print); 1474-1776 (Linking)&lt;/_isbn&gt;&lt;_issue&gt;1&lt;/_issue&gt;&lt;_journal&gt;Nat Rev Drug Discov&lt;/_journal&gt;&lt;_language&gt;eng&lt;/_language&gt;&lt;_pages&gt;39-63&lt;/_pages&gt;&lt;_subject_headings&gt;Animals; Autoimmune Diseases/*drug therapy/immunology/pathology; Autoimmunity/*drug effects; Humans; Inflammation/*drug therapy/immunology/pathology; Protein Kinase Inhibitors/*therapeutic use; Protein Kinases/*chemistry&lt;/_subject_headings&gt;&lt;_tertiary_title&gt;Nature reviews. Drug discovery&lt;/_tertiary_title&gt;&lt;_type_work&gt;Journal Article; Review&lt;/_type_work&gt;&lt;_url&gt;http://www.ncbi.nlm.nih.gov/entrez/query.fcgi?cmd=Retrieve&amp;amp;db=pubmed&amp;amp;dopt=Abstract&amp;amp;list_uids=33077936&amp;amp;query_hl=1&lt;/_url&gt;&lt;_volume&gt;20&lt;/_volume&gt;&lt;_created&gt;65767642&lt;/_created&gt;&lt;_modified&gt;65767642&lt;/_modified&gt;&lt;_db_updated&gt;PubMed&lt;/_db_updated&gt;&lt;_impact_factor&gt; 122.800&lt;/_impact_factor&gt;&lt;_social_category&gt;生物工程与应用微生物(1) &amp;amp; 药学(1)&lt;/_social_category&gt;&lt;_collection_scope&gt;SCIE&lt;/_collection_scope&gt;&lt;/Details&gt;&lt;Extra&gt;&lt;DBUID&gt;{03752FAB-B361-4F66-989B-C711D9502F78}&lt;/DBUID&gt;&lt;/Extra&gt;&lt;/Item&gt;&lt;/References&gt;&lt;/Group&gt;&lt;Group&gt;&lt;References&gt;&lt;Item&gt;&lt;ID&gt;634&lt;/ID&gt;&lt;UID&gt;{F1D221CB-D2F6-470E-A94F-FEC937C427D2}&lt;/UID&gt;&lt;Title&gt;Beyond TNF: TNF superfamily cytokines as targets for the treatment of rheumatic  diseases&lt;/Title&gt;&lt;Template&gt;Journal Article&lt;/Template&gt;&lt;Star&gt;0&lt;/Star&gt;&lt;Tag&gt;0&lt;/Tag&gt;&lt;Author&gt;Croft, M; Siegel, R M&lt;/Author&gt;&lt;Year&gt;2017&lt;/Year&gt;&lt;Details&gt;&lt;_accession_num&gt;28275260&lt;/_accession_num&gt;&lt;_author_adr&gt;Division of Immune Regulation, La Jolla Institute for Allergy and Immunology, and  Department of Medicine, University of California San Diego, La Jolla, California  92037, USA.; Immunoregulation Section, Autoimmunity Branch, NIAMS, NIH, Bethesda, Maryland,  USA.&lt;/_author_adr&gt;&lt;_date_display&gt;2017 Apr&lt;/_date_display&gt;&lt;_date&gt;2017-04-01&lt;/_date&gt;&lt;_doi&gt;10.1038/nrrheum.2017.22&lt;/_doi&gt;&lt;_isbn&gt;1759-4804 (Electronic); 1759-4790 (Print); 1759-4790 (Linking)&lt;/_isbn&gt;&lt;_issue&gt;4&lt;/_issue&gt;&lt;_journal&gt;Nat Rev Rheumatol&lt;/_journal&gt;&lt;_language&gt;eng&lt;/_language&gt;&lt;_pages&gt;217-233&lt;/_pages&gt;&lt;_subject_headings&gt;4-1BB Ligand/antagonists &amp;amp; inhibitors/metabolism; Animals; CD27 Ligand/antagonists &amp;amp; inhibitors/metabolism; CD40 Ligand/antagonists &amp;amp; inhibitors/metabolism; Cell Death; Cytokine TWEAK; Dendritic Cells/immunology; Fas Ligand Protein/antagonists &amp;amp; inhibitors/metabolism; Humans; Immune Tolerance; Lymphocyte Activation; Lymphotoxin-alpha/antagonists &amp;amp; inhibitors/metabolism; *Molecular Targeted Therapy; OX40 Ligand/antagonists &amp;amp; inhibitors/metabolism; Rheumatic Diseases/*drug therapy/*immunology; Signal Transduction; T-Lymphocytes/immunology; TNF-Related Apoptosis-Inducing Ligand/antagonists &amp;amp; inhibitors/metabolism; *Tumor Necrosis Factor Inhibitors; Tumor Necrosis Factor Ligand Superfamily Member 14/antagonists &amp;amp; _x000d__x000a_      inhibitors/metabolism; Tumor Necrosis Factor Ligand Superfamily Member 15/antagonists &amp;amp; _x000d__x000a_      inhibitors/metabolism; Tumor Necrosis Factors/immunology/*metabolism&lt;/_subject_headings&gt;&lt;_tertiary_title&gt;Nature reviews. Rheumatology&lt;/_tertiary_title&gt;&lt;_type_work&gt;Journal Article; Review&lt;/_type_work&gt;&lt;_url&gt;http://www.ncbi.nlm.nih.gov/entrez/query.fcgi?cmd=Retrieve&amp;amp;db=pubmed&amp;amp;dopt=Abstract&amp;amp;list_uids=28275260&amp;amp;query_hl=1&lt;/_url&gt;&lt;_volume&gt;13&lt;/_volume&gt;&lt;_created&gt;65767643&lt;/_created&gt;&lt;_modified&gt;65767643&lt;/_modified&gt;&lt;_db_updated&gt;PubMed&lt;/_db_updated&gt;&lt;_impact_factor&gt;  29.400&lt;/_impact_factor&gt;&lt;_social_category&gt;风湿病学(1)&lt;/_social_category&gt;&lt;_collection_scope&gt;SCIE&lt;/_collection_scope&gt;&lt;/Details&gt;&lt;Extra&gt;&lt;DBUID&gt;{03752FAB-B361-4F66-989B-C711D9502F78}&lt;/DBUID&gt;&lt;/Extra&gt;&lt;/Item&gt;&lt;/References&gt;&lt;/Group&gt;&lt;/Citation&gt;_x000a_"/>
    <w:docVar w:name="NE.Ref{266669DE-B7A6-4A41-9BE6-98F31E823B40}" w:val=" ADDIN NE.Ref.{266669DE-B7A6-4A41-9BE6-98F31E823B40}&lt;Citation&gt;&lt;Group&gt;&lt;References&gt;&lt;Item&gt;&lt;ID&gt;642&lt;/ID&gt;&lt;UID&gt;{E3ADED80-D8CE-49EE-8E4C-FB41F27BDE5E}&lt;/UID&gt;&lt;Title&gt;Bayesian test for colocalisation between pairs of genetic association studies  using summary statistics&lt;/Title&gt;&lt;Template&gt;Journal Article&lt;/Template&gt;&lt;Star&gt;0&lt;/Star&gt;&lt;Tag&gt;0&lt;/Tag&gt;&lt;Author&gt;Giambartolomei, C; Vukcevic, D; Schadt, E E; Franke, L; Hingorani, A D; Wallace, C; Plagnol, V&lt;/Author&gt;&lt;Year&gt;2014&lt;/Year&gt;&lt;Details&gt;&lt;_accession_num&gt;24830394&lt;/_accession_num&gt;&lt;_author_adr&gt;UCL Genetics Institute, University College London (UCL), London, United Kingdom.; Murdoch Childrens Research Institute, Royal Children&amp;apos;s Hospital, Melbourne,  Australia.; Department of Genetics and Genomics Sciences, Mount Sinai School of Medicine, New  York, New York, United States of America.; Department of Genetics, University Medical Center Groningen, University of  Groningen, Groningen, The Netherlands.; Institute of Cardiovascular Science, University College London, London, United  Kingdom.; JDRF/Wellcome Trust Diabetes and Inflammation Laboratory, Cambridge, Institute  for Medical Research, Department of Medical Genetics, NIHR, Cambridge Biomedical  Research Centre, University of Cambridge, Addenbrooke&amp;apos;s Hospital, Cambridge,  United Kingdom.; UCL Genetics Institute, University College London (UCL), London, United Kingdom.&lt;/_author_adr&gt;&lt;_date_display&gt;2014 May&lt;/_date_display&gt;&lt;_date&gt;2014-05-01&lt;/_date&gt;&lt;_doi&gt;10.1371/journal.pgen.1004383&lt;/_doi&gt;&lt;_isbn&gt;1553-7404 (Electronic); 1553-7390 (Print); 1553-7390 (Linking)&lt;/_isbn&gt;&lt;_issue&gt;5&lt;/_issue&gt;&lt;_journal&gt;PLoS Genet&lt;/_journal&gt;&lt;_language&gt;eng&lt;/_language&gt;&lt;_pages&gt;e1004383&lt;/_pages&gt;&lt;_subject_headings&gt;*Bayes Theorem; *Genome-Wide Association Study; Humans; Sample Size&lt;/_subject_headings&gt;&lt;_tertiary_title&gt;PLoS genetics&lt;/_tertiary_title&gt;&lt;_type_work&gt;Journal Article; Meta-Analysis; Research Support, Non-U.S. Gov&amp;apos;t&lt;/_type_work&gt;&lt;_url&gt;http://www.ncbi.nlm.nih.gov/entrez/query.fcgi?cmd=Retrieve&amp;amp;db=pubmed&amp;amp;dopt=Abstract&amp;amp;list_uids=24830394&amp;amp;query_hl=1&lt;/_url&gt;&lt;_volume&gt;10&lt;/_volume&gt;&lt;_created&gt;65767647&lt;/_created&gt;&lt;_modified&gt;65767647&lt;/_modified&gt;&lt;_db_updated&gt;PubMed&lt;/_db_updated&gt;&lt;_impact_factor&gt;   4.000&lt;/_impact_factor&gt;&lt;_social_category&gt;遗传学(2)&lt;/_social_category&gt;&lt;_collection_scope&gt;SCIE&lt;/_collection_scope&gt;&lt;/Details&gt;&lt;Extra&gt;&lt;DBUID&gt;{03752FAB-B361-4F66-989B-C711D9502F78}&lt;/DBUID&gt;&lt;/Extra&gt;&lt;/Item&gt;&lt;/References&gt;&lt;/Group&gt;&lt;/Citation&gt;_x000a_"/>
    <w:docVar w:name="NE.Ref{2D6AAFEF-9A03-4ACB-914B-5AC5A17E485C}" w:val=" ADDIN NE.Ref.{2D6AAFEF-9A03-4ACB-914B-5AC5A17E485C}&lt;Citation&gt;&lt;Group&gt;&lt;References&gt;&lt;Item&gt;&lt;ID&gt;1216&lt;/ID&gt;&lt;UID&gt;{6FEE5F17-B97A-4D09-91AC-16F93941B8C0}&lt;/UID&gt;&lt;Title&gt;Treatment of acute venous thromboembolism with dabigatran or warfarin and pooled  analysis&lt;/Title&gt;&lt;Template&gt;Journal Article&lt;/Template&gt;&lt;Star&gt;0&lt;/Star&gt;&lt;Tag&gt;0&lt;/Tag&gt;&lt;Author&gt;Schulman, S; Kakkar, A K; Goldhaber, S Z; Schellong, S; Eriksson, H; Mismetti, P; Christiansen, A V; Friedman, J; Le Maulf, F; Peter, N; Kearon, C&lt;/Author&gt;&lt;Year&gt;2014&lt;/Year&gt;&lt;Details&gt;&lt;_accession_num&gt;24344086&lt;/_accession_num&gt;&lt;_author_adr&gt;Department of Medicine, McMaster University and Thrombosis and Atherosclerosis  Research Institute, Hamilton, ON, Canada (S. Schulman, C.K.); Department of  Hematology, Karolinska University Hospital, Stockholm, Sweden (S.S.); Thrombosis  Research Institute and University College London, London, UK (A.K.K.); Brigham  and Women&amp;apos;s Hospital, Harvard Medical School, Boston, MA (S.Z.G.); Medical  Division 2, Municipal Hospital Friedrichstadt, Dresden, Germany (S. Schellong);  Department of Medicine, Sahlgrenska University Hospital-Ostra, Gothenburg, Sweden  (H.E.); Department of Vascular Pathology, Bellevue Hospital, Saint Etienne,  France (P.M.); Clinical Research, Boehringer Ingelheim, Copenhagen, Denmark  (A.V.C.); Boehringer Ingelheim, Ridgefield, CT (J.F.); Boehringer Ingelheim,  Reims, France (F.L.M.); and Boehringer Ingelheim, Biberach and der Riss, BDM,  Germany (N.P.).&lt;/_author_adr&gt;&lt;_date_display&gt;2014 Feb 18&lt;/_date_display&gt;&lt;_date&gt;2014-02-18&lt;/_date&gt;&lt;_doi&gt;10.1161/CIRCULATIONAHA.113.004450&lt;/_doi&gt;&lt;_isbn&gt;1524-4539 (Electronic); 0009-7322 (Linking)&lt;/_isbn&gt;&lt;_issue&gt;7&lt;/_issue&gt;&lt;_journal&gt;Circulation&lt;/_journal&gt;&lt;_keywords&gt;antagonists &amp;amp; inhibitors; hemorrhage; recurrence; thrombin; venous thromboembolism; warfarin&lt;/_keywords&gt;&lt;_language&gt;eng&lt;/_language&gt;&lt;_pages&gt;764-72&lt;/_pages&gt;&lt;_subject_headings&gt;Acute Disease; Adolescent; Adult; Aged; Anticoagulants/*administration &amp;amp; dosage/adverse effects; Antithrombins/*administration &amp;amp; dosage/adverse effects; Benzimidazoles/*administration &amp;amp; dosage/adverse effects; Dabigatran; Double-Blind Method; Female; Follow-Up Studies; Hemorrhage/*chemically induced/epidemiology; Heparin/administration &amp;amp; dosage/adverse effects; Heparin, Low-Molecular-Weight/administration &amp;amp; dosage/adverse effects; Humans; Male; Middle Aged; Recurrence; Risk Factors; Venous Thromboembolism/*drug therapy/epidemiology; Warfarin/*administration &amp;amp; dosage/adverse effects; Young Adult; beta-Alanine/administration &amp;amp; dosage/adverse effects/*analogs &amp;amp; derivatives&lt;/_subject_headings&gt;&lt;_tertiary_title&gt;Circulation&lt;/_tertiary_title&gt;&lt;_type_work&gt;Clinical Trial, Phase III; Comparative Study; Journal Article; Multicenter Study; Randomized Controlled Trial&lt;/_type_work&gt;&lt;_url&gt;http://www.ncbi.nlm.nih.gov/entrez/query.fcgi?cmd=Retrieve&amp;amp;db=pubmed&amp;amp;dopt=Abstract&amp;amp;list_uids=24344086&amp;amp;query_hl=1&lt;/_url&gt;&lt;_volume&gt;129&lt;/_volume&gt;&lt;_created&gt;65014277&lt;/_created&gt;&lt;_modified&gt;65014277&lt;/_modified&gt;&lt;_db_updated&gt;PubMed&lt;/_db_updated&gt;&lt;_impact_factor&gt;  29.690&lt;/_impact_factor&gt;&lt;_collection_scope&gt;SCI;SCIE&lt;/_collection_scope&gt;&lt;/Details&gt;&lt;Extra&gt;&lt;DBUID&gt;{F96A950B-833F-4880-A151-76DA2D6A2879}&lt;/DBUID&gt;&lt;/Extra&gt;&lt;/Item&gt;&lt;/References&gt;&lt;/Group&gt;&lt;Group&gt;&lt;References&gt;&lt;Item&gt;&lt;ID&gt;1217&lt;/ID&gt;&lt;UID&gt;{49EA4CC8-7C17-4B9A-BF5D-F058AE4572AD}&lt;/UID&gt;&lt;Title&gt;Direct oral anticoagulants: evidence and unresolved issues&lt;/Title&gt;&lt;Template&gt;Journal Article&lt;/Template&gt;&lt;Star&gt;0&lt;/Star&gt;&lt;Tag&gt;0&lt;/Tag&gt;&lt;Author&gt;Chan, N; Sobieraj-Teague, M; Eikelboom, J W&lt;/Author&gt;&lt;Year&gt;2020&lt;/Year&gt;&lt;Details&gt;&lt;_accession_num&gt;33248499&lt;/_accession_num&gt;&lt;_author_adr&gt;Thrombosis and Atherosclerosis Research Institute, Hamilton, ON, Canada;  Population Health Research Institute, Hamilton, ON, Canada; Hamilton General  Hospital and McMaster University, Hamilton, ON, Canada. Electronic address:  noel.chan@taari.ca.; Flinders Medical Centre, Adelaide, SA, Australia.; Thrombosis and Atherosclerosis Research Institute, Hamilton, ON, Canada;  Population Health Research Institute, Hamilton, ON, Canada; Hamilton General  Hospital and McMaster University, Hamilton, ON, Canada.&lt;/_author_adr&gt;&lt;_date_display&gt;2020 Nov 28&lt;/_date_display&gt;&lt;_date&gt;2020-11-28&lt;/_date&gt;&lt;_doi&gt;10.1016/S0140-6736(20)32439-9&lt;/_doi&gt;&lt;_isbn&gt;1474-547X (Electronic); 0140-6736 (Linking)&lt;/_isbn&gt;&lt;_issue&gt;10264&lt;/_issue&gt;&lt;_journal&gt;Lancet&lt;/_journal&gt;&lt;_language&gt;eng&lt;/_language&gt;&lt;_ori_publication&gt;Copyright (c) 2020 Elsevier Ltd. All rights reserved.&lt;/_ori_publication&gt;&lt;_pages&gt;1767-1776&lt;/_pages&gt;&lt;_subject_headings&gt;Administration, Oral; *Anticoagulants/pharmacology/therapeutic use; *Dabigatran/pharmacology/therapeutic use; *Factor Xa Inhibitors/pharmacology/therapeutic use; Hemorrhage/complications; Humans; *Pyrazoles/pharmacology/therapeutic use; *Pyridines/pharmacology/therapeutic use; *Pyridones/pharmacology/therapeutic use; *Rivaroxaban/pharmacology/therapeutic use; *Thiazoles/pharmacology/therapeutic use; Venous Thromboembolism/prevention &amp;amp; control&lt;/_subject_headings&gt;&lt;_tertiary_title&gt;Lancet (London, England)&lt;/_tertiary_title&gt;&lt;_type_work&gt;Journal Article; Review&lt;/_type_work&gt;&lt;_url&gt;http://www.ncbi.nlm.nih.gov/entrez/query.fcgi?cmd=Retrieve&amp;amp;db=pubmed&amp;amp;dopt=Abstract&amp;amp;list_uids=33248499&amp;amp;query_hl=1&lt;/_url&gt;&lt;_volume&gt;396&lt;/_volume&gt;&lt;_created&gt;65014278&lt;/_created&gt;&lt;_modified&gt;65014278&lt;/_modified&gt;&lt;_db_updated&gt;PubMed&lt;/_db_updated&gt;&lt;_impact_factor&gt;  79.323&lt;/_impact_factor&gt;&lt;_collection_scope&gt;SCI;SCIE&lt;/_collection_scope&gt;&lt;/Details&gt;&lt;Extra&gt;&lt;DBUID&gt;{F96A950B-833F-4880-A151-76DA2D6A2879}&lt;/DBUID&gt;&lt;/Extra&gt;&lt;/Item&gt;&lt;/References&gt;&lt;/Group&gt;&lt;Group&gt;&lt;References&gt;&lt;Item&gt;&lt;ID&gt;1218&lt;/ID&gt;&lt;UID&gt;{08947011-27DC-45F3-9606-9EF1EC461737}&lt;/UID&gt;&lt;Title&gt;Management and outcomes of major bleeding during treatment with dabigatran or  warfarin&lt;/Title&gt;&lt;Template&gt;Journal Article&lt;/Template&gt;&lt;Star&gt;0&lt;/Star&gt;&lt;Tag&gt;0&lt;/Tag&gt;&lt;Author&gt;Majeed, A; Hwang, H G; Connolly, S J; Eikelboom, J W; Ezekowitz, M D; Wallentin, L; Brueckmann, M; Fraessdorf, M; Yusuf, S; Schulman, S&lt;/Author&gt;&lt;Year&gt;2013&lt;/Year&gt;&lt;Details&gt;&lt;_accession_num&gt;24081972&lt;/_accession_num&gt;&lt;_author_adr&gt;Coagulation Unit, Hematology Center, Karolinska University Hospital and  Karolinska Institute, Stockholm, Sweden (A.M., S.S.); the Department of Medicine,  Soonchunhyang University Gumi&amp;apos;s Hospital, North Kyungsang Province, South Korea  (H.-G-H.); McMaster University, Population Health Research Institute, Hamilton,  ON, Canada (S.J.C., J.W.E., S.Y.); Lankenau Medical Center, Thomas Jefferson  Medical College, Wynnewood, PA (M.D.E.); Uppsala Clinical Research Center and  Department of Medical Sciences, Uppsala University, Uppsala, Sweden (L.W.);  Boehringer Ingelheim Pharma GmbH &amp;amp; Co KG, Ingelheim, Germany (M.B., M.F.);  Faculty of Medicine Mannheim, University of Heidelberg, Mannheim, Germany (M.B.);  and the Department of Medicine, McMaster University and Thrombosis and  Atherosclerosis Research Institute, Hamilton, ON, Canada (S.S.).&lt;/_author_adr&gt;&lt;_date_display&gt;2013 Nov 19&lt;/_date_display&gt;&lt;_date&gt;2013-11-19&lt;/_date&gt;&lt;_doi&gt;10.1161/CIRCULATIONAHA.113.002332&lt;/_doi&gt;&lt;_isbn&gt;1524-4539 (Electronic); 0009-7322 (Linking)&lt;/_isbn&gt;&lt;_issue&gt;21&lt;/_issue&gt;&lt;_journal&gt;Circulation&lt;/_journal&gt;&lt;_keywords&gt;anticoagulants; atrial fibrillation; hemorrhage; mortality; venous thrombosis&lt;/_keywords&gt;&lt;_language&gt;eng&lt;/_language&gt;&lt;_pages&gt;2325-32&lt;/_pages&gt;&lt;_subject_headings&gt;Aged; Aged, 80 and over; Anticoagulants/administration &amp;amp; dosage/adverse effects; Antithrombins/administration &amp;amp; dosage/adverse effects; Atrial Fibrillation/*drug therapy/mortality; Benzimidazoles/administration &amp;amp; dosage/*adverse effects; Blood Transfusion/statistics &amp;amp; numerical data; Dabigatran; Female; Hemoglobins/metabolism; Hemorrhage/*chemically induced/mortality/*therapy; Humans; Length of Stay/statistics &amp;amp; numerical data; Male; Middle Aged; Risk Factors; Treatment Outcome; Venous Thromboembolism/*drug therapy/mortality; Warfarin/administration &amp;amp; dosage/*adverse effects; beta-Alanine/administration &amp;amp; dosage/adverse effects/*analogs &amp;amp; derivatives&lt;/_subject_headings&gt;&lt;_tertiary_title&gt;Circulation&lt;/_tertiary_title&gt;&lt;_type_work&gt;Clinical Trial, Phase III; Comparative Study; Journal Article; Meta-Analysis; Randomized Controlled Trial; Research Support, Non-U.S. Gov&amp;apos;t&lt;/_type_work&gt;&lt;_url&gt;http://www.ncbi.nlm.nih.gov/entrez/query.fcgi?cmd=Retrieve&amp;amp;db=pubmed&amp;amp;dopt=Abstract&amp;amp;list_uids=24081972&amp;amp;query_hl=1&lt;/_url&gt;&lt;_volume&gt;128&lt;/_volume&gt;&lt;_created&gt;65014279&lt;/_created&gt;&lt;_modified&gt;65014279&lt;/_modified&gt;&lt;_db_updated&gt;PubMed&lt;/_db_updated&gt;&lt;_impact_factor&gt;  29.690&lt;/_impact_factor&gt;&lt;_collection_scope&gt;SCI;SCIE&lt;/_collection_scope&gt;&lt;/Details&gt;&lt;Extra&gt;&lt;DBUID&gt;{F96A950B-833F-4880-A151-76DA2D6A2879}&lt;/DBUID&gt;&lt;/Extra&gt;&lt;/Item&gt;&lt;/References&gt;&lt;/Group&gt;&lt;/Citation&gt;_x000a_"/>
    <w:docVar w:name="NE.Ref{3090E6A9-43AA-46E5-816B-FEF2E8EA70B1}" w:val=" ADDIN NE.Ref.{3090E6A9-43AA-46E5-816B-FEF2E8EA70B1}&lt;Citation&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311D75BF-1684-40C0-99D6-82C362668539}" w:val=" ADDIN NE.Ref.{311D75BF-1684-40C0-99D6-82C362668539}&lt;Citation&gt;&lt;Group&gt;&lt;References&gt;&lt;Item&gt;&lt;ID&gt;1409&lt;/ID&gt;&lt;UID&gt;{FF9B1B45-4831-483C-A94C-434081B3401C}&lt;/UID&gt;&lt;Title&gt;Large-scale genome-wide association study in a Japanese population identifies  novel susceptibility loci across different diseases&lt;/Title&gt;&lt;Template&gt;Journal Article&lt;/Template&gt;&lt;Star&gt;0&lt;/Star&gt;&lt;Tag&gt;0&lt;/Tag&gt;&lt;Author&gt;Ishigaki, K; Akiyama, M; Kanai, M; Takahashi, A; Kawakami, E; Sugishita, H; Sakaue, S; Matoba, N; Low, S K; Okada, Y; Terao, C; Amariuta, T; Gazal, S; Kochi, Y; Horikoshi, M; Suzuki, K; Ito, K; Koyama, S; Ozaki, K; Niida, S; Sakata, Y; Sakata, Y; Kohno, T; Shiraishi, K; Momozawa, Y; Hirata, M; Matsuda, K; Ikeda, M; Iwata, N; Ikegawa, S; Kou, I; Tanaka, T; Nakagawa, H; Suzuki, A; Hirota, T; Tamari, M; Chayama, K; Miki, D; Mori, M; Nagayama, S; Daigo, Y; Miki, Y; Katagiri, T; Ogawa, O; Obara, W; Ito, H; Yoshida, T; Imoto, I; Takahashi, T; Tanikawa, C; Suzuki, T; Sinozaki, N; Minami, S; Yamaguchi, H; Asai, S; Takahashi, Y; Yamaji, K; Takahashi, K; Fujioka, T; Takata, R; Yanai, H; Masumoto, A; Koretsune, Y; Kutsumi, H; Higashiyama, M; Murayama, S; Minegishi, N; Suzuki, K; Tanno, K; Shimizu, A; Yamaji, T; Iwasaki, M; Sawada, N; Uemura, H; Tanaka, K; Naito, M; Sasaki, M; Wakai, K; Tsugane, S; Yamamoto, M; Yamamoto, K; Murakami, Y; Nakamura, Y; Raychaudhuri, S; Inazawa, J; Yamauchi, T; Kadowaki, T; Kubo, M; Kamatani, Y&lt;/Author&gt;&lt;Year&gt;2020&lt;/Year&gt;&lt;Details&gt;&lt;_accession_num&gt;32514122&lt;/_accession_num&gt;&lt;_author_adr&gt;Laboratory for Statistical Analysis, RIKEN Center for Integrative Medical  Sciences, Yokohama, Japan.; Center for Data Sciences, Harvard Medical School, Boston, MA, USA.; Divisions of Genetics and Rheumatology, Department of Medicine, Brigham and  Women&amp;apos;s Hospital, Harvard Medical School, Boston, MA, USA.; Program in Medical and Population Genetics, Broad Institute of MIT and Harvard,  Cambridge, MA, USA.; Laboratory for Statistical Analysis, RIKEN Center for Integrative Medical  Sciences, Yokohama, Japan.; Department of Ophthalmology, Graduate School of Medical Sciences, Kyushu  University, Fukuoka, Japan.; Laboratory for Statistical Analysis, RIKEN Center for Integrative Medical  Sciences, Yokohama, Japan.; Program in Medical and Population Genetics, Broad Institute of MIT and Harvard,  Cambridge, MA, USA.; Department of Biomedical Informatics, Harvard Medical School, Boston, MA, USA.; Laboratory for Statistical Analysis, RIKEN Center for Integrative Medical  Sciences, Yokohama, Japan.; Department of Genomic Medicine, Research Institute, National Cerebral and  Cardiovascular Center, Osaka, Japan.; Medical Sciences Innovation Hub Program (MIH), RIKEN, Yokohama, Japan.; Laboratory for Developmental Genetics, RIKEN Center for Integrative Medical  Sciences, Yokohama, Japan.; Artificial Intelligence Medicine, Graduate School of Medicine, Chiba University,  Chiba, Japan.; Laboratory for Developmental Genetics, RIKEN Center for Integrative Medical  Sciences, Yokohama, Japan.; Laboratory for Statistical Analysis, RIKEN Center for Integrative Medical  Sciences, Yokohama, Japan.; Department of Statistical Genetics, Osaka University Graduate School of Medicine,  Osaka, Japan.; Department of Allergy and Rheumatology, Graduate School of Medicine, The  University of Tokyo, Tokyo, Japan.; Laboratory for Statistical Analysis, RIKEN Center for Integrative Medical  Sciences, Yokohama, Japan.; Department of Genetics and UNC Neuroscience Center, University of North Carolina  at Chapel Hill, Chapel Hill, NC, USA.; Laboratory for Statistical Analysis, RIKEN Center for Integrative Medical  Sciences, Yokohama, Japan.; Cancer Precision Medicine Center, Japanese Foundation for Cancer Research, Tokyo,  Japan.; Laboratory for Statistical Analysis, RIKEN Center for Integrative Medical  Sciences, Yokohama, Japan.; Department of Statistical Genetics, Osaka University Graduate School of Medicine,  Osaka, Japan.; Laboratory of Statistical Immunology, WPI Immunology Frontier Research Center,  Osaka University, Osaka, Japan.; Integrated Frontier Research for Medical Science Division, Institute for Open and  Transdisciplinary Research Initiatives, Osaka University, Osaka, Japan.; Laboratory for Statistical and Translational Genetics, RIKEN Center for  Integrative Medical Sciences, Yokohama, Japan.; Center for Data Sciences, Harvard Medical School, Boston, MA, USA.; Divisions of Genetics and Rheumatology, Department of Medicine, Brigham and  Women&amp;apos;s Hospital, Harvard Medical School, Boston, MA, USA.; Program in Medical and Population Genetics, Broad Institute of MIT and Harvard,  Cambridge, MA, USA.; Department of Biomedical Informatics, Harvard Medical School, Boston, MA, USA.; Graduate School of Arts and Sciences, Harvard University, Cambridge, MA, USA.; Program in Medical and Population Genetics, Broad Institute of MIT and Harvard,  Cambridge, MA, USA.; Department of Epidemiology, Harvard T.H. Chan School of Public Health, Boston,  MA, USA.; Laboratory for Autoimmune Diseases, RIKEN Center for Integrative Medical  Sciences, Yokohama, Japan.; Department of Genomic Function and Diversity, Medical Research Institute, Tokyo  Medical and Dental University, Tokyo, Japan.; Laboratory for Genomics of Diabetes and Metabolism, RIKEN Center for Integrative  Medical Sciences, Yokohama, Japan.; Laboratory for Statistical Analysis, RIKEN Center for Integrative Medical  Sciences, Yokohama, Japan.; Department of Statistical Genetics, Osaka University Graduate School of Medicine,  Osaka, Japan.; Laboratory for Genomics of Diabetes and Metabolism, RIKEN Center for Integrative  Medical Sciences, Yokohama, Japan.; Department of Diabetes and Metabolic Diseases, Graduate School of Medicine, The  University of Tokyo, Tokyo, Japan.; Laboratory for Cardiovascular Genomics and Informatics, RIKEN Center for  Integrative Medical Sciences, Yokohama, Japan.; Laboratory for Cardiovascular Genomics and Informatics, RIKEN Center for  Integrative Medical Sciences, Yokohama, Japan.; Medical Genome Center, National Center for Geriatrics and Gerontology, Obu,  Japan.; Medical Genome Center, National Center for Geriatrics and Gerontology, Obu,  Japan.; Department of Cardiovascular Medicine, Osaka University Graduate School of  Medicine, Osaka, Japan.; Department of Cardiovascular Medicine, Tohoku University Graduate School of  Medicine, Tohoku, Japan.; Division of Genome Biology, National Cancer Center Research Institute, Tokyo,  Japan.; Division of Genome Biology, National Cancer Center Research Institute, Tokyo,  Japan.; Laboratory for Genotyping Development, RIKEN Center for Integrative Medical  Sciences, Yokohama, Japan.; Institute of Medical Science, The University of Tokyo, Tokyo, Japan.; Graduate School of Frontier Sciences, The University of Tokyo, Tokyo, Japan.; Department of Psychiatry, Fujita Health University School of Medicine, Aichi,  Japan.; Department of Psychiatry, Fujita Health University School of Medicine, Aichi,  Japan.; Laboratory for Bone and Joint Diseases, RIKEN Center for Integrative Medical  Sciences, Tokyo, Japan.; Laboratory for Bone and Joint Diseases, RIKEN Center for Integrative Medical  Sciences, Tokyo, Japan.; Laboratory for Cardiovascular Diseases, RIKEN Center for Integrative Medical  Sciences, Yokohama, Japan.; Department of Human Genetics and Disease Diversity, Graduate School of Medical  and Dental Sciences, Tokyo Medical and Dental University, Tokyo, Japan.; Laboratory for Genome Sequencing Analysis, RIKEN Center for Integrative Medical  Sciences, Tokyo, Japan.; Laboratory for Autoimmune Diseases, RIKEN Center for Integrative Medical  Sciences, Yokohama, Japan.; Laboratory for Respiratory and Allergic Diseases, RIKEN Center for Integrative  Medical Sciences, Yokohama, Japan.; Laboratory for Respiratory and Allergic Diseases, RIKEN Center for Integrative  Medical Sciences, Yokohama, Japan.; Department of Gastroenterology and Metabolism, Graduate School of Biomedical and  Health Sciences, Hiroshima University, Hiroshima, Japan.; Department of Gastroenterology and Metabolism, Graduate School of Biomedical and  Health Sciences, Hiroshima University, Hiroshima, Japan.; Department of Surgery and Sciences, Graduate School of Medicine, Kyushu  University, Fukuoka, Japan.; Department of Gastroenterological Surgery, The Cancer Institute Hospital of the  Japanese Foundation for Cancer Research, Tokyo, Japan.; Department of Medical Oncology and Cancer Center, and Center for Advanced  Medicine against Cancer, Shiga University of Medical Science, Shiga, Japan.; Center for Antibody and Vaccine Therapy, Research Hospital, Institute of Medical  Science, The University of Tokyo, Tokyo, Japan.; Department of Genetic Diagnosis, The Cancer Institute, Japanese Foundation for  Cancer Research, Tokyo, Japan.; Division of Genome Medicine, Institute for Genome Research, Tokushima University,  Tokushima, Japan.; Department of Urology, Kyoto University Graduate School of Medicine, Kyoto,  Japan.; Department of Urology, Iwate Medical University School of Medicine, Iwate, Japan.; Division of Cancer Information and Control, Aichi Cancer Center Research  Institute, Nagoya, Japan.; Division of Descriptive Cancer Epidemiology, Nagoya University Graduate School of  Medicine, Nagoya, Japan.; Division of Genetics, National Cancer Center Research Institute, Tokyo, Japan.; Division of Molecular Genetics, Aichi Cancer Center Research Institute, Nagoya,  Japan.; Risk Assessment Center, Aichi Caner Center Hospital, Nagoya, Japan.; Division of Cancer Genetics, Nagoya University Graduate School of Medicine,  Nagoya, Japan.; Aichi Cancer Center, Nagoya, Japan.; Laboratory of Genome Technology, Human Genome Center, Institute of Medical  Science, The University of Tokyo, Tokyo, Japan.; Tokushukai Group, Tokyo, Japan.; Tokushukai Group, Tokyo, Japan.; Department of Bioregulation, Nippon Medical School, Kawasaki, Japan.; Department of Hematology, Nippon Medical School, Tokyo, Japan.; Division of Pharmacology, Department of Biomedical Science, Nihon University  School of Medicine, Tokyo, Japan.; Division of Genomic Epidemiology and Clinical Trials, Clinical Trials Research  Center, Nihon University School of Medicine, Tokyo, Japan.; Division of Genomic Epidemiology and Clinical Trials, Clinical Trials Research  Center, Nihon University School of Medicine, Tokyo, Japan.; Department of Internal Medicine and Rheumatology, Juntendo University Graduate  School of Medicine, Tokyo, Japan.; Department of Respiratory Medicine, Juntendo University Graduate School of  Medicine, Tokyo, Japan.; Department of Urology, Iwate Medical University School of Medicine, Iwate, Japan.; Department of Urology, Iwate Medical University School of Medicine, Iwate, Japan.; Fukujuji Hospital, Japan Anti-Tuberculosis Association, Tokyo, Japan.; Aso Iizuka Hospital, Fukuoka, Japan.; National Hospital Organization Osaka National Hospital, Osaka, Japan.; Center for Clinical Research and Advanced Medicine, Shiga University of Medical  Science, Shiga, Japan.; Department of General Thoracic Surgery, Osaka International Cancer Institute,  Osaka, Japan.; Department of Neurology and Neuropathology (the Brain Bank for Aging Research),  Tokyo Metropolitan Geriatric Hospital and Institute of Gerontology, Tokyo, Japan.; Tohoku Medical Megabank Organization, Tohoku University, Sendai, Japan.; Tohoku Medical Megabank Organization, Tohoku University, Sendai, Japan.; Iwate Tohoku Medical Megabank Organization, Iwate Medical University, Iwate,  Japan.; Iwate Tohoku Medical Megabank Organization, Iwate Medical University, Iwate,  Japan.; Division of Epidemiology, Center for Public Health Sciences, National Cancer  Center, Tokyo, Japan.; Division of Epidemiology, Center for Public Health Sciences, National Cancer  Center, Tokyo, Japan.; Division of Epidemiology, Center for Public Health Sciences, National Cancer  Center, Tokyo, Japan.; Department of Preventive Medicine, Institute of Biomedical Sciences, Tokushima  University Graduate School, Tokushima, Japan.; College of Nursing Art and Science, University of Hyogo, Akashi, Japan.; Department of Preventive Medicine, Saga University Faculty of Medicine, Saga,  Japan.; Department of Preventive Medicine, Nagoya University Graduate School of Medicine,  Nagoya, Japan.; Department of Oral Epidemiology, Graduate School of Biomedical and Health  Sciences, Hiroshima University, Hiroshima, Japan.; Iwate Tohoku Medical Megabank Organization, Iwate Medical University, Iwate,  Japan.; Department of Preventive Medicine, Nagoya University Graduate School of Medicine,  Nagoya, Japan.; Center for Public Health Sciences, National Cancer Center, Tokyo, Japan.; Tohoku Medical Megabank Organization, Tohoku University, Sendai, Japan.; Laboratory for Autoimmune Diseases, RIKEN Center for Integrative Medical  Sciences, Yokohama, Japan.; Division of Molecular Pathology, Institute of Medical Science, The University of  Tokyo, Tokyo, Japan.; Human Genome Center, Institute of Medical Science, The University of Tokyo,  Tokyo, Japan.; Center for Data Sciences, Harvard Medical School, Boston, MA, USA.  soumya@broadinstitute.org.; Divisions of Genetics and Rheumatology, Department of Medicine, Brigham and  Women&amp;apos;s Hospital, Harvard Medical School, Boston, MA, USA.  soumya@broadinstitute.org.; Program in Medical and Population Genetics, Broad Institute of MIT and Harvard,  Cambridge, MA, USA. soumya@broadinstitute.org.; Department of Biomedical Informatics, Harvard Medical School, Boston, MA, USA.  soumya@broadinstitute.org.; Centre for Genetics and Genomics Versus Arthritis, Centre for Musculoskeletal  Research, Manchester Academic Health Science Centre, The University of  Manchester, Manchester, UK. soumya@broadinstitute.org.; Department of Molecular Cytogenetics, Medical Research Institute, Tokyo Medical  and Dental University, Tokyo, Japan. johinaz.cgen@mri.tmd.ac.jp.; Bioresource Research Center, Tokyo Medical and Dental University, Tokyo, Japan.  johinaz.cgen@mri.tmd.ac.jp.; Department of Diabetes and Metabolic Diseases, Graduate School of Medicine, The  University of Tokyo, Tokyo, Japan. tyamau-tky@umin.net.; Department of Diabetes and Metabolic Diseases, Graduate School of Medicine, The  University of Tokyo, Tokyo, Japan. kadowaki-3im@h.u-tokyo.ac.jp.; RIKEN Center for Integrative Medical Sciences, Yokohama, Japan.  michiaki.kubo@riken.jp.; Laboratory for Statistical Analysis, RIKEN Center for Integrative Medical  Sciences, Yokohama, Japan. yoichiro.kamatani@riken.jp.; Laboratory of Complex Trait Genomics, Department of Computational Biology and  Medical Sciences, Graduate School of Frontier Sciences, The University of Tokyo,  Tokyo, Japan. yoichiro.kamatani@riken.jp.&lt;/_author_adr&gt;&lt;_collection_scope&gt;SCI;SCIE&lt;/_collection_scope&gt;&lt;_created&gt;65212748&lt;/_created&gt;&lt;_date&gt;2020-07-01&lt;/_date&gt;&lt;_date_display&gt;2020 Jul&lt;/_date_display&gt;&lt;_db_updated&gt;PubMed&lt;/_db_updated&gt;&lt;_doi&gt;10.1038/s41588-020-0640-3&lt;/_doi&gt;&lt;_impact_factor&gt;  38.330&lt;/_impact_factor&gt;&lt;_isbn&gt;1546-1718 (Electronic); 1061-4036 (Print); 1061-4036 (Linking)&lt;/_isbn&gt;&lt;_issue&gt;7&lt;/_issue&gt;&lt;_journal&gt;Nat Genet&lt;/_journal&gt;&lt;_language&gt;eng&lt;/_language&gt;&lt;_modified&gt;65212748&lt;/_modified&gt;&lt;_pages&gt;669-679&lt;/_pages&gt;&lt;_subject_headings&gt;Cohort Studies; Female; *Genetic Predisposition to Disease/ethnology; Genetic Variation; *Genome-Wide Association Study; Humans; Inheritance Patterns; Japan; Male; Sex Factors; Transcription Factors/genetics&lt;/_subject_headings&gt;&lt;_tertiary_title&gt;Nature genetics&lt;/_tertiary_title&gt;&lt;_type_work&gt;Journal Article; Research Support, Non-U.S. Gov&amp;apos;t&lt;/_type_work&gt;&lt;_url&gt;http://www.ncbi.nlm.nih.gov/entrez/query.fcgi?cmd=Retrieve&amp;amp;db=pubmed&amp;amp;dopt=Abstract&amp;amp;list_uids=32514122&amp;amp;query_hl=1&lt;/_url&gt;&lt;_volume&gt;52&lt;/_volume&gt;&lt;/Details&gt;&lt;Extra&gt;&lt;DBUID&gt;{F96A950B-833F-4880-A151-76DA2D6A2879}&lt;/DBUID&gt;&lt;/Extra&gt;&lt;/Item&gt;&lt;/References&gt;&lt;/Group&gt;&lt;/Citation&gt;_x000a_"/>
    <w:docVar w:name="NE.Ref{342F2763-FAEC-4C1D-925F-172159CC8CED}" w:val=" ADDIN NE.Ref.{342F2763-FAEC-4C1D-925F-172159CC8CED}&lt;Citation&gt;&lt;Group&gt;&lt;References&gt;&lt;Item&gt;&lt;ID&gt;631&lt;/ID&gt;&lt;UID&gt;{710E7CB1-4453-4C2F-8AEE-AF6C7512BF7C}&lt;/UID&gt;&lt;Title&gt;Comparison of the efficacy and safety of new oral anticoagulants with warfarin in  patients with atrial fibrillation: a meta-analysis of randomised trials&lt;/Title&gt;&lt;Template&gt;Journal Article&lt;/Template&gt;&lt;Star&gt;0&lt;/Star&gt;&lt;Tag&gt;0&lt;/Tag&gt;&lt;Author&gt;Ruff, C T; Giugliano, R P; Braunwald, E; Hoffman, E B; Deenadayalu, N; Ezekowitz, M D; Camm, A J; Weitz, J I; Lewis, B S; Parkhomenko, A; Yamashita, T; Antman, E M&lt;/Author&gt;&lt;Year&gt;2014&lt;/Year&gt;&lt;Details&gt;&lt;_accession_num&gt;24315724&lt;/_accession_num&gt;&lt;_author_adr&gt;Brigham and Women&amp;apos;s Hospital and Harvard Medical School, Boston, MA, USA.  Electronic address: cruff@partners.org.; Brigham and Women&amp;apos;s Hospital and Harvard Medical School, Boston, MA, USA.; Brigham and Women&amp;apos;s Hospital and Harvard Medical School, Boston, MA, USA.; Brigham and Women&amp;apos;s Hospital and Harvard Medical School, Boston, MA, USA.; Brigham and Women&amp;apos;s Hospital and Harvard Medical School, Boston, MA, USA.; Jefferson Medical College, Philadelphia, PA, USA; Cardiovascular Research  Foundation, New York, NY, USA.; St George&amp;apos;s University, London, UK.; McMaster University and the Thrombosis and Atherosclerosis Research Institute,  Hamilton, ON, Canada.; Lady Davis Carmel Medical Center, Haifa, Israel.; Institute of Cardiology, Kiev, Ukraine.; The Cardiovascular Institute, Tokyo, Japan.; Brigham and Women&amp;apos;s Hospital and Harvard Medical School, Boston, MA, USA.&lt;/_author_adr&gt;&lt;_date_display&gt;2014 Mar 15&lt;/_date_display&gt;&lt;_date&gt;2014-03-15&lt;/_date&gt;&lt;_doi&gt;10.1016/S0140-6736(13)62343-0&lt;/_doi&gt;&lt;_isbn&gt;1474-547X (Electronic); 0140-6736 (Linking)&lt;/_isbn&gt;&lt;_issue&gt;9921&lt;/_issue&gt;&lt;_journal&gt;Lancet&lt;/_journal&gt;&lt;_language&gt;eng&lt;/_language&gt;&lt;_ori_publication&gt;Copyright (c) 2014 Elsevier Ltd. All rights reserved.&lt;/_ori_publication&gt;&lt;_pages&gt;955-62&lt;/_pages&gt;&lt;_subject_headings&gt;Administration, Oral; Anticoagulants/administration &amp;amp; dosage/adverse effects/*therapeutic use; Atrial Fibrillation/complications/*drug therapy; Embolism/etiology/prevention &amp;amp; control; Humans; Randomized Controlled Trials as Topic; Stroke/etiology/prevention &amp;amp; control; Treatment Outcome; Warfarin/administration &amp;amp; dosage/adverse effects/*therapeutic use&lt;/_subject_headings&gt;&lt;_tertiary_title&gt;Lancet (London, England)&lt;/_tertiary_title&gt;&lt;_type_work&gt;Comparative Study; Journal Article; Meta-Analysis&lt;/_type_work&gt;&lt;_url&gt;http://www.ncbi.nlm.nih.gov/entrez/query.fcgi?cmd=Retrieve&amp;amp;db=pubmed&amp;amp;dopt=Abstract&amp;amp;list_uids=24315724&amp;amp;query_hl=1&lt;/_url&gt;&lt;_volume&gt;383&lt;/_volume&gt;&lt;_created&gt;65767638&lt;/_created&gt;&lt;_modified&gt;65767638&lt;/_modified&gt;&lt;_db_updated&gt;PubMed&lt;/_db_updated&gt;&lt;_impact_factor&gt;  98.400&lt;/_impact_factor&gt;&lt;_social_category&gt;医学：内科(1)&lt;/_social_category&gt;&lt;_collection_scope&gt;SCIE&lt;/_collection_scope&gt;&lt;/Details&gt;&lt;Extra&gt;&lt;DBUID&gt;{03752FAB-B361-4F66-989B-C711D9502F78}&lt;/DBUID&gt;&lt;/Extra&gt;&lt;/Item&gt;&lt;/References&gt;&lt;/Group&gt;&lt;/Citation&gt;_x000a_"/>
    <w:docVar w:name="NE.Ref{3A96BC3F-85AC-4080-B93E-EC175FEAE0FD}" w:val=" ADDIN NE.Ref.{3A96BC3F-85AC-4080-B93E-EC175FEAE0FD}&lt;Citation&gt;&lt;Group&gt;&lt;References&gt;&lt;Item&gt;&lt;ID&gt;640&lt;/ID&gt;&lt;UID&gt;{EBA4E271-9662-44F1-BC9C-C752C22CCB42}&lt;/UID&gt;&lt;Title&gt;Integration of summary data from GWAS and eQTL studies predicts complex trait  gene targets&lt;/Title&gt;&lt;Template&gt;Journal Article&lt;/Template&gt;&lt;Star&gt;0&lt;/Star&gt;&lt;Tag&gt;0&lt;/Tag&gt;&lt;Author&gt;Zhu, Z; Zhang, F; Hu, H; Bakshi, A; Robinson, M R; Powell, J E; Montgomery, G W; Goddard, M E; Wray, N R; Visscher, P M; Yang, J&lt;/Author&gt;&lt;Year&gt;2016&lt;/Year&gt;&lt;Details&gt;&lt;_accession_num&gt;27019110&lt;/_accession_num&gt;&lt;_author_adr&gt;Queensland Brain Institute, University of Queensland, Brisbane, Queensland,  Australia.; Queensland Brain Institute, University of Queensland, Brisbane, Queensland,  Australia.; State Key Laboratory of Plant Physiology and Biochemistry, College of Life  Sciences, Zhejiang University, Hangzhou, China.; Queensland Brain Institute, University of Queensland, Brisbane, Queensland,  Australia.; Queensland Brain Institute, University of Queensland, Brisbane, Queensland,  Australia.; Queensland Brain Institute, University of Queensland, Brisbane, Queensland,  Australia.; Institute for Molecular Bioscience, University of Queensland, Brisbane,  Queensland, Australia.; Molecular Epidemiology, QIMR Berghofer Medical Research Institute, Brisbane,  Queensland, Australia.; Faculty of Veterinary and Agricultural Science, University of Melbourne,  Parkville, Victoria, Australia.; Biosciences Research Division, Department of Economic Development, Jobs,  Transport and Resources, Bundoora, Victoria, Australia.; Queensland Brain Institute, University of Queensland, Brisbane, Queensland,  Australia.; Queensland Brain Institute, University of Queensland, Brisbane, Queensland,  Australia.; University of Queensland Diamantina Institute, Translation Research Institute,  Brisbane, Queensland, Australia.; Queensland Brain Institute, University of Queensland, Brisbane, Queensland,  Australia.; University of Queensland Diamantina Institute, Translation Research Institute,  Brisbane, Queensland, Australia.&lt;/_author_adr&gt;&lt;_date_display&gt;2016 May&lt;/_date_display&gt;&lt;_date&gt;2016-05-01&lt;/_date&gt;&lt;_doi&gt;10.1038/ng.3538&lt;/_doi&gt;&lt;_isbn&gt;1546-1718 (Electronic); 1061-4036 (Linking)&lt;/_isbn&gt;&lt;_issue&gt;5&lt;/_issue&gt;&lt;_journal&gt;Nat Genet&lt;/_journal&gt;&lt;_language&gt;eng&lt;/_language&gt;&lt;_pages&gt;481-7&lt;/_pages&gt;&lt;_subject_headings&gt;Data Interpretation, Statistical; Gene Expression Regulation; Genetic Linkage; *Genetic Pleiotropy; *Genetic Techniques; Genetic Variation; *Genome-Wide Association Study; Humans; *Quantitative Trait Loci; Transcriptome&lt;/_subject_headings&gt;&lt;_tertiary_title&gt;Nature genetics&lt;/_tertiary_title&gt;&lt;_type_work&gt;Journal Article; Research Support, Non-U.S. Gov&amp;apos;t&lt;/_type_work&gt;&lt;_url&gt;http://www.ncbi.nlm.nih.gov/entrez/query.fcgi?cmd=Retrieve&amp;amp;db=pubmed&amp;amp;dopt=Abstract&amp;amp;list_uids=27019110&amp;amp;query_hl=1&lt;/_url&gt;&lt;_volume&gt;48&lt;/_volume&gt;&lt;_created&gt;65767646&lt;/_created&gt;&lt;_modified&gt;65767646&lt;/_modified&gt;&lt;_db_updated&gt;PubMed&lt;/_db_updated&gt;&lt;_impact_factor&gt;  31.800&lt;/_impact_factor&gt;&lt;_social_category&gt;遗传学(1)&lt;/_social_category&gt;&lt;_collection_scope&gt;SCIE&lt;/_collection_scope&gt;&lt;/Details&gt;&lt;Extra&gt;&lt;DBUID&gt;{03752FAB-B361-4F66-989B-C711D9502F78}&lt;/DBUID&gt;&lt;/Extra&gt;&lt;/Item&gt;&lt;/References&gt;&lt;/Group&gt;&lt;/Citation&gt;_x000a_"/>
    <w:docVar w:name="NE.Ref{40CD76DB-B36A-40D8-946D-E023F6736694}" w:val=" ADDIN NE.Ref.{40CD76DB-B36A-40D8-946D-E023F6736694}&lt;Citation&gt;&lt;Group&gt;&lt;References&gt;&lt;Item&gt;&lt;ID&gt;1206&lt;/ID&gt;&lt;UID&gt;{81CF981C-EE9F-4874-AC7A-A13A6544599E}&lt;/UID&gt;&lt;Title&gt;Stroke genetics informs drug discovery and risk prediction across ancestries&lt;/Title&gt;&lt;Template&gt;Journal Article&lt;/Template&gt;&lt;Star&gt;0&lt;/Star&gt;&lt;Tag&gt;0&lt;/Tag&gt;&lt;Author&gt;Mishra, A; Malik, R; Hachiya, T; Jurgenson, T; Namba, S; Posner, D C; Kamanu, F K; Koido, M; Le Grand, Q; Shi, M; He, Y; Georgakis, M K; Caro, I; Krebs, K; Liaw, Y C; Vaura, F C; Lin, K; Winsvold, B S; Srinivasasainagendra, V; Parodi, L; Bae, H J; Chauhan, G; Chong, M R; Tomppo, L; Akinyemi, R; Roshchupkin, G V; Habib, N; Jee, Y H; Thomassen, J Q; Abedi, V; Carcel-Marquez, J; Nygaard, M; Leonard, H L; Yang, C; Yonova-Doing, E; Knol, M J; Lewis, A J; Judy, R L; Ago, T; Amouyel, P; Armstrong, N D; Bakker, M K; Bartz, T M; Bennett, D A; Bis, J C; Bordes, C; Borte, S; Cain, A; Ridker, P M; Cho, K; Chen, Z; Cruchaga, C; Cole, J W; de Jager, P L; de Cid, R; Endres, M; Ferreira, L E; Geerlings, M I; Gasca, N C; Gudnason, V; Hata, J; He, J; Heath, A K; Ho, Y L; Havulinna, A S; Hopewell, J C; Hyacinth, H I; Inouye, M; Jacob, M A; Jeon, C E; Jern, C; Kamouchi, M; Keene, K L; Kitazono, T; Kittner, S J; Konuma, T; Kumar, A; Lacaze, P; Launer, L J; Lee, K J; Lepik, K; Li, J; Li, L; Manichaikul, A; Markus, H S; Marston, N A; Meitinger, T; Mitchell, B D; Montellano, F A; Morisaki, T; Mosley, T H; Nalls, M A; Nordestgaard, B G; O&amp;apos;Donnell, M J; Okada, Y; Onland-Moret, N C; Ovbiagele, B; Peters, A; Psaty, B M; Rich, S S; Rosand, J; Sabatine, M S; Sacco, R L; Saleheen, D; Sandset, E C; Salomaa, V; Sargurupremraj, M; Sasaki, M; Satizabal, C L; Schmidt, C O; Shimizu, A; Smith, N L; Sloane, K L; Sutoh, Y; Sun, Y V; Tanno, K; Tiedt, S; Tatlisumak, T; Torres-Aguila, N P; Tiwari, H K; Tregouet, D A; Trompet, S; Tuladhar, A M; Tybjaerg-Hansen, A; van Vugt, M; Vibo, R; Verma, S S; Wiggins, K L; Wennberg, P; Woo, D; Wilson, PWF; Xu, H; Yang, Q; Yoon, K; Millwood, I Y; Gieger, C; Ninomiya, T; Grabe, H J; Jukema, J W; Rissanen, I L; Strbian, D; Kim, Y J; Chen, P H; Mayerhofer, E; Howson, JMM; Irvin, M R; Adams, H; Wassertheil-Smoller, S; Christensen, K; Ikram, M A; Rundek, T; Worrall, B B; Lathrop, G M; Riaz, M; Simonsick, E M; Korv, J; Franca, PHC; Zand, R; Prasad, K; Frikke-Schmidt, R; de Leeuw, F E; Liman, T; Haeusler, K G; Ruigrok, Y M; Heuschmann, P U; Longstreth, W T; Jung, K J; Bastarache, L; Pare, G; Damrauer, S M; Chasman, D I; Rotter, J I; Anderson, C D; Zwart, J A; Niiranen, T J; Fornage, M; Liaw, Y P; Seshadri, S; Fernandez-Cadenas, I; Walters, R G; Ruff, C T; Owolabi, M O; Huffman, J E; Milani, L; Kamatani, Y; Dichgans, M; Debette, S&lt;/Author&gt;&lt;Year&gt;2022&lt;/Year&gt;&lt;Details&gt;&lt;_accession_num&gt;36180795&lt;/_accession_num&gt;&lt;_author_adr&gt;Bordeaux Population Health Research Center, University of Bordeaux, Inserm, UMR  1219, Bordeaux, France.; Institute for Stroke and Dementia Research (ISD), University Hospital, LMU  Munich, Munich, Germany.; Iwate Tohoku Medical Megabank Organization, Iwate Medical University, Iwate,  Japan.; Estonian Genome Centre, Institute of Genomics, University of Tartu, Tartu,  Estonia.; Institute of Mathematics and Statistics, University of Tartu, Tartu, Estonia.; Department of Statistical Genetics, Osaka University Graduate School of Medicine,  Suita, Japan.; Massachusetts Veterans Epidemiology Research and Information Center (MAVERIC), VA  Boston Healthcare System, Boston, MA, USA.; TIMI Study Group, Boston, MA, USA.; Division of Cardiovascular Medicine, Brigham and Women&amp;apos;s Hospital, Harvard  Medical School, Boston, MA, USA.; Division of Molecular Pathology, Institute of Medical Sciences, The University of  Tokyo, Tokyo, Japan.; Laboratory of Complex Trait Genomics, Graduate School of Frontier Sciences, The  University of Tokyo, Tokyo, Japan.; Bordeaux Population Health Research Center, University of Bordeaux, Inserm, UMR  1219, Bordeaux, France.; Laboratory of Complex Trait Genomics, Graduate School of Frontier Sciences, The  University of Tokyo, Tokyo, Japan.; Laboratory of Complex Trait Genomics, Graduate School of Frontier Sciences, The  University of Tokyo, Tokyo, Japan.; Institute for Stroke and Dementia Research (ISD), University Hospital, LMU  Munich, Munich, Germany.; Center for Genomic Medicine, Massachusetts General Hospital, Boston, MA, USA.; Program in Medical and Population Genetics, Broad Institute of Harvard and the  Massachusetts Institute of Technology, Cambridge, MA, USA.; Bordeaux Population Health Research Center, University of Bordeaux, Inserm, UMR  1219, Bordeaux, France.; Estonian Genome Centre, Institute of Genomics, University of Tartu, Tartu,  Estonia.; Laboratory of Clinical Genome Sequencing, Department of Computational Biology and  Medical Sciences, Graduate School of Frontier Sciences, The University of Tokyo,  Tokyo, Japan.; Department of Public Health and Institute of Public Health, Chung Shan Medical  University, Taichung, Taiwan.; Department of Internal Medicine, University of Turku, Turku, Finland.; Department of Public Health and Welfare, Finnish Institute for Health and  Welfare, Turku, Finland.; Nuffield Department of Population Health, University of Oxford, Oxford, UK.;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Department of Neurology, Oslo University Hospital, Oslo, Norway.; Department of Biostatistics, School of Public Health, University of Alabama at  Birmingham, Birmingham, AL, USA.; Center for Genomic Medicine, Massachusetts General Hospital, Boston, MA, USA.; Program in Medical and Population Genetics, Broad Institute of Harvard and the  Massachusetts Institute of Technology, Cambridge, MA, USA.; Department of Neurology and Cerebrovascular Disease Center, Seoul National  University Bundang Hospital, Seoul National University College of Medicine,  Seongnam, Republic of Korea.; Rajendra Institute of Medical Sciences, Ranchi, India.; Thrombosis and Atherosclerosis Research Institute, David Braley Cardiac, Vascular  and Stroke Research Institute, Hamilton, Ontario, Canada.; Department of Pathology and Molecular Medicine, Michael G. DeGroote School of  Medicine, McMaster University, Hamilton, Ontario, Canada.; Department of Neurology, Helsinki University Hospital and University of Helsinki,  Helsinki, Finland.; Center for Genomic and Precision Medicine, College of Medicine, University of  Ibadan, Ibadan, Nigeria.; Neuroscience and Ageing Research Unit Institute for Advanced Medical Research and  Training, College of Medicine, University of Ibadan, Ibadan, Nigeria.; Department of Epidemiology, Erasmus MC University Medical Center Rotterdam,  Rotterdam, The Netherlands.; Department of Radiology and Nuclear Medicine, Erasmus MC University Medical  Center Rotterdam, Rotterdam, The Netherlands.; The Edmond and Lily Safra Center for Brain Sciences, The Hebrew University of  Jerusalem, Jerusalem, Israel.; Department of Epidemiology, Harvard T. H. Chan School of Public Health, Boston,  MA, USA.; Department of Clinical Biochemistry, Copenhagen University  Hospital-Rigshospitalet, Copenhagen, Denmark.; Department of Molecular and Functional Genomics, Weis Center for Research,  Geisinger Health System, Danville, VA, USA.; Department of Public Health Sciences, College of Medicine, The Pennsylvania State  University, State College, PA, USA.; Stroke Pharmacogenomics and Genetics Laboratory, Biomedical Research Institute  Sant Pau (IIB Sant Pau), Barcelona, Spain.; Departament de Medicina, Universitat Autonoma de Barcelona, Barcelona, Spain.; The Danish Twin Registry, Department of Public Health, University of Southern  Denmark, Odense, Denmark.; Department of Clinical Genetics, Odense University Hospital, Odense, Denmark.; Center for Alzheimer&amp;apos;s and Related Dementias, National Institutes of Health,  Bethesda, MD, USA.; Laboratory of Neurogenetics, National Institute on Aging, National Institutes of  Health, Bethesda, MD, USA.; Data Tecnica International, Glen Echo, MD, USA.; Center for Public Health Genomics, University of Virginia, Charlottesville, VA,  USA.; Department of Biochemistry and Molecular Genetics, University of Virginia,  Charlottesville, VA, USA.; British Heart Foundation Cardiovascular Epidemiology Unit, Department of Public  Health and Primary Care, University of Cambridge, Cambridge, UK.; Department of Genetics, Novo Nordisk Research Centre Oxford, Oxford, UK.; Department of Epidemiology, Erasmus MC University Medical Center Rotterdam,  Rotterdam, The Netherlands.; Department of Biomedical Informatics, Vanderbilt University Medical Center,  Nashville, TN, USA.; Department of Surgery, University of Pennsylvania, Philadelphia, PA, USA.; Department of Medicine and Clinical Science, Graduate School of Medical Sciences,  Kyushu University, Fukuoka, Japan.; University of Lille, INSERM U1167, RID-AGE, LabEx DISTALZ, Risk Factors and  Molecular Determinants of Aging-Related Diseases, Lille, France.; CHU Lille, Public Health Department, Lille, France.; Institut Pasteur de Lille, Lille, France.; Department of Epidemiology, University of Alabama at Birmingham, Birmingham, AL,  USA.; UMC Utrecht Brain Center, Department of Neurology and Neurosurgery, University  Medical Center Utrecht, University Utrecht, Utrecht, The Netherlands.; Cardiovascular Health Research Unit, Department of Medicine, University of  Washington, Seattle, WA, USA.; Department of Biostatistics, University of Washington, Seattle, WA, USA.; Rush Alzheimer&amp;apos;s Disease Center, Rush University Medical Center, Chicago, IL,  USA.; Cardiovascular Health Research Unit, Department of Medicine, University of  Washington, Seattle, WA, USA.; Bordeaux Population Health Research Center, University of Bordeaux, Inserm, UMR  1219, Bordeaux, France.; K. G. Jebsen Center for Genetic Epidemiology, Department of Public Health and  Nursing, Faculty of Medicine and Health Sciences, Norwegian University of Science  and Technology (NTNU), Trondheim, Norway.; Institute of Clinical Medicine, Faculty of Medicine, University of Oslo, Oslo,  Norway.; Research and Communication Unit for Musculoskeletal Health (FORMI), Department of  Research and Innovation, Division of Clinical Neuroscience, Oslo University  Hospital, Oslo, Norway.; The Edmond and Lily Safra Center for Brain Sciences, The Hebrew University of  Jerusalem, Jerusalem, Israel.; Division of Preventive Medicine, Brigham and Women&amp;apos;s Hospital, Boston, MA, USA.; Harvard Medical School, Boston, MA, USA.; Massachusetts Veterans Epidemiology Research and Information Center (MAVERIC), VA  Boston Healthcare System, Boston, MA, USA.; Nuffield Department of Population Health, University of Oxford, Oxford, UK.; MRC Population Health Research Unit, University of Oxford, Oxford, UK.; Department of Psychiatry, Washington University School of Medicine, Saint Louis,  MO, USA.; NeuroGenomics and Informatics Center, Washington University School of Medicine,  Saint Louis, MO, USA.; VA Maryland Health Care System, Baltimore, MD, USA.; Department of Neurology, University of Maryland School of Medicine, Baltimore,  MD, USA.; Program in Medical and Population Genetics, Broad Institute of Harvard and the  Massachusetts Institute of Technology, Cambridge, MA, USA.; Center for Translational and Computational Neuroimmunology, Department of  Neurology, Columbia University Medical Center, New York, NY, USA.; GenomesForLife-GCAT Lab Group, Germans Trias i Pujol Research Institute (IGTP),  Badalona, Spain.; Klinik und Hochschulambulanz fur Neurologie, Charite-Universitatsmedizin Berlin,  Berlin, Germany.; Center for Stroke Research Berlin, Berlin, Germany.; German Center for Neurodegenerative Diseases (DZNE), partner site Berlin, Berlin,  Germany.; German Centre for Cardiovascular Research (DZHK), partner site Berlin, Berlin,  Germany.; Post-Graduation Program on Health and Environment, Department of Medicine and  Joinville Stroke Biobank, University of the Region of Joinville, Santa Catarina,  Brazil.; Department of Epidemiology, Julius Center for Health Sciences and Primary Care,  University Medical Center Utrecht, Utrecht University, Utrecht, The Netherlands.; Department of Biostatistics, University of Washington, Seattle, WA, USA.; Icelandic Heart Association, Kopavogur, Iceland.; Faculty of Medicine, University of Iceland, Reykjavik, Iceland.; Department of Epidemiology and Public Health, Graduate School of Medical  Sciences, Kyushu University, Fukuoka, Japan.; Department of Biomedical Informatics, Vanderbilt University Medical Center,  Nashville, TN, USA.; Department of Epidemiology and Biostatistics, School of Public Health, Imperial  College London, London, UK.; Massachusetts Veterans Epidemiology Research and Information Center (MAVERIC), VA  Boston Healthcare System, Boston, MA, USA.; Department of Public Health and Welfare, Finnish Institute for Health and  Welfare, Helsinki, Finland.; Institute for Molecular Medicine Finland, FIMM-HiLIFE, Helsinki, Finland.; Clinical Trial Service and Epidemiological Studies Unit (CTSU), Nuffield  Department of Population Health, University of Oxford, Oxford, UK.; Department of Neurology and Rehabilitation Medicine, University of Cincinnati  College of Medicine, Cincinnati, OH, USA.; British Heart Foundation Cardiovascular Epidemiology Unit, Department of Public  Health and Primary Care, University of Cambridge, Cambridge, UK.; Cambridge Baker Systems Genomics Initiative, Department of Public Health and  Primary Care, University of Cambridge, Cambridge, UK.; Cambridge Baker Systems Genomics Initiative, Baker Heart and Diabetes Institute,  Melbourne, Victoria, Australia.; Health Data Research UK Cambridge, Wellcome Genome Campus and University of  Cambridge, Cambridge, UK.; British Heart Foundation Centre of Research Excellence, University of Cambridge,  Cambridge, UK.; Department of Neurology, Donders Center for Medical Neuroscience, Radboud  University Medical Center, Nijmegen, The Netherlands.; Los Angeles County Department of Public Health, Los Angeles, CA, USA.; Institute of Biomedicine, Department of Laboratory Medicine, the Sahlgrenska  Academy, University of Gothenburg, Gothenburg, Sweden.; Department of Clinical Genetics and Genomics, Sahlgrenska University Hospital,  Gothenburg, Sweden.; Department of Health Care Administration and Management, Graduate School of  Medical Sciences, Kyushu University, Fukuoka, Japan.; Department of Biology, Brody School of Medicine Center for Health Disparities,  East Carolina University, Greenville, NC, USA.; Department of Medicine and Clinical Science, Graduate School of Medical Sciences,  Kyushu University, Fukuoka, Japan.; Department of Neurology, University of Maryland School of Medicine, Baltimore,  MD, USA.; Department of Neurology and Geriatric Research and Education Clinical Center, VA  Maryland Health Care System, Baltimore, MD, USA.; Department of Statistical Genetics, Osaka University Graduate School of Medicine,  Suita, Japan.; Rajendra Institute of Medical Sciences, Ranchi, India.; Department of Epidemiology and Preventive Medicine, School of Public Health and  Preventive Medicine, Monash University, Melbourne, Victoria, Australia.; Intramural Research Program, National Institute on Aging, NIH, Baltimore, MD,  USA.; Department of Neurology, Korea University Guro Hospital, Seoul, Republic of  Korea.; Estonian Genome Centre, Institute of Genomics, University of Tartu, Tartu,  Estonia.; Department of Computational Biology, University of Lausanne, Lausanne,  Switzerland.; Swiss Institute of Bioinformatics, Lausanne, Switzerland.; University Center for Primary Care and Public Health, Lausanne, Switzerland.; Department of Molecular and Functional Genomics, Weis Center for Research,  Geisinger Health System, Danville, VA, USA.; Department of Epidemiology and Biostatistics, School of Public Health, Peking  University Health Science Center, Beijing, China.; Center for Public Health Genomics, University of Virginia, Charlottesville, VA,  USA.; Stroke Research Group, Department of Clinical Neurosciences, University of  Cambridge, Cambridge, UK.; TIMI Study Group, Boston, MA, USA.; Division of Cardiovascular Medicine, Brigham and Women&amp;apos;s Hospital, Harvard  Medical School, Boston, MA, USA.; Institute of Human Genetics, Technical University of Munich, Munich, Germany.; Institute of Human Genetics, Helmholtz Zentrum Munchen, German Research Center  for Environmental Health, Neuherberg, Germany.; Department of Medicine, University of Maryland School of Medicine, Baltimore, MD,  USA.; Geriatrics Research and Education Clinical Center, Baltimore Veterans  Administration Medical Center, Baltimore, MD, USA.; Institute of Clinical Epidemiology and Biometry, University of Wurzburg,  Wurzburg, Germany.; Department of Neurology, University Hospital Wurzburg, Wurzburg, Germany.; Division of Molecular Pathology, Institute of Medical Sciences, The University of  Tokyo, Tokyo, Japan.; The MIND Center, University of Mississippi Medical Center, Jackson, MS, USA.; Center for Alzheimer&amp;apos;s and Related Dementias, National Institutes of Health,  Bethesda, MD, USA.; Laboratory of Neurogenetics, National Institute on Aging, National Institutes of  Health, Bethesda, MD, USA.; Data Tecnica International, Glen Echo, MD, USA.; Department of Clinical Biochemistry, Copenhagen University Hospital-Herlev and  Gentofte, Copenhagen, Denmark.; Department of Clinical Medicine, University of Copenhagen, Copenhagen, Denmark.; College of Medicine Nursing and Health Science, NUI Galway, Galway, Ireland.; Department of Statistical Genetics, Osaka University Graduate School of Medicine,  Suita, Japan.; Department of Genome Informatics, Graduate School of Medicine, The University of  Tokyo, Tokyo, Japan.; Laboratory for Systems Genetics, RIKEN Center for Integrative Medical Sciences,  Yokohama, Japan.; Laboratory of Statistical Immunology, Immunology Frontier Research Center  (WPI-IFReC), Osaka University, Suita, Japan.; Integrated Frontier Research for Medical Science Division, Institute for Open and  Transdisciplinary Research Initiatives, Osaka University, Suita, Japan.; Center for Infectious Disease Education and Research (CiDER), Osaka University,  Suita, Japan.; Department of Epidemiology, Julius Center for Health Sciences and Primary Care,  University Medical Center Utrecht, Utrecht University, Utrecht, The Netherlands.; Weill Institute for Neurosciences, University of California, San Francisco, San  Francisco, CA, USA.; Institute of Epidemiology, Helmholtz Zentrum Munchen,, German Research Center for  Environmental Health, Neuherberg, Germany.; Institute for Medical Information Processing, Biometry and Epidemiology, Ludwig  Maximilian University Munich, Munich, Germany.; German Centre for Cardiovascular Research (DZHK), partner site Munich, Munich,  Germany.; Cardiovascular Health Research Unit, Department of Medicine, University of  Washington, Seattle, WA, USA.; Department of Epidemiology, University of Washington, Seattle, WA, USA.; Department of Health Systems and Population Health, University of Washington,  Seattle, WA, USA.; Center for Public Health Genomics, University of Virginia, Charlottesville, V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TIMI Study Group, Boston, MA, USA.; Division of Cardiovascular Medicine, Brigham and Women&amp;apos;s Hospital, Harvard  Medical School, Boston, MA, USA.; Department of Neurology, University of Miami Miller School of Medicine, Miami,  FL, USA.; Evelyn F. McKnight Brain Institute, Gainesville, FL, USA.; Division of Cardiology, Department of Medicine, Columbia University, New York,  NY, USA.; Stroke Unit, Department of Neurology, Oslo University Hospital, Oslo, Norway.; Research and Development, The Norwegian Air Ambulance Foundation, Oslo, Norway.; Department of Public Health and Welfare, Finnish Institute for Health and  Welfare, Helsinki, Finland.; Glenn Biggs Institute for Alzheimer&amp;apos;s and Neurodegenerative Diseases, University  of Texas Health Sciences Center, San Antonio, TX, USA.; Iwate Tohoku Medical Megabank Organization, Iwate Medical University, Iwate,  Japan.; Glenn Biggs Institute for Alzheimer&amp;apos;s and Neurodegenerative Diseases, University  of Texas Health Sciences Center, San Antonio, TX, USA.; Framingham Heart Study, Framingham, MA, USA.; University Medicine Greifswald, Institute for Community Medicine, SHIP/KEF,  Greifswald, Germany.; Iwate Tohoku Medical Megabank Organization, Iwate Medical University, Iwate,  Japan.; Department of Epidemiology, University of Washington, Seattle, WA, USA.; Kaiser Permanente Washington Health Research Institute, Kaiser Permanente  Washington, Seattle, WA, USA.; Department of Veterans Affairs Office of Research and Development, Seattle  Epidemiologic Research and Information Center, Seattle, WA, USA.; Department of Neurology, University of Pennsylvania, Philadelphia, PA, USA.; Iwate Tohoku Medical Megabank Organization, Iwate Medical University, Iwate,  Japan.; Atlanta VA Health Care System, Decatur, GA, USA.; Department of Epidemiology, Emory University Rollins School of Public Health,  Atlanta, GA, USA.; Iwate Tohoku Medical Megabank Organization, Iwate Medical University, Iwate,  Japan.; Institute for Stroke and Dementia Research (ISD), University Hospital, LMU  Munich, Munich, Germany.; Department of Clinical Neuroscience, Institute of Neuroscience and Physiology,  Sahlgrenska Unviersity Hospital, Gothenburg, Sweden.; Stroke Pharmacogenomics and Genetics Laboratory, Biomedical Research Institute  Sant Pau (IIB Sant Pau), Barcelona, Spain.; Department of Biostatistics, School of Public Health, University of Alabama at  Birmingham, Birmingham, AL, USA.; Bordeaux Population Health Research Center, University of Bordeaux, Inserm, UMR  1219, Bordeaux, France.; Department of Internal Medicine, Section of Gerontology and Geriatrics, Leiden  University Medical Center, Leiden, The Netherlands.; Department of Cardiology, Leiden University Medical Center, Leiden, The  Netherlands.; Department of Neurology, Donders Center for Medical Neuroscience, Radboud  University Medical Center, Nijmegen, The Netherlands.; Department of Clinical Biochemistry, Copenhagen University  Hospital-Rigshospitalet, Copenhagen, Denmark.; Department of Clinical Medicine, University of Copenhagen, Copenhagen, Denmark.; Division Heart &amp;amp; Lungs, Department of Cardiology, University Medical Center  Utrecht, Utrecht University, Utrecht, The Netherlands.; Department of Neurology and Neurosurgery, University of Tartu, Tartu, Estonia.; Department of Pathology and Laboratory Medicine, University of Pennsylvania,  Philadelphia, PA, USA.; Cardiovascular Health Research Unit, Department of Medicine, University of  Washington, Seattle, WA, USA.; Department of Public Health and Clinical Medicine, Umea University, Umea, Sweden.; Department of Neurology and Rehabilitation Medicine, University of Cincinnati  College of Medicine, Cincinnati, OH, USA.; Atlanta VA Health Care System, Decatur, GA, USA.; Department of Medicine, Division of Cardiovascular Disease, Emory University  School of Medicine, Atlanta, GA, USA.; Department of Medicine, University of Maryland School of Medicine, Baltimore, MD,  USA.; Framingham Heart Study, Framingham, MA, USA.; Department of Biostatistics, Boston University School of Public Health, Boston,  MA, USA.; Division of Genome Science, Department of Precision Medicine, National Institute  of Health, Cheongju, Republic of Korea.; Nuffield Department of Population Health, University of Oxford, Oxford, UK.; MRC Population Health Research Unit, University of Oxford, Oxford, UK.; Research Unit Molecular Epidemiology, Institute of Epidemiology, Helmholtz  Zentrum Munchen, German Research Center for Environmental Health, Neuherberg,  Germany.; Department of Epidemiology and Public Health, Graduate School of Medical  Sciences, Kyushu University, Fukuoka, Japan.; Department of Psychiatry and Psychotherapy, University Medicine Greifswald,  Greifswald, Germany.; German Center for Neurodegenerative Diseases (DZNE), site Rostock/Greifswald,  Rostock, Germany.; Department of Cardiology, Leiden University Medical Center, Leiden, The  Netherlands.; Netherlands Heart Institute, Utrecht, The Netherlands.; Einthoven Laboratory for Experimental Vascular Medicine, LUMC, Leiden, The  Netherlands.; Department of Epidemiology, Julius Center for Health Sciences and Primary Care,  University Medical Center Utrecht, Utrecht University, Utrecht, The Netherlands.; Department of Neurology, Helsinki University Hospital and University of Helsinki,  Helsinki, Finland.; Division of Genome Science, Department of Precision Medicine, National Institute  of Health, Cheongju, Republic of Korea.; Department of Public Health and Institute of Public Health, Chung Shan Medical  University, Taichung, Taiwan.; Center for Genomic Medicine, Massachusetts General Hospital, Boston, MA, USA.; Program in Medical and Population Genetics, Broad Institute of Harvard and the  Massachusetts Institute of Technology, Cambridge, MA, USA.; British Heart Foundation Cardiovascular Epidemiology Unit, Department of Public  Health and Primary Care, University of Cambridge, Cambridge, UK.; Department of Genetics, Novo Nordisk Research Centre Oxford, Oxford, UK.; Department of Epidemiology, University of Alabama at Birmingham, Birmingham, AL,  USA.; Department of Clinical Genetics, Department of Radiology and Nuclear Medicine,  Erasmus MC, Rotterdam, The Netherlands.; Latin American Brain Health (BrainLat), Universidad Adolfo Ibanez, Santiago,  Chile.; Department of Epidemiology and Population Health, Albert Einstein College of  Medicine, New York, NY, USA.; The Danish Twin Registry, Department of Public Health, University of Southern  Denmark, Odense, Denmark.; Department of Clinical Genetics, Odense University Hospital, Odense, Denmark.; Department of Clinical Biochemistry and Pharmacology, Odense University Hospital,  Odense, Denmark.; Department of Epidemiology, Erasmus MC University Medical Center Rotterdam,  Rotterdam, The Netherlands.; Department of Neurology, University of Miami Miller School of Medicine, Miami,  FL, USA.; Evelyn F. McKnight Brain Institute, Gainesville, FL, USA.; Department of Neurology, University of Virginia, Charlottesville, VA, USA.; Department of Public Health Science, University of Virginia, Charlottesville, VA,  USA.; McGill Genome Centre, Montreal, Quebec, Canada.; Department of Epidemiology and Preventive Medicine, School of Public Health and  Preventive Medicine, Monash University, Melbourne, Victoria, Australia.; Longitudinal Studies Section, Translational Gerontology Branch, National  Institute on Aging, Baltimore, MD, USA.; Department of Neurology and Neurosurgery, University of Tartu, Tartu, Estonia.; Post-Graduation Program on Health and Environment, Department of Medicine and  Joinville Stroke Biobank, University of the Region of Joinville, Santa Catarina,  Brazil.; Geisinger Neuroscience Institute, Geisinger Health System, Danville, PA, USA.; Department of Neurology, College of Medicine, The Pennsylvania State University,  State College, PA, USA.; Rajendra Institute of Medical Sciences, Ranchi, India.; Department of Clinical Biochemistry, Copenhagen University  Hospital-Rigshospitalet, Copenhagen, Denmark.; Department of Clinical Medicine, University of Copenhagen, Copenhagen, Denmark.; Department of Neurology, Donders Center for Medical Neuroscience, Radboud  University Medical Center, Nijmegen, The Netherlands.; Center for Stroke Research Berlin, Berlin, Germany.; Department of Epidemiology, Julius Center for Health Sciences and Primary Care,  University Medical Center Utrecht, Utrecht University, Utrecht, The Netherlands.; Klinik fur Neurologie, Carl von Ossietzky University of Oldenburg, Oldenburg,  Germany.; Department of Neurology, University Hospital Wurzburg, Wurzburg, Germany.; UMC Utrecht Brain Center, Department of Neurology and Neurosurgery, University  Medical Center Utrecht, University Utrecht, Utrecht, The Netherlands.; Institute of Clinical Epidemiology and Biometry, University of Wurzburg,  Wurzburg, Germany.; Comprehensive Heart Failure Center, University Hospital Wurzburg, Wurzburg,  Germany.; Clinical Trial Center, University Hospital Wurzburg, Wurzburg, Germany.; Department of Epidemiology, University of Washington, Seattle, WA, USA.; Department of Neurology, University of Washington, Seattle, WA, USA.; Nuffield Department of Population Health, University of Oxford, Oxford, UK.; Institute for Health Promotion, Graduate School of Public Health, Yonsei  University, Seoul, Republic of Korea.; Department of Biomedical Informatics, Vanderbilt University Medical Center,  Nashville, TN, USA.; Thrombosis and Atherosclerosis Research Institute, David Braley Cardiac, Vascular  and Stroke Research Institute, Hamilton, Ontario, Canada.; Department of Pathology and Molecular Medicine, Michael G. DeGroote School of  Medicine, McMaster University, Hamilton, Ontario, Canada.; Department of Health Research Methods, Evidence and Impact, McMaster University,  Hamilton, Ontario, Canada.; Population Health Research Institute, David Braley Cardiac, Vascular and Stroke  Research Institute, Hamilton, Ontario, Canada.; Department of Surgery and Department of Genetics, University of Pennsylvania,  Philadelphia, PA, USA.; Corporal Michael Crescenz VA Medical Center, Philadelphia, PA, USA.; Division of Preventive Medicine, Brigham and Women&amp;apos;s Hospital, Boston, MA, USA.; Harvard Medical School, Boston, MA, USA.; The Institute for Translational Genomics and Population Sciences, Department of  Pediatrics, The Lundquist Institute for Biomedical Innovation at Harbor-UCLA  Medical Center, Torrance, C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Department of Neurology, Brigham and Women&amp;apos;s Hospital, Boston, MA, USA.;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Institute of Clinical Medicine, Faculty of Medicine, University of Oslo, Oslo,  Norway.; Department of Internal Medicine, University of Turku, Turku, Finland.; Department of Public Health and Welfare, Finnish Institute for Health and  Welfare, Turku, Finland.; Division of Medicine, Turku University Hospital, Turku, Finland.; Brown Foundation Institute of Molecular Medicine, McGovern Medical School,  University of Texas Health Science Center at Houston, Houston, TX, USA.; Human Genetics Center, School of Public Health, University of Texas Health  Science Center at Houston, Houston, TX, USA.; Department of Public Health and Institute of Public Health, Chung Shan Medical  University, Taichung, Taiwan.; Department of Medical Imaging, Chung Shan Medical University Hospital, Taichung,  Taiwan.; Glenn Biggs Institute for Alzheimer&amp;apos;s and Neurodegenerative Diseases, University  of Texas Health Sciences Center, San Antonio, TX, USA.; Framingham Heart Study, Framingham, MA, USA.; Department of Neurology, Boston University School of Medicine, Boston, MA, USA.; Stroke Pharmacogenomics and Genetics Laboratory, Biomedical Research Institute  Sant Pau (IIB Sant Pau), Barcelona, Spain.; Nuffield Department of Population Health, University of Oxford, Oxford, UK.; MRC Population Health Research Unit, University of Oxford, Oxford, UK.; TIMI Study Group, Boston, MA, USA.; Division of Cardiovascular Medicine, Brigham and Women&amp;apos;s Hospital, Harvard  Medical School, Boston, MA, USA.; Center for Genomic and Precision Medicine, College of Medicine, University of  Ibadan, Ibadan, Nigeria.; Department of Medicine, University of Ibadan, Ibadan, Nigeria.; Massachusetts Veterans Epidemiology Research and Information Center (MAVERIC), VA  Boston Healthcare System, Boston, MA, USA.; Estonian Genome Centre, Institute of Genomics, University of Tartu, Tartu,  Estonia.; Laboratory of Complex Trait Genomics, Graduate School of Frontier Sciences, The  University of Tokyo, Tokyo, Japan.; Institute for Stroke and Dementia Research (ISD), University Hospital, LMU  Munich, Munich, Germany. Martin.Dichgans@med.uni-muenchen.de.; Munich Cluster for Systems Neurology, Munich, Germany.  Martin.Dichgans@med.uni-muenchen.de.; German Center for Neurodegenerative Diseases (DZNE), Munich, Germany.  Martin.Dichgans@med.uni-muenchen.de.; Bordeaux Population Health Research Center, University of Bordeaux, Inserm, UMR  1219, Bordeaux, France. stephanie.debette@u-bordeaux.fr.; Department of Neurology, Institute for Neurodegenerative Diseases, CHU de  Bordeaux, Bordeaux, France. stephanie.debette@u-bordeaux.fr.&lt;/_author_adr&gt;&lt;_collection_scope&gt;SCI;SCIE&lt;/_collection_scope&gt;&lt;_created&gt;65011500&lt;/_created&gt;&lt;_date&gt;2022-11-01&lt;/_date&gt;&lt;_date_display&gt;2022 Nov&lt;/_date_display&gt;&lt;_db_updated&gt;PubMed&lt;/_db_updated&gt;&lt;_doi&gt;10.1038/s41586-022-05165-3&lt;/_doi&gt;&lt;_impact_factor&gt;  49.962&lt;/_impact_factor&gt;&lt;_isbn&gt;1476-4687 (Electronic); 0028-0836 (Print); 0028-0836 (Linking)&lt;/_isbn&gt;&lt;_issue&gt;7934&lt;/_issue&gt;&lt;_journal&gt;Nature&lt;/_journal&gt;&lt;_language&gt;eng&lt;/_language&gt;&lt;_modified&gt;65011500&lt;/_modified&gt;&lt;_ori_publication&gt;(c) 2022. The Author(s).&lt;/_ori_publication&gt;&lt;_pages&gt;115-123&lt;/_pages&gt;&lt;_subject_headings&gt;Humans; Brain Ischemia/genetics; *Drug Discovery; *Genetic Predisposition to Disease/genetics; Genome-Wide Association Study; *Ischemic Stroke/genetics; Molecular Targeted Therapy; Multifactorial Inheritance; Europe/ethnology; Asia, Eastern/ethnology; Africa/ethnology&lt;/_subject_headings&gt;&lt;_tertiary_title&gt;Nature&lt;/_tertiary_title&gt;&lt;_type_work&gt;Journal Article; Meta-Analysis; Research Support, N.I.H., Extramural; Research Support, Non-U.S. Gov&amp;apos;t&lt;/_type_work&gt;&lt;_url&gt;http://www.ncbi.nlm.nih.gov/entrez/query.fcgi?cmd=Retrieve&amp;amp;db=pubmed&amp;amp;dopt=Abstract&amp;amp;list_uids=36180795&amp;amp;query_hl=1&lt;/_url&gt;&lt;_volume&gt;611&lt;/_volume&gt;&lt;/Details&gt;&lt;Extra&gt;&lt;DBUID&gt;{F96A950B-833F-4880-A151-76DA2D6A2879}&lt;/DBUID&gt;&lt;/Extra&gt;&lt;/Item&gt;&lt;/References&gt;&lt;/Group&gt;&lt;/Citation&gt;_x000a_"/>
    <w:docVar w:name="NE.Ref{433B4268-4BC1-43EC-96B6-4EB47246ED7B}" w:val=" ADDIN NE.Ref.{433B4268-4BC1-43EC-96B6-4EB47246ED7B}&lt;Citation&gt;&lt;Group&gt;&lt;References&gt;&lt;Item&gt;&lt;ID&gt;1202&lt;/ID&gt;&lt;UID&gt;{F9ED76C1-BD5D-425A-9A72-0CE95A5F0DDA}&lt;/UID&gt;&lt;Title&gt;Genome-wide association and Mendelian randomisation analysis provide insights  into the pathogenesis of heart failure&lt;/Title&gt;&lt;Template&gt;Journal Article&lt;/Template&gt;&lt;Star&gt;0&lt;/Star&gt;&lt;Tag&gt;0&lt;/Tag&gt;&lt;Author&gt;Shah, S; Henry, A; Roselli, C; Lin, H; Sveinbjornsson, G; Fatemifar, G; Hedman, A K; Wilk, J B; Morley, M P; Chaffin, M D; Helgadottir, A; Verweij, N; Dehghan, A; Almgren, P; Andersson, C; Aragam, K G; Arnlov, J; Backman, J D; Biggs, M L; Bloom, H L; Brandimarto, J; Brown, M R; Buckbinder, L; Carey, D J; Chasman, D I; Chen, X; Chen, X; Chung, J; Chutkow, W; Cook, J P; Delgado, G E; Denaxas, S; Doney, A S; Dorr, M; Dudley, S C; Dunn, M E; Engstrom, G; Esko, T; Felix, S B; Finan, C; Ford, I; Ghanbari, M; Ghasemi, S; Giedraitis, V; Giulianini, F; Gottdiener, J S; Gross, S; Guethbjartsson, D F; Gutmann, R; Haggerty, C M; van der Harst, P; Hyde, C L; Ingelsson, E; Jukema, J W; Kavousi, M; Khaw, K T; Kleber, M E; Kober, L; Koekemoer, A; Langenberg, C; Lind, L; Lindgren, C M; London, B; Lotta, L A; Lovering, R C; Luan, J; Magnusson, P; Mahajan, A; Margulies, K B; Marz, W; Melander, O; Mordi, I R; Morgan, T; Morris, A D; Morris, A P; Morrison, A C; Nagle, M W; Nelson, C P; Niessner, A; Niiranen, T; O&amp;apos;Donoghue, M L; Owens, A T; Palmer, CNA; Parry, H M; Perola, M; Portilla-Fernandez, E; Psaty, B M; Rice, K M; Ridker, P M; Romaine, SPR; Rotter, J I; Salo, P; Salomaa, V; van Setten, J; Shalaby, A A; Smelser, D T; Smith, N L; Stender, S; Stott, D J; Svensson, P; Tammesoo, M L; Taylor, K D; Teder-Laving, M; Teumer, A; Thorgeirsson, G; Thorsteinsdottir, U; Torp-Pedersen, C; Trompet, S; Tyl, B; Uitterlinden, A G; Veluchamy, A; Volker, U; Voors, A A; Wang, X; Wareham, N J; Waterworth, D; Weeke, P E; Weiss, R; Wiggins, K L; Xing, H; Yerges-Armstrong, L M; Yu, B; Zannad, F; Zhao, J H; Hemingway, H; Samani, N J; McMurray, JJV; Yang, J; Visscher, P M; Newton-Cheh, C; Malarstig, A; Holm, H; Lubitz, S A; Sattar, N; Holmes, M V; Cappola, T P; Asselbergs, F W; Hingorani, A D; Kuchenbaecker, K; Ellinor, P T; Lang, C C; Stefansson, K; Smith, J G; Vasan, R S; Swerdlow, D I; Lumbers, R T&lt;/Author&gt;&lt;Year&gt;2020&lt;/Year&gt;&lt;Details&gt;&lt;_accession_num&gt;31919418&lt;/_accession_num&gt;&lt;_author_adr&gt;Institute for Molecular Bioscience, The University of Queensland, Brisbane,  Queensland, 4072, Australia.; Institute of Cardiovascular Science, University College London, London, UK.; British Heart Foundation Research Accelerator, University College London, London,  UK.; Institute of Cardiovascular Science, University College London, London, UK.; British Heart Foundation Research Accelerator, University College London, London,  UK.; Institute of Health Informatics, University College London, London, UK.; Program in Medical and Population Genetics, The Broad Institute of MIT and  Harvard, Cambridge, MA, USA.; Department of Cardiology, University Medical Center Groningen, University of  Groningen, Groningen, The Netherlands.; Section of Computational Biomedicine, Department of Medicine, Boston University  School of Medicine, Boston, MA, USA.; National Heart, Lung, and Blood Institute&amp;apos;s and Boston University&amp;apos;s Framingham  Heart Study, Framingham, MA, USA.; deCODE genetics/Amgen Inc., Sturlugata 8, 101, Reykjavik, Iceland.; British Heart Foundation Research Accelerator, University College London, London,  UK.; Institute of Health Informatics, University College London, London, UK.; Health Data Research UK London, University College London, London, UK.; Cardiovascular Medicine unit, Department of Medicine Solna, Karolinska Institute,  Stockholm, Sweden.; Pfizer Worldwide Research &amp;amp; Development, 1 Portland St, Cambridge, MA, USA.; Penn Cardiovascular Institute, Perelman School of Medicine, University of  Pennsylvania, Philadelphia, PA, USA.; Program in Medical and Population Genetics, The Broad Institute of MIT and  Harvard, Cambridge, MA, USA.; deCODE genetics/Amgen Inc., Sturlugata 8, 101, Reykjavik, Iceland.; Program in Medical and Population Genetics, The Broad Institute of MIT and  Harvard, Cambridge, MA, USA.; Department of Cardiology, University Medical Center Groningen, University of  Groningen, Groningen, The Netherlands.; Department of Epidemiology and Biostatistics, Imperial College London, St Mary&amp;apos;s  Campus, London, W2 1PG, UK.; MRC-PHE Centre for Environment and Health, Department of Epidemiology and  Biostatistics, Imperial College London, St Mary&amp;apos;s Campus, London, W2 1PG, UK.; Department of Clinical Sciences, Lund University, Malmo, Sweden.; National Heart, Lung, and Blood Institute&amp;apos;s and Boston University&amp;apos;s Framingham  Heart Study, Framingham, MA, USA.; Department of Cardiology, Herlev Gentofte Hospital, Herlev Ringvej 57, 2650,  Herlev, Denmark.; Program in Medical and Population Genetics, The Broad Institute of MIT and  Harvard, Cambridge, MA, USA.; Center for Genomic Medicine, Massachusetts General Hospital, Boston, MA, USA.; Cardiovascular Research Center, Massachusetts General Hospital, Boston, MA, USA.; Department of Neurobiology, Care Sciences and Society/ Section of Family Medicine  and Primary Care, Karolinska Institutet, Stockholm, Sweden.; School of Health and Social Sciences, Dalarna University, Falun, Sweden.; Regeneron Genetics Center, 777 Old Saw Mill River Road, Tarrytown, NY, 10591,  USA.; Department of Biostatistics, University of Washington, Seattle, WA, USA.; Department of Medicine, University of Washington, Seattle, WA, USA.; Division of Cardiology, Department of Medicine, Emory University Medical Center,  Atlanta, GA, USA.; Penn Cardiovascular Institute, Perelman School of Medicine, University of  Pennsylvania, Philadelphia, PA, USA.; Department of Epidemiology, Human Genetics, and Environmental Sciences, The  University of Texas School of Public Health, Houston, Texas, USA.; Pfizer Worldwide Research &amp;amp; Development, 1 Portland St, Cambridge, MA, USA.; Department of Molecular and Functional Genomics, Geisinger, Danville, PA, USA.; Division of Preventive Medicine, Brigham and Women&amp;apos;s Hospital, Boston, MA, 02215,  USA.; Harvard Medical School, Boston, MA, 02115, USA.; Pfizer Worldwide Research &amp;amp; Development, 1 Portland St, Cambridge, MA, USA.; Department of Medical Epidemiology and Biostatistics, Karolinska Institutet,  Stockholm, Sweden.; Regeneron Genetics Center, 777 Old Saw Mill River Road, Tarrytown, NY, 10591,  USA.; Novartis Institutes for Biomedical Research, Cambridge, MA, USA.; Department of Biostatistics, University of Liverpool, Liverpool, UK.; Vth Department of Medicine (Nephrology, Hypertensiology, Endocrinology,  Diabetology, Rheumatology), Medical Faculty of Mannheim, University of  Heidelberg, Heidelberg, Germany.; British Heart Foundation Research Accelerator, University College London, London,  UK.; Institute of Health Informatics, University College London, London, UK.; Health Data Research UK London, University College London, London, UK.; The National Institute for Health Research University College London Hospitals  Biomedical Research Centre, University College London, London, UK.; The Alan Turing Institute, London, United Kingdom.; Division of Molecular &amp;amp; Clinical Medicine, University of Dundee, Ninewells  Hospital and Medical School, Dundee, DD1 9SY, UK.; Department of Internal Medicine B, University Medicine Greifswald, Greifswald,  Germany.; DZHK (German Center for Cardiovascular Research), partner site Greifswald,  Greifswald, Germany.; Cardiovascular Division, Department of Medicine, University of Minnesota,  Minneapolis, MN, USA.; Regeneron Pharmaceuticals, Cardiovascular Research, 777 Old Saw Mill River Road,  Tarrytown, NY, 10591, USA.; Department of Clinical Sciences, Lund University, Malmo, Sweden.; Program in Medical and Population Genetics, The Broad Institute of MIT and  Harvard, Cambridge, MA, USA.; Estonian Genome Center, Institute of Genomics, University of Tartu, Tartu, 51010,  Estonia.; Department of Internal Medicine B, University Medicine Greifswald, Greifswald,  Germany.; DZHK (German Center for Cardiovascular Research), partner site Greifswald,  Greifswald, Germany.; Institute of Cardiovascular Science, University College London, London, UK.; British Heart Foundation Research Accelerator, University College London, London,  UK.; Robertson Center for Biostatistics, University of Glasgow, Glasgow, UK.; Department of Epidemiology, Erasmus University Medical Center, Rotterdam, The  Netherlands.; DZHK (German Center for Cardiovascular Research), partner site Greifswald,  Greifswald, Germany.; Institute for Community Medicine, University Medicine Greifswald, Greifswald,  Germany.; Department of Public Health and Caring Sciences, Geriatrics, Uppsala University,  Uppsala, 75185, Sweden.; Division of Preventive Medicine, Brigham and Women&amp;apos;s Hospital, Boston, MA, 02215,  USA.; Department of Medicine, Division of Cardiology, University of Maryland School of  Medicine, Baltimore, MD, USA.; Department of Internal Medicine B, University Medicine Greifswald, Greifswald,  Germany.; DZHK (German Center for Cardiovascular Research), partner site Greifswald,  Greifswald, Germany.; deCODE genetics/Amgen Inc., Sturlugata 8, 101, Reykjavik, Iceland.; School of Engineering and Natural Sciences, University of Iceland, 101,  Reykjavik, Iceland.; Division of Cardiovascular Medicine, University of Iowa Carver College of  Medicine, Iowa City, IA, USA.; Department of Molecular and Functional Genomics, Geisinger, Danville, PA, USA.; Department of Cardiology, University Medical Center Groningen, University of  Groningen, Groningen, The Netherlands.; Department of Genetics, University Medical Center Groningen, University of  Groningen, Groningen, The Netherlands.; Durrer Center for Cardiogenetic Research, ICIN-Netherlands Heart Institute,  Utrecht, The Netherlands.; Pfizer Worldwide Research &amp;amp; Development, 1 Portland St, Cambridge, MA, USA.; Department of Medicine, Division of Cardiovascular Medicine, Stanford University  School of Medicine, Stanford, CA, 94305, USA.; Stanford Cardiovascular Institute, Stanford University, Stanford, CA, 94305, USA.; Department of Medical Sciences, Molecular Epidemiology and Science for Life  Laboratory, Uppsala University, Uppsala, Sweden.; Stanford Diabetes Research Center, Stanford University, Stanford, CA, 94305, USA.; Department of Cardiology, Leiden University Medical Center, Leiden, The  Netherlands.; Einthoven Laboratory for Experimental Vascular Medicine, LUMC, Leiden, The  Netherlands.; Department of Epidemiology, Erasmus University Medical Center, Rotterdam, The  Netherlands.; Department of Public Health and Primary Care, University of Cambridge, Cambridge,  CB2 0QQ, UK.; Vth Department of Medicine (Nephrology, Hypertensiology, Endocrinology,  Diabetology, Rheumatology), Medical Faculty of Mannheim, University of  Heidelberg, Heidelberg, Germany.; Department of Cardiology, Copenhagen University Hospital Rigshospitalet,  Copenhagen, Denmark.; Department of Cardiovascular Sciences, University of Leicester and NIHR Leicester  Biomedical Research Centre, Glenfield Hospital, Leicester, UK.; MRC Epidemiology Unit, Institute of Metabolic Science, University of Cambridge  School of Clinical Medicine, Cambridge, CB2 0QQ, UK.; Department of Medical Sciences, Uppsala University, Uppsala, Sweden.; Program in Medical and Population Genetics, The Broad Institute of MIT and  Harvard, Cambridge, MA, USA.; Big Data Institute at the Li Ka Shing Centre for Health Information and  Discovery, University of Oxford, Oxford, UK.; Wellcome Trust Centre for Human Genetics, University of Oxford, Oxford, UK.; Division of Cardiovascular Medicine and Abboud Cardiovascular Research Center,  University of Iowa, Iowa City, IA, USA.; MRC Epidemiology Unit, Institute of Metabolic Science, University of Cambridge  School of Clinical Medicine, Cambridge, CB2 0QQ, UK.; Institute of Cardiovascular Science, University College London, London, UK.; British Heart Foundation Research Accelerator, University College London, London,  UK.; MRC Epidemiology Unit, Institute of Metabolic Science, University of Cambridge  School of Clinical Medicine, Cambridge, CB2 0QQ, UK.; Department of Medical Epidemiology and Biostatistics, Karolinska Institutet,  Stockholm, Sweden.; Wellcome Trust Centre for Human Genetics, University of Oxford, Oxford, UK.; Penn Cardiovascular Institute, Perelman School of Medicine, University of  Pennsylvania, Philadelphia, PA, USA.; Department of Biostatistics, University of Liverpool, Liverpool, UK.; Synlab Academy, Synlab Holding Deutschland GmbH, Mannheim, Germany.; Clinical Institute of Medical and Chemical Laboratory Diagnostics, Medical  University of Graz, Graz, Austria.; Department of Internal Medicine, Clinical Sciences, Lund University and Skane  University Hospital, Malmo, Sweden.; Division of Molecular &amp;amp; Clinical Medicine, University of Dundee, Ninewells  Hospital and Medical School, Dundee, DD1 9SY, UK.; Novartis Institutes for Biomedical Research, Cambridge, MA, USA.; Vanderbilt University School of Medicine, Nashville, TN, USA.; Usher Institute of Population Health Sciences and Informatics, University of  Edinburgh, Edinburgh, United Kingdom.; Department of Biostatistics, University of Liverpool, Liverpool, UK.; Wellcome Trust Centre for Human Genetics, University of Oxford, Oxford, UK.; Department of Epidemiology, Human Genetics, and Environmental Sciences, The  University of Texas School of Public Health, Houston, Texas, USA.; Pfizer Worldwide Research &amp;amp; Development, 1 Portland St, Cambridge, MA, USA.; Department of Cardiovascular Sciences, University of Leicester and NIHR Leicester  Biomedical Research Centre, Glenfield Hospital, Leicester, UK.; Department of Internal Medicine II, Division of Cardiology, Medical University of  Vienna, Vienna, Austria.; National Institute for Health and Welfare, Helsinki, Finland.; Department of Medicine, Turku University Hospital and University of Turku, Turku,  Finland.; TIMI Study Group, Cardiovascular Division, Brigham and Women&amp;apos;s Hospital, Boston,  MA, USA.; Penn Cardiovascular Institute, Perelman School of Medicine, University of  Pennsylvania, Philadelphia, PA, USA.; Division of Molecular &amp;amp; Clinical Medicine, University of Dundee, Ninewells  Hospital and Medical School, Dundee, DD1 9SY, UK.; Division of Molecular &amp;amp; Clinical Medicine, University of Dundee, Ninewells  Hospital and Medical School, Dundee, DD1 9SY, UK.; National Institute for Health and Welfare, Helsinki, Finland.; Department of Epidemiology, Erasmus University Medical Center, Rotterdam, The  Netherlands.; Division of Vascular Medicine and Pharmacology, Department of Internal Medicine,  Erasmus University Medical Center, Rotterdam, The Netherlands.; Department of Medicine, Epidemiology, and Health Services, University of  Washington, Seattle, WA, USA.; Kaiser Permanente Washington Health Research Institute, Kaiser Permanente  Washington, Seattle, WA, USA.; Department of Biostatistics, University of Washington, Seattle, WA, USA.; Division of Preventive Medicine, Brigham and Women&amp;apos;s Hospital, Boston, MA, 02215,  USA.; Harvard Medical School, Boston, MA, 02115, USA.; Department of Cardiovascular Sciences, University of Leicester and NIHR Leicester  Biomedical Research Centre, Glenfield Hospital, Leicester, UK.; The Institute for Translational Genomics and Population Sciences, Departments of  Pediatrics and Medicine, Los Angeles Biomedical Research Institute at Harbor-UCLA  Medical Center, Torrance, CA, USA.; National Institute for Health and Welfare, Helsinki, Finland.; National Institute for Health and Welfare, Helsinki, Finland.; Department of Cardiology, Division Heart and Lungs, University Medical Center  Utrecht, University of Utrecht, Utrecht, The Netherlands.; Division of Cardiology, Department of Medicine, University of Pittsburgh Medical  Center and VA Pittsburgh HCS, Pittsburgh, PA, USA.; Department of Molecular and Functional Genomics, Geisinger, Danville, PA, USA.; Kaiser Permanente Washington Health Research Institute, Kaiser Permanente  Washington, Seattle, WA, USA.; Department of Epidemiology, University of Washington, Seattle, WA, USA.; Seattle Epidemiologic Research and Information Center, Department of Veterans  Affairs Office of Research &amp;amp; Development, Seattle, WA, USA.; Department of Clinical Biochemistry, Copenhagen University Hospital, Herlev and  Gentofte, Kobenhavn, Denmark.; Institute of Cardiovascular and Medical Sciences, College of Medical, Veterinary  and Life Sciences, University of Glasgow, Glasgow, United Kingdom.; Department of Clinical Science and Education, Sodersjukhuset, Karolinska  Institutet, Stockholm, Sweden.; Department of Cardiology, Sodersjukhuset, Stockholm, Sweden.; Estonian Genome Center, Institute of Genomics, University of Tartu, Tartu, 51010,  Estonia.; Institute for Translational Genomics and Population Sciences, LABiomed and  Departments of Pediatrics at Harbor-UCLA Medical Center, Torrance, CA, 90502,  USA.; Estonian Genome Center, Institute of Genomics, University of Tartu, Tartu, 51010,  Estonia.; DZHK (German Center for Cardiovascular Research), partner site Greifswald,  Greifswald, Germany.; Institute for Community Medicine, University Medicine Greifswald, Greifswald,  Germany.; deCODE genetics/Amgen Inc., Sturlugata 8, 101, Reykjavik, Iceland.; Division of Cardiology, Department of Internal Medicine, Landspitali, National  University Hospital of Iceland, Hringbraut, 101, Reykjavik, Iceland.; deCODE genetics/Amgen Inc., Sturlugata 8, 101, Reykjavik, Iceland.; Faculty of Medicine, Department of Medicine, University of Iceland, Saemundargata  2, 101, Reykjavik, Iceland.; Department of Epidemiology and Biostatistics, Aalborg University Hospital,  Aalborg, Denmark.; Department of Health, Science and Technology, Aalborg University Hospital,  Aalborg, Denmark.; Departments of Cardiology, Aalborg University Hospital, Aalborg, Denmark.; Department of Cardiology, Leiden University Medical Center, Leiden, The  Netherlands.; Section of Gerontology and Geriatrics, Department of Internal Medicine, Leiden  University Medical Center, Leiden, The Netherlands.; Translational and Clinical Research, Servier Cardiovascular Center for  Therapeutic Innovation, 50 rue Carnot, 92284, Suresnes, France.; Department of Epidemiology, Erasmus University Medical Center, Rotterdam, The  Netherlands.; Department of Internal Medicine, Erasmus MC, University Medical Center Rotterdam,  Rotterdam, The Netherlands.; Division of Molecular &amp;amp; Clinical Medicine, University of Dundee, Ninewells  Hospital and Medical School, Dundee, DD1 9SY, UK.; DZHK (German Center for Cardiovascular Research), partner site Greifswald,  Greifswald, Germany.; Interfaculty Institute for Genetics and Functional Genomics, University Medicine  Greifswald, Greifswald, Germany.; Section of Computational Biomedicine, Department of Medicine, Boston University  School of Medicine, Boston, MA, USA.; Novartis Institutes for Biomedical Research, Cambridge, MA, USA.; MRC Epidemiology Unit, Institute of Metabolic Science, University of Cambridge  School of Clinical Medicine, Cambridge, CB2 0QQ, UK.; Human Genetics, GlaxoSmithKline, Collegeville, PA, USA.; Department of Cardiology, Copenhagen University Hospital Rigshospitalet,  Copenhagen, Denmark.; Division of Cardiovascular Medicine, Department of Internal Medicine, The Ohio  State University Medical Center, Columbus, OH, USA.; Department of Medicine, University of Washington, Seattle, WA, USA.; Novartis Institutes for Biomedical Research, Cambridge, MA, USA.; Human Genetics, GlaxoSmithKline, Collegeville, PA, USA.; Department of Epidemiology, Human Genetics, and Environmental Sciences, The  University of Texas School of Public Health, Houston, Texas, USA.; Universite de Lorraine, CHU de Nancy, Inserm and INI-CRCT (F-CRIN), Institut  Lorrain du Coeur et des Vaisseaux, 54500, Vandoeuvre Les, Nancy, France.; MRC Epidemiology Unit, Institute of Metabolic Science, University of Cambridge  School of Clinical Medicine, Cambridge, CB2 0QQ, UK.; British Heart Foundation Research Accelerator, University College London, London,  UK.; Institute of Health Informatics, University College London, London, UK.; Health Data Research UK London, University College London, London, UK.; BHF Cardiovascular Research Centre, University of Glasgow, Glasgow, United  Kingdom.; Department of Cardiovascular Sciences, University of Leicester and NIHR Leicester  Biomedical Research Centre, Glenfield Hospital, Leicester, UK.; BHF Cardiovascular Research Centre, University of Glasgow, Glasgow, United  Kingdom.; Institute for Molecular Bioscience, The University of Queensland, Brisbane,  Queensland, 4072, Australia.; Queensland Brain Institute, The University of Queensland, Brisbane, QLD, 4072,  Australia.; Institute for Molecular Bioscience, The University of Queensland, Brisbane,  Queensland, 4072, Australia.; Queensland Brain Institute, The University of Queensland, Brisbane, QLD, 4072,  Australia.; Program in Medical and Population Genetics, The Broad Institute of MIT and  Harvard, Cambridge, MA, USA.; Cardiovascular Research Center, Massachusetts General Hospital, Boston, MA, USA.; Center for Human Genetic Research, Massachusetts General Hospital, Boston, MA,  USA.; Cardiovascular Medicine unit, Department of Medicine Solna, Karolinska Institute,  Stockholm, Sweden.; Pfizer Worldwide Research &amp;amp; Development, 1 Portland St, Cambridge, MA, USA.; deCODE genetics/Amgen Inc., Sturlugata 8, 101, Reykjavik, Iceland.; Program in Medical and Population Genetics, The Broad Institute of MIT and  Harvard, Cambridge, MA, USA.; Cardiac Arrhythmia Service and Cardiovascular Research Center, Massachusetts  General Hospital, Boston, MA, USA.; BHF Cardiovascular Research Centre, University of Glasgow, Glasgow, United  Kingdom.; Medical Research Council Population Health Research Unit at the University of  Oxford, Oxford, UK.; Clinical Trial Service Unit and Epidemiological Studies Unit, Nuffield Department  of Population Health, Big Data Institute, University of Oxford, Oxford, UK.; National Institute for Health Research Oxford Biomedical Research Centre, Oxford  University Hospital, Oxford, UK.; Penn Cardiovascular Institute, Perelman School of Medicine, University of  Pennsylvania, Philadelphia, PA, USA.; Institute of Cardiovascular Science, University College London, London, UK.; British Heart Foundation Research Accelerator, University College London, London,  UK.; Department of Cardiology, Division Heart and Lungs, University Medical Center  Utrecht, University of Utrecht, Utrecht, The Netherlands.; Institute of Cardiovascular Science, University College London, London, UK.; British Heart Foundation Research Accelerator, University College London, London,  UK.; Division of Psychiatry, University College of London, London, W1T 7NF, UK.; UCL Genetics Institute, University College London, London, WC1E 6BT, UK.; Program in Medical and Population Genetics, The Broad Institute of MIT and  Harvard, Cambridge, MA, USA.; Cardiac Arrhythmia Service and Cardiovascular Research Center, Massachusetts  General Hospital, Boston, MA, USA.; Division of Molecular &amp;amp; Clinical Medicine, University of Dundee, Ninewells  Hospital and Medical School, Dundee, DD1 9SY, UK.; deCODE genetics/Amgen Inc., Sturlugata 8, 101, Reykjavik, Iceland.; Faculty of Medicine, Department of Medicine, University of Iceland, Saemundargata  2, 101, Reykjavik, Iceland.; Program in Medical and Population Genetics, The Broad Institute of MIT and  Harvard, Cambridge, MA, USA.; Department of Cardiology, Clinical Sciences, Lund University and Skane University  Hospital, Lund, Sweden.; Wallenberg Center for Molecular Medicine and Lund University Diabetes Center,  Lund University, Lund, Sweden.; National Heart, Lung, and Blood Institute&amp;apos;s and Boston University&amp;apos;s Framingham  Heart Study, Framingham, MA, USA.; Sections of Cardiology, Preventive Medicine and Epidemiology, Department of  Medicine, Boston University Schools of Medicine and Public Health, Boston, MA,  USA.; Institute of Cardiovascular Science, University College London, London, UK.; British Heart Foundation Research Accelerator, University College London, London,  UK. t.lumbers@ucl.ac.uk.; Institute of Health Informatics, University College London, London, UK.  t.lumbers@ucl.ac.uk.; Health Data Research UK London, University College London, London, UK.  t.lumbers@ucl.ac.uk.; Bart&amp;apos;s Heart Centre, St. Bartholomew&amp;apos;s Hospital, London, UK. t.lumbers@ucl.ac.uk.&lt;/_author_adr&gt;&lt;_collection_scope&gt;SCI;SCIE&lt;/_collection_scope&gt;&lt;_created&gt;65011492&lt;/_created&gt;&lt;_date&gt;2020-01-09&lt;/_date&gt;&lt;_date_display&gt;2020 Jan 9&lt;/_date_display&gt;&lt;_db_updated&gt;PubMed&lt;/_db_updated&gt;&lt;_doi&gt;10.1038/s41467-019-13690-5&lt;/_doi&gt;&lt;_impact_factor&gt;  14.919&lt;/_impact_factor&gt;&lt;_isbn&gt;2041-1723 (Electronic); 2041-1723 (Linking)&lt;/_isbn&gt;&lt;_issue&gt;1&lt;/_issue&gt;&lt;_journal&gt;Nat Commun&lt;/_journal&gt;&lt;_language&gt;eng&lt;/_language&gt;&lt;_modified&gt;65011492&lt;/_modified&gt;&lt;_pages&gt;163&lt;/_pages&gt;&lt;_subject_headings&gt;Adaptor Proteins, Signal Transducing/genetics; Apoptosis Regulatory Proteins/genetics; Atrial Fibrillation/*genetics; Cardiomyopathies/*genetics/pathology; Carrier Proteins/genetics; Case-Control Studies; Coronary Artery Disease/*genetics; Cyclin-Dependent Kinase Inhibitor p21/genetics; Genome-Wide Association Study; Heart Failure/*genetics/*pathology; Humans; Mendelian Randomization Analysis; Microfilament Proteins/genetics; Muscle Proteins/genetics; Risk Factors; Ventricular Function, Left/*genetics&lt;/_subject_headings&gt;&lt;_tertiary_title&gt;Nature communications&lt;/_tertiary_title&gt;&lt;_type_work&gt;Journal Article; Meta-Analysis&lt;/_type_work&gt;&lt;_url&gt;http://www.ncbi.nlm.nih.gov/entrez/query.fcgi?cmd=Retrieve&amp;amp;db=pubmed&amp;amp;dopt=Abstract&amp;amp;list_uids=31919418&amp;amp;query_hl=1&lt;/_url&gt;&lt;_volume&gt;11&lt;/_volume&gt;&lt;/Details&gt;&lt;Extra&gt;&lt;DBUID&gt;{F96A950B-833F-4880-A151-76DA2D6A2879}&lt;/DBUID&gt;&lt;/Extra&gt;&lt;/Item&gt;&lt;/References&gt;&lt;/Group&gt;&lt;/Citation&gt;_x000a_"/>
    <w:docVar w:name="NE.Ref{43B72FD5-C61D-480A-9A97-E3D5B2665306}" w:val=" ADDIN NE.Ref.{43B72FD5-C61D-480A-9A97-E3D5B2665306}&lt;Citation&gt;&lt;Group&gt;&lt;References&gt;&lt;Item&gt;&lt;ID&gt;1390&lt;/ID&gt;&lt;UID&gt;{DF24CFAB-BAD0-4BC9-A56D-74588F2547A0}&lt;/UID&gt;&lt;Title&gt;Discovery and systematic characterization of risk variants and genes for coronary  artery disease in over a million participants&lt;/Title&gt;&lt;Template&gt;Journal Article&lt;/Template&gt;&lt;Star&gt;0&lt;/Star&gt;&lt;Tag&gt;0&lt;/Tag&gt;&lt;Author&gt;Aragam, K G; Jiang, T; Goel, A; Kanoni, S; Wolford, B N; Atri, D S; Weeks, E M; Wang, M; Hindy, G; Zhou, W; Grace, C; Roselli, C; Marston, N A; Kamanu, F K; Surakka, I; Venegas, L M; Sherliker, P; Koyama, S; Ishigaki, K; Asvold, B O; Brown, M R; Brumpton, B; de Vries, P S; Giannakopoulou, O; Giardoglou, P; Gudbjartsson, D F; Guldener, U; Haider, SMI; Helgadottir, A; Ibrahim, M; Kastrati, A; Kessler, T; Kyriakou, T; Konopka, T; Li, L; Ma, L; Meitinger, T; Mucha, S; Munz, M; Murgia, F; Nielsen, J B; Nothen, M M; Pang, S; Reinberger, T; Schnitzler, G; Smedley, D; Thorleifsson, G; von Scheidt, M; Ulirsch, J C; Arnar, D O; Burtt, N P; Costanzo, M C; Flannick, J; Ito, K; Jang, D K; Kamatani, Y; Khera, A V; Komuro, I; Kullo, I J; Lotta, L A; Nelson, C P; Roberts, R; Thorgeirsson, G; Thorsteinsdottir, U; Webb, T R; Baras, A; Bjorkegren, JLM; Boerwinkle, E; Dedoussis, G; Holm, H; Hveem, K; Melander, O; Morrison, A C; Orho-Melander, M; Rallidis, L S; Ruusalepp, A; Sabatine, M S; Stefansson, K; Zalloua, P; Ellinor, P T; Farrall, M; Danesh, J; Ruff, C T; Finucane, H K; Hopewell, J C; Clarke, R; Gupta, R M; Erdmann, J; Samani, N J; Schunkert, H; Watkins, H; Willer, C J; Deloukas, P; Kathiresan, S; Butterworth, A S&lt;/Author&gt;&lt;Year&gt;2022&lt;/Year&gt;&lt;Details&gt;&lt;_accession_num&gt;36474045&lt;/_accession_num&gt;&lt;_author_adr&gt;Cardiovascular Research Center, Massachusetts General Hospital, Boston, MA, USA.  karagam@broadinstitute.org.; Center for Genomic Medicine, Massachusetts General Hospital, Boston, MA, USA.  karagam@broadinstitute.org.; Cardiovascular Disease Initiative, Broad Institute of MIT and Harvard, Cambridge,  MA, USA. karagam@broadinstitute.org.; Program in Medical and Population Genetics, Broad Institute of MIT and Harvard,  Cambridge, MA, USA. karagam@broadinstitute.org.; BHF Cardiovascular Epidemiology Unit, Department of Public Health and Primary  Care, University of Cambridge, Cambridge, UK.; Radcliffe Department of Medicine, Division of Cardiovascular Medicine, University  of Oxford, Oxford, UK.; Wellcome Centre for Human Genetics, University of Oxford, Oxford, UK.; William Harvey Research Institute, Barts and the London School of Medicine and  Dentistry, Queen Mary University of London, London, UK.; Department of Computational Medicine and Bioinformatics, University of Michigan,  Ann Arbor, MI, USA.; Cardiovascular Disease Initiative, Broad Institute of MIT and Harvard, Cambridge,  MA, USA.; Divisions of Cardiovascular Medicine and Genetics, Brigham and Women&amp;apos;s Hospital,  Harvard Medical School, Boston, MA, USA.; Program in Medical and Population Genetics, Broad Institute of MIT and Harvard,  Cambridge, MA, USA.; Cardiovascular Disease Initiative, Broad Institute of MIT and Harvard, Cambridge,  MA, USA.; Program in Medical and Population Genetics, Broad Institute of MIT and Harvard,  Cambridge, MA, USA.; Department of Population Medicine, Qatar University College of Medicine, Doha,  Qatar.; Program in Medical and Population Genetics, Broad Institute of MIT and Harvard,  Cambridge, MA, USA.; Department of Computational Medicine and Bioinformatics, University of Michigan,  Ann Arbor, MI, USA.; Analytic and Translational Genetics Unit, Massachusetts General Hospital, Boston,  MA, USA.; Stanley Center for Psychiatric Research, Broad Institute of MIT and Harvard,  Cambridge, MA, USA.; Radcliffe Department of Medicine, Division of Cardiovascular Medicine, University  of Oxford, Oxford, UK.; Wellcome Centre for Human Genetics, University of Oxford, Oxford, UK.; Cardiovascular Disease Initiative, Broad Institute of MIT and Harvard, Cambridge,  MA, USA.; TIMI Study Group, Division of Cardiovascular Medicine, Brigham and Women&amp;apos;s  Hospital, Harvard Medical School, Boston, MA, USA.; TIMI Study Group, Division of Cardiovascular Medicine, Brigham and Women&amp;apos;s  Hospital, Harvard Medical School, Boston, MA, USA.; Department of Internal Medicine, Division of Cardiology, University of Michigan,  Ann Arbor, MI, USA.; Institute for Cardiogenetics, University of Lubeck, Lubeck, Germany.; German Research Center for Cardiovascular Research (DZHK), Partner Site  Hamburg/Lubeck/Kiel, Lubeck, Germany.; Medical Research Council Population Health Research Unit, CTSU-Nuffield  Department of Population Health, Medical Sciences Division, University of Oxford,  Oxford, UK.; Laboratory for Cardiovascular Genomics and Informatics, RIKEN Center for  Integrative Medical Sciences, Tsurumi-ku, Yokohama, Japan.; Laboratory for Statistical and Translational Genetics, RIKEN Center for  Integrative Medical Sciences, Tsurumi-ku, Yokohama, Japan.; Department of Public Health and Nursing, K.G. Jebsen Center for Genetic  Epidemiology, Norwegian University of Science and Technology, NTNU, Trondheim,  Norway.; HUNT Research Centre, Norwegian University of Science and Technology, Levanger,  Norway.; Department of Endocrinology, Clinic of Medicine, St. Olavs Hospital, Trondheim,  Norway.; Human Genetics Center, Department of Epidemiology, Human Genetics, and  Environmental Sciences, School of Public Health, The University of Texas Health  Science Center at Houston, Houston, TX, USA.; Department of Public Health and Nursing, K.G. Jebsen Center for Genetic  Epidemiology, Norwegian University of Science and Technology, NTNU, Trondheim,  Norway.; HUNT Research Centre, Norwegian University of Science and Technology, Levanger,  Norway.; Human Genetics Center, Department of Epidemiology, Human Genetics, and  Environmental Sciences, School of Public Health, The University of Texas Health  Science Center at Houston, Houston, TX, USA.; William Harvey Research Institute, Barts and the London School of Medicine and  Dentistry, Queen Mary University of London, London, UK.; Department of Nutrition-Dietetics, School of Health Science and Education,  Harokopio University, Athens, Greece.; deCODE Genetics/Amgen, Inc., Reykjavik, Iceland.; School of Engineering and Natural Sciences, University of Iceland, Reykjavik,  Iceland.; German Heart Centre Munich, Department of Cardiology, Technical University of  Munich, Munich, Germany.; Institute for Cardiogenetics, University of Lubeck, Lubeck, Germany.; German Research Center for Cardiovascular Research (DZHK), Partner Site  Hamburg/Lubeck/Kiel, Lubeck, Germany.; deCODE Genetics/Amgen, Inc., Reykjavik, Iceland.; CTSU-Nuffield Department of Population Health, Medical Sciences Division,  University of Oxford, Oxford, UK.; German Heart Centre Munich, Department of Cardiology, Technical University of  Munich, Munich, Germany.; German Research Center for Cardiovascular Research (DZHK e.V.), Partner Site  Munich Heart Alliance, Munich, Germany.; German Heart Centre Munich, Department of Cardiology, Technical University of  Munich, Munich, Germany.; German Research Center for Cardiovascular Research (DZHK e.V.), Partner Site  Munich Heart Alliance, Munich, Germany.; Wellcome Centre for Human Genetics, University of Oxford, Oxford, UK.; William Harvey Research Institute, Barts and the London School of Medicine and  Dentistry, Queen Mary University of London, London, UK.; German Heart Centre Munich, Department of Cardiology, Technical University of  Munich, Munich, Germany.; Department of Genetics and Genomic Science, Icahn Institute for Genomics and  Multiscale Biology, Icahn School of Medicine at Mount Sinai, New York, NY, USA.; The Zena and Michael A. Wiener Cardiovascular Institute, Icahn School of Medicine  at Mount Sinai, New York, NY, USA.; German Research Center for Cardiovascular Research (DZHK e.V.), Partner Site  Munich Heart Alliance, Munich, Germany.; Institute of Human Genetics, Helmholtz Zentrum Munchen, German Research Center  for Environmental Health, Neuherberg, Germany.; Klinikum Rechts der Isar, Institute of Human Genetics, Technical University of  Munich, Munich, Germany.; Institute for Cardiogenetics, University of Lubeck, Lubeck, Germany.; German Research Center for Cardiovascular Research (DZHK), Partner Site  Hamburg/Lubeck/Kiel, Lubeck, Germany.; Institute for Cardiogenetics, University of Lubeck, Lubeck, Germany.; German Research Center for Cardiovascular Research (DZHK), Partner Site  Hamburg/Lubeck/Kiel, Lubeck, Germany.; CTSU-Nuffield Department of Population Health, Medical Sciences Division,  University of Oxford, Oxford, UK.; Department of Internal Medicine, Division of Cardiology, University of Michigan,  Ann Arbor, MI, USA.; Department of Public Health and Nursing, K.G. Jebsen Center for Genetic  Epidemiology, Norwegian University of Science and Technology, NTNU, Trondheim,  Norway.; School of Medicine and University Hospital Bonn, Institute of Human Genetics,  University of Bonn, Bonn, Germany.; German Heart Centre Munich, Department of Cardiology, Technical University of  Munich, Munich, Germany.; Institute for Cardiogenetics, University of Lubeck, Lubeck, Germany.; German Research Center for Cardiovascular Research (DZHK), Partner Site  Hamburg/Lubeck/Kiel, Lubeck, Germany.; Cardiovascular Disease Initiative, Broad Institute of MIT and Harvard, Cambridge,  MA, USA.; William Harvey Research Institute, Barts and the London School of Medicine and  Dentistry, Queen Mary University of London, London, UK.; deCODE Genetics/Amgen, Inc., Reykjavik, Iceland.; German Heart Centre Munich, Department of Cardiology, Technical University of  Munich, Munich, Germany.; German Research Center for Cardiovascular Research (DZHK e.V.), Partner Site  Munich Heart Alliance, Munich, Germany.; Program in Medical and Population Genetics, Broad Institute of MIT and Harvard,  Cambridge, MA, USA.; Analytic and Translational Genetics Unit, Massachusetts General Hospital, Boston,  MA, USA.; Program in Biological and Biomedical Sciences, Harvard Medical School, Boston,  MA, USA.; deCODE Genetics/Amgen, Inc., Reykjavik, Iceland.; Faculty of Medicine, University of Iceland, Reykjavik, Iceland.; Department of Internal Medicine, Division of Cardiology, Landspitali-National  University Hospital of Iceland, Hringbraut, Reykjavik, Iceland.; Program in Medical and Population Genetics, Broad Institute of MIT and Harvard,  Cambridge, MA, USA.; Program in Medical and Population Genetics, Broad Institute of MIT and Harvard,  Cambridge, MA, USA.; Division of Genetics and Genomics, Boston Children&amp;apos;s Hospital, Boston, MA, USA.; Laboratory for Cardiovascular Genomics and Informatics, RIKEN Center for  Integrative Medical Sciences, Tsurumi-ku, Yokohama, Japan.; Program in Medical and Population Genetics, Broad Institute of MIT and Harvard,  Cambridge, MA, USA.; Department of Computational Biology and Medical Sciences, Graduate School of  Frontier Sciences, The University of Tokyo, Tokyo, Japan.; Center for Genomic Medicine, Massachusetts General Hospital, Boston, MA, USA.; Cardiovascular Disease Initiative, Broad Institute of MIT and Harvard, Cambridge,  MA, USA.; Program in Medical and Population Genetics, Broad Institute of MIT and Harvard,  Cambridge, MA, USA.; Department of Cardiovascular Medicine, The University of Tokyo, Tokyo, Japan.; Department of Cardiovascular Medicine, Mayo Clinic, Rochester, MN, USA.; Regeneron Genetics Center, Regeneron Pharmaceuticals, Tarrytown, NY, USA.; Department of Cardiovascular Sciences and NIHR Leicester Biomedical Research  Centre, University of Leicester, Glenfield Hospital, Leicester, UK.; Cardiovascular Genomics and Genetics, University of Arizona College of Medicin,  Phoenix, AZ, USA.; deCODE Genetics/Amgen, Inc., Reykjavik, Iceland.; Faculty of Medicine, University of Iceland, Reykjavik, Iceland.; Department of Internal Medicine, Division of Cardiology, Landspitali-National  University Hospital of Iceland, Hringbraut, Reykjavik, Iceland.; deCODE Genetics/Amgen, Inc., Reykjavik, Iceland.; Faculty of Medicine, University of Iceland, Reykjavik, Iceland.; Department of Cardiovascular Sciences and NIHR Leicester Biomedical Research  Centre, University of Leicester, Glenfield Hospital, Leicester, UK.; Regeneron Genetics Center, Regeneron Pharmaceuticals, Tarrytown, NY, USA.; Department of Genetics and Genomic Sciences, Institute of Genomics and Multiscale  Biology, Icahn School of Medicine at Mount Sinai, New York, NY, USA.; Integrated Cardio Metabolic Centre, Karolinska Institutet, Karolinska  Universitetssjukhuset, Huddinge, Sweden.; Clinical Gene Networks AB, Stockholm, Sweden.; Human Genetics Center, Department of Epidemiology, Human Genetics, and  Environmental Sciences, School of Public Health, The University of Texas Health  Science Center at Houston, Houston, TX, USA.; Human Genome Sequencing Center, Baylor College of Medicine, Houston, TX, USA.; Department of Nutrition-Dietetics, School of Health Science and Education,  Harokopio University, Athens, Greece.; deCODE Genetics/Amgen, Inc., Reykjavik, Iceland.; Department of Public Health and Nursing, K.G. Jebsen Center for Genetic  Epidemiology, Norwegian University of Science and Technology, NTNU, Trondheim,  Norway.; HUNT Research Centre, Norwegian University of Science and Technology, Levanger,  Norway.; Department of Clinical Sciences in Malmo, Lund University, Malmo, Sweden.; Human Genetics Center, Department of Epidemiology, Human Genetics, and  Environmental Sciences, School of Public Health, The University of Texas Health  Science Center at Houston, Houston, TX, USA.; Department of Clinical Sciences in Malmo, Lund University, Malmo, Sweden.; Second Department of Cardiology, Medical School, National and Kapodistrian  University of Athens, University General Hospital Attikon, Athens, Greece.; Department of Cardiac Surgery, Tartu University Hospital and Institute of  Clinical Medicine, Tartu University, Tartu, Estonia.; TIMI Study Group, Division of Cardiovascular Medicine, Brigham and Women&amp;apos;s  Hospital, Harvard Medical School, Boston, MA, USA.; deCODE Genetics/Amgen, Inc., Reykjavik, Iceland.; Faculty of Medicine, University of Iceland, Reykjavik, Iceland.; Harvard T.H.Chan School of Public Health, Boston, MA, USA.; College of Medicine and Health Sciences, Khalifa University, Abu Dhabi, UAE.; Cardiovascular Research Center, Massachusetts General Hospital, Boston, MA, USA.; Cardiovascular Disease Initiative, Broad Institute of MIT and Harvard, Cambridge,  MA, USA.; Radcliffe Department of Medicine, Division of Cardiovascular Medicine, University  of Oxford, Oxford, UK.; Wellcome Centre for Human Genetics, University of Oxford, Oxford, UK.; BHF Cardiovascular Epidemiology Unit, Department of Public Health and Primary  Care, University of Cambridge, Cambridge, UK.; National Institute for Health and Care Research Cambridge Biomedical Research  Centre, Cambridge University Hospitals, Cambridge, UK.; The National Institute for Health and Care Research Blood and Transplant Unit  (NIHR BTRU) in Donor Health and Genomics, University of Cambridge, Cambridge, UK.; Human Genetics, Wellcome Sanger Institute, Saffron Walden, UK.; Health Data Research UK Cambridge, Wellcome Genome Campus and University of  Cambridge, Cambridge, UK.; British Heart Foundation Centre of Research Excellence, Division of  Cardiovascular Medicine, Addenbrooke&amp;apos;s Hospital, Cambridge, UK.; TIMI Study Group, Division of Cardiovascular Medicine, Brigham and Women&amp;apos;s  Hospital, Harvard Medical School, Boston, MA, USA.; Program in Medical and Population Genetics, Broad Institute of MIT and Harvard,  Cambridge, MA, USA.; Analytic and Translational Genetics Unit, Massachusetts General Hospital, Boston,  MA, USA.; Stanley Center for Psychiatric Research, Broad Institute of MIT and Harvard,  Cambridge, MA, USA.; CTSU-Nuffield Department of Population Health, Medical Sciences Division,  University of Oxford, Oxford, UK.; CTSU-Nuffield Department of Population Health, Medical Sciences Division,  University of Oxford, Oxford, UK.; Cardiovascular Disease Initiative, Broad Institute of MIT and Harvard, Cambridge,  MA, USA.; Program in Medical and Population Genetics, Broad Institute of MIT and Harvard,  Cambridge, MA, USA.; Divisions of Cardiovascular Medicine and Genetics, Brigham and Women&amp;apos;s Hospital,  Harvard Medical School, Boston, MA, USA.; Institute for Cardiogenetics, University of Lubeck, Lubeck, Germany.; German Research Center for Cardiovascular Research (DZHK), Partner Site  Hamburg/Lubeck/Kiel, Lubeck, Germany.; Faculty of Medicine, University of Iceland, Reykjavik, Iceland.; German Heart Centre Munich, Department of Cardiology, Technical University of  Munich, Munich, Germany.; German Research Center for Cardiovascular Research (DZHK e.V.), Partner Site  Munich Heart Alliance, Munich, Germany.; Radcliffe Department of Medicine, Division of Cardiovascular Medicine, University  of Oxford, Oxford, UK.; Wellcome Centre for Human Genetics, University of Oxford, Oxford, UK.; Department of Computational Medicine and Bioinformatics, University of Michigan,  Ann Arbor, MI, USA.; Department of Internal Medicine, Division of Cardiology, University of Michigan,  Ann Arbor, MI, USA.; Department of Human Genetics, University of Michigan, Ann Arbor, MI, USA.; William Harvey Research Institute, Barts and the London School of Medicine and  Dentistry, Queen Mary University of London, London, UK.; Princess Al-Jawhara Al-Brahim Centre of Excellence in Research of Hereditary  Disorders (PACER-HD), King Abdulaziz University, Jeddah, Saudi Arabia.; Verve Therapeutics, Cambridge, MA, USA.; BHF Cardiovascular Epidemiology Unit, Department of Public Health and Primary  Care, University of Cambridge, Cambridge, UK. asb38@medschl.cam.ac.uk.; National Institute for Health and Care Research Cambridge Biomedical Research  Centre, Cambridge University Hospitals, Cambridge, UK. asb38@medschl.cam.ac.uk.; The National Institute for Health and Care Research Blood and Transplant Unit  (NIHR BTRU) in Donor Health and Genomics, University of Cambridge, Cambridge, UK.  asb38@medschl.cam.ac.uk.; Health Data Research UK Cambridge, Wellcome Genome Campus and University of  Cambridge, Cambridge, UK. asb38@medschl.cam.ac.uk.; British Heart Foundation Centre of Research Excellence, Division of  Cardiovascular Medicine, Addenbrooke&amp;apos;s Hospital, Cambridge, UK.  asb38@medschl.cam.ac.uk.&lt;/_author_adr&gt;&lt;_collection_scope&gt;SCI;SCIE&lt;/_collection_scope&gt;&lt;_created&gt;65212721&lt;/_created&gt;&lt;_date&gt;2022-12-01&lt;/_date&gt;&lt;_date_display&gt;2022 Dec&lt;/_date_display&gt;&lt;_db_updated&gt;PubMed&lt;/_db_updated&gt;&lt;_doi&gt;10.1038/s41588-022-01233-6&lt;/_doi&gt;&lt;_impact_factor&gt;  38.330&lt;/_impact_factor&gt;&lt;_isbn&gt;1546-1718 (Electronic); 1061-4036 (Print); 1061-4036 (Linking)&lt;/_isbn&gt;&lt;_issue&gt;12&lt;/_issue&gt;&lt;_journal&gt;Nat Genet&lt;/_journal&gt;&lt;_language&gt;eng&lt;/_language&gt;&lt;_modified&gt;65212721&lt;/_modified&gt;&lt;_ori_publication&gt;(c) 2022. The Author(s).&lt;/_ori_publication&gt;&lt;_pages&gt;1803-1815&lt;/_pages&gt;&lt;_subject_headings&gt;Humans; *Coronary Artery Disease/genetics; Genome-Wide Association Study&lt;/_subject_headings&gt;&lt;_tertiary_title&gt;Nature genetic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6474045&amp;amp;query_hl=1&lt;/_url&gt;&lt;_volume&gt;54&lt;/_volume&gt;&lt;/Details&gt;&lt;Extra&gt;&lt;DBUID&gt;{F96A950B-833F-4880-A151-76DA2D6A2879}&lt;/DBUID&gt;&lt;/Extra&gt;&lt;/Item&gt;&lt;/References&gt;&lt;/Group&gt;&lt;/Citation&gt;_x000a_"/>
    <w:docVar w:name="NE.Ref{4566EBB0-46D9-44CC-AC02-268076EF52BD}" w:val=" ADDIN NE.Ref.{4566EBB0-46D9-44CC-AC02-268076EF52BD}&lt;Citation&gt;&lt;Group&gt;&lt;References&gt;&lt;Item&gt;&lt;ID&gt;1396&lt;/ID&gt;&lt;UID&gt;{B4769573-8391-4D13-953A-4420576F6075}&lt;/UID&gt;&lt;Title&gt;Genome-wide association and multi-trait analyses characterize the common genetic  architecture of heart failure&lt;/Title&gt;&lt;Template&gt;Journal Article&lt;/Template&gt;&lt;Star&gt;0&lt;/Star&gt;&lt;Tag&gt;0&lt;/Tag&gt;&lt;Author&gt;Levin, M G; Tsao, N L; Singhal, P; Liu, C; Vy, HMT; Paranjpe, I; Backman, J D; Bellomo, T R; Bone, W P; Biddinger, K J; Hui, Q; Dikilitas, O; Satterfield, B A; Yang, Y; Morley, M P; Bradford, Y; Burke, M; Reza, N; Charest, B; Judy, R L; Puckelwartz, M J; Hakonarson, H; Khan, A; Kottyan, L C; Kullo, I; Luo, Y; McNally, E M; Rasmussen-Torvik, L J; Day, S M; Do, R; Phillips, L S; Ellinor, P T; Nadkarni, G N; Ritchie, M D; Arany, Z; Cappola, T P; Margulies, K B; Aragam, K G; Haggerty, C M; Joseph, J; Sun, Y V; Voight, B F; Damrauer, S M&lt;/Author&gt;&lt;Year&gt;2022&lt;/Year&gt;&lt;Details&gt;&lt;_accession_num&gt;36376295&lt;/_accession_num&gt;&lt;_author_adr&gt;Division of Cardiovascular Medicine, Perelman School of Medicine, University of  Pennsylvania, Philadelphia, PA, USA.; Corporal Michael J. Crescenz VA Medical Center, Philadelphia, PA, USA.; Department of Surgery, University of Pennsylvania Perelman School of Medicine,  Philadelphia, PA, USA.; Department of Genetics, University of Pennsylvania Perelman School of Medicine,  Philadelphia, PA, USA.; Department of Epidemiology, Rollins School of Public Health, Emory University,  Atlanta, GA, USA.; The Charles Bronfman Institute of Personalized Medicine, Icahn School of Medicine  at Mount Sinai, New York, NY, USA.; Department of Medicine, Stanford University School of Medicine, Stanford, CA,  USA.; Regeneron Genetics Center, Tarrytown, NY, USA.; Department of Surgery, University of Pennsylvania Perelman School of Medicine,  Philadelphia, PA, USA.; Genomics and Computational Biology Graduate Group, Perelman School of Medicine,  University of Pennsylvania, Philadelphia, PA, USA.; Center for Genomic Medicine, Massachusetts General Hospital, Harvard Medical  School, Boston, MA, USA.; Program in Medical and Population Genetics and Cardiovascular Disease Initiative,  Broad Institute of MIT and Harvard, Cambridge, MA, USA.; Cardiovascular Research Center, Massachusetts General Hospital, Boston, MA, USA.; Emory University School of Public Health, Atlanta, GA, USA.; Atlanta VA Health Care System, Decatur, GA, USA.; Departments of Internal Medicine and Cardiovascular Medicine, and Mayo  Clinician-Investigator Training Program, Mayo Clinic, Rochester, MN, USA.; Department of Cardiovascular Medicine, Mayo Clinic, Rochester, MN, USA.; Cardiovascular Institute, Perelman School of Medicine, University of  Pennsylvania, Philadelphia, PA, USA.; Cardiovascular Institute, Perelman School of Medicine, University of  Pennsylvania, Philadelphia, PA, USA.; Department of Genetics, University of Pennsylvania Perelman School of Medicine,  Philadelphia, PA, USA.; Division of Cardiovascular Medicine, Perelman School of Medicine, University of  Pennsylvania, Philadelphia, PA, USA.; Division of Cardiovascular Medicine, Perelman School of Medicine, University of  Pennsylvania, Philadelphia, PA, USA.; Massachusetts Veterans Epidemiology Research and Information Center, VA Boston  Healthcare System, Boston, MA, USA.; Department of Surgery, University of Pennsylvania Perelman School of Medicine,  Philadelphia, PA, USA.; Department of Pharmacology, Center for Genetic Medicine, Northwestern University  Feinberg School of Medicine, Chicago, IL, USA.; Center for Applied Genomics, The Children&amp;apos;s Hospital of Philadelphia,  Philadelphia, PA, USA.; Division of Nephrology, Department of Medicine, Vagelos College of Physicians &amp;amp;  Surgeons, Columbia University, New York, NY, USA.; Department of Pediatrics, Division of Human Genetics and Center for Autoimmune  Genomics and Etiology, Cincinnati Children&amp;apos;s Hospital Medical Center, Cincinnati,  OH, USA.; Department of Cardiovascular Medicine, Mayo Clinic, Rochester, MN, USA.; Department of Preventive Medicine, Feinberg School of Medicine, Northwestern  University, Chicago, IL, USA.; Center for Genetic Medicine, Bluhm Cardiovascular Institute, Northwestern  University Feinberg School of Medicine, Chicago, IL, USA.; Department of Preventive Medicine, Northwestern University Feinberg School of  Medicine, Chicago, IL, USA.; Division of Cardiovascular Medicine, Perelman School of Medicine, University of  Pennsylvania, Philadelphia, PA, USA.; Cardiovascular Institute, Perelman School of Medicine, University of  Pennsylvania, Philadelphia, PA, USA.; The Charles Bronfman Institute for Personalized Medicine, BioMe Phenomics Center,  and Department of Genetics and Genomic Sciences, Icahn School of Medicine at  Mount Sinai, New York, NY, USA.; Atlanta VA Health Care System, Decatur, GA, USA.; Division of Endocrinology, Emory University School of Medicine, Atlanta, GA, USA.; Program in Medical and Population Genetics and Cardiovascular Disease Initiative,  Broad Institute of MIT and Harvard, Cambridge, MA, USA.; Cardiovascular Research Center and Cardiac Arrhythmia Service, Massachusetts  General Hospital, Boston, MA, USA.; Division of Nephrology, Department of Medicine, Icahn School of Medicine at Mount  Sinai, New York, NY, USA.; Department of Genetics, University of Pennsylvania Perelman School of Medicine,  Philadelphia, PA, USA.; Institute for Biomedical Informatics, University of Pennsylvania Perelman School  of Medicine, Philadelphia, PA, USA.; Division of Cardiovascular Medicine, Perelman School of Medicine, University of  Pennsylvania, Philadelphia, PA, USA.; Cardiovascular Institute, Perelman School of Medicine, University of  Pennsylvania, Philadelphia, PA, USA.; Division of Cardiovascular Medicine, Perelman School of Medicine, University of  Pennsylvania, Philadelphia, PA, USA.; Cardiovascular Institute, Perelman School of Medicine, University of  Pennsylvania, Philadelphia, PA, USA.; Division of Cardiovascular Medicine, Perelman School of Medicine, University of  Pennsylvania, Philadelphia, PA, USA.; Cardiovascular Institute, Perelman School of Medicine, University of  Pennsylvania, Philadelphia, PA, USA.; Center for Genomic Medicine, Massachusetts General Hospital, Harvard Medical  School, Boston, MA, USA.; Program in Medical and Population Genetics and Cardiovascular Disease Initiative,  Broad Institute of MIT and Harvard, Cambridge, MA, USA.; Department of Translational Data Science and Informatics and Heart Institute,  Geisinger, Danville, PA, USA.; Massachusetts Veterans Epidemiology Research and Information Center, VA Boston  Healthcare System, Boston, MA, USA.; Department of Medicine, Brigham and Women&amp;apos;s Hospital, Harvard Medical School,  Boston, MA, USA.; Emory University School of Public Health, Atlanta, GA, USA.; Atlanta VA Health Care System, Decatur, GA, USA.; Department of Genetics, University of Pennsylvania Perelman School of Medicine,  Philadelphia, PA, USA.; Department of Systems Pharmacology and Translational Therapeutics, University of  Pennsylvania Perelman School of Medicine, Philadelphia, PA, USA.; Institute of Translational Medicine and Therapeutics, University of Pennsylvania  Perelman School of Medicine, Philadelphia, PA, USA.; Corporal Michael J. Crescenz VA Medical Center, Philadelphia, PA, USA.  damrauer@upenn.edu.; Department of Surgery, University of Pennsylvania Perelman School of Medicine,  Philadelphia, PA, USA. damrauer@upenn.edu.&lt;/_author_adr&gt;&lt;_collection_scope&gt;SCI;SCIE&lt;/_collection_scope&gt;&lt;_created&gt;65212737&lt;/_created&gt;&lt;_date&gt;2022-11-14&lt;/_date&gt;&lt;_date_display&gt;2022 Nov 14&lt;/_date_display&gt;&lt;_db_updated&gt;PubMed&lt;/_db_updated&gt;&lt;_doi&gt;10.1038/s41467-022-34216-6&lt;/_doi&gt;&lt;_impact_factor&gt;  14.919&lt;/_impact_factor&gt;&lt;_isbn&gt;2041-1723 (Electronic); 2041-1723 (Linking)&lt;/_isbn&gt;&lt;_issue&gt;1&lt;/_issue&gt;&lt;_journal&gt;Nat Commun&lt;/_journal&gt;&lt;_language&gt;eng&lt;/_language&gt;&lt;_modified&gt;65212737&lt;/_modified&gt;&lt;_ori_publication&gt;(c) 2022. This is a U.S. Government work and not under copyright protection in the _x000d__x000a_      US; foreign copyright protection may apply.&lt;/_ori_publication&gt;&lt;_pages&gt;6914&lt;/_pages&gt;&lt;_subject_headings&gt;Humans; *Genome-Wide Association Study/methods; Phenotype; *Heart Failure/genetics; Heart; Gene Expression Profiling; Polymorphism, Single Nucleotide; Genetic Predisposition to Disease&lt;/_subject_headings&gt;&lt;_tertiary_title&gt;Nature communications&lt;/_tertiary_title&gt;&lt;_type_work&gt;Journal Article; Meta-Analysis; Research Support, N.I.H., Extramural; Research Support, U.S. Gov&amp;apos;t, Non-P.H.S.&lt;/_type_work&gt;&lt;_url&gt;http://www.ncbi.nlm.nih.gov/entrez/query.fcgi?cmd=Retrieve&amp;amp;db=pubmed&amp;amp;dopt=Abstract&amp;amp;list_uids=36376295&amp;amp;query_hl=1&lt;/_url&gt;&lt;_volume&gt;13&lt;/_volume&gt;&lt;/Details&gt;&lt;Extra&gt;&lt;DBUID&gt;{F96A950B-833F-4880-A151-76DA2D6A2879}&lt;/DBUID&gt;&lt;/Extra&gt;&lt;/Item&gt;&lt;/References&gt;&lt;/Group&gt;&lt;/Citation&gt;_x000a_"/>
    <w:docVar w:name="NE.Ref{4713C663-2257-44C0-8F21-6F09E68098BD}" w:val=" ADDIN NE.Ref.{4713C663-2257-44C0-8F21-6F09E68098BD}&lt;Citation&gt;&lt;Group&gt;&lt;References&gt;&lt;Item&gt;&lt;ID&gt;1202&lt;/ID&gt;&lt;UID&gt;{F9ED76C1-BD5D-425A-9A72-0CE95A5F0DDA}&lt;/UID&gt;&lt;Title&gt;Genome-wide association and Mendelian randomisation analysis provide insights  into the pathogenesis of heart failure&lt;/Title&gt;&lt;Template&gt;Journal Article&lt;/Template&gt;&lt;Star&gt;0&lt;/Star&gt;&lt;Tag&gt;0&lt;/Tag&gt;&lt;Author&gt;Shah, S; Henry, A; Roselli, C; Lin, H; Sveinbjornsson, G; Fatemifar, G; Hedman, A K; Wilk, J B; Morley, M P; Chaffin, M D; Helgadottir, A; Verweij, N; Dehghan, A; Almgren, P; Andersson, C; Aragam, K G; Arnlov, J; Backman, J D; Biggs, M L; Bloom, H L; Brandimarto, J; Brown, M R; Buckbinder, L; Carey, D J; Chasman, D I; Chen, X; Chen, X; Chung, J; Chutkow, W; Cook, J P; Delgado, G E; Denaxas, S; Doney, A S; Dorr, M; Dudley, S C; Dunn, M E; Engstrom, G; Esko, T; Felix, S B; Finan, C; Ford, I; Ghanbari, M; Ghasemi, S; Giedraitis, V; Giulianini, F; Gottdiener, J S; Gross, S; Guethbjartsson, D F; Gutmann, R; Haggerty, C M; van der Harst, P; Hyde, C L; Ingelsson, E; Jukema, J W; Kavousi, M; Khaw, K T; Kleber, M E; Kober, L; Koekemoer, A; Langenberg, C; Lind, L; Lindgren, C M; London, B; Lotta, L A; Lovering, R C; Luan, J; Magnusson, P; Mahajan, A; Margulies, K B; Marz, W; Melander, O; Mordi, I R; Morgan, T; Morris, A D; Morris, A P; Morrison, A C; Nagle, M W; Nelson, C P; Niessner, A; Niiranen, T; O&amp;apos;Donoghue, M L; Owens, A T; Palmer, CNA; Parry, H M; Perola, M; Portilla-Fernandez, E; Psaty, B M; Rice, K M; Ridker, P M; Romaine, SPR; Rotter, J I; Salo, P; Salomaa, V; van Setten, J; Shalaby, A A; Smelser, D T; Smith, N L; Stender, S; Stott, D J; Svensson, P; Tammesoo, M L; Taylor, K D; Teder-Laving, M; Teumer, A; Thorgeirsson, G; Thorsteinsdottir, U; Torp-Pedersen, C; Trompet, S; Tyl, B; Uitterlinden, A G; Veluchamy, A; Volker, U; Voors, A A; Wang, X; Wareham, N J; Waterworth, D; Weeke, P E; Weiss, R; Wiggins, K L; Xing, H; Yerges-Armstrong, L M; Yu, B; Zannad, F; Zhao, J H; Hemingway, H; Samani, N J; McMurray, JJV; Yang, J; Visscher, P M; Newton-Cheh, C; Malarstig, A; Holm, H; Lubitz, S A; Sattar, N; Holmes, M V; Cappola, T P; Asselbergs, F W; Hingorani, A D; Kuchenbaecker, K; Ellinor, P T; Lang, C C; Stefansson, K; Smith, J G; Vasan, R S; Swerdlow, D I; Lumbers, R T&lt;/Author&gt;&lt;Year&gt;2020&lt;/Year&gt;&lt;Details&gt;&lt;_accession_num&gt;31919418&lt;/_accession_num&gt;&lt;_author_adr&gt;Institute for Molecular Bioscience, The University of Queensland, Brisbane,  Queensland, 4072, Australia.; Institute of Cardiovascular Science, University College London, London, UK.; British Heart Foundation Research Accelerator, University College London, London,  UK.; Institute of Cardiovascular Science, University College London, London, UK.; British Heart Foundation Research Accelerator, University College London, London,  UK.; Institute of Health Informatics, University College London, London, UK.; Program in Medical and Population Genetics, The Broad Institute of MIT and  Harvard, Cambridge, MA, USA.; Department of Cardiology, University Medical Center Groningen, University of  Groningen, Groningen, The Netherlands.; Section of Computational Biomedicine, Department of Medicine, Boston University  School of Medicine, Boston, MA, USA.; National Heart, Lung, and Blood Institute&amp;apos;s and Boston University&amp;apos;s Framingham  Heart Study, Framingham, MA, USA.; deCODE genetics/Amgen Inc., Sturlugata 8, 101, Reykjavik, Iceland.; British Heart Foundation Research Accelerator, University College London, London,  UK.; Institute of Health Informatics, University College London, London, UK.; Health Data Research UK London, University College London, London, UK.; Cardiovascular Medicine unit, Department of Medicine Solna, Karolinska Institute,  Stockholm, Sweden.; Pfizer Worldwide Research &amp;amp; Development, 1 Portland St, Cambridge, MA, USA.; Penn Cardiovascular Institute, Perelman School of Medicine, University of  Pennsylvania, Philadelphia, PA, USA.; Program in Medical and Population Genetics, The Broad Institute of MIT and  Harvard, Cambridge, MA, USA.; deCODE genetics/Amgen Inc., Sturlugata 8, 101, Reykjavik, Iceland.; Program in Medical and Population Genetics, The Broad Institute of MIT and  Harvard, Cambridge, MA, USA.; Department of Cardiology, University Medical Center Groningen, University of  Groningen, Groningen, The Netherlands.; Department of Epidemiology and Biostatistics, Imperial College London, St Mary&amp;apos;s  Campus, London, W2 1PG, UK.; MRC-PHE Centre for Environment and Health, Department of Epidemiology and  Biostatistics, Imperial College London, St Mary&amp;apos;s Campus, London, W2 1PG, UK.; Department of Clinical Sciences, Lund University, Malmo, Sweden.; National Heart, Lung, and Blood Institute&amp;apos;s and Boston University&amp;apos;s Framingham  Heart Study, Framingham, MA, USA.; Department of Cardiology, Herlev Gentofte Hospital, Herlev Ringvej 57, 2650,  Herlev, Denmark.; Program in Medical and Population Genetics, The Broad Institute of MIT and  Harvard, Cambridge, MA, USA.; Center for Genomic Medicine, Massachusetts General Hospital, Boston, MA, USA.; Cardiovascular Research Center, Massachusetts General Hospital, Boston, MA, USA.; Department of Neurobiology, Care Sciences and Society/ Section of Family Medicine  and Primary Care, Karolinska Institutet, Stockholm, Sweden.; School of Health and Social Sciences, Dalarna University, Falun, Sweden.; Regeneron Genetics Center, 777 Old Saw Mill River Road, Tarrytown, NY, 10591,  USA.; Department of Biostatistics, University of Washington, Seattle, WA, USA.; Department of Medicine, University of Washington, Seattle, WA, USA.; Division of Cardiology, Department of Medicine, Emory University Medical Center,  Atlanta, GA, USA.; Penn Cardiovascular Institute, Perelman School of Medicine, University of  Pennsylvania, Philadelphia, PA, USA.; Department of Epidemiology, Human Genetics, and Environmental Sciences, The  University of Texas School of Public Health, Houston, Texas, USA.; Pfizer Worldwide Research &amp;amp; Development, 1 Portland St, Cambridge, MA, USA.; Department of Molecular and Functional Genomics, Geisinger, Danville, PA, USA.; Division of Preventive Medicine, Brigham and Women&amp;apos;s Hospital, Boston, MA, 02215,  USA.; Harvard Medical School, Boston, MA, 02115, USA.; Pfizer Worldwide Research &amp;amp; Development, 1 Portland St, Cambridge, MA, USA.; Department of Medical Epidemiology and Biostatistics, Karolinska Institutet,  Stockholm, Sweden.; Regeneron Genetics Center, 777 Old Saw Mill River Road, Tarrytown, NY, 10591,  USA.; Novartis Institutes for Biomedical Research, Cambridge, MA, USA.; Department of Biostatistics, University of Liverpool, Liverpool, UK.; Vth Department of Medicine (Nephrology, Hypertensiology, Endocrinology,  Diabetology, Rheumatology), Medical Faculty of Mannheim, University of  Heidelberg, Heidelberg, Germany.; British Heart Foundation Research Accelerator, University College London, London,  UK.; Institute of Health Informatics, University College London, London, UK.; Health Data Research UK London, University College London, London, UK.; The National Institute for Health Research University College London Hospitals  Biomedical Research Centre, University College London, London, UK.; The Alan Turing Institute, London, United Kingdom.; Division of Molecular &amp;amp; Clinical Medicine, University of Dundee, Ninewells  Hospital and Medical School, Dundee, DD1 9SY, UK.; Department of Internal Medicine B, University Medicine Greifswald, Greifswald,  Germany.; DZHK (German Center for Cardiovascular Research), partner site Greifswald,  Greifswald, Germany.; Cardiovascular Division, Department of Medicine, University of Minnesota,  Minneapolis, MN, USA.; Regeneron Pharmaceuticals, Cardiovascular Research, 777 Old Saw Mill River Road,  Tarrytown, NY, 10591, USA.; Department of Clinical Sciences, Lund University, Malmo, Sweden.; Program in Medical and Population Genetics, The Broad Institute of MIT and  Harvard, Cambridge, MA, USA.; Estonian Genome Center, Institute of Genomics, University of Tartu, Tartu, 51010,  Estonia.; Department of Internal Medicine B, University Medicine Greifswald, Greifswald,  Germany.; DZHK (German Center for Cardiovascular Research), partner site Greifswald,  Greifswald, Germany.; Institute of Cardiovascular Science, University College London, London, UK.; British Heart Foundation Research Accelerator, University College London, London,  UK.; Robertson Center for Biostatistics, University of Glasgow, Glasgow, UK.; Department of Epidemiology, Erasmus University Medical Center, Rotterdam, The  Netherlands.; DZHK (German Center for Cardiovascular Research), partner site Greifswald,  Greifswald, Germany.; Institute for Community Medicine, University Medicine Greifswald, Greifswald,  Germany.; Department of Public Health and Caring Sciences, Geriatrics, Uppsala University,  Uppsala, 75185, Sweden.; Division of Preventive Medicine, Brigham and Women&amp;apos;s Hospital, Boston, MA, 02215,  USA.; Department of Medicine, Division of Cardiology, University of Maryland School of  Medicine, Baltimore, MD, USA.; Department of Internal Medicine B, University Medicine Greifswald, Greifswald,  Germany.; DZHK (German Center for Cardiovascular Research), partner site Greifswald,  Greifswald, Germany.; deCODE genetics/Amgen Inc., Sturlugata 8, 101, Reykjavik, Iceland.; School of Engineering and Natural Sciences, University of Iceland, 101,  Reykjavik, Iceland.; Division of Cardiovascular Medicine, University of Iowa Carver College of  Medicine, Iowa City, IA, USA.; Department of Molecular and Functional Genomics, Geisinger, Danville, PA, USA.; Department of Cardiology, University Medical Center Groningen, University of  Groningen, Groningen, The Netherlands.; Department of Genetics, University Medical Center Groningen, University of  Groningen, Groningen, The Netherlands.; Durrer Center for Cardiogenetic Research, ICIN-Netherlands Heart Institute,  Utrecht, The Netherlands.; Pfizer Worldwide Research &amp;amp; Development, 1 Portland St, Cambridge, MA, USA.; Department of Medicine, Division of Cardiovascular Medicine, Stanford University  School of Medicine, Stanford, CA, 94305, USA.; Stanford Cardiovascular Institute, Stanford University, Stanford, CA, 94305, USA.; Department of Medical Sciences, Molecular Epidemiology and Science for Life  Laboratory, Uppsala University, Uppsala, Sweden.; Stanford Diabetes Research Center, Stanford University, Stanford, CA, 94305, USA.; Department of Cardiology, Leiden University Medical Center, Leiden, The  Netherlands.; Einthoven Laboratory for Experimental Vascular Medicine, LUMC, Leiden, The  Netherlands.; Department of Epidemiology, Erasmus University Medical Center, Rotterdam, The  Netherlands.; Department of Public Health and Primary Care, University of Cambridge, Cambridge,  CB2 0QQ, UK.; Vth Department of Medicine (Nephrology, Hypertensiology, Endocrinology,  Diabetology, Rheumatology), Medical Faculty of Mannheim, University of  Heidelberg, Heidelberg, Germany.; Department of Cardiology, Copenhagen University Hospital Rigshospitalet,  Copenhagen, Denmark.; Department of Cardiovascular Sciences, University of Leicester and NIHR Leicester  Biomedical Research Centre, Glenfield Hospital, Leicester, UK.; MRC Epidemiology Unit, Institute of Metabolic Science, University of Cambridge  School of Clinical Medicine, Cambridge, CB2 0QQ, UK.; Department of Medical Sciences, Uppsala University, Uppsala, Sweden.; Program in Medical and Population Genetics, The Broad Institute of MIT and  Harvard, Cambridge, MA, USA.; Big Data Institute at the Li Ka Shing Centre for Health Information and  Discovery, University of Oxford, Oxford, UK.; Wellcome Trust Centre for Human Genetics, University of Oxford, Oxford, UK.; Division of Cardiovascular Medicine and Abboud Cardiovascular Research Center,  University of Iowa, Iowa City, IA, USA.; MRC Epidemiology Unit, Institute of Metabolic Science, University of Cambridge  School of Clinical Medicine, Cambridge, CB2 0QQ, UK.; Institute of Cardiovascular Science, University College London, London, UK.; British Heart Foundation Research Accelerator, University College London, London,  UK.; MRC Epidemiology Unit, Institute of Metabolic Science, University of Cambridge  School of Clinical Medicine, Cambridge, CB2 0QQ, UK.; Department of Medical Epidemiology and Biostatistics, Karolinska Institutet,  Stockholm, Sweden.; Wellcome Trust Centre for Human Genetics, University of Oxford, Oxford, UK.; Penn Cardiovascular Institute, Perelman School of Medicine, University of  Pennsylvania, Philadelphia, PA, USA.; Department of Biostatistics, University of Liverpool, Liverpool, UK.; Synlab Academy, Synlab Holding Deutschland GmbH, Mannheim, Germany.; Clinical Institute of Medical and Chemical Laboratory Diagnostics, Medical  University of Graz, Graz, Austria.; Department of Internal Medicine, Clinical Sciences, Lund University and Skane  University Hospital, Malmo, Sweden.; Division of Molecular &amp;amp; Clinical Medicine, University of Dundee, Ninewells  Hospital and Medical School, Dundee, DD1 9SY, UK.; Novartis Institutes for Biomedical Research, Cambridge, MA, USA.; Vanderbilt University School of Medicine, Nashville, TN, USA.; Usher Institute of Population Health Sciences and Informatics, University of  Edinburgh, Edinburgh, United Kingdom.; Department of Biostatistics, University of Liverpool, Liverpool, UK.; Wellcome Trust Centre for Human Genetics, University of Oxford, Oxford, UK.; Department of Epidemiology, Human Genetics, and Environmental Sciences, The  University of Texas School of Public Health, Houston, Texas, USA.; Pfizer Worldwide Research &amp;amp; Development, 1 Portland St, Cambridge, MA, USA.; Department of Cardiovascular Sciences, University of Leicester and NIHR Leicester  Biomedical Research Centre, Glenfield Hospital, Leicester, UK.; Department of Internal Medicine II, Division of Cardiology, Medical University of  Vienna, Vienna, Austria.; National Institute for Health and Welfare, Helsinki, Finland.; Department of Medicine, Turku University Hospital and University of Turku, Turku,  Finland.; TIMI Study Group, Cardiovascular Division, Brigham and Women&amp;apos;s Hospital, Boston,  MA, USA.; Penn Cardiovascular Institute, Perelman School of Medicine, University of  Pennsylvania, Philadelphia, PA, USA.; Division of Molecular &amp;amp; Clinical Medicine, University of Dundee, Ninewells  Hospital and Medical School, Dundee, DD1 9SY, UK.; Division of Molecular &amp;amp; Clinical Medicine, University of Dundee, Ninewells  Hospital and Medical School, Dundee, DD1 9SY, UK.; National Institute for Health and Welfare, Helsinki, Finland.; Department of Epidemiology, Erasmus University Medical Center, Rotterdam, The  Netherlands.; Division of Vascular Medicine and Pharmacology, Department of Internal Medicine,  Erasmus University Medical Center, Rotterdam, The Netherlands.; Department of Medicine, Epidemiology, and Health Services, University of  Washington, Seattle, WA, USA.; Kaiser Permanente Washington Health Research Institute, Kaiser Permanente  Washington, Seattle, WA, USA.; Department of Biostatistics, University of Washington, Seattle, WA, USA.; Division of Preventive Medicine, Brigham and Women&amp;apos;s Hospital, Boston, MA, 02215,  USA.; Harvard Medical School, Boston, MA, 02115, USA.; Department of Cardiovascular Sciences, University of Leicester and NIHR Leicester  Biomedical Research Centre, Glenfield Hospital, Leicester, UK.; The Institute for Translational Genomics and Population Sciences, Departments of  Pediatrics and Medicine, Los Angeles Biomedical Research Institute at Harbor-UCLA  Medical Center, Torrance, CA, USA.; National Institute for Health and Welfare, Helsinki, Finland.; National Institute for Health and Welfare, Helsinki, Finland.; Department of Cardiology, Division Heart and Lungs, University Medical Center  Utrecht, University of Utrecht, Utrecht, The Netherlands.; Division of Cardiology, Department of Medicine, University of Pittsburgh Medical  Center and VA Pittsburgh HCS, Pittsburgh, PA, USA.; Department of Molecular and Functional Genomics, Geisinger, Danville, PA, USA.; Kaiser Permanente Washington Health Research Institute, Kaiser Permanente  Washington, Seattle, WA, USA.; Department of Epidemiology, University of Washington, Seattle, WA, USA.; Seattle Epidemiologic Research and Information Center, Department of Veterans  Affairs Office of Research &amp;amp; Development, Seattle, WA, USA.; Department of Clinical Biochemistry, Copenhagen University Hospital, Herlev and  Gentofte, Kobenhavn, Denmark.; Institute of Cardiovascular and Medical Sciences, College of Medical, Veterinary  and Life Sciences, University of Glasgow, Glasgow, United Kingdom.; Department of Clinical Science and Education, Sodersjukhuset, Karolinska  Institutet, Stockholm, Sweden.; Department of Cardiology, Sodersjukhuset, Stockholm, Sweden.; Estonian Genome Center, Institute of Genomics, University of Tartu, Tartu, 51010,  Estonia.; Institute for Translational Genomics and Population Sciences, LABiomed and  Departments of Pediatrics at Harbor-UCLA Medical Center, Torrance, CA, 90502,  USA.; Estonian Genome Center, Institute of Genomics, University of Tartu, Tartu, 51010,  Estonia.; DZHK (German Center for Cardiovascular Research), partner site Greifswald,  Greifswald, Germany.; Institute for Community Medicine, University Medicine Greifswald, Greifswald,  Germany.; deCODE genetics/Amgen Inc., Sturlugata 8, 101, Reykjavik, Iceland.; Division of Cardiology, Department of Internal Medicine, Landspitali, National  University Hospital of Iceland, Hringbraut, 101, Reykjavik, Iceland.; deCODE genetics/Amgen Inc., Sturlugata 8, 101, Reykjavik, Iceland.; Faculty of Medicine, Department of Medicine, University of Iceland, Saemundargata  2, 101, Reykjavik, Iceland.; Department of Epidemiology and Biostatistics, Aalborg University Hospital,  Aalborg, Denmark.; Department of Health, Science and Technology, Aalborg University Hospital,  Aalborg, Denmark.; Departments of Cardiology, Aalborg University Hospital, Aalborg, Denmark.; Department of Cardiology, Leiden University Medical Center, Leiden, The  Netherlands.; Section of Gerontology and Geriatrics, Department of Internal Medicine, Leiden  University Medical Center, Leiden, The Netherlands.; Translational and Clinical Research, Servier Cardiovascular Center for  Therapeutic Innovation, 50 rue Carnot, 92284, Suresnes, France.; Department of Epidemiology, Erasmus University Medical Center, Rotterdam, The  Netherlands.; Department of Internal Medicine, Erasmus MC, University Medical Center Rotterdam,  Rotterdam, The Netherlands.; Division of Molecular &amp;amp; Clinical Medicine, University of Dundee, Ninewells  Hospital and Medical School, Dundee, DD1 9SY, UK.; DZHK (German Center for Cardiovascular Research), partner site Greifswald,  Greifswald, Germany.; Interfaculty Institute for Genetics and Functional Genomics, University Medicine  Greifswald, Greifswald, Germany.; Section of Computational Biomedicine, Department of Medicine, Boston University  School of Medicine, Boston, MA, USA.; Novartis Institutes for Biomedical Research, Cambridge, MA, USA.; MRC Epidemiology Unit, Institute of Metabolic Science, University of Cambridge  School of Clinical Medicine, Cambridge, CB2 0QQ, UK.; Human Genetics, GlaxoSmithKline, Collegeville, PA, USA.; Department of Cardiology, Copenhagen University Hospital Rigshospitalet,  Copenhagen, Denmark.; Division of Cardiovascular Medicine, Department of Internal Medicine, The Ohio  State University Medical Center, Columbus, OH, USA.; Department of Medicine, University of Washington, Seattle, WA, USA.; Novartis Institutes for Biomedical Research, Cambridge, MA, USA.; Human Genetics, GlaxoSmithKline, Collegeville, PA, USA.; Department of Epidemiology, Human Genetics, and Environmental Sciences, The  University of Texas School of Public Health, Houston, Texas, USA.; Universite de Lorraine, CHU de Nancy, Inserm and INI-CRCT (F-CRIN), Institut  Lorrain du Coeur et des Vaisseaux, 54500, Vandoeuvre Les, Nancy, France.; MRC Epidemiology Unit, Institute of Metabolic Science, University of Cambridge  School of Clinical Medicine, Cambridge, CB2 0QQ, UK.; British Heart Foundation Research Accelerator, University College London, London,  UK.; Institute of Health Informatics, University College London, London, UK.; Health Data Research UK London, University College London, London, UK.; BHF Cardiovascular Research Centre, University of Glasgow, Glasgow, United  Kingdom.; Department of Cardiovascular Sciences, University of Leicester and NIHR Leicester  Biomedical Research Centre, Glenfield Hospital, Leicester, UK.; BHF Cardiovascular Research Centre, University of Glasgow, Glasgow, United  Kingdom.; Institute for Molecular Bioscience, The University of Queensland, Brisbane,  Queensland, 4072, Australia.; Queensland Brain Institute, The University of Queensland, Brisbane, QLD, 4072,  Australia.; Institute for Molecular Bioscience, The University of Queensland, Brisbane,  Queensland, 4072, Australia.; Queensland Brain Institute, The University of Queensland, Brisbane, QLD, 4072,  Australia.; Program in Medical and Population Genetics, The Broad Institute of MIT and  Harvard, Cambridge, MA, USA.; Cardiovascular Research Center, Massachusetts General Hospital, Boston, MA, USA.; Center for Human Genetic Research, Massachusetts General Hospital, Boston, MA,  USA.; Cardiovascular Medicine unit, Department of Medicine Solna, Karolinska Institute,  Stockholm, Sweden.; Pfizer Worldwide Research &amp;amp; Development, 1 Portland St, Cambridge, MA, USA.; deCODE genetics/Amgen Inc., Sturlugata 8, 101, Reykjavik, Iceland.; Program in Medical and Population Genetics, The Broad Institute of MIT and  Harvard, Cambridge, MA, USA.; Cardiac Arrhythmia Service and Cardiovascular Research Center, Massachusetts  General Hospital, Boston, MA, USA.; BHF Cardiovascular Research Centre, University of Glasgow, Glasgow, United  Kingdom.; Medical Research Council Population Health Research Unit at the University of  Oxford, Oxford, UK.; Clinical Trial Service Unit and Epidemiological Studies Unit, Nuffield Department  of Population Health, Big Data Institute, University of Oxford, Oxford, UK.; National Institute for Health Research Oxford Biomedical Research Centre, Oxford  University Hospital, Oxford, UK.; Penn Cardiovascular Institute, Perelman School of Medicine, University of  Pennsylvania, Philadelphia, PA, USA.; Institute of Cardiovascular Science, University College London, London, UK.; British Heart Foundation Research Accelerator, University College London, London,  UK.; Department of Cardiology, Division Heart and Lungs, University Medical Center  Utrecht, University of Utrecht, Utrecht, The Netherlands.; Institute of Cardiovascular Science, University College London, London, UK.; British Heart Foundation Research Accelerator, University College London, London,  UK.; Division of Psychiatry, University College of London, London, W1T 7NF, UK.; UCL Genetics Institute, University College London, London, WC1E 6BT, UK.; Program in Medical and Population Genetics, The Broad Institute of MIT and  Harvard, Cambridge, MA, USA.; Cardiac Arrhythmia Service and Cardiovascular Research Center, Massachusetts  General Hospital, Boston, MA, USA.; Division of Molecular &amp;amp; Clinical Medicine, University of Dundee, Ninewells  Hospital and Medical School, Dundee, DD1 9SY, UK.; deCODE genetics/Amgen Inc., Sturlugata 8, 101, Reykjavik, Iceland.; Faculty of Medicine, Department of Medicine, University of Iceland, Saemundargata  2, 101, Reykjavik, Iceland.; Program in Medical and Population Genetics, The Broad Institute of MIT and  Harvard, Cambridge, MA, USA.; Department of Cardiology, Clinical Sciences, Lund University and Skane University  Hospital, Lund, Sweden.; Wallenberg Center for Molecular Medicine and Lund University Diabetes Center,  Lund University, Lund, Sweden.; National Heart, Lung, and Blood Institute&amp;apos;s and Boston University&amp;apos;s Framingham  Heart Study, Framingham, MA, USA.; Sections of Cardiology, Preventive Medicine and Epidemiology, Department of  Medicine, Boston University Schools of Medicine and Public Health, Boston, MA,  USA.; Institute of Cardiovascular Science, University College London, London, UK.; British Heart Foundation Research Accelerator, University College London, London,  UK. t.lumbers@ucl.ac.uk.; Institute of Health Informatics, University College London, London, UK.  t.lumbers@ucl.ac.uk.; Health Data Research UK London, University College London, London, UK.  t.lumbers@ucl.ac.uk.; Bart&amp;apos;s Heart Centre, St. Bartholomew&amp;apos;s Hospital, London, UK. t.lumbers@ucl.ac.uk.&lt;/_author_adr&gt;&lt;_date_display&gt;2020 Jan 9&lt;/_date_display&gt;&lt;_date&gt;2020-01-09&lt;/_date&gt;&lt;_doi&gt;10.1038/s41467-019-13690-5&lt;/_doi&gt;&lt;_isbn&gt;2041-1723 (Electronic); 2041-1723 (Linking)&lt;/_isbn&gt;&lt;_issue&gt;1&lt;/_issue&gt;&lt;_journal&gt;Nat Commun&lt;/_journal&gt;&lt;_language&gt;eng&lt;/_language&gt;&lt;_pages&gt;163&lt;/_pages&gt;&lt;_subject_headings&gt;Adaptor Proteins, Signal Transducing/genetics; Apoptosis Regulatory Proteins/genetics; Atrial Fibrillation/*genetics; Cardiomyopathies/*genetics/pathology; Carrier Proteins/genetics; Case-Control Studies; Coronary Artery Disease/*genetics; Cyclin-Dependent Kinase Inhibitor p21/genetics; Genome-Wide Association Study; Heart Failure/*genetics/*pathology; Humans; Mendelian Randomization Analysis; Microfilament Proteins/genetics; Muscle Proteins/genetics; Risk Factors; Ventricular Function, Left/*genetics&lt;/_subject_headings&gt;&lt;_tertiary_title&gt;Nature communications&lt;/_tertiary_title&gt;&lt;_type_work&gt;Journal Article; Meta-Analysis&lt;/_type_work&gt;&lt;_url&gt;http://www.ncbi.nlm.nih.gov/entrez/query.fcgi?cmd=Retrieve&amp;amp;db=pubmed&amp;amp;dopt=Abstract&amp;amp;list_uids=31919418&amp;amp;query_hl=1&lt;/_url&gt;&lt;_volume&gt;11&lt;/_volume&gt;&lt;_created&gt;65011492&lt;/_created&gt;&lt;_modified&gt;65011492&lt;/_modified&gt;&lt;_db_updated&gt;PubMed&lt;/_db_updated&gt;&lt;_impact_factor&gt;  14.919&lt;/_impact_factor&gt;&lt;_collection_scope&gt;SCI;SCIE&lt;/_collection_scope&gt;&lt;/Details&gt;&lt;Extra&gt;&lt;DBUID&gt;{F96A950B-833F-4880-A151-76DA2D6A2879}&lt;/DBUID&gt;&lt;/Extra&gt;&lt;/Item&gt;&lt;/References&gt;&lt;/Group&gt;&lt;/Citation&gt;_x000a_"/>
    <w:docVar w:name="NE.Ref{49FB473C-A75B-41CE-93FF-2AE0A265C593}" w:val=" ADDIN NE.Ref.{49FB473C-A75B-41CE-93FF-2AE0A265C593}&lt;Citation&gt;&lt;Group&gt;&lt;References&gt;&lt;Item&gt;&lt;ID&gt;1393&lt;/ID&gt;&lt;UID&gt;{EF857A1E-55FE-4B17-B3AC-DBF09C126D4E}&lt;/UID&gt;&lt;Title&gt;Transethnic Meta-Analysis of Genome-Wide Association Studies Identifies Three New  Loci and Characterizes Population-Specific Differences for Coronary Artery  Disease&lt;/Title&gt;&lt;Template&gt;Journal Article&lt;/Template&gt;&lt;Star&gt;0&lt;/Star&gt;&lt;Tag&gt;0&lt;/Tag&gt;&lt;Author&gt;Matsunaga, H; Ito, K; Akiyama, M; Takahashi, A; Koyama, S; Nomura, S; Ieki, H; Ozaki, K; Onouchi, Y; Sakaue, S; Suna, S; Ogishima, S; Yamamoto, M; Hozawa, A; Satoh, M; Sasaki, M; Yamaji, T; Sawada, N; Iwasaki, M; Tsugane, S; Tanaka, K; Arisawa, K; Ikezaki, H; Takashima, N; Naito, M; Wakai, K; Tanaka, H; Sakata, Y; Morita, H; Sakata, Y; Matsuda, K; Murakami, Y; Akazawa, H; Kubo, M; Kamatani, Y; Komuro, I&lt;/Author&gt;&lt;Year&gt;2020&lt;/Year&gt;&lt;Details&gt;&lt;_accession_num&gt;32469254&lt;/_accession_num&gt;&lt;_author_adr&gt;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Laboratory for Statistical Analysis (M.A., A.T., S. Sakaue, Y.K.), Kanagawa.; Laboratory for Statistical Analysis (M.A., A.T., S. Sakaue, Y.K.), Kanagawa.; Department of Genomic Medicine, Research Institute, National Cerebral &amp;amp;  Cardiovascular Center, Osaka (A.T.).; Laboratory for Cardiovascular Genomics &amp;amp; Informatics (H. Matsunaga, K.I., S.K.,  H. Ieki, K.O., Y.O.), Kanagawa.; Department of Cardiovascular Medicine, Graduate School of Medicine (H. Matsunaga,  S.N., H. Ieki, H.M., H.A., I.K.), University of Tokyo.; Genome Science Division, Research Center for Advanced Science &amp;amp; Technologies  (S.N.), University of Tokyo.; 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Division for Genomic Medicine, Medical Genome Center, National Center for  Geriatrics &amp;amp; Gerontology, Obu (K.O.).; Laboratory for Cardiovascular Genomics &amp;amp; Informatics (H. Matsunaga, K.I., S.K.,  H. Ieki, K.O., Y.O.), Kanagawa.; Department of Public Health, Chiba University Graduate School of Medicine (Y.O.).; Laboratory for Statistical Analysis (M.A., A.T., S. Sakaue, Y.K.), Kanagawa.; Department of Cardiovascular Medicine, Osaka University Graduate School of  Medicine, Suita (S. Suna, Yasushi Sakata).; Tohoku Medical Megabank Organization (S.O., M.Y.), Tohoku University, Sendai.; Tohoku Medical Megabank Organization (S.O., M.Y.), Tohoku University, Sendai.; Department of Preventive Medicine &amp;amp; Epidemiology (A.H.), Tohoku University,  Sendai.; Iwate Tohoku Medical Megabank Organization, Iwate Medical University (M. Satoh,  M. Sasaki).; Iwate Tohoku Medical Megabank Organization, Iwate Medical University (M. Satoh,  M. Sasaki).; Division of Epidemiology (T.Y., N.S., M.I.), National Cancer Center, Tokyo.; Division of Epidemiology (T.Y., N.S., M.I.), National Cancer Center, Tokyo.; Division of Epidemiology (T.Y., N.S., M.I.), National Cancer Center, Tokyo.; Center for Public Health Sciences (S.T.), National Cancer Center, Tokyo.; Department of Preventive Medicine, Faculty of Medicine, Saga University (K.T.).; Department of Preventive Medicine, Institute of Biomedical Sciences, Tokushima  University Graduate School (K.A.).; Department of Environmental Medicine &amp;amp; Infectious Diseases, Graduate School of  Medical Sciences, Kyushu University, Fukuoka (H. Ikezaki).; Department of Public Health, Shiga University of Medical Science, Otsu (N.T.).; Department of Oral Epidemiology, Graduate School of Biomedical &amp;amp; Health Sciences,  Hiroshima University (M.N.).; Department of Preventive Medicine (M.N., K.W.), Nagoya University Graduate School  of Medicine.; Department of Preventive Medicine (M.N., K.W.), Nagoya University Graduate School  of Medicine.; Department of Epidemiology (H.T.), Nagoya University Graduate School of Medicine.; Division of Epidemiology &amp;amp; Prevention, Aichi Cancer Center Research Institute,  Nagoya (H.T.).; Department of Cardiovascular Medicine, Tohoku University Graduate School of  Medicine, Sendai (Yasuhiko Sakata).; Department of Cardiovascular Medicine, Graduate School of Medicine (H. Matsunaga,  S.N., H. Ieki, H.M., H.A., I.K.), University of Tokyo.; Department of Cardiovascular Medicine, Osaka University Graduate School of  Medicine, Suita (S. Suna, Yasushi Sakata).; Department of Computational Biology &amp;amp; Medical Science, Graduate School of  Frontier Sciences (K.M.), University of Tokyo.; Division of Molecular Pathology, Institute of Medical Science (Y.M.), University  of Tokyo.; Department of Cardiovascular Medicine, Graduate School of Medicine (H. Matsunaga,  S.N., H. Ieki, H.M., H.A., I.K.), University of Tokyo.; RIKEN Center for Integrative Medical Sciences (M.K.), Kanagawa.; Laboratory for Statistical Analysis (M.A., A.T., S. Sakaue, Y.K.), Kanagawa.; Kyoto-McGill International Collaborative School in Genomic Medicine, Kyoto  University Graduate School of Medicine, Japan (Y.K.).; Department of Cardiovascular Medicine, Graduate School of Medicine (H. Matsunaga,  S.N., H. Ieki, H.M., H.A., I.K.), University of Tokyo.&lt;/_author_adr&gt;&lt;_date_display&gt;2020 Jun&lt;/_date_display&gt;&lt;_date&gt;2020-06-01&lt;/_date&gt;&lt;_doi&gt;10.1161/CIRCGEN.119.002670&lt;/_doi&gt;&lt;_isbn&gt;2574-8300 (Electronic); 2574-8300 (Linking)&lt;/_isbn&gt;&lt;_issue&gt;3&lt;/_issue&gt;&lt;_journal&gt;Circ Genom Precis Med&lt;/_journal&gt;&lt;_keywords&gt;chromosome; coronary artery disease; genome-wide association study; myocardial infarction; single nucleotide polymorphism&lt;/_keywords&gt;&lt;_language&gt;eng&lt;/_language&gt;&lt;_pages&gt;e002670&lt;/_pages&gt;&lt;_subject_headings&gt;*Asian People/ethnology/genetics; Chromosomes, Human/*genetics; *Coronary Artery Disease/ethnology/genetics; Female; *Genetic Loci; Genome-Wide Association Study; Humans; Japan/ethnology; Male; Meta-Analysis as Topic; United Kingdom/ethnology; *White People/ethnology/genetics&lt;/_subject_headings&gt;&lt;_tertiary_title&gt;Circulation. Genomic and precision medicine&lt;/_tertiary_title&gt;&lt;_type_work&gt;Clinical Trial; Journal Article; Research Support, Non-U.S. Gov&amp;apos;t&lt;/_type_work&gt;&lt;_url&gt;http://www.ncbi.nlm.nih.gov/entrez/query.fcgi?cmd=Retrieve&amp;amp;db=pubmed&amp;amp;dopt=Abstract&amp;amp;list_uids=32469254&amp;amp;query_hl=1&lt;/_url&gt;&lt;_volume&gt;13&lt;/_volume&gt;&lt;_created&gt;65212724&lt;/_created&gt;&lt;_modified&gt;65212724&lt;/_modified&gt;&lt;_db_updated&gt;PubMed&lt;/_db_updated&gt;&lt;_impact_factor&gt;   6.054&lt;/_impact_factor&gt;&lt;/Details&gt;&lt;Extra&gt;&lt;DBUID&gt;{F96A950B-833F-4880-A151-76DA2D6A2879}&lt;/DBUID&gt;&lt;/Extra&gt;&lt;/Item&gt;&lt;/References&gt;&lt;/Group&gt;&lt;/Citation&gt;_x000a_"/>
    <w:docVar w:name="NE.Ref{4D38AE80-EB26-4A06-B379-A7F0828E47C2}" w:val=" ADDIN NE.Ref.{4D38AE80-EB26-4A06-B379-A7F0828E47C2}&lt;Citation&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4F0AACD6-9044-45CF-97BD-21CA3E30B826}" w:val=" ADDIN NE.Ref.{4F0AACD6-9044-45CF-97BD-21CA3E30B826}&lt;Citation&gt;&lt;Group&gt;&lt;References&gt;&lt;Item&gt;&lt;ID&gt;636&lt;/ID&gt;&lt;UID&gt;{EF54D9EE-CA00-47B5-9490-902F9628D2BD}&lt;/UID&gt;&lt;Title&gt;Efficacy and Safety Considerations With Dose-Reduced Direct Oral Anticoagulants:  A Review&lt;/Title&gt;&lt;Template&gt;Journal Article&lt;/Template&gt;&lt;Star&gt;0&lt;/Star&gt;&lt;Tag&gt;0&lt;/Tag&gt;&lt;Author&gt;Bikdeli, B; Zahedi, Tajrishi F; Sadeghipour, P; Talasaz, A H; Fanikos, J; Lippi, G; Siegal, D M; Eikelboom, J W; Monreal, M; Jimenez, D; Connors, J M; Ageno, W; Barnes, G D; Piazza, G; Angiolillo, D J; Parikh, S A; Kirtane, A J; Lopes, R D; Bhatt, D L; Weitz, J I; Mehran, R; Krumholz, H M; Goldhaber, S Z; Lip, GYH&lt;/Author&gt;&lt;Year&gt;2022&lt;/Year&gt;&lt;Details&gt;&lt;_accession_num&gt;35648414&lt;/_accession_num&gt;&lt;_author_adr&gt;Cardiovascular Medicine Division, Brigham and Women&amp;apos;s Hospital, Harvard Medical  School, Boston, Massachusetts.; Thrombosis Research Group, Brigham and Women&amp;apos;s Hospital, Harvard Medical School,  Boston, Massachusetts.; Yale New Haven Hospital/Yale Center for Outcomes Research and Evaluation, New  Haven, Connecticut.; Cardiovascular Research Foundation, New York, New York.; Cardiac Primary Prevention Research Center, Tehran Heart Center, Tehran  University of Medical Sciences, Tehran, Iran.; Cardiovascular Intervention Research Center, Rajaie Cardiovascular, Medical, and  Research Center, Iran University of Medical Sciences, Tehran, Iran.; Clinical Trial Center, Rajaie Cardiovascular, Medical, and Research Center, Iran  University of Medical Sciences, Tehran, Iran.; Tehran Heart Center, Tehran University of Medical Sciences, Tehran, Iran.; Virginia Commonwealth University, Richmond.; Department of Pharmacy, Brigham and Women&amp;apos;s Hospital, Harvard Medical School,  Boston, Massachusetts.; Section of Clinical Biochemistry, University of Verona, Verona, Italy.; Division of Hematology, Department of Medicine, University of Ottawa, Ottawa,  Ontario, Canada.; Population Health Research Institute, Hamilton Health Sciences, McMaster  University, Hamilton, Ontario, Canada.; Department of Internal Medicine, Hospital Universitari Germans Trials i Pujol,  Universidad Catolica San Antonio de Murcia, Barcelona, Spain.; Respiratory Department, Hospital Ramon y Cajal and Medicine Department,  Universidad de Alcala (Instituto de Ramon y Cajal de Investigacion Sanitaria),  Centro de Investigacion Biomedica en Red de Enfermedades Respiratorias, Madrid,  Spain.; Hematology Division, Department of Medicine, Brigham and Women&amp;apos;s Hospital,  Harvard Medical School, Boston, Massachusetts.; Department of Medicine and Surgery, University of Insubria, Varese, Italy.; Frankel Cardiovascular Center, Department of Internal Medicine, University of  Michigan, Ann Arbor.; Cardiovascular Medicine Division, Brigham and Women&amp;apos;s Hospital, Harvard Medical  School, Boston, Massachusetts.; Thrombosis Research Group, Brigham and Women&amp;apos;s Hospital, Harvard Medical School,  Boston, Massachusetts.; Division of Cardiology, University of Florida College of Medicine, Jacksonville,  Florida.; Cardiovascular Research Foundation, New York, New York.; Division of Cardiology, New York-Presbyterian Hospital/Columbia University Irving  Medical Center, New York.; Cardiovascular Research Foundation, New York, New York.; Division of Cardiology, New York-Presbyterian Hospital/Columbia University Irving  Medical Center, New York.; Duke Clinical Research Institute, Duke University Medical Center, Durham, North  Carolina.; Brazilian Clinical Research Institute, Sao Paulo, Brazil.; Cardiovascular Medicine Division, Brigham and Women&amp;apos;s Hospital, Harvard Medical  School, Boston, Massachusetts.; McMaster University, Hamilton, Ontario, Canada.; Thrombosis and Atherosclerosis Research Institute, Hamilton, Ontario, Canada.; Zena and Michael A. Wiener Cardiovascular Institute, Icahn School of Medicine at  Mount Sinai, New York, New York.; Yale New Haven Hospital/Yale Center for Outcomes Research and Evaluation, New  Haven, Connecticut.; Department of Health Policy and Management, Yale School of Public Health, New  Haven, Connecticut.; Section of Cardiovascular Medicine, Department of Internal Medicine, Yale School  of Medicine, New Haven, Connecticut.; Cardiovascular Medicine Division, Brigham and Women&amp;apos;s Hospital, Harvard Medical  School, Boston, Massachusetts.; Thrombosis Research Group, Brigham and Women&amp;apos;s Hospital, Harvard Medical School,  Boston, Massachusetts.; Liverpool Centre for Cardiovascular Science, Liverpool Heart and Chest Hospital,  University of Liverpool, Liverpool, United Kingdom.; Department of Clinical Medicine, Aalborg University, Aalborg, Denmark.&lt;/_author_adr&gt;&lt;_date_display&gt;2022 Jul 1&lt;/_date_display&gt;&lt;_date&gt;2022-07-01&lt;/_date&gt;&lt;_doi&gt;10.1001/jamacardio.2022.1292&lt;/_doi&gt;&lt;_isbn&gt;2380-6591 (Electronic)&lt;/_isbn&gt;&lt;_issue&gt;7&lt;/_issue&gt;&lt;_journal&gt;JAMA Cardiol&lt;/_journal&gt;&lt;_language&gt;eng&lt;/_language&gt;&lt;_pages&gt;747-759&lt;/_pages&gt;&lt;_subject_headings&gt;Administration, Oral; Anticoagulants; *Atrial Fibrillation/complications/drug therapy; Dabigatran/therapeutic use; Humans; Rivaroxaban/therapeutic use; *Stroke/complications; *Venous Thromboembolism/complications/drug therapy/prevention &amp;amp; control&lt;/_subject_headings&gt;&lt;_tertiary_title&gt;JAMA cardiology&lt;/_tertiary_title&gt;&lt;_type_work&gt;Journal Article; Review&lt;/_type_work&gt;&lt;_url&gt;http://www.ncbi.nlm.nih.gov/entrez/query.fcgi?cmd=Retrieve&amp;amp;db=pubmed&amp;amp;dopt=Abstract&amp;amp;list_uids=35648414&amp;amp;query_hl=1&lt;/_url&gt;&lt;_volume&gt;7&lt;/_volume&gt;&lt;_created&gt;65767644&lt;/_created&gt;&lt;_modified&gt;65767644&lt;/_modified&gt;&lt;_db_updated&gt;PubMed&lt;/_db_updated&gt;&lt;_impact_factor&gt;  14.700&lt;/_impact_factor&gt;&lt;_social_category&gt;心脏和心血管系统(1)&lt;/_social_category&gt;&lt;_collection_scope&gt;SCIE&lt;/_collection_scope&gt;&lt;/Details&gt;&lt;Extra&gt;&lt;DBUID&gt;{03752FAB-B361-4F66-989B-C711D9502F78}&lt;/DBUID&gt;&lt;/Extra&gt;&lt;/Item&gt;&lt;/References&gt;&lt;/Group&gt;&lt;/Citation&gt;_x000a_"/>
    <w:docVar w:name="NE.Ref{500900B9-01D0-49AD-B46C-EDBD4E38F06B}" w:val=" ADDIN NE.Ref.{500900B9-01D0-49AD-B46C-EDBD4E38F06B}&lt;Citation&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566EA238-29C9-4080-8B8D-5224CAD62BE9}" w:val=" ADDIN NE.Ref.{566EA238-29C9-4080-8B8D-5224CAD62BE9}&lt;Citation&gt;&lt;Group&gt;&lt;References&gt;&lt;Item&gt;&lt;ID&gt;1222&lt;/ID&gt;&lt;UID&gt;{BB5FC451-6815-400C-A77C-0B8B4231A801}&lt;/UID&gt;&lt;Title&gt;Kinase inhibition in autoimmunity and inflammation&lt;/Title&gt;&lt;Template&gt;Journal Article&lt;/Template&gt;&lt;Star&gt;0&lt;/Star&gt;&lt;Tag&gt;0&lt;/Tag&gt;&lt;Author&gt;Zarrin, A A; Bao, K; Lupardus, P; Vucic, D&lt;/Author&gt;&lt;Year&gt;2021&lt;/Year&gt;&lt;Details&gt;&lt;_accession_num&gt;33077936&lt;/_accession_num&gt;&lt;_author_adr&gt;Discovery Department, TRex Bio, South San Francisco, CA, USA. ali@trex.bio.; Early Discovery Biochemistry Department, Genentech, South San Francisco, CA, USA.; Protein Science Group, Synthekine, Menlo Park, CA, USA.; Early Discovery Biochemistry Department, Genentech, South San Francisco, CA, USA.&lt;/_author_adr&gt;&lt;_date_display&gt;2021 Jan&lt;/_date_display&gt;&lt;_date&gt;2021-01-01&lt;/_date&gt;&lt;_doi&gt;10.1038/s41573-020-0082-8&lt;/_doi&gt;&lt;_isbn&gt;1474-1784 (Electronic); 1474-1776 (Print); 1474-1776 (Linking)&lt;/_isbn&gt;&lt;_issue&gt;1&lt;/_issue&gt;&lt;_journal&gt;Nat Rev Drug Discov&lt;/_journal&gt;&lt;_language&gt;eng&lt;/_language&gt;&lt;_pages&gt;39-63&lt;/_pages&gt;&lt;_subject_headings&gt;Animals; Autoimmune Diseases/*drug therapy/immunology/pathology; Autoimmunity/*drug effects; Humans; Inflammation/*drug therapy/immunology/pathology; Protein Kinase Inhibitors/*therapeutic use; Protein Kinases/*chemistry&lt;/_subject_headings&gt;&lt;_tertiary_title&gt;Nature reviews. Drug discovery&lt;/_tertiary_title&gt;&lt;_type_work&gt;Journal Article; Review&lt;/_type_work&gt;&lt;_url&gt;http://www.ncbi.nlm.nih.gov/entrez/query.fcgi?cmd=Retrieve&amp;amp;db=pubmed&amp;amp;dopt=Abstract&amp;amp;list_uids=33077936&amp;amp;query_hl=1&lt;/_url&gt;&lt;_volume&gt;20&lt;/_volume&gt;&lt;_created&gt;65014281&lt;/_created&gt;&lt;_modified&gt;65014282&lt;/_modified&gt;&lt;_db_updated&gt;PubMed&lt;/_db_updated&gt;&lt;_impact_factor&gt;  84.694&lt;/_impact_factor&gt;&lt;_collection_scope&gt;SCI;SCIE&lt;/_collection_scope&gt;&lt;/Details&gt;&lt;Extra&gt;&lt;DBUID&gt;{F96A950B-833F-4880-A151-76DA2D6A2879}&lt;/DBUID&gt;&lt;/Extra&gt;&lt;/Item&gt;&lt;/References&gt;&lt;/Group&gt;&lt;Group&gt;&lt;References&gt;&lt;Item&gt;&lt;ID&gt;1223&lt;/ID&gt;&lt;UID&gt;{1D5DE60C-86F8-4A9D-8AED-065214139735}&lt;/UID&gt;&lt;Title&gt;Beyond TNF: TNF superfamily cytokines as targets for the treatment of rheumatic  diseases&lt;/Title&gt;&lt;Template&gt;Journal Article&lt;/Template&gt;&lt;Star&gt;0&lt;/Star&gt;&lt;Tag&gt;0&lt;/Tag&gt;&lt;Author&gt;Croft, M; Siegel, R M&lt;/Author&gt;&lt;Year&gt;2017&lt;/Year&gt;&lt;Details&gt;&lt;_accession_num&gt;28275260&lt;/_accession_num&gt;&lt;_author_adr&gt;Division of Immune Regulation, La Jolla Institute for Allergy and Immunology, and  Department of Medicine, University of California San Diego, La Jolla, California  92037, USA.; Immunoregulation Section, Autoimmunity Branch, NIAMS, NIH, Bethesda, Maryland,  USA.&lt;/_author_adr&gt;&lt;_date_display&gt;2017 Apr&lt;/_date_display&gt;&lt;_date&gt;2017-04-01&lt;/_date&gt;&lt;_doi&gt;10.1038/nrrheum.2017.22&lt;/_doi&gt;&lt;_isbn&gt;1759-4804 (Electronic); 1759-4790 (Print); 1759-4790 (Linking)&lt;/_isbn&gt;&lt;_issue&gt;4&lt;/_issue&gt;&lt;_journal&gt;Nat Rev Rheumatol&lt;/_journal&gt;&lt;_language&gt;eng&lt;/_language&gt;&lt;_pages&gt;217-233&lt;/_pages&gt;&lt;_subject_headings&gt;4-1BB Ligand/antagonists &amp;amp; inhibitors/metabolism; Animals; CD27 Ligand/antagonists &amp;amp; inhibitors/metabolism; CD40 Ligand/antagonists &amp;amp; inhibitors/metabolism; Cell Death; Cytokine TWEAK; Dendritic Cells/immunology; Fas Ligand Protein/antagonists &amp;amp; inhibitors/metabolism; Humans; Immune Tolerance; Lymphocyte Activation; Lymphotoxin-alpha/antagonists &amp;amp; inhibitors/metabolism; *Molecular Targeted Therapy; OX40 Ligand/antagonists &amp;amp; inhibitors/metabolism; Rheumatic Diseases/*drug therapy/*immunology; Signal Transduction; T-Lymphocytes/immunology; TNF-Related Apoptosis-Inducing Ligand/antagonists &amp;amp; inhibitors/metabolism; *Tumor Necrosis Factor Inhibitors; Tumor Necrosis Factor Ligand Superfamily Member 14/antagonists &amp;amp; _x000d__x000a_      inhibitors/metabolism; Tumor Necrosis Factor Ligand Superfamily Member 15/antagonists &amp;amp; _x000d__x000a_      inhibitors/metabolism; Tumor Necrosis Factors/immunology/*metabolism&lt;/_subject_headings&gt;&lt;_tertiary_title&gt;Nature reviews. Rheumatology&lt;/_tertiary_title&gt;&lt;_type_work&gt;Journal Article; Review&lt;/_type_work&gt;&lt;_url&gt;http://www.ncbi.nlm.nih.gov/entrez/query.fcgi?cmd=Retrieve&amp;amp;db=pubmed&amp;amp;dopt=Abstract&amp;amp;list_uids=28275260&amp;amp;query_hl=1&lt;/_url&gt;&lt;_volume&gt;13&lt;/_volume&gt;&lt;_created&gt;65014283&lt;/_created&gt;&lt;_modified&gt;65014283&lt;/_modified&gt;&lt;_db_updated&gt;PubMed&lt;/_db_updated&gt;&lt;_impact_factor&gt;  20.543&lt;/_impact_factor&gt;&lt;_collection_scope&gt;SCI;SCIE&lt;/_collection_scope&gt;&lt;/Details&gt;&lt;Extra&gt;&lt;DBUID&gt;{F96A950B-833F-4880-A151-76DA2D6A2879}&lt;/DBUID&gt;&lt;/Extra&gt;&lt;/Item&gt;&lt;/References&gt;&lt;/Group&gt;&lt;/Citation&gt;_x000a_"/>
    <w:docVar w:name="NE.Ref{5D1E9CEF-14FB-41AD-B011-6AC3D7CA4220}" w:val=" ADDIN NE.Ref.{5D1E9CEF-14FB-41AD-B011-6AC3D7CA4220}&lt;Citation&gt;&lt;Group&gt;&lt;References&gt;&lt;Item&gt;&lt;ID&gt;635&lt;/ID&gt;&lt;UID&gt;{4A62BE93-5A7E-48C3-9636-E53BD49F5CBF}&lt;/UID&gt;&lt;Title&gt;Peripheral Artery Disease and Venous Thromboembolic Events After Acute Coronary  Syndrome: Role of Lipoprotein(a) and Modification by Alirocumab: Prespecified  Analysis of the ODYSSEY OUTCOMES Randomized Clinical Trial&lt;/Title&gt;&lt;Template&gt;Journal Article&lt;/Template&gt;&lt;Star&gt;0&lt;/Star&gt;&lt;Tag&gt;0&lt;/Tag&gt;&lt;Author&gt;Schwartz, G G; Steg, P G; Szarek, M; Bittner, V A; Diaz, R; Goodman, S G; Kim, Y U; Jukema, J W; Pordy, R; Roe, M T; White, H D; Bhatt, D L&lt;/Author&gt;&lt;Year&gt;2020&lt;/Year&gt;&lt;Details&gt;&lt;_accession_num&gt;32223446&lt;/_accession_num&gt;&lt;_author_adr&gt;Division of Cardiology, University of Colorado School of Medicine, Aurora  (G.G.S.).; Universite de Paris, Assistance Publique-Hopitaux de Paris, Hopital Bichat,  France (P.G.S.).; INSERM-1148, Paris, France (P.G.S.).; State University of New York, Downstate School of Public Health, Brooklyn (M.S.).; University of Alabama at Birmingham (V.A.B.).; Estudios Cardiologicos Latinoamerica, Instituto Cardiovascular de Rosario,  Argentina (R.D.).; Canadian VIGOUR Centre, University of Alberta, Edmonton, Canada (S.G.G.).; St. Michael&amp;apos;s Hospital, University of Toronto, ON, Canada (S.G.G.).; Sanofi, Paris, France (Y.-U.K.).; Leiden University Medical Center, The Netherlands (J.W.J.).; Regeneron Pharmaceuticals, Tarrytown, NY (R.P.).; Duke Clinical Research Institute, Duke University Medical Center, Durham, NC  (M.T.R.).; Green Lane Cardiovascular Services Auckland City Hospital, New Zealand (H.D.W.).; Brigham and Women&amp;apos;s Hospital Heart &amp;amp; Vascular Center and Harvard Medical School,  Boston, MA (D.L.B.).&lt;/_author_adr&gt;&lt;_date_display&gt;2020 May 19&lt;/_date_display&gt;&lt;_date&gt;2020-05-19&lt;/_date&gt;&lt;_doi&gt;10.1161/CIRCULATIONAHA.120.046524&lt;/_doi&gt;&lt;_isbn&gt;1524-4539 (Electronic); 0009-7322 (Print); 0009-7322 (Linking)&lt;/_isbn&gt;&lt;_issue&gt;20&lt;/_issue&gt;&lt;_journal&gt;Circulation&lt;/_journal&gt;&lt;_keywords&gt;acute coronary syndrome; lipoprotein(a); low-density lipoproteins; peripheral artery disease; proprotein convertase subtilisin/kexin type 9; venous thromboembolism&lt;/_keywords&gt;&lt;_language&gt;eng&lt;/_language&gt;&lt;_pages&gt;1608-1617&lt;/_pages&gt;&lt;_subject_headings&gt;Acute Coronary Syndrome/blood/diagnosis/*drug therapy/epidemiology; Aged; Antibodies, Monoclonal, Humanized/adverse effects/*therapeutic use; Anticholesteremic Agents/adverse effects/*therapeutic use; Biomarkers/blood; Cholesterol, LDL/blood; Double-Blind Method; Dyslipidemias/blood/diagnosis/*drug therapy/epidemiology; Female; Humans; Lipoprotein(a)/*blood; Male; Middle Aged; *PCSK9 Inhibitors; Peripheral Arterial Disease/diagnosis/epidemiology/*prevention &amp;amp; control; Risk Assessment; Risk Factors; Serine Proteinase Inhibitors/adverse effects/*therapeutic use; Time Factors; Treatment Outcome; Venous Thromboembolism/diagnosis/epidemiology/*prevention &amp;amp; control; Venous Thrombosis/diagnosis/epidemiology/*prevention &amp;amp; control&lt;/_subject_headings&gt;&lt;_tertiary_title&gt;Circulation&lt;/_tertiary_title&gt;&lt;_type_work&gt;Journal Article; Multicenter Study; Randomized Controlled Trial; Research Support, Non-U.S. Gov&amp;apos;t; Webcast&lt;/_type_work&gt;&lt;_url&gt;http://www.ncbi.nlm.nih.gov/entrez/query.fcgi?cmd=Retrieve&amp;amp;db=pubmed&amp;amp;dopt=Abstract&amp;amp;list_uids=32223446&amp;amp;query_hl=1&lt;/_url&gt;&lt;_volume&gt;141&lt;/_volume&gt;&lt;_created&gt;65767644&lt;/_created&gt;&lt;_modified&gt;65767644&lt;/_modified&gt;&lt;_db_updated&gt;PubMed&lt;/_db_updated&gt;&lt;_impact_factor&gt;  35.600&lt;/_impact_factor&gt;&lt;_social_category&gt;心脏和心血管系统(1) &amp;amp; 外周血管病(1)&lt;/_social_category&gt;&lt;_collection_scope&gt;SCIE&lt;/_collection_scope&gt;&lt;/Details&gt;&lt;Extra&gt;&lt;DBUID&gt;{03752FAB-B361-4F66-989B-C711D9502F78}&lt;/DBUID&gt;&lt;/Extra&gt;&lt;/Item&gt;&lt;/References&gt;&lt;/Group&gt;&lt;/Citation&gt;_x000a_"/>
    <w:docVar w:name="NE.Ref{5D853A87-1BD7-4466-9F9A-AF00047604EB}" w:val=" ADDIN NE.Ref.{5D853A87-1BD7-4466-9F9A-AF00047604EB}&lt;Citation&gt;&lt;Group&gt;&lt;References&gt;&lt;Item&gt;&lt;ID&gt;1410&lt;/ID&gt;&lt;UID&gt;{716349DD-2D1A-4AB9-8C63-9C3DA2ADAFB6}&lt;/UID&gt;&lt;Title&gt;Genome-wide association analyses identified novel susceptibility loci for  pulmonary embolism among Han Chinese population&lt;/Title&gt;&lt;Template&gt;Journal Article&lt;/Template&gt;&lt;Star&gt;0&lt;/Star&gt;&lt;Tag&gt;0&lt;/Tag&gt;&lt;Author&gt;Zhang, Z; Li, H; Weng, H; Zhou, G; Chen, H; Yang, G; Zhang, P; Zhang, X; Ji, Y; Ying, K; Liu, B; Xu, Q; Tang, Y; Zhu, G; Liu, Z; Xia, S; Yang, X; Dong, L; Zhu, L; Zeng, M; Yuan, Y; Yang, Y; Zhang, N; Xu, X; Pang, W; Zhang, M; Zhang, Y; Zhen, K; Wang, D; Lei, J; Wu, S; Shu, S; Zhang, Y; Zhang, S; Gao, Q; Huang, Q; Deng, C; Fu, X; Chen, G; Duan, W; Wan, J; Xie, W; Zhang, P; Wang, S; Yang, P; Zuo, X; Zhai, Z; Wang, C&lt;/Author&gt;&lt;Year&gt;2023&lt;/Year&gt;&lt;Details&gt;&lt;_accession_num&gt;37076872&lt;/_accession_num&gt;&lt;_author_adr&gt;Department of Pulmonary and Critical Care Medicine, China-Japan Friendship  Hospital; National Center for Respiratory Medicine; Institute of Respiratory  Medicine, Chinese Academy of Medical Sciences; National Clinical Research Center  for Respiratory Diseases, Beijing, 100029, China.; China-Japan Friendship Hospital, Chinese Academy of Medical Sciences &amp;amp; Peking  Union Medical College; Department of Pulmonary and Critical Care Medicine, Center  of Respiratory Medicine, China-Japan Friendship Hospital; National Center for  Respiratory Medicine; Institute of Respiratory Medicine, Chinese Academy of  Medical Sciences; National Clinical Research Center for Respiratory Diseases,  Beijing, 100029, China.; Shenzhen WeGene Clinical Laboratory; WeGene, Shenzhen Zaozhidao Technology Co.  Ltd; Hunan Provincial Key Lab On Bioinformatics, School of Computer Science and  Engineering, Central South University, Shenzhen, 518042, China.; Department of Bioinformatics and Biostatistics, SJTU-Yale Joint Center for  Biostatistics, College of Life Science and Biotechnology, Shanghai Jiao Tong  University, Shanghai, 200240, China.; Department of Pulmonary and Critical Care Medicine, the First Affiliated Hospital  of Chongqing Medical University, Chongqing, 400016, China.; Department of Pulmonary and Critical Care Medicine, Weifang No.2 People&amp;apos;s  Hospital, Weifang, 261021, China.; Department of Pulmonary and Critical Care Medicine, Dongguan People&amp;apos;s Hospital,  Dongguan, 523059, China.; Department of Pulmonary and Critical Care Medicine, Guizhou Provincial People&amp;apos;s  Hospital, Guiyang, 550002, China.; Department of Pulmonary and Critical Care Medicine, Shanghai East Hospital  Affiliated by Tongji University, Shanghai, 200120, China.; Department of Respiratory Medicine, Sir Run Run Shaw Hospital, Zhejiang  University School of Medicine, Hangzhou, 310020, China.; Department of Pulmonary and Critical Care Medicine, Department of Clinical  Microbiology, Zibo City Key Laboratory of Respiratory Infection and Clinical  Microbiology, Linzi District People&amp;apos;s Hospital, Zibo, 255400, China.; Department of Pulmonary and Critical Care Medicine, the First Affiliated Hospital  of University of Science and Technology of China, Hefei, 230001, China.; Department of Pulmonary and Critical Care Medicine, Xiangya Hospital Central  South University, Changsha, 410008, China.; Department of Pulmonary and Critical Care, Beijing Anzhen Hospital, Capital  Medical University, Beijing, 100029, China.; Fuwai Hospital, Chinese Academy of Medical Science; National Center for  Cardiovascular Diseases, Beijing, 100037, China.; Department of Pulmonary and Critical Care Medicine, Central Hospital Affiliated  to Shenyang Medical College, Shenyang, 110001, China.; Department of Pulmonary and Critical Care Medicine, People&amp;apos;s Hospital of Xinjiang  Uygur Autonomous Region, Xinjiang, 830001, China.; Department of Pulmonary and Critical Care Medicine, Tianjin Medical University  General Hospital, Tianjin, 300050, China.; Department of Pulmonary and Critical Care Medicine, Shandong Provincial Hospital,  Jinan, 250021, China.; Department of Medical Intensive Care Unit, The First Affiliated Hospital, Sun  Yat-Sen University, Guangzhou, 510080, China.; Department of Pulmonary and Critical Care Medicine, The Second Hospital of Hebei  Medical University, Shijiazhuang, 050004, China.; Department of Pulmonary and Critical Care Medicine, Beijing Chao-Yang Hospital,  Capital Medical University, Beijing, 100026, China.; State Key Laboratory of Respiratory Disease and National Clinical Research Center  for Respiratory Disease, the First Affiliated Hospital of Guangzhou Medical  University, Guangzhou Medical University, Guangzhou, 510230, China.; Department of Pulmonary and Critical Care Medicine, Beijing Hospital, Beijing,  100080, China.; Department of Pulmonary and Critical Care Medicine, Beijing Jishuitan Hospital,  Beijing, 100035, China.; Department of Pulmonary and Critical Care, Beijing Anzhen Hospital, Capital  Medical University, Beijing, 100029, China.; China-Japan Friendship Hospital, Capital Medical University; Department of  Pulmonary and Critical Care Medicine, Center of Respiratory Medicine, China-Japan  Friendship Hospital; National Center for Respiratory Medicine; Institute of  Respiratory Medicine, Chinese Academy of Medical Sciences; National Clinical  Research Center for Respiratory Diseases, Beijing, 100029, China.; Institute of Clinical Medical Sciences, China-Japan Friendship Hospital;  Department of Pulmonary and Critical Care Medicine, Center of Respiratory  Medicine, China-Japan Friendship Hospital; National Center for Respiratory  Medicine; Institute of Respiratory Medicine, Chinese Academy of Medical Sciences;  National Clinical Research Center for Respiratory Diseases, Beijing, 100029,  China.; Institute of Clinical Medical Sciences, China-Japan Friendship Hospital; National  Center for Respiratory Medicine; Institute of Respiratory Medicine, Chinese  Academy of Medical Sciences; National Clinical Research Center for Respiratory  Diseases, Beijing, China, 100029.; Institute of Clinical Medical Sciences, China-Japan Friendship Hospital; National  Center for Respiratory Medicine; Institute of Respiratory Medicine, Chinese  Academy of Medical Sciences; National Clinical Research Center for Respiratory  Diseases, Beijing, China, 100029.; Institute of Clinical Medical Sciences, China-Japan Friendship Hospital; National  Center for Respiratory Medicine; Institute of Respiratory Medicine, Chinese  Academy of Medical Sciences; National Clinical Research Center for Respiratory  Diseases, Beijing, China, 100029.; Department of Pulmonary and Critical Care Medicine, China-Japan Friendship  Hospital; National Center for Respiratory Medicine; Institute of Respiratory  Medicine, Chinese Academy of Medical Sciences; National Clinical Research Center  for Respiratory Diseases, Beijing, 100029, China.; Department of Pulmonary and Critical Care Medicine, China-Japan Friendship  Hospital; National Center for Respiratory Medicine; Institute of Respiratory  Medicine, Chinese Academy of Medical Sciences; National Clinical Research Center  for Respiratory Diseases, Beijing, 100029, China.; Department of Pulmonary and Critical Care Medicine, China-Japan Friendship  Hospital; National Center for Respiratory Medicine; Institute of Respiratory  Medicine, Chinese Academy of Medical Sciences; National Clinical Research Center  for Respiratory Diseases, Beijing, 100029, China.; Department of Pulmonary and Critical Care Medicine, China-Japan Friendship  Hospital; National Center for Respiratory Medicine; Institute of Respiratory  Medicine, Chinese Academy of Medical Sciences; National Clinical Research Center  for Respiratory Diseases, Beijing, 100029, China.; Department of Pulmonary and Critical Care Medicine, China-Japan Friendship  Hospital; National Center for Respiratory Medicine; Institute of Respiratory  Medicine, Chinese Academy of Medical Sciences; National Clinical Research Center  for Respiratory Diseases, Beijing, 100029, China.; Department of Bioinformatics and Biostatistics, SJTU-Yale Joint Center for  Biostatistics, College of Life Science and Biotechnology, Shanghai Jiao Tong  University, Shanghai, 200240, China.; Shenzhen WeGene Clinical Laboratory; WeGene, Shenzhen Zaozhidao Technology Co.  Ltd; Hunan Provincial Key Lab On Bioinformatics, School of Computer Science and  Engineering, Central South University, Shenzhen, 518042, China.; Shenzhen WeGene Clinical Laboratory; WeGene, Shenzhen Zaozhidao Technology Co.  Ltd; Hunan Provincial Key Lab On Bioinformatics, School of Computer Science and  Engineering, Central South University, Shenzhen, 518042, China.; Institute of Basic Medical Sciences, Chinese Academy of Medical Sciences, Peking  Union Medical College, Beijing, 100005, China.; Department of Pulmonary and Critical Care, Beijing Anzhen Hospital, Capital  Medical University, Beijing, 100029, China.; Department of Pulmonary and Critical Care Medicine, China-Japan Friendship  Hospital; National Center for Respiratory Medicine; Institute of Respiratory  Medicine, Chinese Academy of Medical Sciences; National Clinical Research Center  for Respiratory Diseases, Beijing, 100029, China.; Beijing Pediatric Research Institute, Beijing Children&amp;apos;s Hospital, Capital  Medical University, National Center for Children&amp;apos;s Health, Beijing, 100045,  China.; Department of Epidemiology and Biostatistics, School of Public Health, Peking  University, Beijing, 100191, China.; Institute of Basic Medical Sciences, Chinese Academy of Medical Sciences, Peking  Union Medical College, Beijing, 100005, China.; Department of Dermatology, China-Japan Friendship Hospital, Beijing, China;  Department of Pharmacy, China-Japan Friendship Hospital, No. 2, East Yinghua  Road, Chaoyang District, Beijing, 100029, China. zuoxianbo@qq.com.; Department of Pulmonary and Critical Care Medicine, China-Japan Friendship  Hospital; National Center for Respiratory Medicine; Institute of Respiratory  Medicine, Chinese Academy of Medical Sciences; National Clinical Research Center  for Respiratory Diseases, Beijing, 100029, China. zhaizhenguo2011@126.com.; Department of Pulmonary and Critical Care Medicine, Center of Respiratory  Medicine, China-Japan Friendship Hospital, Beijing, China. wangchen@pumc.edu.cn.; National Center for Respiratory Medicine, Beijing, China. wangchen@pumc.edu.cn.; Institute of Respiratory Medicine, Chinese Academy of Medical Sciences, Beijing,  China. wangchen@pumc.edu.cn.; National Clinical Research Center for Respiratory Diseases, Beijing, China.  wangchen@pumc.edu.cn.; Chinese Academy of Medical Sciences, Peking Union Medical College, Beijing,  China. wangchen@pumc.edu.cn.; Department of Respiratory Medicine, Capital Medical University, Beijing, China.  wangchen@pumc.edu.cn.&lt;/_author_adr&gt;&lt;_collection_scope&gt;SCI;SCIE&lt;/_collection_scope&gt;&lt;_created&gt;65212748&lt;/_created&gt;&lt;_date&gt;2023-04-19&lt;/_date&gt;&lt;_date_display&gt;2023 Apr 19&lt;/_date_display&gt;&lt;_db_updated&gt;PubMed&lt;/_db_updated&gt;&lt;_doi&gt;10.1186/s12916-023-02844-4&lt;/_doi&gt;&lt;_impact_factor&gt;   8.775&lt;/_impact_factor&gt;&lt;_isbn&gt;1741-7015 (Electronic); 1741-7015 (Linking)&lt;/_isbn&gt;&lt;_issue&gt;1&lt;/_issue&gt;&lt;_journal&gt;BMC Med&lt;/_journal&gt;&lt;_keywords&gt;GWAS; Han Chinese; Pulmonary embolism&lt;/_keywords&gt;&lt;_language&gt;eng&lt;/_language&gt;&lt;_modified&gt;65212748&lt;/_modified&gt;&lt;_ori_publication&gt;(c) 2023. The Author(s).&lt;/_ori_publication&gt;&lt;_pages&gt;153&lt;/_pages&gt;&lt;_subject_headings&gt;Humans; China/epidemiology; *East Asian People/genetics; *Genetic Predisposition to Disease/genetics; *Genome-Wide Association Study/methods; Genotype; Polymorphism, Single Nucleotide/genetics; *Pulmonary Embolism/epidemiology/ethnology/genetics; Risk Factors&lt;/_subject_headings&gt;&lt;_tertiary_title&gt;BMC medicine&lt;/_tertiary_title&gt;&lt;_type_work&gt;Journal Article; Meta-Analysis; Research Support, Non-U.S. Gov&amp;apos;t&lt;/_type_work&gt;&lt;_url&gt;http://www.ncbi.nlm.nih.gov/entrez/query.fcgi?cmd=Retrieve&amp;amp;db=pubmed&amp;amp;dopt=Abstract&amp;amp;list_uids=37076872&amp;amp;query_hl=1&lt;/_url&gt;&lt;_volume&gt;21&lt;/_volume&gt;&lt;/Details&gt;&lt;Extra&gt;&lt;DBUID&gt;{F96A950B-833F-4880-A151-76DA2D6A2879}&lt;/DBUID&gt;&lt;/Extra&gt;&lt;/Item&gt;&lt;/References&gt;&lt;/Group&gt;&lt;/Citation&gt;_x000a_"/>
    <w:docVar w:name="NE.Ref{5E403E26-E511-4128-80EE-08EBE729F329}" w:val=" ADDIN NE.Ref.{5E403E26-E511-4128-80EE-08EBE729F329}&lt;Citation&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64E2790C-CE3B-4198-BB5F-4A0B92E02644}" w:val=" ADDIN NE.Ref.{64E2790C-CE3B-4198-BB5F-4A0B92E02644}&lt;Citation&gt;&lt;Group&gt;&lt;References&gt;&lt;Item&gt;&lt;ID&gt;1393&lt;/ID&gt;&lt;UID&gt;{EF857A1E-55FE-4B17-B3AC-DBF09C126D4E}&lt;/UID&gt;&lt;Title&gt;Transethnic Meta-Analysis of Genome-Wide Association Studies Identifies Three New  Loci and Characterizes Population-Specific Differences for Coronary Artery  Disease&lt;/Title&gt;&lt;Template&gt;Journal Article&lt;/Template&gt;&lt;Star&gt;0&lt;/Star&gt;&lt;Tag&gt;0&lt;/Tag&gt;&lt;Author&gt;Matsunaga, H; Ito, K; Akiyama, M; Takahashi, A; Koyama, S; Nomura, S; Ieki, H; Ozaki, K; Onouchi, Y; Sakaue, S; Suna, S; Ogishima, S; Yamamoto, M; Hozawa, A; Satoh, M; Sasaki, M; Yamaji, T; Sawada, N; Iwasaki, M; Tsugane, S; Tanaka, K; Arisawa, K; Ikezaki, H; Takashima, N; Naito, M; Wakai, K; Tanaka, H; Sakata, Y; Morita, H; Sakata, Y; Matsuda, K; Murakami, Y; Akazawa, H; Kubo, M; Kamatani, Y; Komuro, I&lt;/Author&gt;&lt;Year&gt;2020&lt;/Year&gt;&lt;Details&gt;&lt;_accession_num&gt;32469254&lt;/_accession_num&gt;&lt;_author_adr&gt;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Laboratory for Statistical Analysis (M.A., A.T., S. Sakaue, Y.K.), Kanagawa.; Laboratory for Statistical Analysis (M.A., A.T., S. Sakaue, Y.K.), Kanagawa.; Department of Genomic Medicine, Research Institute, National Cerebral &amp;amp;  Cardiovascular Center, Osaka (A.T.).; Laboratory for Cardiovascular Genomics &amp;amp; Informatics (H. Matsunaga, K.I., S.K.,  H. Ieki, K.O., Y.O.), Kanagawa.; Department of Cardiovascular Medicine, Graduate School of Medicine (H. Matsunaga,  S.N., H. Ieki, H.M., H.A., I.K.), University of Tokyo.; Genome Science Division, Research Center for Advanced Science &amp;amp; Technologies  (S.N.), University of Tokyo.; Laboratory for Cardiovascular Genomics &amp;amp; Informatics (H. Matsunaga, K.I., S.K.,  H. Ieki, K.O., Y.O.), Kanagawa.; Department of Cardiovascular Medicine, Graduate School of Medicine (H. Matsunaga,  S.N., H. Ieki, H.M., H.A., I.K.), University of Tokyo.; Laboratory for Cardiovascular Genomics &amp;amp; Informatics (H. Matsunaga, K.I., S.K.,  H. Ieki, K.O., Y.O.), Kanagawa.; Division for Genomic Medicine, Medical Genome Center, National Center for  Geriatrics &amp;amp; Gerontology, Obu (K.O.).; Laboratory for Cardiovascular Genomics &amp;amp; Informatics (H. Matsunaga, K.I., S.K.,  H. Ieki, K.O., Y.O.), Kanagawa.; Department of Public Health, Chiba University Graduate School of Medicine (Y.O.).; Laboratory for Statistical Analysis (M.A., A.T., S. Sakaue, Y.K.), Kanagawa.; Department of Cardiovascular Medicine, Osaka University Graduate School of  Medicine, Suita (S. Suna, Yasushi Sakata).; Tohoku Medical Megabank Organization (S.O., M.Y.), Tohoku University, Sendai.; Tohoku Medical Megabank Organization (S.O., M.Y.), Tohoku University, Sendai.; Department of Preventive Medicine &amp;amp; Epidemiology (A.H.), Tohoku University,  Sendai.; Iwate Tohoku Medical Megabank Organization, Iwate Medical University (M. Satoh,  M. Sasaki).; Iwate Tohoku Medical Megabank Organization, Iwate Medical University (M. Satoh,  M. Sasaki).; Division of Epidemiology (T.Y., N.S., M.I.), National Cancer Center, Tokyo.; Division of Epidemiology (T.Y., N.S., M.I.), National Cancer Center, Tokyo.; Division of Epidemiology (T.Y., N.S., M.I.), National Cancer Center, Tokyo.; Center for Public Health Sciences (S.T.), National Cancer Center, Tokyo.; Department of Preventive Medicine, Faculty of Medicine, Saga University (K.T.).; Department of Preventive Medicine, Institute of Biomedical Sciences, Tokushima  University Graduate School (K.A.).; Department of Environmental Medicine &amp;amp; Infectious Diseases, Graduate School of  Medical Sciences, Kyushu University, Fukuoka (H. Ikezaki).; Department of Public Health, Shiga University of Medical Science, Otsu (N.T.).; Department of Oral Epidemiology, Graduate School of Biomedical &amp;amp; Health Sciences,  Hiroshima University (M.N.).; Department of Preventive Medicine (M.N., K.W.), Nagoya University Graduate School  of Medicine.; Department of Preventive Medicine (M.N., K.W.), Nagoya University Graduate School  of Medicine.; Department of Epidemiology (H.T.), Nagoya University Graduate School of Medicine.; Division of Epidemiology &amp;amp; Prevention, Aichi Cancer Center Research Institute,  Nagoya (H.T.).; Department of Cardiovascular Medicine, Tohoku University Graduate School of  Medicine, Sendai (Yasuhiko Sakata).; Department of Cardiovascular Medicine, Graduate School of Medicine (H. Matsunaga,  S.N., H. Ieki, H.M., H.A., I.K.), University of Tokyo.; Department of Cardiovascular Medicine, Osaka University Graduate School of  Medicine, Suita (S. Suna, Yasushi Sakata).; Department of Computational Biology &amp;amp; Medical Science, Graduate School of  Frontier Sciences (K.M.), University of Tokyo.; Division of Molecular Pathology, Institute of Medical Science (Y.M.), University  of Tokyo.; Department of Cardiovascular Medicine, Graduate School of Medicine (H. Matsunaga,  S.N., H. Ieki, H.M., H.A., I.K.), University of Tokyo.; RIKEN Center for Integrative Medical Sciences (M.K.), Kanagawa.; Laboratory for Statistical Analysis (M.A., A.T., S. Sakaue, Y.K.), Kanagawa.; Kyoto-McGill International Collaborative School in Genomic Medicine, Kyoto  University Graduate School of Medicine, Japan (Y.K.).; Department of Cardiovascular Medicine, Graduate School of Medicine (H. Matsunaga,  S.N., H. Ieki, H.M., H.A., I.K.), University of Tokyo.&lt;/_author_adr&gt;&lt;_created&gt;65212724&lt;/_created&gt;&lt;_date&gt;2020-06-01&lt;/_date&gt;&lt;_date_display&gt;2020 Jun&lt;/_date_display&gt;&lt;_db_updated&gt;PubMed&lt;/_db_updated&gt;&lt;_doi&gt;10.1161/CIRCGEN.119.002670&lt;/_doi&gt;&lt;_impact_factor&gt;   6.054&lt;/_impact_factor&gt;&lt;_isbn&gt;2574-8300 (Electronic); 2574-8300 (Linking)&lt;/_isbn&gt;&lt;_issue&gt;3&lt;/_issue&gt;&lt;_journal&gt;Circ Genom Precis Med&lt;/_journal&gt;&lt;_keywords&gt;chromosome; coronary artery disease; genome-wide association study; myocardial infarction; single nucleotide polymorphism&lt;/_keywords&gt;&lt;_language&gt;eng&lt;/_language&gt;&lt;_modified&gt;65212724&lt;/_modified&gt;&lt;_pages&gt;e002670&lt;/_pages&gt;&lt;_subject_headings&gt;*Asian People/ethnology/genetics; Chromosomes, Human/*genetics; *Coronary Artery Disease/ethnology/genetics; Female; *Genetic Loci; Genome-Wide Association Study; Humans; Japan/ethnology; Male; Meta-Analysis as Topic; United Kingdom/ethnology; *White People/ethnology/genetics&lt;/_subject_headings&gt;&lt;_tertiary_title&gt;Circulation. Genomic and precision medicine&lt;/_tertiary_title&gt;&lt;_type_work&gt;Clinical Trial; Journal Article; Research Support, Non-U.S. Gov&amp;apos;t&lt;/_type_work&gt;&lt;_url&gt;http://www.ncbi.nlm.nih.gov/entrez/query.fcgi?cmd=Retrieve&amp;amp;db=pubmed&amp;amp;dopt=Abstract&amp;amp;list_uids=32469254&amp;amp;query_hl=1&lt;/_url&gt;&lt;_volume&gt;13&lt;/_volume&gt;&lt;/Details&gt;&lt;Extra&gt;&lt;DBUID&gt;{F96A950B-833F-4880-A151-76DA2D6A2879}&lt;/DBUID&gt;&lt;/Extra&gt;&lt;/Item&gt;&lt;/References&gt;&lt;/Group&gt;&lt;Group&gt;&lt;References&gt;&lt;Item&gt;&lt;ID&gt;1387&lt;/ID&gt;&lt;UID&gt;{AF2DB512-1DB5-4D91-BB37-BE60CEA1E39D}&lt;/UID&gt;&lt;Title&gt;Identification of 64 Novel Genetic Loci Provides an Expanded View on the Genetic  Architecture of Coronary Artery Disease&lt;/Title&gt;&lt;Template&gt;Journal Article&lt;/Template&gt;&lt;Star&gt;0&lt;/Star&gt;&lt;Tag&gt;0&lt;/Tag&gt;&lt;Author&gt;van der Harst, P; Verweij, N&lt;/Author&gt;&lt;Year&gt;2018&lt;/Year&gt;&lt;Details&gt;&lt;_accession_num&gt;29212778&lt;/_accession_num&gt;&lt;_author_adr&gt;From the Department of Cardiology (P.v.d.H., N.V.) and Department of Genetics  (P.v.d.H.), University Medical Center Groningen, University of Groningen, The  Netherlands; and Durrer Center for Cardiogenetic Research, Netherlands Heart  Institute, Utrecht (P.v.d.H.). p.van.der.harst@umcg.nl.; From the Department of Cardiology (P.v.d.H., N.V.) and Department of Genetics  (P.v.d.H.), University Medical Center Groningen, University of Groningen, The  Netherlands; and Durrer Center for Cardiogenetic Research, Netherlands Heart  Institute, Utrecht (P.v.d.H.).&lt;/_author_adr&gt;&lt;_collection_scope&gt;SCI;SCIE&lt;/_collection_scope&gt;&lt;_created&gt;65212719&lt;/_created&gt;&lt;_date&gt;2018-02-02&lt;/_date&gt;&lt;_date_display&gt;2018 Feb 2&lt;/_date_display&gt;&lt;_db_updated&gt;PubMed&lt;/_db_updated&gt;&lt;_doi&gt;10.1161/CIRCRESAHA.117.312086&lt;/_doi&gt;&lt;_impact_factor&gt;  17.367&lt;/_impact_factor&gt;&lt;_isbn&gt;1524-4571 (Electronic); 0009-7330 (Print); 0009-7330 (Linking)&lt;/_isbn&gt;&lt;_issue&gt;3&lt;/_issue&gt;&lt;_journal&gt;Circ Res&lt;/_journal&gt;&lt;_keywords&gt;computational biology; coronary artery disease; genetics; genome-wide association study; sample size&lt;/_keywords&gt;&lt;_language&gt;eng&lt;/_language&gt;&lt;_modified&gt;65212720&lt;/_modified&gt;&lt;_ori_publication&gt;(c) 2017 The Authors.&lt;/_ori_publication&gt;&lt;_pages&gt;433-443&lt;/_pages&gt;&lt;_subject_headings&gt;3&amp;apos; Untranslated Regions; Atrial Fibrillation/genetics; Case-Control Studies; Causality; Chromatin/genetics; Coronary Artery Disease/*genetics; Enhancer Elements, Genetic; Gene Expression Regulation; Genome-Wide Association Study; Heart Failure/genetics; Humans; Mutation, Missense; *Polymorphism, Single Nucleotide; Quantitative Trait Loci&lt;/_subject_headings&gt;&lt;_tertiary_title&gt;Circulation research&lt;/_tertiary_title&gt;&lt;_type_work&gt;Journal Article; Meta-Analysis; Research Support, Non-U.S. Gov&amp;apos;t&lt;/_type_work&gt;&lt;_url&gt;http://www.ncbi.nlm.nih.gov/entrez/query.fcgi?cmd=Retrieve&amp;amp;db=pubmed&amp;amp;dopt=Abstract&amp;amp;list_uids=29212778&amp;amp;query_hl=1&lt;/_url&gt;&lt;_volume&gt;122&lt;/_volume&gt;&lt;/Details&gt;&lt;Extra&gt;&lt;DBUID&gt;{F96A950B-833F-4880-A151-76DA2D6A2879}&lt;/DBUID&gt;&lt;/Extra&gt;&lt;/Item&gt;&lt;/References&gt;&lt;/Group&gt;&lt;/Citation&gt;_x000a_"/>
    <w:docVar w:name="NE.Ref{70E0ED20-416F-4ED8-B837-9771CBA7557D}" w:val=" ADDIN NE.Ref.{70E0ED20-416F-4ED8-B837-9771CBA7557D}&lt;Citation&gt;&lt;Group&gt;&lt;References&gt;&lt;Item&gt;&lt;ID&gt;1201&lt;/ID&gt;&lt;UID&gt;{690E4910-EFDB-4892-A15E-C6D96828C8DE}&lt;/UID&gt;&lt;Title&gt;Genome-wide meta-analysis identifies 93 risk loci and enables risk prediction  equivalent to monogenic forms of venous thromboembolism&lt;/Title&gt;&lt;Template&gt;Journal Article&lt;/Template&gt;&lt;Star&gt;0&lt;/Star&gt;&lt;Tag&gt;0&lt;/Tag&gt;&lt;Author&gt;Ghouse, J; Tragante, V; Ahlberg, G; Rand, S A; Jespersen, J B; Leinoe, E B; Vissing, C R; Trudso, L; Jonsdottir, I; Banasik, K; Brunak, S; Ostrowski, S R; Pedersen, O B; Sorensen, E; Erikstrup, C; Bruun, M T; Nielsen, K R; Kober, L; Christensen, A H; Iversen, K; Jones, D; Knowlton, K U; Nadauld, L; Halldorsson, G H; Ferkingstad, E; Olafsson, I; Gretarsdottir, S; Onundarson, P T; Sulem, P; Thorsteinsdottir, U; Thorgeirsson, G; Gudbjartsson, D F; Stefansson, K; Holm, H; Olesen, M S; Bundgaard, H&lt;/Author&gt;&lt;Year&gt;2023&lt;/Year&gt;&lt;Details&gt;&lt;_accession_num&gt;36658437&lt;/_accession_num&gt;&lt;_author_adr&gt;Laboratory for Molecular Cardiology, Department of Cardiology, Rigshospitalet,  Copenhagen University Hospital, Copenhagen, Denmark. jonas.ghouse@sund.ku.dk.; Laboratory for Molecular Cardiology, Department of Biomedical Sciences,  University of Copenhagen, Copenhagen, Denmark. jonas.ghouse@sund.ku.dk.; deCODE genetics/Amgen, Inc., Reykjavik, Iceland.; Laboratory for Molecular Cardiology, Department of Cardiology, Rigshospitalet,  Copenhagen University Hospital, Copenhagen, Denmark.; Laboratory for Molecular Cardiology, Department of Biomedical Sciences,  University of Copenhagen, Copenhagen, Denmark.; Laboratory for Molecular Cardiology, Department of Cardiology, Rigshospitalet,  Copenhagen University Hospital, Copenhagen, Denmark.; Laboratory for Molecular Cardiology, Department of Biomedical Sciences,  University of Copenhagen, Copenhagen, Denmark.; Laboratory for Molecular Cardiology, Department of Cardiology, Rigshospitalet,  Copenhagen University Hospital, Copenhagen, Denmark.; Laboratory for Molecular Cardiology, Department of Biomedical Sciences,  University of Copenhagen, Copenhagen, Denmark.; Department of Hematology, Rigshospitalet, Copenhagen University Hospital,  Copenhagen, Denmark.; Department of Cardiology, Rigshospitalet, Copenhagen University Hospital,  Copenhagen, Denmark.; Laboratory for Molecular Cardiology, Department of Cardiology, Rigshospitalet,  Copenhagen University Hospital, Copenhagen, Denmark.; Laboratory for Molecular Cardiology, Department of Biomedical Sciences,  University of Copenhagen, Copenhagen, Denmark.; deCODE genetics/Amgen, Inc., Reykjavik, Iceland.; Faculty of Medicine, University of Iceland, Reykjavik, Iceland.; Iceland Department of Immunology, Landspitali-The National University Hospital of  Iceland, Reykjavik, Iceland.; Translational Disease Systems Biology, Novo Nordisk Foundation Center for Protein  Research, Faculty of Health and Medical Sciences, University of Copenhagen,  Copenhagen, Denmark.; Translational Disease Systems Biology, Novo Nordisk Foundation Center for Protein  Research, Faculty of Health and Medical Sciences, University of Copenhagen,  Copenhagen, Denmark.; Department of Clinical Immunology, Rigshospitalet, Copenhagen University  Hospital, Copenhagen, Denmark.; Department of Clinical Medicine, University of Copenhagen, Copenhagen, Denmark.; Department of Clinical Medicine, University of Copenhagen, Copenhagen, Denmark.; Department of Clinical Immunology, Naestved Hospital, Naestved, Denmark.; Department of Clinical Immunology, Rigshospitalet, Copenhagen University  Hospital, Copenhagen, Denmark.; Department of Clinical Immunology, Aarhus University Hospital, Aarhus, Denmark.; Department of Clinical Immunology, Odense University Hospital, Odense, Denmark.; Department of Clinical Immunology, Aalborg University Hospital, Aalborg, Denmark.; Department of Cardiology, Rigshospitalet, Copenhagen University Hospital,  Copenhagen, Denmark.; Department of Clinical Medicine, University of Copenhagen, Copenhagen, Denmark.; Department of Cardiology, Copenhagen University Hospital, Herlev-Gentofte  Hospital, Herlev, Denmark.; Department of Clinical Medicine, University of Copenhagen, Copenhagen, Denmark.; Department of Cardiology, Copenhagen University Hospital, Herlev-Gentofte  Hospital, Herlev, Denmark.; Precision Genomics, Intermountain Healthcare, Saint George, UT, USA.; Intermountain Medical Center, Intermountain Heart Institute, Salt Lake City, UT,  USA.; University of Utah, School of Medicine, Salt Lake City, UT, USA.; Precision Genomics, Intermountain Healthcare, Saint George, UT, USA.; Stanford University, School of Medicine, Stanford, CA, USA.; deCODE genetics/Amgen, Inc., Reykjavik, Iceland.; deCODE genetics/Amgen, Inc., Reykjavik, Iceland.; deCODE genetics/Amgen, Inc., Reykjavik, Iceland.; deCODE genetics/Amgen, Inc., Reykjavik, Iceland.; Faculty of Medicine, University of Iceland, Reykjavik, Iceland.; Department of Laboratory Hematology, Landspitali, The National University  Hospital of Iceland, Reykjavik, Iceland.; deCODE genetics/Amgen, Inc., Reykjavik, Iceland.; deCODE genetics/Amgen, Inc., Reykjavik, Iceland.; Faculty of Medicine, University of Iceland, Reykjavik, Iceland.; deCODE genetics/Amgen, Inc., Reykjavik, Iceland.; Department of Medicine, Landspitali-The National University Hospital of Iceland,  Reykjavik, Iceland.; deCODE genetics/Amgen, Inc., Reykjavik, Iceland.; School of Engineering and Natural Sciences, University of Iceland, Reykjavik,  Iceland.; deCODE genetics/Amgen, Inc., Reykjavik, Iceland.; Faculty of Medicine, University of Iceland, Reykjavik, Iceland.; deCODE genetics/Amgen, Inc., Reykjavik, Iceland.; Laboratory for Molecular Cardiology, Department of Cardiology, Rigshospitalet,  Copenhagen University Hospital, Copenhagen, Denmark.; Laboratory for Molecular Cardiology, Department of Biomedical Sciences,  University of Copenhagen, Copenhagen, Denmark.; Department of Cardiology, Rigshospitalet, Copenhagen University Hospital,  Copenhagen, Denmark.; Department of Clinical Medicine, University of Copenhagen, Copenhagen, Denmark.&lt;/_author_adr&gt;&lt;_collection_scope&gt;SCI;SCIE&lt;/_collection_scope&gt;&lt;_created&gt;65011491&lt;/_created&gt;&lt;_date&gt;2023-03-01&lt;/_date&gt;&lt;_date_display&gt;2023 Mar&lt;/_date_display&gt;&lt;_db_updated&gt;PubMed&lt;/_db_updated&gt;&lt;_doi&gt;10.1038/s41588-022-01286-7&lt;/_doi&gt;&lt;_impact_factor&gt;  38.330&lt;/_impact_factor&gt;&lt;_isbn&gt;1546-1718 (Electronic); 1061-4036 (Linking)&lt;/_isbn&gt;&lt;_issue&gt;3&lt;/_issue&gt;&lt;_journal&gt;Nat Genet&lt;/_journal&gt;&lt;_language&gt;eng&lt;/_language&gt;&lt;_modified&gt;65011491&lt;/_modified&gt;&lt;_ori_publication&gt;(c) 2023. The Author(s), under exclusive licence to Springer Nature America, Inc.&lt;/_ori_publication&gt;&lt;_pages&gt;399-409&lt;/_pages&gt;&lt;_subject_headings&gt;Humans; *Venous Thromboembolism/genetics/epidemiology; Genome-Wide Association Study; Genetic Predisposition to Disease; Risk Factors; *Thrombosis&lt;/_subject_headings&gt;&lt;_tertiary_title&gt;Nature genetics&lt;/_tertiary_title&gt;&lt;_type_work&gt;Journal Article; Meta-Analysis; Research Support, Non-U.S. Gov&amp;apos;t&lt;/_type_work&gt;&lt;_url&gt;http://www.ncbi.nlm.nih.gov/entrez/query.fcgi?cmd=Retrieve&amp;amp;db=pubmed&amp;amp;dopt=Abstract&amp;amp;list_uids=36658437&amp;amp;query_hl=1&lt;/_url&gt;&lt;_volume&gt;55&lt;/_volume&gt;&lt;/Details&gt;&lt;Extra&gt;&lt;DBUID&gt;{F96A950B-833F-4880-A151-76DA2D6A2879}&lt;/DBUID&gt;&lt;/Extra&gt;&lt;/Item&gt;&lt;/References&gt;&lt;/Group&gt;&lt;/Citation&gt;_x000a_"/>
    <w:docVar w:name="NE.Ref{7AE44E9A-C546-4790-A182-04D47A9B402A}" w:val=" ADDIN NE.Ref.{7AE44E9A-C546-4790-A182-04D47A9B402A}&lt;Citation&gt;&lt;Group&gt;&lt;References&gt;&lt;Item&gt;&lt;ID&gt;1219&lt;/ID&gt;&lt;UID&gt;{D996E39A-F685-49D9-B8A7-A25EEE9D8B43}&lt;/UID&gt;&lt;Title&gt;Development of new anticoagulant in 2023: Prime time for anti-factor XI and XIa  inhibitors&lt;/Title&gt;&lt;Template&gt;Journal Article&lt;/Template&gt;&lt;Star&gt;0&lt;/Star&gt;&lt;Tag&gt;0&lt;/Tag&gt;&lt;Author&gt;Bentounes, N K; Melicine, S; Martin, A C; Smadja, D M; Gendron, N&lt;/Author&gt;&lt;Year&gt;2023&lt;/Year&gt;&lt;Details&gt;&lt;_accession_num&gt;37422330&lt;/_accession_num&gt;&lt;_author_adr&gt;University Paris Cite, Innovative Therapies in Hemostasis, Inserm, 75006 Paris,  France; Hematology Department and Biosurgical Research Lab (Carpentier  Foundation), Assistance publique-Hopitaux de Paris. Centre-Universite Paris Cite  (AP-HP.CUP), 20, rue Leblanc, 75015 Paris, France.; University Paris Cite, Innovative Therapies in Hemostasis, Inserm, 75006 Paris,  France; Hematology Department and Biosurgical Research Lab (Carpentier  Foundation), Assistance publique-Hopitaux de Paris. Centre-Universite Paris Cite  (AP-HP.CUP), 20, rue Leblanc, 75015 Paris, France.; University Paris Cite, Innovative Therapies in Hemostasis, Inserm, 75006 Paris,  France; Cardiology Department, Assistance publique-Hopitaux de Paris.  Centre-Universite Paris Cite (AP-HP.CUP), 20, rue Leblanc, 75015 Paris, France.; University Paris Cite, Innovative Therapies in Hemostasis, Inserm, 75006 Paris,  France; Hematology Department and Biosurgical Research Lab (Carpentier  Foundation), Assistance publique-Hopitaux de Paris. Centre-Universite Paris Cite  (AP-HP.CUP), 20, rue Leblanc, 75015 Paris, France; INNOVTE, F-CRIN,  Saint-Etienne, France.; University Paris Cite, Innovative Therapies in Hemostasis, Inserm, 75006 Paris,  France; Hematology Department and Biosurgical Research Lab (Carpentier  Foundation), Assistance publique-Hopitaux de Paris. Centre-Universite Paris Cite  (AP-HP.CUP), 20, rue Leblanc, 75015 Paris, France. Electronic address:  nicolas.gendron@aphp.fr.&lt;/_author_adr&gt;&lt;_date_display&gt;2023 Apr&lt;/_date_display&gt;&lt;_date&gt;2023-04-01&lt;/_date&gt;&lt;_doi&gt;10.1016/j.jdmv.2023.04.002&lt;/_doi&gt;&lt;_isbn&gt;2542-4513 (Print); 2542-4513 (Linking)&lt;/_isbn&gt;&lt;_issue&gt;2&lt;/_issue&gt;&lt;_journal&gt;J Med Vasc&lt;/_journal&gt;&lt;_keywords&gt;Anticoagulant; Atrial fibrillation; FXI inhibitor; FXIa inhibitor; Venous thromboembolism&lt;/_keywords&gt;&lt;_language&gt;eng&lt;/_language&gt;&lt;_ori_publication&gt;Copyright (c) 2023 Elsevier Masson SAS. All rights reserved.&lt;/_ori_publication&gt;&lt;_pages&gt;69-80&lt;/_pages&gt;&lt;_subject_headings&gt;Humans; *Anticoagulants/adverse effects; Blood Coagulation; Hemostasis; *Thrombosis/drug therapy&lt;/_subject_headings&gt;&lt;_tertiary_title&gt;Journal de medecine vasculaire&lt;/_tertiary_title&gt;&lt;_type_work&gt;Journal Article; Review&lt;/_type_work&gt;&lt;_url&gt;http://www.ncbi.nlm.nih.gov/entrez/query.fcgi?cmd=Retrieve&amp;amp;db=pubmed&amp;amp;dopt=Abstract&amp;amp;list_uids=37422330&amp;amp;query_hl=1&lt;/_url&gt;&lt;_volume&gt;48&lt;/_volume&gt;&lt;_created&gt;65014279&lt;/_created&gt;&lt;_modified&gt;65014279&lt;/_modified&gt;&lt;_db_updated&gt;PubMed&lt;/_db_updated&gt;&lt;/Details&gt;&lt;Extra&gt;&lt;DBUID&gt;{F96A950B-833F-4880-A151-76DA2D6A2879}&lt;/DBUID&gt;&lt;/Extra&gt;&lt;/Item&gt;&lt;/References&gt;&lt;/Group&gt;&lt;/Citation&gt;_x000a_"/>
    <w:docVar w:name="NE.Ref{84A2B5A2-3658-40F9-9BE6-8F0F540959A1}" w:val=" ADDIN NE.Ref.{84A2B5A2-3658-40F9-9BE6-8F0F540959A1}&lt;Citation&gt;&lt;Group&gt;&lt;References&gt;&lt;Item&gt;&lt;ID&gt;1386&lt;/ID&gt;&lt;UID&gt;{95AF03CD-FD1B-4C69-A287-35D2399F0DAE}&lt;/UID&gt;&lt;Title&gt;Genome-wide analysis identifies novel susceptibility loci for myocardial  infarction&lt;/Title&gt;&lt;Template&gt;Journal Article&lt;/Template&gt;&lt;Star&gt;0&lt;/Star&gt;&lt;Tag&gt;0&lt;/Tag&gt;&lt;Author&gt;Hartiala, J A; Han, Y; Jia, Q; Hilser, J R; Huang, P; Gukasyan, J; Schwartzman, W S; Cai, Z; Biswas, S; Tregouet, D A; Smith, N L; Seldin, M; Pan, C; Mehrabian, M; Lusis, A J; Bazeley, P; Sun, Y V; Liu, C; Quyyumi, A A; Scholz, M; Thiery, J; Delgado, G E; Kleber, M E; Marz, W; Howe, L J; Asselbergs, F W; van Vugt, M; Vlachojannis, G J; Patel, R S; Lyytikainen, L P; Kahonen, M; Lehtimaki, T; Nieminen, TVM; Kuukasjarvi, P; Laurikka, J O; Chang, X; Heng, C K; Jiang, R; Kraus, W E; Hauser, E R; Ferguson, J F; Reilly, M P; Ito, K; Koyama, S; Kamatani, Y; Komuro, I; Stolze, L K; Romanoski, C E; Khan, M D; Turner, A W; Miller, C L; Aherrahrou, R; Civelek, M; Ma, L; Bjorkegren, JLM; Kumar, S R; Tang, WHW; Hazen, S L; Allayee, H&lt;/Author&gt;&lt;Year&gt;2021&lt;/Year&gt;&lt;Details&gt;&lt;_accession_num&gt;33532862&lt;/_accession_num&gt;&lt;_author_adr&gt;Department of Preventive Medicine, Keck School of Medicine, University of  Southern California, 2250 Alcazar Street, CSC202,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 Department of Preventive Medicine, Keck School of Medicine, University of  Southern California, 2250 Alcazar Street, CSC202, Los Angeles, CA 90033, USA.; Institut National pour la Sante et la Recherche Medicale (INSERM) UMR_S 1219,  Bordeaux Population Health Research Center, University of Bordeaux, 33076  Bordeaux, France.; Department of Epidemiology, University of Washington, Seattle, WA 98101, USA.; Department of Veterans Affairs, Seattle Epidemiologic Research and Information  Center, Office of Research and Development, Seattle, WA 98108, USA.; Kaiser Permanente Washington Health Research Institute, Kaiser Permanente  Washington, Seattle, WA 98101, USA.; Department of Biological Chemistry and Center for Epigenetics and Metabolism, UC  Irvine School of Medicine, Irvine, CA 92697, USA.; Department of Human Genetics, David Geffen School of Medicine of UCLA, Los  Angeles, CA 90095, USA.; Department of Medicine, David Geffen School of Medicine of UCLA, Los Angeles, CA  90095, USA.; Department of Human Genetics, David Geffen School of Medicine of UCLA, Los  Angeles, CA 90095, USA.; Department of Medicine, David Geffen School of Medicine of UCLA, Los Angeles, CA  90095, USA.; Department of Microbiology, Immunology, &amp;amp; Molecular Genetics, David Geffen School  of Medicine of UCLA, Los Angeles, CA 90095, USA.; Center for Clinical Genomics, Cleveland Clinic, Cleveland, OH 44195, USA.; Department of Cardiovascular Medicine, Cleveland Clinic, Cleveland, OH 44195,  USA.; Department of Cardiovascular &amp;amp; Metabolic Sciences, Cleveland Clinic, Cleveland,  OH 44195, USA.; Department of Epidemiology, Emory University Rollins School of Public Health,  1518 Clifton Rd. NE, Atlanta, GA 30322, USA.; Department of Biomedical Informatics, Emory University School of Medicine,  Atlanta, GA 30322, USA.; Department of Epidemiology, Emory University Rollins School of Public Health,  1518 Clifton Rd. NE, Atlanta, GA 30322, USA.; Division of Cardiology, Department of Medicine, Emory Clinical Cardiovascular  Research Institute, Emory University School of Medicine, 1462 Clifton Rd NE,  Suite # 507, Atlanta, GA 30322, USA.; Division of Cardiology, Department of Medicine, Emory Clinical Cardiovascular  Research Institute, Emory University School of Medicine, 1462 Clifton Rd NE,  Suite # 507, Atlanta, GA 30322, USA.; Institute for Medical Informatics, Statistics and Epidemiology, University of  Leipzig, 04107 Leipzig, Germany.; LIFE Research Center for Civilization Diseases, University of Leipzig, 04103  Leipzig, Germany.; LIFE Research Center for Civilization Diseases, University of Leipzig, 04103  Leipzig, Germany.; Institute of Laboratory Medicine, Clinical Chemistry and Molecular Diagnostics,  University Hospital, 04103 Leipzig, Germany.; Vth Department of Medicine, Medical Faculty Mannheim, Heidelberg University,  Theodor-Kutzer-Ufer 1-3, 68167 Mannheim, Germany.; Vth Department of Medicine, Medical Faculty Mannheim, Heidelberg University,  Theodor-Kutzer-Ufer 1-3, 68167 Mannheim, Germany.; Vth Department of Medicine, Medical Faculty Mannheim, Heidelberg University,  Theodor-Kutzer-Ufer 1-3, 68167 Mannheim, Germany.; SYNLAB Academy, SYNLAB Holding Deutschland GmbH, 86156 Augsburg, Germany.; Clinical Institute of Medical and Chemical Laboratory Diagnostics, Medical  University of Graz, 8036 Graz, Austria.; Institute of Cardiovascular Science, Faculty of Population Health Sciences,  University College London, London WC1E 6HX, UK.; Institute of Cardiovascular Science, Faculty of Population Health Sciences,  University College London, London WC1E 6HX, UK.; Health Data Research UK and Institute of Health Informatics, University College  London, London NW1 2DA, UK.; Division Heart &amp;amp; Lungs, Department of Cardiology, University Medical Center  Utrecht, Utrecht University, 3584 CX Utrecht, the Netherlands.; Division Heart &amp;amp; Lungs, Department of Cardiology, University Medical Center  Utrecht, Utrecht University, 3584 CX Utrecht, the Netherlands.; Division Heart &amp;amp; Lungs, Department of Cardiology, University Medical Center  Utrecht, Utrecht University, 3584 CX Utrecht, the Netherlands.; Institute of Cardiovascular Science, Faculty of Population Health Sciences,  University College London, London WC1E 6HX, UK.; Bart&amp;apos;s Heart Centre, St Bartholomew&amp;apos;s Hospital, London EC1A 2DA, UK.; Department of Clinical Chemistry, Fimlab Laboratories, Tampere 33520, Finland.; Department of Clinical Chemistry, Finnish Cardiovascular Research Center-Tampere,  Faculty of Medicine and Health Technology, Tampere University, Tampere 33014,  Finland.; Department of Cardiology, Heart Center, Tampere University Hospital, Tampere  33521, Finland.; Department of Clinical Physiology, Tampere University Hospital, Tampere 33521,  Finland.; Department of Clinical Physiology, Finnish Cardiovascular Research  Center-Tampere, Faculty of Medicine and Health Technology, Tampere University,  Tampere 33014, Finland.; Department of Clinical Chemistry, Fimlab Laboratories, Tampere 33520, Finland.; Department of Clinical Chemistry, Finnish Cardiovascular Research Center-Tampere,  Faculty of Medicine and Health Technology, Tampere University, Tampere 33014,  Finland.; Department of Internal Medicine, Paijat-Hame Central Hospital, Lahti 15850,  Finland.; Department of Cardio-Thoracic Surgery, Finnish Cardiovascular Research  Center-Tampere, Faculty of Medicine and Health Technology, Tampere University,  Tampere 33014, Finland.; Department of Cardio-Thoracic Surgery, Finnish Cardiovascular Research  Center-Tampere, Faculty of Medicine and Health Technology, Tampere University,  Tampere 33014, Finland.; Department of Cardio-Thoracic Surgery, Heart Center, Tampere University Hospital,  Tampere 33521, Finland.; Department of Paediatrics, Yong Loo Lin School of Medicine, National University  of Singapore, Singapore 119228, Singapore.; Khoo Teck Puat-National University Children&amp;apos;s Medical Institute, National  University Health System, Singapore 119074, Singapore.; Department of Paediatrics, Yong Loo Lin School of Medicine, National University  of Singapore, Singapore 119228, Singapore.; Khoo Teck Puat-National University Children&amp;apos;s Medical Institute, National  University Health System, Singapore 119074, Singapore.; Department of Psychiatry &amp;amp; Behavioral Sciences, Duke University School of  Medicine Durham, NC 27710, USA.; Duke Molecular Physiology Institute, Duke University School of Medicine Durham,  NC 27710, USA.; Department of Medicine, Duke University School of Medicine Durham, NC 27710, USA.; Duke Molecular Physiology Institute, Duke University School of Medicine Durham,  NC 27710, USA.; Department of Biostatistics &amp;amp; Bioinformatics, Duke University School of Medicine  Durham, NC 27710, USA.; Department of Medicine, Vanderbilt University Medical Center, Nashville, TN  37232, USA.; Cardiometabolic Genomics Program, Division of Cardiology, Department of Medicine,  Columbia University Irving Medical Center, New York, NY 10032, USA.; Irving Institute for Clinical and Translational Research, Columbia University,  New York, NY 10032, USA.; Laboratory for Cardiovascular Genomics and Informatics, RIKEN Center for  Integrative Medical Sciences, Kanagawa 230-0045, Japan.; Laboratory for Cardiovascular Genomics and Informatics, RIKEN Center for  Integrative Medical Sciences, Kanagawa 230-0045, Japan.; Laboratory for Statistical and Translational Genetics, RIKEN Center for  Integrative Medical Sciences, Kanagawa 230-0045, Japan.; Human Disease Genomics, Center for Genomic Medicine, Kyoto University Graduate  School of Medicine, Kyoto 606-8501, Japan.; Laboratory of Complex Trait Genomics, Department of Computational Biology and  Medical Sciences, Graduate School of Frontier Sciences, The University of Tokyo,  Tokyo 108-0071, Japan.; Department of Cardiovascular Medicine, Graduate School of Medicine, The  University of Tokyo, Tokyo, Japan.; Department of Cellular and Molecular Medicine, University of Arizona College of  Medicine, Tucson, AZ 85721, USA.; Department of Cellular and Molecular Medicine, University of Arizona College of  Medicine, Tucson, AZ 85721,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Biochemistry &amp;amp; Molecular Genetics, University of Virginia,  Charlottesville University of Virginia, Charlottesville, VA 22904, USA.; Department of Public Health Sciences,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Center for Public Health Genomics, University of Virginia, Charlottesville  University of Virginia, Charlottesville, VA 22904, USA.; Department of Biomedical Engineering, University of Virginia, Charlottesville  University of Virginia, Charlottesville, VA 22904, USA.; Department of Genetics &amp;amp; Genomic Sciences, Institute of Genomics and Multiscale  Biology, Icahn School of Medicine at Mount Sinai, New York, NY 10029, USA.; Department of Genetics &amp;amp; Genomic Sciences, Institute of Genomics and Multiscale  Biology, Icahn School of Medicine at Mount Sinai, New York, NY 10029, USA.; Integrated Cardio Metabolic Centre, Department of Medicine, Karolinska  Institutet, Karolinska Universitetssjukhuset, 141 57 Huddinge, Sweden.; Department of Surgery, Keck School of Medicine, University of Southern  California, Los Angeles, CA 90033, USA.; Center for Clinical Genomics, Cleveland Clinic, Cleveland, OH 44195, USA.; Department of Cardiovascular Medicine, Cleveland Clinic, Cleveland, OH 44195,  USA.; Department of Cardiovascular &amp;amp; Metabolic Sciences, Cleveland Clinic, Cleveland,  OH 44195, USA.; Department of Cardiovascular Medicine, Cleveland Clinic, Cleveland, OH 44195,  USA.; Department of Cardiovascular &amp;amp; Metabolic Sciences, Cleveland Clinic, Cleveland,  OH 44195, USA.; Department of Preventive Medicine, Keck School of Medicine, University of  Southern California, 2250 Alcazar Street, CSC202, Los Angeles, CA 90033, USA.; Department of Biochemistry &amp;amp; Molecular Medicine, Keck School of Medicine,  University of Southern California, Los Angeles, CA 90033, USA.&lt;/_author_adr&gt;&lt;_collection_scope&gt;SCI;SCIE&lt;/_collection_scope&gt;&lt;_created&gt;65212719&lt;/_created&gt;&lt;_date&gt;2021-03-01&lt;/_date&gt;&lt;_date_display&gt;2021 Mar 1&lt;/_date_display&gt;&lt;_db_updated&gt;PubMed&lt;/_db_updated&gt;&lt;_doi&gt;10.1093/eurheartj/ehaa1040&lt;/_doi&gt;&lt;_impact_factor&gt;  29.983&lt;/_impact_factor&gt;&lt;_isbn&gt;1522-9645 (Electronic); 0195-668X (Print); 0195-668X (Linking)&lt;/_isbn&gt;&lt;_issue&gt;9&lt;/_issue&gt;&lt;_journal&gt;Eur Heart J&lt;/_journal&gt;&lt;_keywords&gt;Genetic factors; Genome-wide association study; Meta-analysis; Myocardial infarction; SLC44A3&lt;/_keywords&gt;&lt;_language&gt;eng&lt;/_language&gt;&lt;_modified&gt;65212719&lt;/_modified&gt;&lt;_ori_publication&gt;Published on behalf of the European Society of Cardiology. All rights reserved. (c) _x000d__x000a_      The Author(s) 2021. For permissions, please email: journals.permissions@oup.com.&lt;/_ori_publication&gt;&lt;_pages&gt;919-933&lt;/_pages&gt;&lt;_subject_headings&gt;*Coronary Artery Disease/genetics; Endothelial Cells; Genetic Predisposition to Disease/genetics; Genome-Wide Association Study; Humans; Japan; *Myocardial Infarction/genetics; Polymorphism, Single Nucleotide/genetics; Risk Factors&lt;/_subject_headings&gt;&lt;_tertiary_title&gt;European heart journal&lt;/_tertiary_title&gt;&lt;_type_work&gt;Journal Article; Meta-Analysis; Research Support, N.I.H., Extramural; Research Support, Non-U.S. Gov&amp;apos;t&lt;/_type_work&gt;&lt;_url&gt;http://www.ncbi.nlm.nih.gov/entrez/query.fcgi?cmd=Retrieve&amp;amp;db=pubmed&amp;amp;dopt=Abstract&amp;amp;list_uids=33532862&amp;amp;query_hl=1&lt;/_url&gt;&lt;_volume&gt;42&lt;/_volume&gt;&lt;/Details&gt;&lt;Extra&gt;&lt;DBUID&gt;{F96A950B-833F-4880-A151-76DA2D6A2879}&lt;/DBUID&gt;&lt;/Extra&gt;&lt;/Item&gt;&lt;/References&gt;&lt;/Group&gt;&lt;Group&gt;&lt;References&gt;&lt;Item&gt;&lt;ID&gt;1387&lt;/ID&gt;&lt;UID&gt;{AF2DB512-1DB5-4D91-BB37-BE60CEA1E39D}&lt;/UID&gt;&lt;Title&gt;Identification of 64 Novel Genetic Loci Provides an Expanded View on the Genetic  Architecture of Coronary Artery Disease&lt;/Title&gt;&lt;Template&gt;Journal Article&lt;/Template&gt;&lt;Star&gt;0&lt;/Star&gt;&lt;Tag&gt;0&lt;/Tag&gt;&lt;Author&gt;van der Harst, P; Verweij, N&lt;/Author&gt;&lt;Year&gt;2018&lt;/Year&gt;&lt;Details&gt;&lt;_accession_num&gt;29212778&lt;/_accession_num&gt;&lt;_author_adr&gt;From the Department of Cardiology (P.v.d.H., N.V.) and Department of Genetics  (P.v.d.H.), University Medical Center Groningen, University of Groningen, The  Netherlands; and Durrer Center for Cardiogenetic Research, Netherlands Heart  Institute, Utrecht (P.v.d.H.). p.van.der.harst@umcg.nl.; From the Department of Cardiology (P.v.d.H., N.V.) and Department of Genetics  (P.v.d.H.), University Medical Center Groningen, University of Groningen, The  Netherlands; and Durrer Center for Cardiogenetic Research, Netherlands Heart  Institute, Utrecht (P.v.d.H.).&lt;/_author_adr&gt;&lt;_collection_scope&gt;SCI;SCIE&lt;/_collection_scope&gt;&lt;_created&gt;65212719&lt;/_created&gt;&lt;_date&gt;2018-02-02&lt;/_date&gt;&lt;_date_display&gt;2018 Feb 2&lt;/_date_display&gt;&lt;_db_updated&gt;PubMed&lt;/_db_updated&gt;&lt;_doi&gt;10.1161/CIRCRESAHA.117.312086&lt;/_doi&gt;&lt;_impact_factor&gt;  17.367&lt;/_impact_factor&gt;&lt;_isbn&gt;1524-4571 (Electronic); 0009-7330 (Print); 0009-7330 (Linking)&lt;/_isbn&gt;&lt;_issue&gt;3&lt;/_issue&gt;&lt;_journal&gt;Circ Res&lt;/_journal&gt;&lt;_keywords&gt;computational biology; coronary artery disease; genetics; genome-wide association study; sample size&lt;/_keywords&gt;&lt;_language&gt;eng&lt;/_language&gt;&lt;_modified&gt;65212720&lt;/_modified&gt;&lt;_ori_publication&gt;(c) 2017 The Authors.&lt;/_ori_publication&gt;&lt;_pages&gt;433-443&lt;/_pages&gt;&lt;_subject_headings&gt;3&amp;apos; Untranslated Regions; Atrial Fibrillation/genetics; Case-Control Studies; Causality; Chromatin/genetics; Coronary Artery Disease/*genetics; Enhancer Elements, Genetic; Gene Expression Regulation; Genome-Wide Association Study; Heart Failure/genetics; Humans; Mutation, Missense; *Polymorphism, Single Nucleotide; Quantitative Trait Loci&lt;/_subject_headings&gt;&lt;_tertiary_title&gt;Circulation research&lt;/_tertiary_title&gt;&lt;_type_work&gt;Journal Article; Meta-Analysis; Research Support, Non-U.S. Gov&amp;apos;t&lt;/_type_work&gt;&lt;_url&gt;http://www.ncbi.nlm.nih.gov/entrez/query.fcgi?cmd=Retrieve&amp;amp;db=pubmed&amp;amp;dopt=Abstract&amp;amp;list_uids=29212778&amp;amp;query_hl=1&lt;/_url&gt;&lt;_volume&gt;122&lt;/_volume&gt;&lt;/Details&gt;&lt;Extra&gt;&lt;DBUID&gt;{F96A950B-833F-4880-A151-76DA2D6A2879}&lt;/DBUID&gt;&lt;/Extra&gt;&lt;/Item&gt;&lt;/References&gt;&lt;/Group&gt;&lt;Group&gt;&lt;References&gt;&lt;Item&gt;&lt;ID&gt;1388&lt;/ID&gt;&lt;UID&gt;{452626E4-C03F-4169-818F-B59BF0E2BA6D}&lt;/UID&gt;&lt;Title&gt;A genome-wide association study in Europeans and South Asians identifies five new  loci for coronary artery disease&lt;/Title&gt;&lt;Template&gt;Journal Article&lt;/Template&gt;&lt;Star&gt;0&lt;/Star&gt;&lt;Tag&gt;0&lt;/Tag&gt;&lt;Author/&gt;&lt;Year&gt;2011&lt;/Year&gt;&lt;Details&gt;&lt;_accession_num&gt;21378988&lt;/_accession_num&gt;&lt;_collection_scope&gt;SCI;SCIE&lt;/_collection_scope&gt;&lt;_created&gt;65212720&lt;/_created&gt;&lt;_date&gt;2011-03-06&lt;/_date&gt;&lt;_date_display&gt;2011 Mar 6&lt;/_date_display&gt;&lt;_db_updated&gt;PubMed&lt;/_db_updated&gt;&lt;_doi&gt;10.1038/ng.782&lt;/_doi&gt;&lt;_impact_factor&gt;  38.330&lt;/_impact_factor&gt;&lt;_isbn&gt;1546-1718 (Electronic); 1061-4036 (Linking)&lt;/_isbn&gt;&lt;_issue&gt;4&lt;/_issue&gt;&lt;_journal&gt;Nat Genet&lt;/_journal&gt;&lt;_language&gt;eng&lt;/_language&gt;&lt;_modified&gt;65212720&lt;/_modified&gt;&lt;_pages&gt;339-44&lt;/_pages&gt;&lt;_subject_headings&gt;ADAM Proteins/genetics; ADAMTS7 Protein; Adult; Aged; Asian People/genetics; Case-Control Studies; Coronary Artery Disease/*genetics; Female; Genetic Predisposition to Disease; Genome-Wide Association Study; Humans; Lymphokines/genetics; Male; Middle Aged; Oligonucleotide Array Sequence Analysis; Platelet-Derived Growth Factor/genetics; Polymorphism, Single Nucleotide; Quantitative Trait Loci; Sterol Esterase/genetics; Transcription Factors/genetics; White People/genetics&lt;/_subject_headings&gt;&lt;_tertiary_title&gt;Nature genetics&lt;/_tertiary_title&gt;&lt;_type_work&gt;Journal Article; Meta-Analysis; Research Support, Non-U.S. Gov&amp;apos;t&lt;/_type_work&gt;&lt;_url&gt;http://www.ncbi.nlm.nih.gov/entrez/query.fcgi?cmd=Retrieve&amp;amp;db=pubmed&amp;amp;dopt=Abstract&amp;amp;list_uids=21378988&amp;amp;query_hl=1&lt;/_url&gt;&lt;_volume&gt;43&lt;/_volume&gt;&lt;/Details&gt;&lt;Extra&gt;&lt;DBUID&gt;{F96A950B-833F-4880-A151-76DA2D6A2879}&lt;/DBUID&gt;&lt;/Extra&gt;&lt;/Item&gt;&lt;/References&gt;&lt;/Group&gt;&lt;Group&gt;&lt;References&gt;&lt;Item&gt;&lt;ID&gt;1389&lt;/ID&gt;&lt;UID&gt;{DC49672D-094D-40FC-A8CF-5E5FF12E771A}&lt;/UID&gt;&lt;Title&gt;Large-scale genome-wide association study of coronary artery disease in  genetically diverse populations&lt;/Title&gt;&lt;Template&gt;Journal Article&lt;/Template&gt;&lt;Star&gt;0&lt;/Star&gt;&lt;Tag&gt;0&lt;/Tag&gt;&lt;Author&gt;Tcheandjieu, C; Zhu, X; Hilliard, A T; Clarke, S L; Napolioni, V; Ma, S; Lee, K M; Fang, H; Chen, F; Lu, Y; Tsao, N L; Raghavan, S; Koyama, S; Gorman, B R; Vujkovic, M; Klarin, D; Levin, M G; Sinnott-Armstrong, N; Wojcik, G L; Plomondon, M E; Maddox, T M; Waldo, S W; Bick, A G; Pyarajan, S; Huang, J; Song, R; Ho, Y L; Buyske, S; Kooperberg, C; Haessler, J; Loos, RJF; Do, R; Verbanck, M; Chaudhary, K; North, K E; Avery, C L; Graff, M; Haiman, C A; Le Marchand, L; Wilkens, L R; Bis, J C; Leonard, H; Shen, B; Lange, L A; Giri, A; Dikilitas, O; Kullo, I J; Stanaway, I B; Jarvik, G P; Gordon, A S; Hebbring, S; Namjou, B; Kaufman, K M; Ito, K; Ishigaki, K; Kamatani, Y; Verma, S S; Ritchie, M D; Kember, R L; Baras, A; Lotta, L A; Kathiresan, S; Hauser, E R; Miller, D R; Lee, J S; Saleheen, D; Reaven, P D; Cho, K; Gaziano, J M; Natarajan, P; Huffman, J E; Voight, B F; Rader, D J; Chang, K M; Lynch, J A; Damrauer, S M; Wilson, PWF; Tang, H; Sun, Y V; Tsao, P S; O&amp;apos;Donnell, C J; Assimes, T L&lt;/Author&gt;&lt;Year&gt;2022&lt;/Year&gt;&lt;Details&gt;&lt;_accession_num&gt;35915156&lt;/_accession_num&gt;&lt;_author_adr&gt;VA Palo Alto Health Care System, Palo Alto, CA, USA.  catherine.tcheandjieu@gladstone.ucsf.edu.; Department of Medicine, Division of Cardiovascular Medicine, Stanford University  School of Medicine, Stanford, CA, USA. catherine.tcheandjieu@gladstone.ucsf.edu.; Gladstone Institute of Data Science and Biotechnology, Gladstone Institutes, San  Francisco, CA, USA. catherine.tcheandjieu@gladstone.ucsf.edu.; Department of Epidemiology and Biostatistics, University of California San  Francisco, San Francisco, CA, USA. catherine.tcheandjieu@gladstone.ucsf.edu.; VA Palo Alto Health Care System, Palo Alto, CA, USA.; Department of Statistics, Stanford University, Stanford, CA, USA.; Department of Statistics, The Pennsylvania State University, University Park, PA,  USA.; Huck Institutes of the Life Sciences, The Pennsylvania State University,  University Park, PA, USA.; VA Palo Alto Health Care System, Palo Alto, CA, USA.; VA Palo Alto Health Care System, Palo Alto, CA, USA.; Department of Medicine, Division of Cardiovascular Medicine, Stanford University  School of Medicine, Stanford, CA, USA.; School of Biosciences and Veterinary Medicine, University of Camerino, Camerino,  Italy.; Department of Neurology and Neurological Sciences, Stanford University School of  Medicine, Stanford, CA, USA.; Department of Statistics, Stanford University, Stanford, CA, USA.; VA Informatics and Computing Infrastructure, VA Salt Lake City Health Care  System, Salt Lake City, UT, USA.; Department of Genetics, Stanford University School of Medicine, Stanford, CA,  USA.; Department of Preventive Medicine, Center for Genetic Epidemiology, University of  Southern California, Los Angeles, CA, USA.; Vanderbilt Genetics Institute, Vanderbilt University Medical Center, Nashville,  TN, USA.; Department of Surgery, University of Pennsylvania Perelman School of Medicine,  Philadelphia, PA, USA.; Medicine Service, VA Eastern Colorado Health Care System, Aurora, CO, USA.; Department of Medicine, University of Colorado Anschutz Medical Campus, Aurora,  CO, USA.; Laboratory for Cardiovascular Genomics and Informatics, RIKEN Center for  Integrative Medical Sciences, Yokohama, Kanagawa, Japan.; VA Boston Healthcare System, Boston, MA, USA.; Booz Allen Hamilton, McLean, VA, USA.; Corporal Michael J. Crescenz VA Medical Center, Philadelphia, PA, USA.; Department of Medicine, University of Pennsylvania Perelman School of Medicine,  Philadelphia, PA, USA.; VA Palo Alto Health Care System, Palo Alto, CA, USA.; VA Boston Healthcare System, Boston, MA, USA.; Center for Genomic Medicine, Massachusetts General Hospital, Boston, MA, USA.; Program in Medical and Population Genetics, Broad Institute of MIT and Harvard,  Cambridge, MA, USA.; Division of Vascular Surgery and Endovascular Therapy, University of Florida  School of Medicine, Gainesville, FL, USA.; Stanford University School of Medicine, Stanford, CA, USA.; Corporal Michael J. Crescenz VA Medical Center, Philadelphia, PA, USA.; Department of Medicine, University of Pennsylvania Perelman School of Medicine,  Philadelphia, PA, USA.; VA Palo Alto Health Care System, Palo Alto, CA, USA.; Department of Genetics, Stanford University School of Medicine, Stanford, CA,  USA.; Department of Epidemiology, Bloomberg School of Public Health, Johns Hopkins  University, Baltimore, MD, USA.; Department of Medicine, Rocky Mountain Regional VA Medical Center, Aurora, CO,  USA.; CART Program, VHA Office of Quality and Patient Safety, Washington, DC, USA.; Healthcare Innovation Lab, JC HealthCare/Washington University School of  Medicine, St Louis, MO, USA.; Division of Cardiology, Washington University School of Medicine, St Louis, MO,  USA.; Department of Medicine, Rocky Mountain Regional VA Medical Center, Aurora, CO,  USA.; CART Program, VHA Office of Quality and Patient Safety, Washington, DC, USA.; Division of Cardiology, University of Colorado School of Medicine, Aurora, CO,  USA.; Department of Biomedical Informatics, Division of Genetic Medicine, Vanderbilt  University Medical Center, Nashville, TN, USA.; VA Boston Healthcare System, Boston, MA, USA.; Department of Medicine, Brigham Women&amp;apos;s Hospital, Harvard Medical School, Boston,  MA, USA.; VA Boston Healthcare System, Boston, MA, USA.; Department of Global Health, Peking University School of Public Health, Beijing,  China.; School of Public Health and Emergency Management, Southern University of Science  and Technology, Shenzhen, China.; VA Boston Healthcare System, Boston, MA, USA.; VA Boston Healthcare System, Boston, MA, USA.; Department of Statistics, Rutgers University, Piscataway, NJ, USA.; Division of Public Health Sciences, Fred Hutchinson Cancer Center, Seattle, WA,  USA.; Division of Public Health Sciences, Fred Hutchinson Cancer Center, Seattle, WA,  USA.; Charles Bronfman Institute for Personalized Medicine, Icahn School of Medicine at  Mount Sinai, New York, NY, USA.; Charles Bronfman Institute for Personalized Medicine, Icahn School of Medicine at  Mount Sinai, New York, NY, USA.; Department of Genetics and Genomic Sciences, Icahn School of Medicine at Mount  Sinai, New York, NY, USA.; Charles Bronfman Institute for Personalized Medicine, Icahn School of Medicine at  Mount Sinai, New York, NY, USA.; Department of Genetics and Genomic Sciences, Icahn School of Medicine at Mount  Sinai, New York, NY, USA.; EA 7537 BioSTM, Universite de Paris, Paris, France.; Charles Bronfman Institute for Personalized Medicine, Icahn School of Medicine at  Mount Sinai, New York, NY, USA.; Department of Genetics and Genomic Sciences, Icahn School of Medicine at Mount  Sinai, New York, NY, USA.; Department of Epidemiology, Gillings School of Global Public Health, University  of North Carolina, Chapel Hill, NC, USA.; Department of Epidemiology, Gillings School of Global Public Health, University  of North Carolina, Chapel Hill, NC, USA.; Department of Epidemiology, Gillings School of Global Public Health, University  of North Carolina, Chapel Hill, NC, USA.; Department of Preventive Medicine, Center for Genetic Epidemiology, University of  Southern California, Los Angeles, CA, USA.; Cancer Epidemiology Program, University of Hawaii Cancer Center, University of  Hawaii, Honolulu, HI, USA.; Cancer Epidemiology Program, University of Hawaii Cancer Center, University of  Hawaii, Honolulu, HI, USA.; Department of Medicine, Cardiovascular Health Research Unit, University of  Washington, Seattle, WA, USA.; Molecular Genetics Section, Laboratory of Neurogenetics, National Institute on  Aging, Bethesda, MD, USA.; Data Tecnica Int&amp;apos;l, LLC, Glen Echo, MD, USA.; Health Disparities Research Section, National Institute on Aging, National  Institutes of Health, Baltimore, MD, USA.; Department of Medicine, Division of Biomedical Informatics and Personalized  Medicine, Aurora, CO, USA.; Lifecourse Epidemiology of Adiposity and Diabetes (LEAD) Center, Aurora, CO, USA.; Department of Epidemiology, Colorado School of Public Health, University of  Colorado Anschutz Medical Campus, Aurora, CO, USA.; Department of Medicine, Division of Epidemiology, Vanderbilt University Medical  Center, Nashville, TN, USA.; Department of Obstetrics and Gynecology, Division of Quantitative Sciences,  Vanderbilt University Medical Center, Nashville, TN, USA.; Department of Cardiovascular Medicine, Mayo Clinic, Rochester, MN, USA.; Department of Cardiovascular Medicine, Mayo Clinic, Rochester, MN, USA.; Department of Medicine, Division of Nephrology, University of Washington,  Seattle, WA, USA.; Department of Medicine, Medical Genetics, University of Washington School of  Medicine, Seattle, WA, USA.; Department of Genome Sciences, University of Washington School of Medicine,  Seattle, WA, USA.; Center for Genetic Medicine, Northwestern University Feinberg School of Medicine,  Chicago, IL, USA.; Center for Precision Medicine Research, Marshfield Clinic Research Institute,  Marshfield, WI, USA.; Center for Autoimmune Genomics and Etiology, Cincinnati Children&amp;apos;s Hospital  Medical Center, Cincinnati, OH, USA.; Department of Pediatrics, University of Cincinnati College of Medicine,  Cincinnati, OH, USA.; Center for Autoimmune Genomics and Etiology, Cincinnati Children&amp;apos;s Hospital  Medical Center, Cincinnati, OH, USA.; Laboratory for Cardiovascular Genomics and Informatics, RIKEN Center for  Integrative Medical Sciences, Yokohama, Kanagawa, Japan.; Laboratory for Statistical Analysis, RIKEN Center for Integrative Medical  Sciences, Yokohama, Kanagawa, Japan.; Laboratory for Statistical Analysis, RIKEN Center for Integrative Medical  Sciences, Yokohama, Kanagawa, Japan.; Department of Computational Biology and Medical Sciences, Graduate School of  Frontier Sciences - The University of Tokyo, Tokyo, Japan.; Department of Genetics, University of Pennsylvania Perelman School of Medicine,  Philadelphia, PA, USA.; Institute for Biomedical Informatics, University of Pennsylvania Perelman School  of Medicine, Philadelphia, PA, USA.; Department of Genetics, University of Pennsylvania Perelman School of Medicine,  Philadelphia, PA, USA.; Institute for Biomedical Informatics, University of Pennsylvania Perelman School  of Medicine, Philadelphia, PA, USA.; Corporal Michael J. Crescenz VA Medical Center, Philadelphia, PA, USA.; Department of Psychiatry, University of Pennsylvania Perelman School of Medicine,  Philadelphia, PA, USA.; Regeneron Genetics Center, Tarrytown, NY, USA.; Regeneron Genetics Center, Tarrytown, NY, USA.; Program in Medical and Population Genetics, Broad Institute of MIT and Harvard,  Cambridge, MA, USA.; Department of Medicine, Harvard Medical School, Boston, MA, USA.; Department of Medicine, Cardiology Division, Massachusetts General Hospital,  Boston, MA, USA.; Verve Therapeutics, Cambridge, MA, USA.; Cooperative Studies Program Epidemiology Center-Durham, Durham VA Health Care  System, Durham, NC, USA.; Department of Biostatistics and Bioinformatics, Duke University Medical Center,  Durham, NC, USA.; Center for Healthcare Organization and Implementation Research, Bedford VA  Healthcare System, Bedford, MA, USA.; Center for Population Health, Department of Biomedical and Nutritional Sciences,  University of Massachusetts, Lowell, MA, USA.; VA Palo Alto Health Care System, Palo Alto, CA, USA.; Department of Medicine, Stanford University School of Medicine, Stanford, CA,  USA.; Corporal Michael J. Crescenz VA Medical Center, Philadelphia, PA, USA.; Department of Medicine, Division of Cardiology, Columbia University, New York,  NY, USA.; Phoenix VA Health Care System, Phoenix, AZ, USA.; College of Medicine, University of Arizona, Phoenix, AZ, USA.; VA Boston Healthcare System, Boston, MA, USA.; Department of Medicine, Brigham Women&amp;apos;s Hospital, Harvard Medical School, Boston,  MA, USA.; VA Boston Healthcare System, Boston, MA, USA.; Department of Medicine, Brigham Women&amp;apos;s Hospital, Harvard Medical School, Boston,  MA, USA.; Program in Medical and Population Genetics, Broad Institute of MIT and Harvard,  Cambridge, MA, USA.; Department of Medicine, Cardiology Division, Massachusetts General Hospital,  Boston, MA, USA.; Cardiovascular Research Center, Massachusetts General Hospital, Boston, MA, USA.; VA Boston Healthcare System, Boston, MA, USA.; Corporal Michael J. Crescenz VA Medical Center, Philadelphia, PA, USA.; Department of Genetics, University of Pennsylvania Perelman School of Medicine,  Philadelphia, PA, USA.; Department of Systems Pharmacology and Translational Therapeutics, University of  Pennsylvania Perelman School of Medicine, Philadelphia, PA, USA.; Institute of Translational Medicine and Therapeutics, University of Pennsylvania  Perelman School of Medicine, Philadelphia, PA, USA.; Department of Medicine, University of Pennsylvania Perelman School of Medicine,  Philadelphia, PA, USA.; Corporal Michael J. Crescenz VA Medical Center, Philadelphia, PA, USA.; Department of Medicine, University of Pennsylvania Perelman School of Medicine,  Philadelphia, PA, USA.; VA Salt Lake City Health Care System, Salt Lake City, UT, USA.; College of Nursing and Health Sciences, University of Massachusetts, Boston, MA,  USA.; Department of Surgery, University of Pennsylvania Perelman School of Medicine,  Philadelphia, PA, USA.; Corporal Michael J. Crescenz VA Medical Center, Philadelphia, PA, USA.; Department of Genetics, University of Pennsylvania Perelman School of Medicine,  Philadelphia, PA, USA.; Atlanta VA Medical Center, Atlanta, GA, USA.; Division of Cardiology, Emory University School of Medicine, Atlanta, GA, USA.; Department of Genetics, Stanford University School of Medicine, Stanford, CA,  USA.; Atlanta VA Health Care System, Atlanta, GA, USA.; Department of Epidemiology, Emory University Rollins School of Public Health,  Atlanta, GA, USA.; VA Palo Alto Health Care System, Palo Alto, CA, USA.; Department of Medicine, Stanford University School of Medicine, Stanford, CA,  USA.; Cardiovascular Institute, Stanford University School of Medicine, Stanford, CA,  USA.; VA Boston Healthcare System, Boston, MA, USA.; Department of Medicine, Brigham Women&amp;apos;s Hospital, Harvard Medical School, Boston,  MA, USA.; VA Palo Alto Health Care System, Palo Alto, CA, USA. tassimes@stanford.edu.; Department of Medicine, Division of Cardiovascular Medicine, Stanford University  School of Medicine, Stanford, CA, USA. tassimes@stanford.edu.; Cardiovascular Institute, Stanford University School of Medicine, Stanford, CA,  USA. tassimes@stanford.edu.; Department of Epidemiology and Population Health, Stanford University School of  Medicine, Stanford, CA, USA. tassimes@stanford.edu.&lt;/_author_adr&gt;&lt;_collection_scope&gt;SCI;SCIE&lt;/_collection_scope&gt;&lt;_created&gt;65212720&lt;/_created&gt;&lt;_date&gt;2022-08-01&lt;/_date&gt;&lt;_date_display&gt;2022 Aug&lt;/_date_display&gt;&lt;_db_updated&gt;PubMed&lt;/_db_updated&gt;&lt;_doi&gt;10.1038/s41591-022-01891-3&lt;/_doi&gt;&lt;_impact_factor&gt;  53.440&lt;/_impact_factor&gt;&lt;_isbn&gt;1546-170X (Electronic); 1078-8956 (Print); 1078-8956 (Linking)&lt;/_isbn&gt;&lt;_issue&gt;8&lt;/_issue&gt;&lt;_journal&gt;Nat Med&lt;/_journal&gt;&lt;_language&gt;eng&lt;/_language&gt;&lt;_modified&gt;65212720&lt;/_modified&gt;&lt;_ori_publication&gt;(c) 2022. This is a U.S. Government work and not under copyright protection in the _x000d__x000a_      US; foreign copyright protection may apply.&lt;/_ori_publication&gt;&lt;_pages&gt;1679-1692&lt;/_pages&gt;&lt;_subject_headings&gt;*Coronary Artery Disease/genetics; Genetic Predisposition to Disease/genetics; *Genome-Wide Association Study; Humans; Polymorphism, Single Nucleotide/genetics; Risk Factors&lt;/_subject_headings&gt;&lt;_tertiary_title&gt;Nature medicine&lt;/_tertiary_title&gt;&lt;_type_work&gt;Journal Article; Research Support, N.I.H., Extramural; Research Support, N.I.H., Intramural; Research Support, Non-U.S. Gov&amp;apos;t; Research Support, U.S. Gov&amp;apos;t, Non-P.H.S.&lt;/_type_work&gt;&lt;_url&gt;http://www.ncbi.nlm.nih.gov/entrez/query.fcgi?cmd=Retrieve&amp;amp;db=pubmed&amp;amp;dopt=Abstract&amp;amp;list_uids=35915156&amp;amp;query_hl=1&lt;/_url&gt;&lt;_volume&gt;28&lt;/_volume&gt;&lt;/Details&gt;&lt;Extra&gt;&lt;DBUID&gt;{F96A950B-833F-4880-A151-76DA2D6A2879}&lt;/DBUID&gt;&lt;/Extra&gt;&lt;/Item&gt;&lt;/References&gt;&lt;/Group&gt;&lt;Group&gt;&lt;References&gt;&lt;Item&gt;&lt;ID&gt;1390&lt;/ID&gt;&lt;UID&gt;{DF24CFAB-BAD0-4BC9-A56D-74588F2547A0}&lt;/UID&gt;&lt;Title&gt;Discovery and systematic characterization of risk variants and genes for coronary  artery disease in over a million participants&lt;/Title&gt;&lt;Template&gt;Journal Article&lt;/Template&gt;&lt;Star&gt;0&lt;/Star&gt;&lt;Tag&gt;0&lt;/Tag&gt;&lt;Author&gt;Aragam, K G; Jiang, T; Goel, A; Kanoni, S; Wolford, B N; Atri, D S; Weeks, E M; Wang, M; Hindy, G; Zhou, W; Grace, C; Roselli, C; Marston, N A; Kamanu, F K; Surakka, I; Venegas, L M; Sherliker, P; Koyama, S; Ishigaki, K; Asvold, B O; Brown, M R; Brumpton, B; de Vries, P S; Giannakopoulou, O; Giardoglou, P; Gudbjartsson, D F; Guldener, U; Haider, SMI; Helgadottir, A; Ibrahim, M; Kastrati, A; Kessler, T; Kyriakou, T; Konopka, T; Li, L; Ma, L; Meitinger, T; Mucha, S; Munz, M; Murgia, F; Nielsen, J B; Nothen, M M; Pang, S; Reinberger, T; Schnitzler, G; Smedley, D; Thorleifsson, G; von Scheidt, M; Ulirsch, J C; Arnar, D O; Burtt, N P; Costanzo, M C; Flannick, J; Ito, K; Jang, D K; Kamatani, Y; Khera, A V; Komuro, I; Kullo, I J; Lotta, L A; Nelson, C P; Roberts, R; Thorgeirsson, G; Thorsteinsdottir, U; Webb, T R; Baras, A; Bjorkegren, JLM; Boerwinkle, E; Dedoussis, G; Holm, H; Hveem, K; Melander, O; Morrison, A C; Orho-Melander, M; Rallidis, L S; Ruusalepp, A; Sabatine, M S; Stefansson, K; Zalloua, P; Ellinor, P T; Farrall, M; Danesh, J; Ruff, C T; Finucane, H K; Hopewell, J C; Clarke, R; Gupta, R M; Erdmann, J; Samani, N J; Schunkert, H; Watkins, H; Willer, C J; Deloukas, P; Kathiresan, S; Butterworth, A S&lt;/Author&gt;&lt;Year&gt;2022&lt;/Year&gt;&lt;Details&gt;&lt;_accession_num&gt;36474045&lt;/_accession_num&gt;&lt;_author_adr&gt;Cardiovascular Research Center, Massachusetts General Hospital, Boston, MA, USA.  karagam@broadinstitute.org.; Center for Genomic Medicine, Massachusetts General Hospital, Boston, MA, USA.  karagam@broadinstitute.org.; Cardiovascular Disease Initiative, Broad Institute of MIT and Harvard, Cambridge,  MA, USA. karagam@broadinstitute.org.; Program in Medical and Population Genetics, Broad Institute of MIT and Harvard,  Cambridge, MA, USA. karagam@broadinstitute.org.; BHF Cardiovascular Epidemiology Unit, Department of Public Health and Primary  Care, University of Cambridge, Cambridge, UK.; Radcliffe Department of Medicine, Division of Cardiovascular Medicine, University  of Oxford, Oxford, UK.; Wellcome Centre for Human Genetics, University of Oxford, Oxford, UK.; William Harvey Research Institute, Barts and the London School of Medicine and  Dentistry, Queen Mary University of London, London, UK.; Department of Computational Medicine and Bioinformatics, University of Michigan,  Ann Arbor, MI, USA.; Cardiovascular Disease Initiative, Broad Institute of MIT and Harvard, Cambridge,  MA, USA.; Divisions of Cardiovascular Medicine and Genetics, Brigham and Women&amp;apos;s Hospital,  Harvard Medical School, Boston, MA, USA.; Program in Medical and Population Genetics, Broad Institute of MIT and Harvard,  Cambridge, MA, USA.; Cardiovascular Disease Initiative, Broad Institute of MIT and Harvard, Cambridge,  MA, USA.; Program in Medical and Population Genetics, Broad Institute of MIT and Harvard,  Cambridge, MA, USA.; Department of Population Medicine, Qatar University College of Medicine, Doha,  Qatar.; Program in Medical and Population Genetics, Broad Institute of MIT and Harvard,  Cambridge, MA, USA.; Department of Computational Medicine and Bioinformatics, University of Michigan,  Ann Arbor, MI, USA.; Analytic and Translational Genetics Unit, Massachusetts General Hospital, Boston,  MA, USA.; Stanley Center for Psychiatric Research, Broad Institute of MIT and Harvard,  Cambridge, MA, USA.; Radcliffe Department of Medicine, Division of Cardiovascular Medicine, University  of Oxford, Oxford, UK.; Wellcome Centre for Human Genetics, University of Oxford, Oxford, UK.; Cardiovascular Disease Initiative, Broad Institute of MIT and Harvard, Cambridge,  MA, USA.; TIMI Study Group, Division of Cardiovascular Medicine, Brigham and Women&amp;apos;s  Hospital, Harvard Medical School, Boston, MA, USA.; TIMI Study Group, Division of Cardiovascular Medicine, Brigham and Women&amp;apos;s  Hospital, Harvard Medical School, Boston, MA, USA.; Department of Internal Medicine, Division of Cardiology, University of Michigan,  Ann Arbor, MI, USA.; Institute for Cardiogenetics, University of Lubeck, Lubeck, Germany.; German Research Center for Cardiovascular Research (DZHK), Partner Site  Hamburg/Lubeck/Kiel, Lubeck, Germany.; Medical Research Council Population Health Research Unit, CTSU-Nuffield  Department of Population Health, Medical Sciences Division, University of Oxford,  Oxford, UK.; Laboratory for Cardiovascular Genomics and Informatics, RIKEN Center for  Integrative Medical Sciences, Tsurumi-ku, Yokohama, Japan.; Laboratory for Statistical and Translational Genetics, RIKEN Center for  Integrative Medical Sciences, Tsurumi-ku, Yokohama, Japan.; Department of Public Health and Nursing, K.G. Jebsen Center for Genetic  Epidemiology, Norwegian University of Science and Technology, NTNU, Trondheim,  Norway.; HUNT Research Centre, Norwegian University of Science and Technology, Levanger,  Norway.; Department of Endocrinology, Clinic of Medicine, St. Olavs Hospital, Trondheim,  Norway.; Human Genetics Center, Department of Epidemiology, Human Genetics, and  Environmental Sciences, School of Public Health, The University of Texas Health  Science Center at Houston, Houston, TX, USA.; Department of Public Health and Nursing, K.G. Jebsen Center for Genetic  Epidemiology, Norwegian University of Science and Technology, NTNU, Trondheim,  Norway.; HUNT Research Centre, Norwegian University of Science and Technology, Levanger,  Norway.; Human Genetics Center, Department of Epidemiology, Human Genetics, and  Environmental Sciences, School of Public Health, The University of Texas Health  Science Center at Houston, Houston, TX, USA.; William Harvey Research Institute, Barts and the London School of Medicine and  Dentistry, Queen Mary University of London, London, UK.; Department of Nutrition-Dietetics, School of Health Science and Education,  Harokopio University, Athens, Greece.; deCODE Genetics/Amgen, Inc., Reykjavik, Iceland.; School of Engineering and Natural Sciences, University of Iceland, Reykjavik,  Iceland.; German Heart Centre Munich, Department of Cardiology, Technical University of  Munich, Munich, Germany.; Institute for Cardiogenetics, University of Lubeck, Lubeck, Germany.; German Research Center for Cardiovascular Research (DZHK), Partner Site  Hamburg/Lubeck/Kiel, Lubeck, Germany.; deCODE Genetics/Amgen, Inc., Reykjavik, Iceland.; CTSU-Nuffield Department of Population Health, Medical Sciences Division,  University of Oxford, Oxford, UK.; German Heart Centre Munich, Department of Cardiology, Technical University of  Munich, Munich, Germany.; German Research Center for Cardiovascular Research (DZHK e.V.), Partner Site  Munich Heart Alliance, Munich, Germany.; German Heart Centre Munich, Department of Cardiology, Technical University of  Munich, Munich, Germany.; German Research Center for Cardiovascular Research (DZHK e.V.), Partner Site  Munich Heart Alliance, Munich, Germany.; Wellcome Centre for Human Genetics, University of Oxford, Oxford, UK.; William Harvey Research Institute, Barts and the London School of Medicine and  Dentistry, Queen Mary University of London, London, UK.; German Heart Centre Munich, Department of Cardiology, Technical University of  Munich, Munich, Germany.; Department of Genetics and Genomic Science, Icahn Institute for Genomics and  Multiscale Biology, Icahn School of Medicine at Mount Sinai, New York, NY, USA.; The Zena and Michael A. Wiener Cardiovascular Institute, Icahn School of Medicine  at Mount Sinai, New York, NY, USA.; German Research Center for Cardiovascular Research (DZHK e.V.), Partner Site  Munich Heart Alliance, Munich, Germany.; Institute of Human Genetics, Helmholtz Zentrum Munchen, German Research Center  for Environmental Health, Neuherberg, Germany.; Klinikum Rechts der Isar, Institute of Human Genetics, Technical University of  Munich, Munich, Germany.; Institute for Cardiogenetics, University of Lubeck, Lubeck, Germany.; German Research Center for Cardiovascular Research (DZHK), Partner Site  Hamburg/Lubeck/Kiel, Lubeck, Germany.; Institute for Cardiogenetics, University of Lubeck, Lubeck, Germany.; German Research Center for Cardiovascular Research (DZHK), Partner Site  Hamburg/Lubeck/Kiel, Lubeck, Germany.; CTSU-Nuffield Department of Population Health, Medical Sciences Division,  University of Oxford, Oxford, UK.; Department of Internal Medicine, Division of Cardiology, University of Michigan,  Ann Arbor, MI, USA.; Department of Public Health and Nursing, K.G. Jebsen Center for Genetic  Epidemiology, Norwegian University of Science and Technology, NTNU, Trondheim,  Norway.; School of Medicine and University Hospital Bonn, Institute of Human Genetics,  University of Bonn, Bonn, Germany.; German Heart Centre Munich, Department of Cardiology, Technical University of  Munich, Munich, Germany.; Institute for Cardiogenetics, University of Lubeck, Lubeck, Germany.; German Research Center for Cardiovascular Research (DZHK), Partner Site  Hamburg/Lubeck/Kiel, Lubeck, Germany.; Cardiovascular Disease Initiative, Broad Institute of MIT and Harvard, Cambridge,  MA, USA.; William Harvey Research Institute, Barts and the London School of Medicine and  Dentistry, Queen Mary University of London, London, UK.; deCODE Genetics/Amgen, Inc., Reykjavik, Iceland.; German Heart Centre Munich, Department of Cardiology, Technical University of  Munich, Munich, Germany.; German Research Center for Cardiovascular Research (DZHK e.V.), Partner Site  Munich Heart Alliance, Munich, Germany.; Program in Medical and Population Genetics, Broad Institute of MIT and Harvard,  Cambridge, MA, USA.; Analytic and Translational Genetics Unit, Massachusetts General Hospital, Boston,  MA, USA.; Program in Biological and Biomedical Sciences, Harvard Medical School, Boston,  MA, USA.; deCODE Genetics/Amgen, Inc., Reykjavik, Iceland.; Faculty of Medicine, University of Iceland, Reykjavik, Iceland.; Department of Internal Medicine, Division of Cardiology, Landspitali-National  University Hospital of Iceland, Hringbraut, Reykjavik, Iceland.; Program in Medical and Population Genetics, Broad Institute of MIT and Harvard,  Cambridge, MA, USA.; Program in Medical and Population Genetics, Broad Institute of MIT and Harvard,  Cambridge, MA, USA.; Division of Genetics and Genomics, Boston Children&amp;apos;s Hospital, Boston, MA, USA.; Laboratory for Cardiovascular Genomics and Informatics, RIKEN Center for  Integrative Medical Sciences, Tsurumi-ku, Yokohama, Japan.; Program in Medical and Population Genetics, Broad Institute of MIT and Harvard,  Cambridge, MA, USA.; Department of Computational Biology and Medical Sciences, Graduate School of  Frontier Sciences, The University of Tokyo, Tokyo, Japan.; Center for Genomic Medicine, Massachusetts General Hospital, Boston, MA, USA.; Cardiovascular Disease Initiative, Broad Institute of MIT and Harvard, Cambridge,  MA, USA.; Program in Medical and Population Genetics, Broad Institute of MIT and Harvard,  Cambridge, MA, USA.; Department of Cardiovascular Medicine, The University of Tokyo, Tokyo, Japan.; Department of Cardiovascular Medicine, Mayo Clinic, Rochester, MN, USA.; Regeneron Genetics Center, Regeneron Pharmaceuticals, Tarrytown, NY, USA.; Department of Cardiovascular Sciences and NIHR Leicester Biomedical Research  Centre, University of Leicester, Glenfield Hospital, Leicester, UK.; Cardiovascular Genomics and Genetics, University of Arizona College of Medicin,  Phoenix, AZ, USA.; deCODE Genetics/Amgen, Inc., Reykjavik, Iceland.; Faculty of Medicine, University of Iceland, Reykjavik, Iceland.; Department of Internal Medicine, Division of Cardiology, Landspitali-National  University Hospital of Iceland, Hringbraut, Reykjavik, Iceland.; deCODE Genetics/Amgen, Inc., Reykjavik, Iceland.; Faculty of Medicine, University of Iceland, Reykjavik, Iceland.; Department of Cardiovascular Sciences and NIHR Leicester Biomedical Research  Centre, University of Leicester, Glenfield Hospital, Leicester, UK.; Regeneron Genetics Center, Regeneron Pharmaceuticals, Tarrytown, NY, USA.; Department of Genetics and Genomic Sciences, Institute of Genomics and Multiscale  Biology, Icahn School of Medicine at Mount Sinai, New York, NY, USA.; Integrated Cardio Metabolic Centre, Karolinska Institutet, Karolinska  Universitetssjukhuset, Huddinge, Sweden.; Clinical Gene Networks AB, Stockholm, Sweden.; Human Genetics Center, Department of Epidemiology, Human Genetics, and  Environmental Sciences, School of Public Health, The University of Texas Health  Science Center at Houston, Houston, TX, USA.; Human Genome Sequencing Center, Baylor College of Medicine, Houston, TX, USA.; Department of Nutrition-Dietetics, School of Health Science and Education,  Harokopio University, Athens, Greece.; deCODE Genetics/Amgen, Inc., Reykjavik, Iceland.; Department of Public Health and Nursing, K.G. Jebsen Center for Genetic  Epidemiology, Norwegian University of Science and Technology, NTNU, Trondheim,  Norway.; HUNT Research Centre, Norwegian University of Science and Technology, Levanger,  Norway.; Department of Clinical Sciences in Malmo, Lund University, Malmo, Sweden.; Human Genetics Center, Department of Epidemiology, Human Genetics, and  Environmental Sciences, School of Public Health, The University of Texas Health  Science Center at Houston, Houston, TX, USA.; Department of Clinical Sciences in Malmo, Lund University, Malmo, Sweden.; Second Department of Cardiology, Medical School, National and Kapodistrian  University of Athens, University General Hospital Attikon, Athens, Greece.; Department of Cardiac Surgery, Tartu University Hospital and Institute of  Clinical Medicine, Tartu University, Tartu, Estonia.; TIMI Study Group, Division of Cardiovascular Medicine, Brigham and Women&amp;apos;s  Hospital, Harvard Medical School, Boston, MA, USA.; deCODE Genetics/Amgen, Inc., Reykjavik, Iceland.; Faculty of Medicine, University of Iceland, Reykjavik, Iceland.; Harvard T.H.Chan School of Public Health, Boston, MA, USA.; College of Medicine and Health Sciences, Khalifa University, Abu Dhabi, UAE.; Cardiovascular Research Center, Massachusetts General Hospital, Boston, MA, USA.; Cardiovascular Disease Initiative, Broad Institute of MIT and Harvard, Cambridge,  MA, USA.; Radcliffe Department of Medicine, Division of Cardiovascular Medicine, University  of Oxford, Oxford, UK.; Wellcome Centre for Human Genetics, University of Oxford, Oxford, UK.; BHF Cardiovascular Epidemiology Unit, Department of Public Health and Primary  Care, University of Cambridge, Cambridge, UK.; National Institute for Health and Care Research Cambridge Biomedical Research  Centre, Cambridge University Hospitals, Cambridge, UK.; The National Institute for Health and Care Research Blood and Transplant Unit  (NIHR BTRU) in Donor Health and Genomics, University of Cambridge, Cambridge, UK.; Human Genetics, Wellcome Sanger Institute, Saffron Walden, UK.; Health Data Research UK Cambridge, Wellcome Genome Campus and University of  Cambridge, Cambridge, UK.; British Heart Foundation Centre of Research Excellence, Division of  Cardiovascular Medicine, Addenbrooke&amp;apos;s Hospital, Cambridge, UK.; TIMI Study Group, Division of Cardiovascular Medicine, Brigham and Women&amp;apos;s  Hospital, Harvard Medical School, Boston, MA, USA.; Program in Medical and Population Genetics, Broad Institute of MIT and Harvard,  Cambridge, MA, USA.; Analytic and Translational Genetics Unit, Massachusetts General Hospital, Boston,  MA, USA.; Stanley Center for Psychiatric Research, Broad Institute of MIT and Harvard,  Cambridge, MA, USA.; CTSU-Nuffield Department of Population Health, Medical Sciences Division,  University of Oxford, Oxford, UK.; CTSU-Nuffield Department of Population Health, Medical Sciences Division,  University of Oxford, Oxford, UK.; Cardiovascular Disease Initiative, Broad Institute of MIT and Harvard, Cambridge,  MA, USA.; Program in Medical and Population Genetics, Broad Institute of MIT and Harvard,  Cambridge, MA, USA.; Divisions of Cardiovascular Medicine and Genetics, Brigham and Women&amp;apos;s Hospital,  Harvard Medical School, Boston, MA, USA.; Institute for Cardiogenetics, University of Lubeck, Lubeck, Germany.; German Research Center for Cardiovascular Research (DZHK), Partner Site  Hamburg/Lubeck/Kiel, Lubeck, Germany.; Faculty of Medicine, University of Iceland, Reykjavik, Iceland.; German Heart Centre Munich, Department of Cardiology, Technical University of  Munich, Munich, Germany.; German Research Center for Cardiovascular Research (DZHK e.V.), Partner Site  Munich Heart Alliance, Munich, Germany.; Radcliffe Department of Medicine, Division of Cardiovascular Medicine, University  of Oxford, Oxford, UK.; Wellcome Centre for Human Genetics, University of Oxford, Oxford, UK.; Department of Computational Medicine and Bioinformatics, University of Michigan,  Ann Arbor, MI, USA.; Department of Internal Medicine, Division of Cardiology, University of Michigan,  Ann Arbor, MI, USA.; Department of Human Genetics, University of Michigan, Ann Arbor, MI, USA.; William Harvey Research Institute, Barts and the London School of Medicine and  Dentistry, Queen Mary University of London, London, UK.; Princess Al-Jawhara Al-Brahim Centre of Excellence in Research of Hereditary  Disorders (PACER-HD), King Abdulaziz University, Jeddah, Saudi Arabia.; Verve Therapeutics, Cambridge, MA, USA.; BHF Cardiovascular Epidemiology Unit, Department of Public Health and Primary  Care, University of Cambridge, Cambridge, UK. asb38@medschl.cam.ac.uk.; National Institute for Health and Care Research Cambridge Biomedical Research  Centre, Cambridge University Hospitals, Cambridge, UK. asb38@medschl.cam.ac.uk.; The National Institute for Health and Care Research Blood and Transplant Unit  (NIHR BTRU) in Donor Health and Genomics, University of Cambridge, Cambridge, UK.  asb38@medschl.cam.ac.uk.; Health Data Research UK Cambridge, Wellcome Genome Campus and University of  Cambridge, Cambridge, UK. asb38@medschl.cam.ac.uk.; British Heart Foundation Centre of Research Excellence, Division of  Cardiovascular Medicine, Addenbrooke&amp;apos;s Hospital, Cambridge, UK.  asb38@medschl.cam.ac.uk.&lt;/_author_adr&gt;&lt;_collection_scope&gt;SCI;SCIE&lt;/_collection_scope&gt;&lt;_created&gt;65212721&lt;/_created&gt;&lt;_date&gt;2022-12-01&lt;/_date&gt;&lt;_date_display&gt;2022 Dec&lt;/_date_display&gt;&lt;_db_updated&gt;PubMed&lt;/_db_updated&gt;&lt;_doi&gt;10.1038/s41588-022-01233-6&lt;/_doi&gt;&lt;_impact_factor&gt;  38.330&lt;/_impact_factor&gt;&lt;_isbn&gt;1546-1718 (Electronic); 1061-4036 (Print); 1061-4036 (Linking)&lt;/_isbn&gt;&lt;_issue&gt;12&lt;/_issue&gt;&lt;_journal&gt;Nat Genet&lt;/_journal&gt;&lt;_language&gt;eng&lt;/_language&gt;&lt;_modified&gt;65212721&lt;/_modified&gt;&lt;_ori_publication&gt;(c) 2022. The Author(s).&lt;/_ori_publication&gt;&lt;_pages&gt;1803-1815&lt;/_pages&gt;&lt;_subject_headings&gt;Humans; *Coronary Artery Disease/genetics; Genome-Wide Association Study&lt;/_subject_headings&gt;&lt;_tertiary_title&gt;Nature genetic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6474045&amp;amp;query_hl=1&lt;/_url&gt;&lt;_volume&gt;54&lt;/_volume&gt;&lt;/Details&gt;&lt;Extra&gt;&lt;DBUID&gt;{F96A950B-833F-4880-A151-76DA2D6A2879}&lt;/DBUID&gt;&lt;/Extra&gt;&lt;/Item&gt;&lt;/References&gt;&lt;/Group&gt;&lt;Group&gt;&lt;References&gt;&lt;Item&gt;&lt;ID&gt;1391&lt;/ID&gt;&lt;UID&gt;{22E2FF21-4BB6-430A-AE74-F066F0A4160F}&lt;/UID&gt;&lt;Title&gt;Shared genetic etiology and causality between body fat percentage and  cardiovascular diseases: a large-scale genome-wide cross-trait analysis&lt;/Title&gt;&lt;Template&gt;Journal Article&lt;/Template&gt;&lt;Star&gt;0&lt;/Star&gt;&lt;Tag&gt;0&lt;/Tag&gt;&lt;Author&gt;Zhuang, Z; Yao, M; Wong, JYY; Liu, Z; Huang, T&lt;/Author&gt;&lt;Year&gt;2021&lt;/Year&gt;&lt;Details&gt;&lt;_accession_num&gt;33910581&lt;/_accession_num&gt;&lt;_author_adr&gt;Department of Epidemiology &amp;amp; Biostatistics, School of Public Health, Peking  University, China. 38 Xueyuan Road, Beijing, 100191, China.; Department of Statistics and Actuarial Science, The University of Hong Kong, Hong  Kong, China.; Division of Cancer Epidemiology and Genetics, National Cancer Institute, National  Institutes of Health, Rockville, MD, USA.; Department of Statistics and Actuarial Science, The University of Hong Kong, Hong  Kong, China. zhhliu@hku.hk.; Department of Epidemiology &amp;amp; Biostatistics, School of Public Health, Peking  University, China. 38 Xueyuan Road, Beijing, 100191, China.  huangtaotao@pku.edu.cn.; Center for Intelligent Public Health, Academy for Artificial Intelligence, Peking  University, Beijing, 100191, China. huangtaotao@pku.edu.cn.; Key Laboratory of Molecular Cardiovascular Sciences (Peking University), Ministry  of Education, Beijing, 100191, China. huangtaotao@pku.edu.cn.&lt;/_author_adr&gt;&lt;_collection_scope&gt;SCI;SCIE&lt;/_collection_scope&gt;&lt;_created&gt;65212721&lt;/_created&gt;&lt;_date&gt;2021-04-29&lt;/_date&gt;&lt;_date_display&gt;2021 Apr 29&lt;/_date_display&gt;&lt;_db_updated&gt;PubMed&lt;/_db_updated&gt;&lt;_doi&gt;10.1186/s12916-021-01972-z&lt;/_doi&gt;&lt;_impact_factor&gt;   8.775&lt;/_impact_factor&gt;&lt;_isbn&gt;1741-7015 (Electronic); 1741-7015 (Linking)&lt;/_isbn&gt;&lt;_issue&gt;1&lt;/_issue&gt;&lt;_journal&gt;BMC Med&lt;/_journal&gt;&lt;_keywords&gt;Body fat percentage; Cardiovascular diseases; Genetic correlation; Mendelian randomization; Shared genetics&lt;/_keywords&gt;&lt;_language&gt;eng&lt;/_language&gt;&lt;_modified&gt;65212721&lt;/_modified&gt;&lt;_pages&gt;100&lt;/_pages&gt;&lt;_subject_headings&gt;Adipose Tissue; *Cardiovascular Diseases/epidemiology/genetics; Genetic Predisposition to Disease; *Genome-Wide Association Study; Humans; Mendelian Randomization Analysis; Phenotype; Polymorphism, Single Nucleotide&lt;/_subject_headings&gt;&lt;_tertiary_title&gt;BMC medicine&lt;/_tertiary_title&gt;&lt;_type_work&gt;Journal Article; Research Support, Non-U.S. Gov&amp;apos;t&lt;/_type_work&gt;&lt;_url&gt;http://www.ncbi.nlm.nih.gov/entrez/query.fcgi?cmd=Retrieve&amp;amp;db=pubmed&amp;amp;dopt=Abstract&amp;amp;list_uids=33910581&amp;amp;query_hl=1&lt;/_url&gt;&lt;_volume&gt;19&lt;/_volume&gt;&lt;/Details&gt;&lt;Extra&gt;&lt;DBUID&gt;{F96A950B-833F-4880-A151-76DA2D6A2879}&lt;/DBUID&gt;&lt;/Extra&gt;&lt;/Item&gt;&lt;/References&gt;&lt;/Group&gt;&lt;/Citation&gt;_x000a_"/>
    <w:docVar w:name="NE.Ref{89695995-55C5-4984-9F3E-0FA4A126045F}" w:val=" ADDIN NE.Ref.{89695995-55C5-4984-9F3E-0FA4A126045F}&lt;Citation&gt;&lt;Group&gt;&lt;References&gt;&lt;Item&gt;&lt;ID&gt;1408&lt;/ID&gt;&lt;UID&gt;{CBC14599-1B64-4D8C-8A9C-2C50E6D61A11}&lt;/UID&gt;&lt;Title&gt;Multi-phenotype analyses of hemostatic traits with cardiovascular events reveal  novel genetic associations&lt;/Title&gt;&lt;Template&gt;Journal Article&lt;/Template&gt;&lt;Star&gt;0&lt;/Star&gt;&lt;Tag&gt;0&lt;/Tag&gt;&lt;Author&gt;Temprano-Sagrera, G; Sitlani, C M; Bone, W P; Martin-Bornez, M; Voight, B F; Morrison, A C; Damrauer, S M; de Vries, P S; Smith, N L; Sabater-Lleal, M&lt;/Author&gt;&lt;Year&gt;2022&lt;/Year&gt;&lt;Details&gt;&lt;_accession_num&gt;35285134&lt;/_accession_num&gt;&lt;_author_adr&gt;Genomics of Complex Disease Unit, Sant Pau Biomedical Research Institute.  IIB-Sant Pau, Barcelona, Spain.; Cardiovascular Health Research Unit, Department of Medicine, University of  Washington, Seattle, Washington, USA.; Genomics and Computational Biology Graduate Group, Perelman School of Medicine,  University of Pennsylvania, Philadelphia, Pennsylvania, USA.; Genomics of Complex Disease Unit, Sant Pau Biomedical Research Institute.  IIB-Sant Pau, Barcelona, Spain.; Department of Systems Pharmacology and Translational Therapeutics and Department  of Genetics, University of Pennsylvania Perelman School of Medicine,  Philadelphia, Pennsylvania, USA.; Institute of Translational Medicine and Therapeutics, University of Pennsylvania  Perelman School of Medicine, Philadelphia, Pennsylvania, USA.; Human Genetics Center, Department of Epidemiology, Human Genetics, and  Environmental Sciences, School of Public Health, The University of Texas Health  Science Center at Houston, Houston, Texas, USA.; Department of Surgery and Department of Genetics, Perelman School of Medicine,  University of Pennsylvania, Philadelphia, Pennsylvania, USA.; Corporal Michael Crescenz VA Medical Center, Philadelphia, Pennsylvania, USA.; Human Genetics Center, Department of Epidemiology, Human Genetics, and  Environmental Sciences, School of Public Health, The University of Texas Health  Science Center at Houston, Houston, Texas, USA.; Department of Epidemiology, University of Washington, Seattle, Washington, USA.; Kaiser Permanente Washington Health Research Institute, Kaiser Permanente,  Seattle, Washington, USA.; Seattle Epidemiologic Research and Information Center, Department of Veterans  Affairs Office of Research and Development, Seattle, Washington, USA.; Genomics of Complex Disease Unit, Sant Pau Biomedical Research Institute.  IIB-Sant Pau, Barcelona, Spain.; Cardiovascular Medicine Unit, Department of Medicine, Center for Molecular  Medicine, Karolinska Institutet, Stockholm, Sweden.&lt;/_author_adr&gt;&lt;_collection_scope&gt;SCI;SCIE&lt;/_collection_scope&gt;&lt;_created&gt;65212747&lt;/_created&gt;&lt;_date&gt;2022-06-01&lt;/_date&gt;&lt;_date_display&gt;2022 Jun&lt;/_date_display&gt;&lt;_db_updated&gt;PubMed&lt;/_db_updated&gt;&lt;_doi&gt;10.1111/jth.15698&lt;/_doi&gt;&lt;_impact_factor&gt;   5.824&lt;/_impact_factor&gt;&lt;_isbn&gt;1538-7836 (Electronic); 1538-7933 (Print); 1538-7836 (Linking)&lt;/_isbn&gt;&lt;_issue&gt;6&lt;/_issue&gt;&lt;_journal&gt;J Thromb Haemost&lt;/_journal&gt;&lt;_keywords&gt;blood coagulation; cardiovascular diseases; genetic pleiotropy; genome-wide association study; hemostasis&lt;/_keywords&gt;&lt;_language&gt;eng&lt;/_language&gt;&lt;_modified&gt;65212747&lt;/_modified&gt;&lt;_ori_publication&gt;(c) 2022 The Authors. Journal of Thrombosis and Haemostasis published by Wiley _x000d__x000a_      Periodicals LLC on behalf of International Society on Thrombosis and Haemostasis.&lt;/_ori_publication&gt;&lt;_pages&gt;1331-1349&lt;/_pages&gt;&lt;_subject_headings&gt;*Cardiovascular Diseases/diagnosis/genetics; Factor XI/genetics; Genetic Predisposition to Disease; Genome-Wide Association Study; Hemostasis/genetics; *Hemostatics; Humans; Phenotype; Polymorphism, Single Nucleotide; Tissue Plasminogen Activator/genetics&lt;/_subject_headings&gt;&lt;_tertiary_title&gt;Journal of thrombosis and haemostasis : JTH&lt;/_tertiary_title&gt;&lt;_type_work&gt;Journal Article; Research Support, N.I.H., Extramural; Research Support, Non-U.S. Gov&amp;apos;t; Research Support, U.S. Gov&amp;apos;t, Non-P.H.S.&lt;/_type_work&gt;&lt;_url&gt;http://www.ncbi.nlm.nih.gov/entrez/query.fcgi?cmd=Retrieve&amp;amp;db=pubmed&amp;amp;dopt=Abstract&amp;amp;list_uids=35285134&amp;amp;query_hl=1&lt;/_url&gt;&lt;_volume&gt;20&lt;/_volume&gt;&lt;/Details&gt;&lt;Extra&gt;&lt;DBUID&gt;{F96A950B-833F-4880-A151-76DA2D6A2879}&lt;/DBUID&gt;&lt;/Extra&gt;&lt;/Item&gt;&lt;/References&gt;&lt;/Group&gt;&lt;/Citation&gt;_x000a_"/>
    <w:docVar w:name="NE.Ref{89E90F8F-0DC4-41F3-A3CF-8A875248D8FB}" w:val=" ADDIN NE.Ref.{89E90F8F-0DC4-41F3-A3CF-8A875248D8FB}&lt;Citation&gt;&lt;Group&gt;&lt;References&gt;&lt;Item&gt;&lt;ID&gt;637&lt;/ID&gt;&lt;UID&gt;{85BB13F9-08C1-4B82-A244-9B6E057B4A35}&lt;/UID&gt;&lt;Title&gt;Large-scale integration of the plasma proteome with genetics and disease&lt;/Title&gt;&lt;Template&gt;Journal Article&lt;/Template&gt;&lt;Star&gt;0&lt;/Star&gt;&lt;Tag&gt;0&lt;/Tag&gt;&lt;Author&gt;Ferkingstad, E; Sulem, P; Atlason, B A; Sveinbjornsson, G; Magnusson, M I; Styrmisdottir, E L; Gunnarsdottir, K; Helgason, A; Oddsson, A; Halldorsson, B V; Jensson, B O; Zink, F; Halldorsson, G H; Masson, G; Arnadottir, G A; Katrinardottir, H; Juliusson, K; Magnusson, M K; Magnusson, O T; Fridriksdottir, R; Saevarsdottir, S; Gudjonsson, S A; Stacey, S N; Rognvaldsson, S; Eiriksdottir, T; Olafsdottir, T A; Steinthorsdottir, V; Tragante, V; Ulfarsson, M O; Stefansson, H; Jonsdottir, I; Holm, H; Rafnar, T; Melsted, P; Saemundsdottir, J; Norddahl, G L; Lund, S H; Gudbjartsson, D F; Thorsteinsdottir, U; Stefansson, K&lt;/Author&gt;&lt;Year&gt;2021&lt;/Year&gt;&lt;Details&gt;&lt;_accession_num&gt;34857953&lt;/_accession_num&gt;&lt;_author_adr&gt;deCODE genetics/Amgen, Inc., Reykjavik, Iceland.; deCODE genetics/Amgen, Inc., Reykjavik, Iceland. patrick.sulem@decode.is.; deCODE genetics/Amgen, Inc., Reykjavik, Iceland.; deCODE genetics/Amgen, Inc., Reykjavik, Iceland.; deCODE genetics/Amgen, Inc., Reykjavik, Iceland.; deCODE genetics/Amgen, Inc., Reykjavik, Iceland.; deCODE genetics/Amgen, Inc., Reykjavik, Iceland.; deCODE genetics/Amgen, Inc., Reykjavik, Iceland.; Department of Anthropology, University of Iceland, Reykjavik, Iceland.; deCODE genetics/Amgen, Inc., Reykjavik, Iceland.; deCODE genetics/Amgen, Inc., Reykjavik, Iceland.; School of Science and Engineering, Reykjavik University, Reykjavik, Iceland.; deCODE genetics/Amgen, Inc., Reykjavik, Iceland.; deCODE genetics/Amgen, Inc., Reykjavik, Iceland.; deCODE genetics/Amgen, Inc., Reykjavik, Iceland.; deCODE genetics/Amgen, Inc., Reykjavik, Iceland.; deCODE genetics/Amgen, Inc., Reykjavik, Iceland.; deCODE genetics/Amgen, Inc., Reykjavik, Iceland.; deCODE genetics/Amgen, Inc., Reykjavik, Iceland.; deCODE genetics/Amgen, Inc., Reykjavik, Iceland.; Faculty of Medicine, School of Health Sciences, University of Iceland, Reykjavik,  Iceland.; deCODE genetics/Amgen, Inc., Reykjavik, Iceland.; deCODE genetics/Amgen, Inc., Reykjavik, Iceland.; deCODE genetics/Amgen, Inc., Reykjavik, Iceland.; Faculty of Medicine, School of Health Sciences, University of Iceland, Reykjavik,  Iceland.; deCODE genetics/Amgen, Inc., Reykjavik, Iceland.; deCODE genetics/Amgen, Inc., Reykjavik, Iceland.; deCODE genetics/Amgen, Inc., Reykjavik, Iceland.; deCODE genetics/Amgen, Inc., Reykjavik, Iceland.; deCODE genetics/Amgen, Inc., Reykjavik, Iceland.; Faculty of Medicine, School of Health Sciences, University of Iceland, Reykjavik,  Iceland.; deCODE genetics/Amgen, Inc., Reykjavik, Iceland.; deCODE genetics/Amgen, Inc., Reykjavik, Iceland.; deCODE genetics/Amgen, Inc., Reykjavik, Iceland.; Faculty of Electrical and Computer Engineering, University of Iceland, Reykjavik,  Iceland.; deCODE genetics/Amgen, Inc., Reykjavik, Iceland.; deCODE genetics/Amgen, Inc., Reykjavik, Iceland.; Faculty of Medicine, School of Health Sciences, University of Iceland, Reykjavik,  Iceland.; deCODE genetics/Amgen, Inc., Reykjavik, Iceland.; deCODE genetics/Amgen, Inc., Reykjavik, Iceland.; deCODE genetics/Amgen, Inc., Reykjavik, Iceland.; School of Engineering and Natural Sciences, University of Iceland, Reykjavik,  Iceland.; deCODE genetics/Amgen, Inc., Reykjavik, Iceland.; deCODE genetics/Amgen, Inc., Reykjavik, Iceland.; deCODE genetics/Amgen, Inc., Reykjavik, Iceland.; deCODE genetics/Amgen, Inc., Reykjavik, Iceland.; School of Engineering and Natural Sciences, University of Iceland, Reykjavik,  Iceland.; deCODE genetics/Amgen, Inc., Reykjavik, Iceland.; Faculty of Medicine, School of Health Sciences, University of Iceland, Reykjavik,  Iceland.; deCODE genetics/Amgen, Inc., Reykjavik, Iceland. kstefans@decode.is.; Faculty of Medicine, School of Health Sciences, University of Iceland, Reykjavik,  Iceland. kstefans@decode.is.&lt;/_author_adr&gt;&lt;_date_display&gt;2021 Dec&lt;/_date_display&gt;&lt;_date&gt;2021-12-01&lt;/_date&gt;&lt;_doi&gt;10.1038/s41588-021-00978-w&lt;/_doi&gt;&lt;_isbn&gt;1546-1718 (Electronic); 1061-4036 (Linking)&lt;/_isbn&gt;&lt;_issue&gt;12&lt;/_issue&gt;&lt;_journal&gt;Nat Genet&lt;/_journal&gt;&lt;_language&gt;eng&lt;/_language&gt;&lt;_ori_publication&gt;(c) 2021. The Author(s), under exclusive licence to Springer Nature America, Inc.&lt;/_ori_publication&gt;&lt;_pages&gt;1712-1721&lt;/_pages&gt;&lt;_subject_headings&gt;Biomarkers/blood; Blood Proteins/*genetics/metabolism; Disease/*genetics; Female; Gene Frequency; Genetic Variation; Genome-Wide Association Study; Humans; Male; Middle Aged; Proteome/*genetics; Quantitative Trait Loci&lt;/_subject_headings&gt;&lt;_tertiary_title&gt;Nature genetics&lt;/_tertiary_title&gt;&lt;_type_work&gt;Journal Article&lt;/_type_work&gt;&lt;_url&gt;http://www.ncbi.nlm.nih.gov/entrez/query.fcgi?cmd=Retrieve&amp;amp;db=pubmed&amp;amp;dopt=Abstract&amp;amp;list_uids=34857953&amp;amp;query_hl=1&lt;/_url&gt;&lt;_volume&gt;53&lt;/_volume&gt;&lt;_created&gt;65767645&lt;/_created&gt;&lt;_modified&gt;65767645&lt;/_modified&gt;&lt;_db_updated&gt;PubMed&lt;/_db_updated&gt;&lt;_impact_factor&gt;  31.800&lt;/_impact_factor&gt;&lt;_social_category&gt;遗传学(1)&lt;/_social_category&gt;&lt;_collection_scope&gt;SCIE&lt;/_collection_scope&gt;&lt;/Details&gt;&lt;Extra&gt;&lt;DBUID&gt;{03752FAB-B361-4F66-989B-C711D9502F78}&lt;/DBUID&gt;&lt;/Extra&gt;&lt;/Item&gt;&lt;/References&gt;&lt;/Group&gt;&lt;/Citation&gt;_x000a_"/>
    <w:docVar w:name="NE.Ref{913EBB34-9E30-484F-B00B-06B6C9CE4AE0}" w:val=" ADDIN NE.Ref.{913EBB34-9E30-484F-B00B-06B6C9CE4AE0}&lt;Citation&gt;&lt;Group&gt;&lt;References&gt;&lt;Item&gt;&lt;ID&gt;1401&lt;/ID&gt;&lt;UID&gt;{0FAA462E-2F1E-48B8-982C-BB7CE736CB8C}&lt;/UID&gt;&lt;Title&gt;Shared genetic susceptibility to ischemic stroke and coronary artery disease: a  genome-wide analysis of common variants&lt;/Title&gt;&lt;Template&gt;Journal Article&lt;/Template&gt;&lt;Star&gt;0&lt;/Star&gt;&lt;Tag&gt;0&lt;/Tag&gt;&lt;Author&gt;Dichgans, M; Malik, R; Konig, I R; Rosand, J; Clarke, R; Gretarsdottir, S; Thorleifsson, G; Mitchell, B D; Assimes, T L; Levi, C; O&amp;apos;Donnell, C J; Fornage, M; Thorsteinsdottir, U; Psaty, B M; Hengstenberg, C; Seshadri, S; Erdmann, J; Bis, J C; Peters, A; Boncoraglio, G B; Marz, W; Meschia, J F; Kathiresan, S; Ikram, M A; McPherson, R; Stefansson, K; Sudlow, C; Reilly, M P; Thompson, J R; Sharma, P; Hopewell, J C; Chambers, J C; Watkins, H; Rothwell, P M; Roberts, R; Markus, H S; Samani, N J; Farrall, M; Schunkert, H&lt;/Author&gt;&lt;Year&gt;2014&lt;/Year&gt;&lt;Details&gt;&lt;_accession_num&gt;24262325&lt;/_accession_num&gt;&lt;_author_adr&gt;From the Institute for Stroke and Dementia Research, Klinikum der Universitat  Munchen, Ludwig-Maximilians-Universitat, Munich, Germany (M.D., R. Malik); Munich  Cluster for Systems Neurology (SyNergy), Munich, Germany (M.D.); Institut fur  Medizinische Biometrie und Statistik (I.R.K.), and Institut fur integrative und  experimentelle Genomik (J.E.), Universitat zu Lubeck, Lubeck, Germany;  Universitatsklinikum Schleswig-Holstein, Campus Lubeck, Germany (I.R.K.);  Department of Neurology and Center for Human Genetic Research (J.R.), and  Cardiology Division (C.J.O.D.), Massachusetts General Hospital, Boston; Harvard  Medical School, Boston, MA (J.R.); Program in Medical and Population Genetics  (J.R.), and Program in Medical and Population Genetics (S.K.), Broad Institute of  Harvard and MIT, Cambridge, MA; Clinical Trial Service Unit and Epidemiological  Studies Unit (R.C., J.C.H.), Wellcome Trust Centre for Human Genetics (H.W., M.  Farrall), Department of Cardiovascular Medicine (M. Farrall), and Stroke  Prevention Research Unit, Nuffield Department of Clinical Neuroscience (P.M.R.),  John Radcliffe Hospital, University of Oxford, Oxford, United Kingdom; deCODE  Genetics, Reykjavik, Iceland (S.G., G.T., U.T., K.S.); Department of Medicine,  University of Maryland School of Medicine, Baltimore (B.D.M.); Department of  Medicine, Stanford University School of Medicine, Stanford, CA (T.L.A.); Center  for Translational Neuroscience and Mental Health Research, University of  Newcastle, New South Wales, Australia (C.L.); Hunter Medical Research Institute,  New South Wales, Australia (C.L.); National Heart, Lung and Blood Institute and  NHLBI&amp;apos;s Framingham Heart Study, MA (C.J.O.D., S.S.); University of Texas Health  Science Center at Houston (M. Fornage); Cardiovascular Health Research Unit,  Department of Epidemiology (B.M.P.), Department of Medicine (B.M.P.), Department  of Health Services (B.M.P.), and Cardiovascular Health Research Unit, Department  of Medicine (J.C.B.), University&lt;/_author_adr&gt;&lt;_collection_scope&gt;SCI;SCIE&lt;/_collection_scope&gt;&lt;_created&gt;65212740&lt;/_created&gt;&lt;_date&gt;2014-01-01&lt;/_date&gt;&lt;_date_display&gt;2014 Jan&lt;/_date_display&gt;&lt;_db_updated&gt;PubMed&lt;/_db_updated&gt;&lt;_doi&gt;10.1161/STROKEAHA.113.002707&lt;/_doi&gt;&lt;_impact_factor&gt;   7.914&lt;/_impact_factor&gt;&lt;_isbn&gt;1524-4628 (Electronic); 0039-2499 (Print); 0039-2499 (Linking)&lt;/_isbn&gt;&lt;_issue&gt;1&lt;/_issue&gt;&lt;_journal&gt;Stroke&lt;/_journal&gt;&lt;_keywords&gt;coronary artery disease; genetics; meta-analysis; polymorphism, single nucleotide; stroke&lt;/_keywords&gt;&lt;_language&gt;eng&lt;/_language&gt;&lt;_modified&gt;65212740&lt;/_modified&gt;&lt;_pages&gt;24-36&lt;/_pages&gt;&lt;_subject_headings&gt;Brain Ischemia/*epidemiology/*genetics; Coronary Artery Disease/*epidemiology/*genetics; Data Interpretation, Statistical; Genetic Predisposition to Disease/*epidemiology; Genome-Wide Association Study; Humans; Phenotype; Polymorphism, Single Nucleotide; Reproducibility of Results; Risk Factors; Stroke/*epidemiology/*genetics&lt;/_subject_headings&gt;&lt;_tertiary_title&gt;Stroke&lt;/_tertiary_title&gt;&lt;_type_work&gt;Journal Article; Meta-Analysis; Research Support, N.I.H., Extramural; Research Support, N.I.H., Intramural; Research Support, Non-U.S. Gov&amp;apos;t; Review&lt;/_type_work&gt;&lt;_url&gt;http://www.ncbi.nlm.nih.gov/entrez/query.fcgi?cmd=Retrieve&amp;amp;db=pubmed&amp;amp;dopt=Abstract&amp;amp;list_uids=24262325&amp;amp;query_hl=1&lt;/_url&gt;&lt;_volume&gt;45&lt;/_volume&gt;&lt;/Details&gt;&lt;Extra&gt;&lt;DBUID&gt;{F96A950B-833F-4880-A151-76DA2D6A2879}&lt;/DBUID&gt;&lt;/Extra&gt;&lt;/Item&gt;&lt;/References&gt;&lt;/Group&gt;&lt;Group&gt;&lt;References&gt;&lt;Item&gt;&lt;ID&gt;1400&lt;/ID&gt;&lt;UID&gt;{4C0393B5-BFDE-4E36-9A1F-24669028F97F}&lt;/UID&gt;&lt;Title&gt;Stroke genetics informs drug discovery and risk prediction across ancestries&lt;/Title&gt;&lt;Template&gt;Journal Article&lt;/Template&gt;&lt;Star&gt;0&lt;/Star&gt;&lt;Tag&gt;0&lt;/Tag&gt;&lt;Author&gt;Mishra, A; Malik, R; Hachiya, T; Jurgenson, T; Namba, S; Posner, D C; Kamanu, F K; Koido, M; Le Grand, Q; Shi, M; He, Y; Georgakis, M K; Caro, I; Krebs, K; Liaw, Y C; Vaura, F C; Lin, K; Winsvold, B S; Srinivasasainagendra, V; Parodi, L; Bae, H J; Chauhan, G; Chong, M R; Tomppo, L; Akinyemi, R; Roshchupkin, G V; Habib, N; Jee, Y H; Thomassen, J Q; Abedi, V; Carcel-Marquez, J; Nygaard, M; Leonard, H L; Yang, C; Yonova-Doing, E; Knol, M J; Lewis, A J; Judy, R L; Ago, T; Amouyel, P; Armstrong, N D; Bakker, M K; Bartz, T M; Bennett, D A; Bis, J C; Bordes, C; Borte, S; Cain, A; Ridker, P M; Cho, K; Chen, Z; Cruchaga, C; Cole, J W; de Jager, P L; de Cid, R; Endres, M; Ferreira, L E; Geerlings, M I; Gasca, N C; Gudnason, V; Hata, J; He, J; Heath, A K; Ho, Y L; Havulinna, A S; Hopewell, J C; Hyacinth, H I; Inouye, M; Jacob, M A; Jeon, C E; Jern, C; Kamouchi, M; Keene, K L; Kitazono, T; Kittner, S J; Konuma, T; Kumar, A; Lacaze, P; Launer, L J; Lee, K J; Lepik, K; Li, J; Li, L; Manichaikul, A; Markus, H S; Marston, N A; Meitinger, T; Mitchell, B D; Montellano, F A; Morisaki, T; Mosley, T H; Nalls, M A; Nordestgaard, B G; O&amp;apos;Donnell, M J; Okada, Y; Onland-Moret, N C; Ovbiagele, B; Peters, A; Psaty, B M; Rich, S S; Rosand, J; Sabatine, M S; Sacco, R L; Saleheen, D; Sandset, E C; Salomaa, V; Sargurupremraj, M; Sasaki, M; Satizabal, C L; Schmidt, C O; Shimizu, A; Smith, N L; Sloane, K L; Sutoh, Y; Sun, Y V; Tanno, K; Tiedt, S; Tatlisumak, T; Torres-Aguila, N P; Tiwari, H K; Tregouet, D A; Trompet, S; Tuladhar, A M; Tybjaerg-Hansen, A; van Vugt, M; Vibo, R; Verma, S S; Wiggins, K L; Wennberg, P; Woo, D; Wilson, PWF; Xu, H; Yang, Q; Yoon, K; Millwood, I Y; Gieger, C; Ninomiya, T; Grabe, H J; Jukema, J W; Rissanen, I L; Strbian, D; Kim, Y J; Chen, P H; Mayerhofer, E; Howson, JMM; Irvin, M R; Adams, H; Wassertheil-Smoller, S; Christensen, K; Ikram, M A; Rundek, T; Worrall, B B; Lathrop, G M; Riaz, M; Simonsick, E M; Korv, J; Franca, PHC; Zand, R; Prasad, K; Frikke-Schmidt, R; de Leeuw, F E; Liman, T; Haeusler, K G; Ruigrok, Y M; Heuschmann, P U; Longstreth, W T; Jung, K J; Bastarache, L; Pare, G; Damrauer, S M; Chasman, D I; Rotter, J I; Anderson, C D; Zwart, J A; Niiranen, T J; Fornage, M; Liaw, Y P; Seshadri, S; Fernandez-Cadenas, I; Walters, R G; Ruff, C T; Owolabi, M O; Huffman, J E; Milani, L; Kamatani, Y; Dichgans, M; Debette, S&lt;/Author&gt;&lt;Year&gt;2022&lt;/Year&gt;&lt;Details&gt;&lt;_accession_num&gt;36180795&lt;/_accession_num&gt;&lt;_author_adr&gt;Bordeaux Population Health Research Center, University of Bordeaux, Inserm, UMR  1219, Bordeaux, France.; Institute for Stroke and Dementia Research (ISD), University Hospital, LMU  Munich, Munich, Germany.; Iwate Tohoku Medical Megabank Organization, Iwate Medical University, Iwate,  Japan.; Estonian Genome Centre, Institute of Genomics, University of Tartu, Tartu,  Estonia.; Institute of Mathematics and Statistics, University of Tartu, Tartu, Estonia.; Department of Statistical Genetics, Osaka University Graduate School of Medicine,  Suita, Japan.; Massachusetts Veterans Epidemiology Research and Information Center (MAVERIC), VA  Boston Healthcare System, Boston, MA, USA.; TIMI Study Group, Boston, MA, USA.; Division of Cardiovascular Medicine, Brigham and Women&amp;apos;s Hospital, Harvard  Medical School, Boston, MA, USA.; Division of Molecular Pathology, Institute of Medical Sciences, The University of  Tokyo, Tokyo, Japan.; Laboratory of Complex Trait Genomics, Graduate School of Frontier Sciences, The  University of Tokyo, Tokyo, Japan.; Bordeaux Population Health Research Center, University of Bordeaux, Inserm, UMR  1219, Bordeaux, France.; Laboratory of Complex Trait Genomics, Graduate School of Frontier Sciences, The  University of Tokyo, Tokyo, Japan.; Laboratory of Complex Trait Genomics, Graduate School of Frontier Sciences, The  University of Tokyo, Tokyo, Japan.; Institute for Stroke and Dementia Research (ISD), University Hospital, LMU  Munich, Munich, Germany.; Center for Genomic Medicine, Massachusetts General Hospital, Boston, MA, USA.; Program in Medical and Population Genetics, Broad Institute of Harvard and the  Massachusetts Institute of Technology, Cambridge, MA, USA.; Bordeaux Population Health Research Center, University of Bordeaux, Inserm, UMR  1219, Bordeaux, France.; Estonian Genome Centre, Institute of Genomics, University of Tartu, Tartu,  Estonia.; Laboratory of Clinical Genome Sequencing, Department of Computational Biology and  Medical Sciences, Graduate School of Frontier Sciences, The University of Tokyo,  Tokyo, Japan.; Department of Public Health and Institute of Public Health, Chung Shan Medical  University, Taichung, Taiwan.; Department of Internal Medicine, University of Turku, Turku, Finland.; Department of Public Health and Welfare, Finnish Institute for Health and  Welfare, Turku, Finland.; Nuffield Department of Population Health, University of Oxford, Oxford, UK.;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Department of Neurology, Oslo University Hospital, Oslo, Norway.; Department of Biostatistics, School of Public Health, University of Alabama at  Birmingham, Birmingham, AL, USA.; Center for Genomic Medicine, Massachusetts General Hospital, Boston, MA, USA.; Program in Medical and Population Genetics, Broad Institute of Harvard and the  Massachusetts Institute of Technology, Cambridge, MA, USA.; Department of Neurology and Cerebrovascular Disease Center, Seoul National  University Bundang Hospital, Seoul National University College of Medicine,  Seongnam, Republic of Korea.; Rajendra Institute of Medical Sciences, Ranchi, India.; Thrombosis and Atherosclerosis Research Institute, David Braley Cardiac, Vascular  and Stroke Research Institute, Hamilton, Ontario, Canada.; Department of Pathology and Molecular Medicine, Michael G. DeGroote School of  Medicine, McMaster University, Hamilton, Ontario, Canada.; Department of Neurology, Helsinki University Hospital and University of Helsinki,  Helsinki, Finland.; Center for Genomic and Precision Medicine, College of Medicine, University of  Ibadan, Ibadan, Nigeria.; Neuroscience and Ageing Research Unit Institute for Advanced Medical Research and  Training, College of Medicine, University of Ibadan, Ibadan, Nigeria.; Department of Epidemiology, Erasmus MC University Medical Center Rotterdam,  Rotterdam, The Netherlands.; Department of Radiology and Nuclear Medicine, Erasmus MC University Medical  Center Rotterdam, Rotterdam, The Netherlands.; The Edmond and Lily Safra Center for Brain Sciences, The Hebrew University of  Jerusalem, Jerusalem, Israel.; Department of Epidemiology, Harvard T. H. Chan School of Public Health, Boston,  MA, USA.; Department of Clinical Biochemistry, Copenhagen University  Hospital-Rigshospitalet, Copenhagen, Denmark.; Department of Molecular and Functional Genomics, Weis Center for Research,  Geisinger Health System, Danville, VA, USA.; Department of Public Health Sciences, College of Medicine, The Pennsylvania State  University, State College, PA, USA.; Stroke Pharmacogenomics and Genetics Laboratory, Biomedical Research Institute  Sant Pau (IIB Sant Pau), Barcelona, Spain.; Departament de Medicina, Universitat Autonoma de Barcelona, Barcelona, Spain.; The Danish Twin Registry, Department of Public Health, University of Southern  Denmark, Odense, Denmark.; Department of Clinical Genetics, Odense University Hospital, Odense, Denmark.; Center for Alzheimer&amp;apos;s and Related Dementias, National Institutes of Health,  Bethesda, MD, USA.; Laboratory of Neurogenetics, National Institute on Aging, National Institutes of  Health, Bethesda, MD, USA.; Data Tecnica International, Glen Echo, MD, USA.; Center for Public Health Genomics, University of Virginia, Charlottesville, VA,  USA.; Department of Biochemistry and Molecular Genetics, University of Virginia,  Charlottesville, VA, USA.; British Heart Foundation Cardiovascular Epidemiology Unit, Department of Public  Health and Primary Care, University of Cambridge, Cambridge, UK.; Department of Genetics, Novo Nordisk Research Centre Oxford, Oxford, UK.; Department of Epidemiology, Erasmus MC University Medical Center Rotterdam,  Rotterdam, The Netherlands.; Department of Biomedical Informatics, Vanderbilt University Medical Center,  Nashville, TN, USA.; Department of Surgery, University of Pennsylvania, Philadelphia, PA, USA.; Department of Medicine and Clinical Science, Graduate School of Medical Sciences,  Kyushu University, Fukuoka, Japan.; University of Lille, INSERM U1167, RID-AGE, LabEx DISTALZ, Risk Factors and  Molecular Determinants of Aging-Related Diseases, Lille, France.; CHU Lille, Public Health Department, Lille, France.; Institut Pasteur de Lille, Lille, France.; Department of Epidemiology, University of Alabama at Birmingham, Birmingham, AL,  USA.; UMC Utrecht Brain Center, Department of Neurology and Neurosurgery, University  Medical Center Utrecht, University Utrecht, Utrecht, The Netherlands.; Cardiovascular Health Research Unit, Department of Medicine, University of  Washington, Seattle, WA, USA.; Department of Biostatistics, University of Washington, Seattle, WA, USA.; Rush Alzheimer&amp;apos;s Disease Center, Rush University Medical Center, Chicago, IL,  USA.; Cardiovascular Health Research Unit, Department of Medicine, University of  Washington, Seattle, WA, USA.; Bordeaux Population Health Research Center, University of Bordeaux, Inserm, UMR  1219, Bordeaux, France.; K. G. Jebsen Center for Genetic Epidemiology, Department of Public Health and  Nursing, Faculty of Medicine and Health Sciences, Norwegian University of Science  and Technology (NTNU), Trondheim, Norway.; Institute of Clinical Medicine, Faculty of Medicine, University of Oslo, Oslo,  Norway.; Research and Communication Unit for Musculoskeletal Health (FORMI), Department of  Research and Innovation, Division of Clinical Neuroscience, Oslo University  Hospital, Oslo, Norway.; The Edmond and Lily Safra Center for Brain Sciences, The Hebrew University of  Jerusalem, Jerusalem, Israel.; Division of Preventive Medicine, Brigham and Women&amp;apos;s Hospital, Boston, MA, USA.; Harvard Medical School, Boston, MA, USA.; Massachusetts Veterans Epidemiology Research and Information Center (MAVERIC), VA  Boston Healthcare System, Boston, MA, USA.; Nuffield Department of Population Health, University of Oxford, Oxford, UK.; MRC Population Health Research Unit, University of Oxford, Oxford, UK.; Department of Psychiatry, Washington University School of Medicine, Saint Louis,  MO, USA.; NeuroGenomics and Informatics Center, Washington University School of Medicine,  Saint Louis, MO, USA.; VA Maryland Health Care System, Baltimore, MD, USA.; Department of Neurology, University of Maryland School of Medicine, Baltimore,  MD, USA.; Program in Medical and Population Genetics, Broad Institute of Harvard and the  Massachusetts Institute of Technology, Cambridge, MA, USA.; Center for Translational and Computational Neuroimmunology, Department of  Neurology, Columbia University Medical Center, New York, NY, USA.; GenomesForLife-GCAT Lab Group, Germans Trias i Pujol Research Institute (IGTP),  Badalona, Spain.; Klinik und Hochschulambulanz fur Neurologie, Charite-Universitatsmedizin Berlin,  Berlin, Germany.; Center for Stroke Research Berlin, Berlin, Germany.; German Center for Neurodegenerative Diseases (DZNE), partner site Berlin, Berlin,  Germany.; German Centre for Cardiovascular Research (DZHK), partner site Berlin, Berlin,  Germany.; Post-Graduation Program on Health and Environment, Department of Medicine and  Joinville Stroke Biobank, University of the Region of Joinville, Santa Catarina,  Brazil.; Department of Epidemiology, Julius Center for Health Sciences and Primary Care,  University Medical Center Utrecht, Utrecht University, Utrecht, The Netherlands.; Department of Biostatistics, University of Washington, Seattle, WA, USA.; Icelandic Heart Association, Kopavogur, Iceland.; Faculty of Medicine, University of Iceland, Reykjavik, Iceland.; Department of Epidemiology and Public Health, Graduate School of Medical  Sciences, Kyushu University, Fukuoka, Japan.; Department of Biomedical Informatics, Vanderbilt University Medical Center,  Nashville, TN, USA.; Department of Epidemiology and Biostatistics, School of Public Health, Imperial  College London, London, UK.; Massachusetts Veterans Epidemiology Research and Information Center (MAVERIC), VA  Boston Healthcare System, Boston, MA, USA.; Department of Public Health and Welfare, Finnish Institute for Health and  Welfare, Helsinki, Finland.; Institute for Molecular Medicine Finland, FIMM-HiLIFE, Helsinki, Finland.; Clinical Trial Service and Epidemiological Studies Unit (CTSU), Nuffield  Department of Population Health, University of Oxford, Oxford, UK.; Department of Neurology and Rehabilitation Medicine, University of Cincinnati  College of Medicine, Cincinnati, OH, USA.; British Heart Foundation Cardiovascular Epidemiology Unit, Department of Public  Health and Primary Care, University of Cambridge, Cambridge, UK.; Cambridge Baker Systems Genomics Initiative, Department of Public Health and  Primary Care, University of Cambridge, Cambridge, UK.; Cambridge Baker Systems Genomics Initiative, Baker Heart and Diabetes Institute,  Melbourne, Victoria, Australia.; Health Data Research UK Cambridge, Wellcome Genome Campus and University of  Cambridge, Cambridge, UK.; British Heart Foundation Centre of Research Excellence, University of Cambridge,  Cambridge, UK.; Department of Neurology, Donders Center for Medical Neuroscience, Radboud  University Medical Center, Nijmegen, The Netherlands.; Los Angeles County Department of Public Health, Los Angeles, CA, USA.; Institute of Biomedicine, Department of Laboratory Medicine, the Sahlgrenska  Academy, University of Gothenburg, Gothenburg, Sweden.; Department of Clinical Genetics and Genomics, Sahlgrenska University Hospital,  Gothenburg, Sweden.; Department of Health Care Administration and Management, Graduate School of  Medical Sciences, Kyushu University, Fukuoka, Japan.; Department of Biology, Brody School of Medicine Center for Health Disparities,  East Carolina University, Greenville, NC, USA.; Department of Medicine and Clinical Science, Graduate School of Medical Sciences,  Kyushu University, Fukuoka, Japan.; Department of Neurology, University of Maryland School of Medicine, Baltimore,  MD, USA.; Department of Neurology and Geriatric Research and Education Clinical Center, VA  Maryland Health Care System, Baltimore, MD, USA.; Department of Statistical Genetics, Osaka University Graduate School of Medicine,  Suita, Japan.; Rajendra Institute of Medical Sciences, Ranchi, India.; Department of Epidemiology and Preventive Medicine, School of Public Health and  Preventive Medicine, Monash University, Melbourne, Victoria, Australia.; Intramural Research Program, National Institute on Aging, NIH, Baltimore, MD,  USA.; Department of Neurology, Korea University Guro Hospital, Seoul, Republic of  Korea.; Estonian Genome Centre, Institute of Genomics, University of Tartu, Tartu,  Estonia.; Department of Computational Biology, University of Lausanne, Lausanne,  Switzerland.; Swiss Institute of Bioinformatics, Lausanne, Switzerland.; University Center for Primary Care and Public Health, Lausanne, Switzerland.; Department of Molecular and Functional Genomics, Weis Center for Research,  Geisinger Health System, Danville, VA, USA.; Department of Epidemiology and Biostatistics, School of Public Health, Peking  University Health Science Center, Beijing, China.; Center for Public Health Genomics, University of Virginia, Charlottesville, VA,  USA.; Stroke Research Group, Department of Clinical Neurosciences, University of  Cambridge, Cambridge, UK.; TIMI Study Group, Boston, MA, USA.; Division of Cardiovascular Medicine, Brigham and Women&amp;apos;s Hospital, Harvard  Medical School, Boston, MA, USA.; Institute of Human Genetics, Technical University of Munich, Munich, Germany.; Institute of Human Genetics, Helmholtz Zentrum Munchen, German Research Center  for Environmental Health, Neuherberg, Germany.; Department of Medicine, University of Maryland School of Medicine, Baltimore, MD,  USA.; Geriatrics Research and Education Clinical Center, Baltimore Veterans  Administration Medical Center, Baltimore, MD, USA.; Institute of Clinical Epidemiology and Biometry, University of Wurzburg,  Wurzburg, Germany.; Department of Neurology, University Hospital Wurzburg, Wurzburg, Germany.; Division of Molecular Pathology, Institute of Medical Sciences, The University of  Tokyo, Tokyo, Japan.; The MIND Center, University of Mississippi Medical Center, Jackson, MS, USA.; Center for Alzheimer&amp;apos;s and Related Dementias, National Institutes of Health,  Bethesda, MD, USA.; Laboratory of Neurogenetics, National Institute on Aging, National Institutes of  Health, Bethesda, MD, USA.; Data Tecnica International, Glen Echo, MD, USA.; Department of Clinical Biochemistry, Copenhagen University Hospital-Herlev and  Gentofte, Copenhagen, Denmark.; Department of Clinical Medicine, University of Copenhagen, Copenhagen, Denmark.; College of Medicine Nursing and Health Science, NUI Galway, Galway, Ireland.; Department of Statistical Genetics, Osaka University Graduate School of Medicine,  Suita, Japan.; Department of Genome Informatics, Graduate School of Medicine, The University of  Tokyo, Tokyo, Japan.; Laboratory for Systems Genetics, RIKEN Center for Integrative Medical Sciences,  Yokohama, Japan.; Laboratory of Statistical Immunology, Immunology Frontier Research Center  (WPI-IFReC), Osaka University, Suita, Japan.; Integrated Frontier Research for Medical Science Division, Institute for Open and  Transdisciplinary Research Initiatives, Osaka University, Suita, Japan.; Center for Infectious Disease Education and Research (CiDER), Osaka University,  Suita, Japan.; Department of Epidemiology, Julius Center for Health Sciences and Primary Care,  University Medical Center Utrecht, Utrecht University, Utrecht, The Netherlands.; Weill Institute for Neurosciences, University of California, San Francisco, San  Francisco, CA, USA.; Institute of Epidemiology, Helmholtz Zentrum Munchen,, German Research Center for  Environmental Health, Neuherberg, Germany.; Institute for Medical Information Processing, Biometry and Epidemiology, Ludwig  Maximilian University Munich, Munich, Germany.; German Centre for Cardiovascular Research (DZHK), partner site Munich, Munich,  Germany.; Cardiovascular Health Research Unit, Department of Medicine, University of  Washington, Seattle, WA, USA.; Department of Epidemiology, University of Washington, Seattle, WA, USA.; Department of Health Systems and Population Health, University of Washington,  Seattle, WA, USA.; Center for Public Health Genomics, University of Virginia, Charlottesville, V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TIMI Study Group, Boston, MA, USA.; Division of Cardiovascular Medicine, Brigham and Women&amp;apos;s Hospital, Harvard  Medical School, Boston, MA, USA.; Department of Neurology, University of Miami Miller School of Medicine, Miami,  FL, USA.; Evelyn F. McKnight Brain Institute, Gainesville, FL, USA.; Division of Cardiology, Department of Medicine, Columbia University, New York,  NY, USA.; Stroke Unit, Department of Neurology, Oslo University Hospital, Oslo, Norway.; Research and Development, The Norwegian Air Ambulance Foundation, Oslo, Norway.; Department of Public Health and Welfare, Finnish Institute for Health and  Welfare, Helsinki, Finland.; Glenn Biggs Institute for Alzheimer&amp;apos;s and Neurodegenerative Diseases, University  of Texas Health Sciences Center, San Antonio, TX, USA.; Iwate Tohoku Medical Megabank Organization, Iwate Medical University, Iwate,  Japan.; Glenn Biggs Institute for Alzheimer&amp;apos;s and Neurodegenerative Diseases, University  of Texas Health Sciences Center, San Antonio, TX, USA.; Framingham Heart Study, Framingham, MA, USA.; University Medicine Greifswald, Institute for Community Medicine, SHIP/KEF,  Greifswald, Germany.; Iwate Tohoku Medical Megabank Organization, Iwate Medical University, Iwate,  Japan.; Department of Epidemiology, University of Washington, Seattle, WA, USA.; Kaiser Permanente Washington Health Research Institute, Kaiser Permanente  Washington, Seattle, WA, USA.; Department of Veterans Affairs Office of Research and Development, Seattle  Epidemiologic Research and Information Center, Seattle, WA, USA.; Department of Neurology, University of Pennsylvania, Philadelphia, PA, USA.; Iwate Tohoku Medical Megabank Organization, Iwate Medical University, Iwate,  Japan.; Atlanta VA Health Care System, Decatur, GA, USA.; Department of Epidemiology, Emory University Rollins School of Public Health,  Atlanta, GA, USA.; Iwate Tohoku Medical Megabank Organization, Iwate Medical University, Iwate,  Japan.; Institute for Stroke and Dementia Research (ISD), University Hospital, LMU  Munich, Munich, Germany.; Department of Clinical Neuroscience, Institute of Neuroscience and Physiology,  Sahlgrenska Unviersity Hospital, Gothenburg, Sweden.; Stroke Pharmacogenomics and Genetics Laboratory, Biomedical Research Institute  Sant Pau (IIB Sant Pau), Barcelona, Spain.; Department of Biostatistics, School of Public Health, University of Alabama at  Birmingham, Birmingham, AL, USA.; Bordeaux Population Health Research Center, University of Bordeaux, Inserm, UMR  1219, Bordeaux, France.; Department of Internal Medicine, Section of Gerontology and Geriatrics, Leiden  University Medical Center, Leiden, The Netherlands.; Department of Cardiology, Leiden University Medical Center, Leiden, The  Netherlands.; Department of Neurology, Donders Center for Medical Neuroscience, Radboud  University Medical Center, Nijmegen, The Netherlands.; Department of Clinical Biochemistry, Copenhagen University  Hospital-Rigshospitalet, Copenhagen, Denmark.; Department of Clinical Medicine, University of Copenhagen, Copenhagen, Denmark.; Division Heart &amp;amp; Lungs, Department of Cardiology, University Medical Center  Utrecht, Utrecht University, Utrecht, The Netherlands.; Department of Neurology and Neurosurgery, University of Tartu, Tartu, Estonia.; Department of Pathology and Laboratory Medicine, University of Pennsylvania,  Philadelphia, PA, USA.; Cardiovascular Health Research Unit, Department of Medicine, University of  Washington, Seattle, WA, USA.; Department of Public Health and Clinical Medicine, Umea University, Umea, Sweden.; Department of Neurology and Rehabilitation Medicine, University of Cincinnati  College of Medicine, Cincinnati, OH, USA.; Atlanta VA Health Care System, Decatur, GA, USA.; Department of Medicine, Division of Cardiovascular Disease, Emory University  School of Medicine, Atlanta, GA, USA.; Department of Medicine, University of Maryland School of Medicine, Baltimore, MD,  USA.; Framingham Heart Study, Framingham, MA, USA.; Department of Biostatistics, Boston University School of Public Health, Boston,  MA, USA.; Division of Genome Science, Department of Precision Medicine, National Institute  of Health, Cheongju, Republic of Korea.; Nuffield Department of Population Health, University of Oxford, Oxford, UK.; MRC Population Health Research Unit, University of Oxford, Oxford, UK.; Research Unit Molecular Epidemiology, Institute of Epidemiology, Helmholtz  Zentrum Munchen, German Research Center for Environmental Health, Neuherberg,  Germany.; Department of Epidemiology and Public Health, Graduate School of Medical  Sciences, Kyushu University, Fukuoka, Japan.; Department of Psychiatry and Psychotherapy, University Medicine Greifswald,  Greifswald, Germany.; German Center for Neurodegenerative Diseases (DZNE), site Rostock/Greifswald,  Rostock, Germany.; Department of Cardiology, Leiden University Medical Center, Leiden, The  Netherlands.; Netherlands Heart Institute, Utrecht, The Netherlands.; Einthoven Laboratory for Experimental Vascular Medicine, LUMC, Leiden, The  Netherlands.; Department of Epidemiology, Julius Center for Health Sciences and Primary Care,  University Medical Center Utrecht, Utrecht University, Utrecht, The Netherlands.; Department of Neurology, Helsinki University Hospital and University of Helsinki,  Helsinki, Finland.; Division of Genome Science, Department of Precision Medicine, National Institute  of Health, Cheongju, Republic of Korea.; Department of Public Health and Institute of Public Health, Chung Shan Medical  University, Taichung, Taiwan.; Center for Genomic Medicine, Massachusetts General Hospital, Boston, MA, USA.; Program in Medical and Population Genetics, Broad Institute of Harvard and the  Massachusetts Institute of Technology, Cambridge, MA, USA.; British Heart Foundation Cardiovascular Epidemiology Unit, Department of Public  Health and Primary Care, University of Cambridge, Cambridge, UK.; Department of Genetics, Novo Nordisk Research Centre Oxford, Oxford, UK.; Department of Epidemiology, University of Alabama at Birmingham, Birmingham, AL,  USA.; Department of Clinical Genetics, Department of Radiology and Nuclear Medicine,  Erasmus MC, Rotterdam, The Netherlands.; Latin American Brain Health (BrainLat), Universidad Adolfo Ibanez, Santiago,  Chile.; Department of Epidemiology and Population Health, Albert Einstein College of  Medicine, New York, NY, USA.; The Danish Twin Registry, Department of Public Health, University of Southern  Denmark, Odense, Denmark.; Department of Clinical Genetics, Odense University Hospital, Odense, Denmark.; Department of Clinical Biochemistry and Pharmacology, Odense University Hospital,  Odense, Denmark.; Department of Epidemiology, Erasmus MC University Medical Center Rotterdam,  Rotterdam, The Netherlands.; Department of Neurology, University of Miami Miller School of Medicine, Miami,  FL, USA.; Evelyn F. McKnight Brain Institute, Gainesville, FL, USA.; Department of Neurology, University of Virginia, Charlottesville, VA, USA.; Department of Public Health Science, University of Virginia, Charlottesville, VA,  USA.; McGill Genome Centre, Montreal, Quebec, Canada.; Department of Epidemiology and Preventive Medicine, School of Public Health and  Preventive Medicine, Monash University, Melbourne, Victoria, Australia.; Longitudinal Studies Section, Translational Gerontology Branch, National  Institute on Aging, Baltimore, MD, USA.; Department of Neurology and Neurosurgery, University of Tartu, Tartu, Estonia.; Post-Graduation Program on Health and Environment, Department of Medicine and  Joinville Stroke Biobank, University of the Region of Joinville, Santa Catarina,  Brazil.; Geisinger Neuroscience Institute, Geisinger Health System, Danville, PA, USA.; Department of Neurology, College of Medicine, The Pennsylvania State University,  State College, PA, USA.; Rajendra Institute of Medical Sciences, Ranchi, India.; Department of Clinical Biochemistry, Copenhagen University  Hospital-Rigshospitalet, Copenhagen, Denmark.; Department of Clinical Medicine, University of Copenhagen, Copenhagen, Denmark.; Department of Neurology, Donders Center for Medical Neuroscience, Radboud  University Medical Center, Nijmegen, The Netherlands.; Center for Stroke Research Berlin, Berlin, Germany.; Department of Epidemiology, Julius Center for Health Sciences and Primary Care,  University Medical Center Utrecht, Utrecht University, Utrecht, The Netherlands.; Klinik fur Neurologie, Carl von Ossietzky University of Oldenburg, Oldenburg,  Germany.; Department of Neurology, University Hospital Wurzburg, Wurzburg, Germany.; UMC Utrecht Brain Center, Department of Neurology and Neurosurgery, University  Medical Center Utrecht, University Utrecht, Utrecht, The Netherlands.; Institute of Clinical Epidemiology and Biometry, University of Wurzburg,  Wurzburg, Germany.; Comprehensive Heart Failure Center, University Hospital Wurzburg, Wurzburg,  Germany.; Clinical Trial Center, University Hospital Wurzburg, Wurzburg, Germany.; Department of Epidemiology, University of Washington, Seattle, WA, USA.; Department of Neurology, University of Washington, Seattle, WA, USA.; Nuffield Department of Population Health, University of Oxford, Oxford, UK.; Institute for Health Promotion, Graduate School of Public Health, Yonsei  University, Seoul, Republic of Korea.; Department of Biomedical Informatics, Vanderbilt University Medical Center,  Nashville, TN, USA.; Thrombosis and Atherosclerosis Research Institute, David Braley Cardiac, Vascular  and Stroke Research Institute, Hamilton, Ontario, Canada.; Department of Pathology and Molecular Medicine, Michael G. DeGroote School of  Medicine, McMaster University, Hamilton, Ontario, Canada.; Department of Health Research Methods, Evidence and Impact, McMaster University,  Hamilton, Ontario, Canada.; Population Health Research Institute, David Braley Cardiac, Vascular and Stroke  Research Institute, Hamilton, Ontario, Canada.; Department of Surgery and Department of Genetics, University of Pennsylvania,  Philadelphia, PA, USA.; Corporal Michael Crescenz VA Medical Center, Philadelphia, PA, USA.; Division of Preventive Medicine, Brigham and Women&amp;apos;s Hospital, Boston, MA, USA.; Harvard Medical School, Boston, MA, USA.; The Institute for Translational Genomics and Population Sciences, Department of  Pediatrics, The Lundquist Institute for Biomedical Innovation at Harbor-UCLA  Medical Center, Torrance, CA, USA.; Center for Genomic Medicine, Massachusetts General Hospital, Boston, MA, USA.; Program in Medical and Population Genetics, Broad Institute of Harvard and the  Massachusetts Institute of Technology, Cambridge, MA, USA.; McCance Center for Brain Health, Massachusetts General Hospital, Boston, MA, USA.; Department of Neurology, Brigham and Women&amp;apos;s Hospital, Boston, MA, USA.; Department of Research and Innovation, Division of Clinical Neuroscience, Oslo  University Hospital, Oslo, Norway.; K. G. Jebsen Center for Genetic Epidemiology, Department of Public Health and  Nursing, Faculty of Medicine and Health Sciences, Norwegian University of Science  and Technology (NTNU), Trondheim, Norway.; Institute of Clinical Medicine, Faculty of Medicine, University of Oslo, Oslo,  Norway.; Department of Internal Medicine, University of Turku, Turku, Finland.; Department of Public Health and Welfare, Finnish Institute for Health and  Welfare, Turku, Finland.; Division of Medicine, Turku University Hospital, Turku, Finland.; Brown Foundation Institute of Molecular Medicine, McGovern Medical School,  University of Texas Health Science Center at Houston, Houston, TX, USA.; Human Genetics Center, School of Public Health, University of Texas Health  Science Center at Houston, Houston, TX, USA.; Department of Public Health and Institute of Public Health, Chung Shan Medical  University, Taichung, Taiwan.; Department of Medical Imaging, Chung Shan Medical University Hospital, Taichung,  Taiwan.; Glenn Biggs Institute for Alzheimer&amp;apos;s and Neurodegenerative Diseases, University  of Texas Health Sciences Center, San Antonio, TX, USA.; Framingham Heart Study, Framingham, MA, USA.; Department of Neurology, Boston University School of Medicine, Boston, MA, USA.; Stroke Pharmacogenomics and Genetics Laboratory, Biomedical Research Institute  Sant Pau (IIB Sant Pau), Barcelona, Spain.; Nuffield Department of Population Health, University of Oxford, Oxford, UK.; MRC Population Health Research Unit, University of Oxford, Oxford, UK.; TIMI Study Group, Boston, MA, USA.; Division of Cardiovascular Medicine, Brigham and Women&amp;apos;s Hospital, Harvard  Medical School, Boston, MA, USA.; Center for Genomic and Precision Medicine, College of Medicine, University of  Ibadan, Ibadan, Nigeria.; Department of Medicine, University of Ibadan, Ibadan, Nigeria.; Massachusetts Veterans Epidemiology Research and Information Center (MAVERIC), VA  Boston Healthcare System, Boston, MA, USA.; Estonian Genome Centre, Institute of Genomics, University of Tartu, Tartu,  Estonia.; Laboratory of Complex Trait Genomics, Graduate School of Frontier Sciences, The  University of Tokyo, Tokyo, Japan.; Institute for Stroke and Dementia Research (ISD), University Hospital, LMU  Munich, Munich, Germany. Martin.Dichgans@med.uni-muenchen.de.; Munich Cluster for Systems Neurology, Munich, Germany.  Martin.Dichgans@med.uni-muenchen.de.; German Center for Neurodegenerative Diseases (DZNE), Munich, Germany.  Martin.Dichgans@med.uni-muenchen.de.; Bordeaux Population Health Research Center, University of Bordeaux, Inserm, UMR  1219, Bordeaux, France. stephanie.debette@u-bordeaux.fr.; Department of Neurology, Institute for Neurodegenerative Diseases, CHU de  Bordeaux, Bordeaux, France. stephanie.debette@u-bordeaux.fr.&lt;/_author_adr&gt;&lt;_collection_scope&gt;SCI;SCIE&lt;/_collection_scope&gt;&lt;_created&gt;65212739&lt;/_created&gt;&lt;_date&gt;2022-11-01&lt;/_date&gt;&lt;_date_display&gt;2022 Nov&lt;/_date_display&gt;&lt;_db_updated&gt;PubMed&lt;/_db_updated&gt;&lt;_doi&gt;10.1038/s41586-022-05165-3&lt;/_doi&gt;&lt;_impact_factor&gt;  49.962&lt;/_impact_factor&gt;&lt;_isbn&gt;1476-4687 (Electronic); 0028-0836 (Print); 0028-0836 (Linking)&lt;/_isbn&gt;&lt;_issue&gt;7934&lt;/_issue&gt;&lt;_journal&gt;Nature&lt;/_journal&gt;&lt;_language&gt;eng&lt;/_language&gt;&lt;_modified&gt;65212739&lt;/_modified&gt;&lt;_ori_publication&gt;(c) 2022. The Author(s).&lt;/_ori_publication&gt;&lt;_pages&gt;115-123&lt;/_pages&gt;&lt;_subject_headings&gt;Humans; Brain Ischemia/genetics; *Drug Discovery; *Genetic Predisposition to Disease/genetics; Genome-Wide Association Study; *Ischemic Stroke/genetics; Molecular Targeted Therapy; Multifactorial Inheritance; Europe/ethnology; Asia, Eastern/ethnology; Africa/ethnology&lt;/_subject_headings&gt;&lt;_tertiary_title&gt;Nature&lt;/_tertiary_title&gt;&lt;_type_work&gt;Journal Article; Meta-Analysis; Research Support, N.I.H., Extramural; Research Support, Non-U.S. Gov&amp;apos;t&lt;/_type_work&gt;&lt;_url&gt;http://www.ncbi.nlm.nih.gov/entrez/query.fcgi?cmd=Retrieve&amp;amp;db=pubmed&amp;amp;dopt=Abstract&amp;amp;list_uids=36180795&amp;amp;query_hl=1&lt;/_url&gt;&lt;_volume&gt;611&lt;/_volume&gt;&lt;/Details&gt;&lt;Extra&gt;&lt;DBUID&gt;{F96A950B-833F-4880-A151-76DA2D6A2879}&lt;/DBUID&gt;&lt;/Extra&gt;&lt;/Item&gt;&lt;/References&gt;&lt;/Group&gt;&lt;Group&gt;&lt;References&gt;&lt;Item&gt;&lt;ID&gt;1382&lt;/ID&gt;&lt;UID&gt;{26AC6E45-7E36-4780-B609-3E354C24B829}&lt;/UID&gt;&lt;Title&gt;A cross-population atlas of genetic associations for 220 human phenotypes&lt;/Title&gt;&lt;Template&gt;Journal Article&lt;/Template&gt;&lt;Star&gt;0&lt;/Star&gt;&lt;Tag&gt;0&lt;/Tag&gt;&lt;Author&gt;Sakaue, S; Kanai, M; Tanigawa, Y; Karjalainen, J; Kurki, M; Koshiba, S; Narita, A; Konuma, T; Yamamoto, K; Akiyama, M; Ishigaki, K; Suzuki, A; Suzuki, K; Obara, W; Yamaji, K; Takahashi, K; Asai, S; Takahashi, Y; Suzuki, T; Shinozaki, N; Yamaguchi, H; Minami, S; Murayama, S; Yoshimori, K; Nagayama, S; Obata, D; Higashiyama, M; Masumoto, A; Koretsune, Y; Ito, K; Terao, C; Yamauchi, T; Komuro, I; Kadowaki, T; Tamiya, G; Yamamoto, M; Nakamura, Y; Kubo, M; Murakami, Y; Yamamoto, K; Kamatani, Y; Palotie, A; Rivas, M A; Daly, M J; Matsuda, K; Okada, Y&lt;/Author&gt;&lt;Year&gt;2021&lt;/Year&gt;&lt;Details&gt;&lt;_accession_num&gt;34594039&lt;/_accession_num&gt;&lt;_author_adr&gt;Department of Statistical Genetics, Osaka University Graduate School of Medicine,  Suita, Japan. ssakaue@bwh.harvard.edu.; Laboratory for Statistical and Translational Genetics, RIKEN Center for  Integrative Medical Sciences, Yokohama, Japan. ssakaue@bwh.harvard.edu.; Center for Data Sciences, Harvard Medical School, Boston, MA, USA.  ssakaue@bwh.harvard.edu.; Divisions of Genetics and Rheumatology, Department of Medicine, Brigham and  Women&amp;apos;s Hospital, Harvard Medical School, Boston, MA, USA.  ssakaue@bwh.harvard.edu.; Program in Medical and Population Genetics, Broad Institute of Harvard and MIT,  Cambridge, MA, USA. ssakaue@bwh.harvard.edu.; Department of Statistical Genetics, Osaka University Graduate School of Medicine,  Suita, Japan.; Program in Medical and Population Genetics, Broad Institute of Harvard and MIT,  Cambridge, MA, USA.; Analytic and Translational Genetics Unit, Massachusetts General Hospital, Boston,  MA, USA.; Stanley Center for Psychiatric Research, Broad Institute of Harvard and MIT,  Cambridge, MA, USA.; Department of Biomedical Informatics, Harvard Medical School, Boston, MA, USA.; Institute for Molecular Medicine Finland (FIMM), University of Helsinki,  Helsinki, Finland.; Department of Biomedical Data Science, School of Medicine, Stanford University,  Stanford, CA, USA.;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Tohoku Medical Megabank Organization, Tohoku University, Sendai, Japan.; Advanced Research Center for Innovations in Next-Generation Medicine (INGEM),  Sendai, Japan.; Tohoku Medical Megabank Organization, Tohoku University, Sendai, Japan.; Department of Statistical Genetics, Osaka University Graduate School of Medicine,  Suita, Japan.; Department of Statistical Genetics, Osaka University Graduate School of Medicine,  Suita, Japan.; Department of Pediatrics, Osaka University Graduate School of Medicine, Suita,  Japan.; Laboratory of Statistical Immunology, Immunology Frontier Research Center  (WPI-IFReC), Osaka University, Suita, Japan.; Laboratory for Statistical and Translational Genetics, RIKEN Center for  Integrative Medical Sciences, Yokohama, Japan.; Department of Ocular Pathology and Imaging Science, Graduate School of Medical  Sciences, Kyushu University, Fukuoka, Japan.; Laboratory for Statistical and Translational Genetics, RIKEN Center for  Integrative Medical Sciences, Yokohama, Japan.; Center for Data Sciences, Harvard Medical School, Boston, MA, USA.; Divisions of Genetics and Rheumatology, Department of Medicine, Brigham and  Women&amp;apos;s Hospital, Harvard Medical School, Boston, MA, USA.; Program in Medical and Population Genetics, Broad Institute of Harvard and MIT,  Cambridge, MA, USA.; Laboratory for Autoimmune Diseases, RIKEN Center for Integrative Medical  Sciences, Yokohama, Japan.; Department of Statistical Genetics, Osaka University Graduate School of Medicine,  Suita, Japan.; Department of Urology, Iwate Medical University, Iwate, Japan.; Department of Internal Medicine and Rheumatology, Juntendo University Graduate  School of Medicine, Tokyo, Japan.; Department of Respiratory Medicine, Juntendo University Graduate School of  Medicine, Tokyo, Japan.; Division of Pharmacology, Department of Biomedical Science, Nihon University  School of Medicine, Tokyo, Japan.; Division of Genomic Epidemiology and Clinical Trials, Clinical Trials Research  Center, Nihon University School of Medicine, Tokyo, Japan.; Division of Genomic Epidemiology and Clinical Trials, Clinical Trials Research  Center, Nihon University School of Medicine, Tokyo, Japan.; Tokushukai Group, Tokyo, Japan.; Tokushukai Group, Tokyo, Japan.; Department of Hematology, Nippon Medical School, Tokyo, Japan.; Department of Bioregulation, Nippon Medical School, Kawasaki, Japan.; Tokyo Metropolitan Geriatric Hospital and Institute of Gerontology, Tokyo, Japan.; Fukujuji Hospital, Japan Anti-Tuberculosis Association, Tokyo, Japan.; The Cancer Institute Hospital of the Japanese Foundation for Cancer Research,  Tokyo, Japan.; Center for Clinical Research and Advanced Medicine, Shiga University of Medical  Science, Otsu, Japan.; Department of General Thoracic Surgery, Osaka International Cancer Institute,  Osaka, Japan.; Aso Iizuka Hospital, Fukuoka, Japan.; National Hospital Organization Osaka National Hospital, Osaka, Japan.; Laboratory for Cardiovascular Genomics and Informatics, RIKEN Center for  Integrative Medical Sciences, Yokohama, Japan.; Laboratory for Statistical and Translational Genetics, RIKEN Center for  Integrative Medical Sciences, Yokohama, Japan.; Department of Diabetes and Metabolic Diseases, Graduate School of Medicine, The  University of Tokyo, Tokyo, Japan.; Department of Cardiovascular Medicine, Graduate School of Medicine, The  University of Tokyo, Tokyo, Japan.; Department of Diabetes and Metabolic Diseases, Graduate School of Medicine, The  University of Tokyo, Tokyo, Japan.; Toranomon Hospital, Tokyo, Japan.; Tohoku Medical Megabank Organization, Tohoku University, Sendai, Japan.; Advanced Research Center for Innovations in Next-Generation Medicine (INGEM),  Sendai, Japan.; Graduate School of Medicine, Tohoku University, Sendai, Japan.; Center for Advanced Intelligence Project, RIKEN, Tokyo, Japan.; Tohoku Medical Megabank Organization, Tohoku University, Sendai, Japan.; Advanced Research Center for Innovations in Next-Generation Medicine (INGEM),  Sendai, Japan.; Graduate School of Medicine, Tohoku University, Sendai, Japan.; Human Genome Center, Institute of Medical Science, The University of Tokyo,  Tokyo, Japan.; Cancer Precision Medicine Center, Japanese Foundation for Cancer Research, Tokyo,  Japan.; RIKEN Center for Integrative Medical Sciences, Yokohama, Japan.; Division of Molecular Pathology, Institute of Medical Science, The University of  Tokyo, Tokyo, Japan.; Laboratory for Autoimmune Diseases, RIKEN Center for Integrative Medical  Sciences, Yokohama, Japan.; Laboratory for Statistical and Translational Genetics, RIKEN Center for  Integrative Medical Sciences, Yokohama, Japan.; Laboratory of Complex Trait Genomics, Department of Computational Biology and  Medical Sciences, Graduate School of Frontier Sciences, The University of Tokyo,  Tokyo, Japan.; Program in Medical and Population Genetics, Broad Institute of Harvard and MIT,  Cambridge, MA, USA.; Institute for Molecular Medicine Finland (FIMM), University of Helsinki,  Helsinki, Finland.; Psychiatric &amp;amp; Neurodevelopmental Genetics Unit, Department of Psychiatry,  Analytic and Translational Genetics Unit, Department of Medicine, and the  Department of Neurology, Massachusetts General Hospital, Boston, MA, USA.; Department of Biomedical Data Science, School of Medicine, Stanford University,  Stanford, CA, USA.;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Department of Computational Biology and Medical Sciences, Graduate school of  Frontier Sciences, The University of Tokyo, Tokyo, Japan.  kmatsuda@edu.k.u-tokyo.ac.jp.; Department of Statistical Genetics, Osaka University Graduate School of Medicine,  Suita, Japan. yokada@sg.med.osaka-u.ac.jp.; Laboratory for Statistical and Translational Genetics, RIKEN Center for  Integrative Medical Sciences, Yokohama, Japan. yokada@sg.med.osaka-u.ac.jp.; Laboratory of Statistical Immunology, Immunology Frontier Research Center  (WPI-IFReC), Osaka University, Suita, Japan. yokada@sg.med.osaka-u.ac.jp.; Psychiatric &amp;amp; Neurodevelopmental Genetics Unit, Department of Psychiatry,  Analytic and Translational Genetics Unit, Department of Medicine, and the  Department of Neurology, Massachusetts General Hospital, Boston, MA, USA.  yokada@sg.med.osaka-u.ac.jp.; Integrated Frontier Research for Medical Science Division, Institute for Open and  Transdisciplinary Research Initiatives, Osaka University, Suita, Japan.  yokada@sg.med.osaka-u.ac.jp.&lt;/_author_adr&gt;&lt;_collection_scope&gt;SCI;SCIE&lt;/_collection_scope&gt;&lt;_created&gt;65212715&lt;/_created&gt;&lt;_date&gt;2021-10-01&lt;/_date&gt;&lt;_date_display&gt;2021 Oct&lt;/_date_display&gt;&lt;_db_updated&gt;PubMed&lt;/_db_updated&gt;&lt;_doi&gt;10.1038/s41588-021-00931-x&lt;/_doi&gt;&lt;_impact_factor&gt;  38.330&lt;/_impact_factor&gt;&lt;_isbn&gt;1546-1718 (Electronic); 1061-4036 (Linking)&lt;/_isbn&gt;&lt;_issue&gt;10&lt;/_issue&gt;&lt;_journal&gt;Nat Genet&lt;/_journal&gt;&lt;_language&gt;eng&lt;/_language&gt;&lt;_modified&gt;65212716&lt;/_modified&gt;&lt;_ori_publication&gt;(c) 2021. The Author(s), under exclusive licence to Springer Nature America, Inc.&lt;/_ori_publication&gt;&lt;_pages&gt;1415-1424&lt;/_pages&gt;&lt;_subject_headings&gt;ABO Blood-Group System/genetics; Biological Specimen Banks; *Genetic Association Studies; Genetic Loci; Genetic Pleiotropy; *Genetic Predisposition to Disease; Genome-Wide Association Study; Humans; Major Histocompatibility Complex/genetics; Meta-Analysis as Topic; Mutation/genetics; Phenotype&lt;/_subject_headings&gt;&lt;_tertiary_title&gt;Nature genetics&lt;/_tertiary_title&gt;&lt;_type_work&gt;Journal Article; Research Support, N.I.H., Extramural; Research Support, Non-U.S. Gov&amp;apos;t&lt;/_type_work&gt;&lt;_url&gt;http://www.ncbi.nlm.nih.gov/entrez/query.fcgi?cmd=Retrieve&amp;amp;db=pubmed&amp;amp;dopt=Abstract&amp;amp;list_uids=34594039&amp;amp;query_hl=1&lt;/_url&gt;&lt;_volume&gt;53&lt;/_volume&gt;&lt;_accessed&gt;65212816&lt;/_accessed&gt;&lt;/Details&gt;&lt;Extra&gt;&lt;DBUID&gt;{F96A950B-833F-4880-A151-76DA2D6A2879}&lt;/DBUID&gt;&lt;/Extra&gt;&lt;/Item&gt;&lt;/References&gt;&lt;/Group&gt;&lt;/Citation&gt;_x000a_"/>
    <w:docVar w:name="NE.Ref{976BC208-D9FA-4754-A453-1A5CFA8A76FE}" w:val=" ADDIN NE.Ref.{976BC208-D9FA-4754-A453-1A5CFA8A76FE}&lt;Citation&gt;&lt;Group&gt;&lt;References&gt;&lt;Item&gt;&lt;ID&gt;1426&lt;/ID&gt;&lt;UID&gt;{17D82E05-EA59-4B43-B520-6A0632E7D0CE}&lt;/UID&gt;&lt;Title&gt;Genome-wide meta-analysis identifies 93 risk loci and enables risk prediction  equivalent to monogenic forms of venous thromboembolism&lt;/Title&gt;&lt;Template&gt;Journal Article&lt;/Template&gt;&lt;Star&gt;0&lt;/Star&gt;&lt;Tag&gt;0&lt;/Tag&gt;&lt;Author&gt;Ghouse, J; Tragante, V; Ahlberg, G; Rand, S A; Jespersen, J B; Leinoe, E B; Vissing, C R; Trudso, L; Jonsdottir, I; Banasik, K; Brunak, S; Ostrowski, S R; Pedersen, O B; Sorensen, E; Erikstrup, C; Bruun, M T; Nielsen, K R; Kober, L; Christensen, A H; Iversen, K; Jones, D; Knowlton, K U; Nadauld, L; Halldorsson, G H; Ferkingstad, E; Olafsson, I; Gretarsdottir, S; Onundarson, P T; Sulem, P; Thorsteinsdottir, U; Thorgeirsson, G; Gudbjartsson, D F; Stefansson, K; Holm, H; Olesen, M S; Bundgaard, H&lt;/Author&gt;&lt;Year&gt;2023&lt;/Year&gt;&lt;Details&gt;&lt;_accession_num&gt;36658437&lt;/_accession_num&gt;&lt;_author_adr&gt;Laboratory for Molecular Cardiology, Department of Cardiology, Rigshospitalet,  Copenhagen University Hospital, Copenhagen, Denmark. jonas.ghouse@sund.ku.dk.; Laboratory for Molecular Cardiology, Department of Biomedical Sciences,  University of Copenhagen, Copenhagen, Denmark. jonas.ghouse@sund.ku.dk.; deCODE genetics/Amgen, Inc., Reykjavik, Iceland.; Laboratory for Molecular Cardiology, Department of Cardiology, Rigshospitalet,  Copenhagen University Hospital, Copenhagen, Denmark.; Laboratory for Molecular Cardiology, Department of Biomedical Sciences,  University of Copenhagen, Copenhagen, Denmark.; Laboratory for Molecular Cardiology, Department of Cardiology, Rigshospitalet,  Copenhagen University Hospital, Copenhagen, Denmark.; Laboratory for Molecular Cardiology, Department of Biomedical Sciences,  University of Copenhagen, Copenhagen, Denmark.; Laboratory for Molecular Cardiology, Department of Cardiology, Rigshospitalet,  Copenhagen University Hospital, Copenhagen, Denmark.; Laboratory for Molecular Cardiology, Department of Biomedical Sciences,  University of Copenhagen, Copenhagen, Denmark.; Department of Hematology, Rigshospitalet, Copenhagen University Hospital,  Copenhagen, Denmark.; Department of Cardiology, Rigshospitalet, Copenhagen University Hospital,  Copenhagen, Denmark.; Laboratory for Molecular Cardiology, Department of Cardiology, Rigshospitalet,  Copenhagen University Hospital, Copenhagen, Denmark.; Laboratory for Molecular Cardiology, Department of Biomedical Sciences,  University of Copenhagen, Copenhagen, Denmark.; deCODE genetics/Amgen, Inc., Reykjavik, Iceland.; Faculty of Medicine, University of Iceland, Reykjavik, Iceland.; Iceland Department of Immunology, Landspitali-The National University Hospital of  Iceland, Reykjavik, Iceland.; Translational Disease Systems Biology, Novo Nordisk Foundation Center for Protein  Research, Faculty of Health and Medical Sciences, University of Copenhagen,  Copenhagen, Denmark.; Translational Disease Systems Biology, Novo Nordisk Foundation Center for Protein  Research, Faculty of Health and Medical Sciences, University of Copenhagen,  Copenhagen, Denmark.; Department of Clinical Immunology, Rigshospitalet, Copenhagen University  Hospital, Copenhagen, Denmark.; Department of Clinical Medicine, University of Copenhagen, Copenhagen, Denmark.; Department of Clinical Medicine, University of Copenhagen, Copenhagen, Denmark.; Department of Clinical Immunology, Naestved Hospital, Naestved, Denmark.; Department of Clinical Immunology, Rigshospitalet, Copenhagen University  Hospital, Copenhagen, Denmark.; Department of Clinical Immunology, Aarhus University Hospital, Aarhus, Denmark.; Department of Clinical Immunology, Odense University Hospital, Odense, Denmark.; Department of Clinical Immunology, Aalborg University Hospital, Aalborg, Denmark.; Department of Cardiology, Rigshospitalet, Copenhagen University Hospital,  Copenhagen, Denmark.; Department of Clinical Medicine, University of Copenhagen, Copenhagen, Denmark.; Department of Cardiology, Copenhagen University Hospital, Herlev-Gentofte  Hospital, Herlev, Denmark.; Department of Clinical Medicine, University of Copenhagen, Copenhagen, Denmark.; Department of Cardiology, Copenhagen University Hospital, Herlev-Gentofte  Hospital, Herlev, Denmark.; Precision Genomics, Intermountain Healthcare, Saint George, UT, USA.; Intermountain Medical Center, Intermountain Heart Institute, Salt Lake City, UT,  USA.; University of Utah, School of Medicine, Salt Lake City, UT, USA.; Precision Genomics, Intermountain Healthcare, Saint George, UT, USA.; Stanford University, School of Medicine, Stanford, CA, USA.; deCODE genetics/Amgen, Inc., Reykjavik, Iceland.; deCODE genetics/Amgen, Inc., Reykjavik, Iceland.; deCODE genetics/Amgen, Inc., Reykjavik, Iceland.; deCODE genetics/Amgen, Inc., Reykjavik, Iceland.; Faculty of Medicine, University of Iceland, Reykjavik, Iceland.; Department of Laboratory Hematology, Landspitali, The National University  Hospital of Iceland, Reykjavik, Iceland.; deCODE genetics/Amgen, Inc., Reykjavik, Iceland.; deCODE genetics/Amgen, Inc., Reykjavik, Iceland.; Faculty of Medicine, University of Iceland, Reykjavik, Iceland.; deCODE genetics/Amgen, Inc., Reykjavik, Iceland.; Department of Medicine, Landspitali-The National University Hospital of Iceland,  Reykjavik, Iceland.; deCODE genetics/Amgen, Inc., Reykjavik, Iceland.; School of Engineering and Natural Sciences, University of Iceland, Reykjavik,  Iceland.; deCODE genetics/Amgen, Inc., Reykjavik, Iceland.; Faculty of Medicine, University of Iceland, Reykjavik, Iceland.; deCODE genetics/Amgen, Inc., Reykjavik, Iceland.; Laboratory for Molecular Cardiology, Department of Cardiology, Rigshospitalet,  Copenhagen University Hospital, Copenhagen, Denmark.; Laboratory for Molecular Cardiology, Department of Biomedical Sciences,  University of Copenhagen, Copenhagen, Denmark.; Department of Cardiology, Rigshospitalet, Copenhagen University Hospital,  Copenhagen, Denmark.; Department of Clinical Medicine, University of Copenhagen, Copenhagen, Denmark.&lt;/_author_adr&gt;&lt;_date_display&gt;2023 Mar&lt;/_date_display&gt;&lt;_date&gt;2023-03-01&lt;/_date&gt;&lt;_doi&gt;10.1038/s41588-022-01286-7&lt;/_doi&gt;&lt;_isbn&gt;1546-1718 (Electronic); 1061-4036 (Linking)&lt;/_isbn&gt;&lt;_issue&gt;3&lt;/_issue&gt;&lt;_journal&gt;Nat Genet&lt;/_journal&gt;&lt;_language&gt;eng&lt;/_language&gt;&lt;_ori_publication&gt;(c) 2023. The Author(s), under exclusive licence to Springer Nature America, Inc.&lt;/_ori_publication&gt;&lt;_pages&gt;399-409&lt;/_pages&gt;&lt;_subject_headings&gt;Humans; *Venous Thromboembolism/genetics/epidemiology; Genome-Wide Association Study; Genetic Predisposition to Disease; Risk Factors; *Thrombosis&lt;/_subject_headings&gt;&lt;_tertiary_title&gt;Nature genetics&lt;/_tertiary_title&gt;&lt;_type_work&gt;Journal Article; Meta-Analysis; Research Support, Non-U.S. Gov&amp;apos;t&lt;/_type_work&gt;&lt;_url&gt;http://www.ncbi.nlm.nih.gov/entrez/query.fcgi?cmd=Retrieve&amp;amp;db=pubmed&amp;amp;dopt=Abstract&amp;amp;list_uids=36658437&amp;amp;query_hl=1&lt;/_url&gt;&lt;_volume&gt;55&lt;/_volume&gt;&lt;_created&gt;65212805&lt;/_created&gt;&lt;_modified&gt;65212805&lt;/_modified&gt;&lt;_db_updated&gt;PubMed&lt;/_db_updated&gt;&lt;_impact_factor&gt;  38.330&lt;/_impact_factor&gt;&lt;_collection_scope&gt;SCI;SCIE&lt;/_collection_scope&gt;&lt;/Details&gt;&lt;Extra&gt;&lt;DBUID&gt;{F96A950B-833F-4880-A151-76DA2D6A2879}&lt;/DBUID&gt;&lt;/Extra&gt;&lt;/Item&gt;&lt;/References&gt;&lt;/Group&gt;&lt;/Citation&gt;_x000a_"/>
    <w:docVar w:name="NE.Ref{9AA66EC6-756E-4A71-8B39-BA257843C57C}" w:val=" ADDIN NE.Ref.{9AA66EC6-756E-4A71-8B39-BA257843C57C}&lt;Citation&gt;&lt;Group&gt;&lt;References&gt;&lt;Item&gt;&lt;ID&gt;1411&lt;/ID&gt;&lt;UID&gt;{C36C72F6-A32B-4EE9-9C9B-B15B5D9D0120}&lt;/UID&gt;&lt;Title&gt;Genome-wide association study identifies 112 new loci for body mass index in the  Japanese population&lt;/Title&gt;&lt;Template&gt;Journal Article&lt;/Template&gt;&lt;Star&gt;0&lt;/Star&gt;&lt;Tag&gt;0&lt;/Tag&gt;&lt;Author&gt;Akiyama, M; Okada, Y; Kanai, M; Takahashi, A; Momozawa, Y; Ikeda, M; Iwata, N; Ikegawa, S; Hirata, M; Matsuda, K; Iwasaki, M; Yamaji, T; Sawada, N; Hachiya, T; Tanno, K; Shimizu, A; Hozawa, A; Minegishi, N; Tsugane, S; Yamamoto, M; Kubo, M; Kamatani, Y&lt;/Author&gt;&lt;Year&gt;2017&lt;/Year&gt;&lt;Details&gt;&lt;_accession_num&gt;28892062&lt;/_accession_num&gt;&lt;_author_adr&gt;Laboratory for Statistical Analysis, RIKEN Center for Integrative Medical  Sciences, Yokohama, Japan.; Laboratory for Statistical Analysis, RIKEN Center for Integrative Medical  Sciences, Yokohama, Japan.; Department of Statistical Genetics, Osaka University Graduate School of Medicine,  Osaka, Japan.; Laboratory of Statistical Immunology, Immunology Frontier Research Center  (WPI-IFReC), Osaka University, Suita, Japan.; Laboratory for Statistical Analysis, RIKEN Center for Integrative Medical  Sciences, Yokohama, Japan.; Laboratory for Statistical Analysis, RIKEN Center for Integrative Medical  Sciences, Yokohama, Japan.; Laboratory for Omics Informatics, Omics Research Center, National Cerebral and  Cardiovascular Center, Osaka, Japan.; Laboratory for Genotyping Development, RIKEN Center for Integrative Medical  Sciences, Yokohama, Japan.; Department of Psychiatry, Fujita Health University School of Medicine, Aichi,  Japan.; Department of Psychiatry, Fujita Health University School of Medicine, Aichi,  Japan.; Laboratory for Bone and Joint Diseases, RIKEN Center for Integrative Medical  Sciences, Tokyo, Japan.; Institute of Medical Science, the University of Tokyo, Tokyo, Japan.; Graduate school of Frontier Sciences, the University of Tokyo, Tokyo, Japan.; Division of Epidemiology, Center for Public Health Sciences, National Cancer  Center, Tokyo, Japan.; Division of Epidemiology, Center for Public Health Sciences, National Cancer  Center, Tokyo, Japan.; Division of Epidemiology, Center for Public Health Sciences, National Cancer  Center, Tokyo, Japan.; Iwate Tohoku Medical Megabank Organization, Iwate Medical University, Iwate,  Japan.; Iwate Tohoku Medical Megabank Organization, Iwate Medical University, Iwate,  Japan.; Department of Hygiene and Preventive Medicine, School of Medicine, Iwate Medical  University, Iwate, Japan.; Iwate Tohoku Medical Megabank Organization, Iwate Medical University, Iwate,  Japan.; Tohoku Medical Megabank Organization, Tohoku University, Sendai, Japan.; Graduate School of Medicine, Tohoku University, Sendai, Japan.; Tohoku Medical Megabank Organization, Tohoku University, Sendai, Japan.; Graduate School of Medicine, Tohoku University, Sendai, Japan.; Center for Public Health Sciences, National Cancer Center, Tokyo, Japan.; Tohoku Medical Megabank Organization, Tohoku University, Sendai, Japan.; Graduate School of Medicine, Tohoku University, Sendai, Japan.; RIKEN Center for Integrative Medical Sciences, Yokohama, Japan.; Laboratory for Statistical Analysis, RIKEN Center for Integrative Medical  Sciences, Yokohama, Japan.; Center for Genomic Medicine, Kyoto University Graduate School of Medicine, Kyoto,  Japan.&lt;/_author_adr&gt;&lt;_collection_scope&gt;SCI;SCIE&lt;/_collection_scope&gt;&lt;_created&gt;65212749&lt;/_created&gt;&lt;_date&gt;2017-10-01&lt;/_date&gt;&lt;_date_display&gt;2017 Oct&lt;/_date_display&gt;&lt;_db_updated&gt;PubMed&lt;/_db_updated&gt;&lt;_doi&gt;10.1038/ng.3951&lt;/_doi&gt;&lt;_impact_factor&gt;  38.330&lt;/_impact_factor&gt;&lt;_isbn&gt;1546-1718 (Electronic); 1061-4036 (Linking)&lt;/_isbn&gt;&lt;_issue&gt;10&lt;/_issue&gt;&lt;_journal&gt;Nat Genet&lt;/_journal&gt;&lt;_language&gt;eng&lt;/_language&gt;&lt;_modified&gt;65212749&lt;/_modified&gt;&lt;_pages&gt;1458-1467&lt;/_pages&gt;&lt;_subject_headings&gt;Asian People/*genetics; *Body Mass Index; Body Weight/genetics/physiology; Comorbidity; Diabetes Mellitus, Type 2/ethnology/genetics; Europe/epidemiology; *Genome-Wide Association Study; Humans; Japan/epidemiology; Lymphocyte Count; Obesity/ethnology/*genetics/immunology; Polymorphism, Single Nucleotide; White People/genetics&lt;/_subject_headings&gt;&lt;_tertiary_title&gt;Nature genetics&lt;/_tertiary_title&gt;&lt;_type_work&gt;Comparative Study; Journal Article; Meta-Analysis&lt;/_type_work&gt;&lt;_url&gt;http://www.ncbi.nlm.nih.gov/entrez/query.fcgi?cmd=Retrieve&amp;amp;db=pubmed&amp;amp;dopt=Abstract&amp;amp;list_uids=28892062&amp;amp;query_hl=1&lt;/_url&gt;&lt;_volume&gt;49&lt;/_volume&gt;&lt;/Details&gt;&lt;Extra&gt;&lt;DBUID&gt;{F96A950B-833F-4880-A151-76DA2D6A2879}&lt;/DBUID&gt;&lt;/Extra&gt;&lt;/Item&gt;&lt;/References&gt;&lt;/Group&gt;&lt;Group&gt;&lt;References&gt;&lt;Item&gt;&lt;ID&gt;1412&lt;/ID&gt;&lt;UID&gt;{8E9A791F-F123-49A8-A645-DAB5ECBECAED}&lt;/UID&gt;&lt;Title&gt;Genome-wide association study identifies genetic risk loci for adiposity in a  Taiwanese population&lt;/Title&gt;&lt;Template&gt;Journal Article&lt;/Template&gt;&lt;Star&gt;0&lt;/Star&gt;&lt;Tag&gt;0&lt;/Tag&gt;&lt;Author&gt;Wong, H S; Tsai, S Y; Chu, H W; Lin, M R; Lin, G H; Tai, Y T; Shen, C Y; Chang, W C&lt;/Author&gt;&lt;Year&gt;2022&lt;/Year&gt;&lt;Details&gt;&lt;_accession_num&gt;35051171&lt;/_accession_num&gt;&lt;_author_adr&gt;Department of Clinical Pharmacy, School of Pharmacy, Taipei Medical University,  Taipei, Taiwan.; Department of Clinical Pharmacy, School of Pharmacy, Taipei Medical University,  Taipei, Taiwan.; Institute of Biomedical Sciences, Academia Sinica, Taipei, Taiwan.; Department of Clinical Pharmacy, School of Pharmacy, Taipei Medical University,  Taipei, Taiwan.; Master Program in Clinical Genomics and Proteomics, School of Pharmacy, Taipei  Medical University, Taipei, Taiwan.; Department of Anesthesiology, Taipei Municipal Wanfang Hospital, Taipei, Taiwan.; Institute of Biomedical Sciences, Academia Sinica, Taipei, Taiwan.; Master Program in Clinical Genomics and Proteomics, School of Pharmacy, Taipei  Medical University, Taipei, Taiwan.; College of Public Health, China Medical University, Taichung, Taiwan.; Department of Clinical Pharmacy, School of Pharmacy, Taipei Medical University,  Taipei, Taiwan.; Master Program in Clinical Genomics and Proteomics, School of Pharmacy, Taipei  Medical University, Taipei, Taiwan.; Department of Pharmacy, Wan Fang Hospital, Taipei Medical University, Taipei,  Taiwan.; Integrative Research Center for Critical Care, Wan Fang Hospital, Taipei Medical  University, Taipei, Taiwan.&lt;/_author_adr&gt;&lt;_collection_scope&gt;SCI;SCIE&lt;/_collection_scope&gt;&lt;_created&gt;65212749&lt;/_created&gt;&lt;_date&gt;2022-01-01&lt;/_date&gt;&lt;_date_display&gt;2022 Jan&lt;/_date_display&gt;&lt;_db_updated&gt;PubMed&lt;/_db_updated&gt;&lt;_doi&gt;10.1371/journal.pgen.1009952&lt;/_doi&gt;&lt;_impact_factor&gt;   5.917&lt;/_impact_factor&gt;&lt;_isbn&gt;1553-7404 (Electronic); 1553-7390 (Print); 1553-7390 (Linking)&lt;/_isbn&gt;&lt;_issue&gt;1&lt;/_issue&gt;&lt;_journal&gt;PLoS Genet&lt;/_journal&gt;&lt;_language&gt;eng&lt;/_language&gt;&lt;_modified&gt;65212749&lt;/_modified&gt;&lt;_pages&gt;e1009952&lt;/_pages&gt;&lt;_subject_headings&gt;Adiposity/*genetics; Adult; Biological Specimen Banks; Cohort Studies; Female; GTPase-Activating Proteins/genetics; *Genetic Predisposition to Disease; *Genome-Wide Association Study; Humans; Male; Middle Aged; Nerve Tissue Proteins/genetics; Obesity/genetics; Overweight/genetics; Polymorphism, Single Nucleotide; Taiwan&lt;/_subject_headings&gt;&lt;_tertiary_title&gt;PLoS genetics&lt;/_tertiary_title&gt;&lt;_type_work&gt;Journal Article; Research Support, Non-U.S. Gov&amp;apos;t&lt;/_type_work&gt;&lt;_url&gt;http://www.ncbi.nlm.nih.gov/entrez/query.fcgi?cmd=Retrieve&amp;amp;db=pubmed&amp;amp;dopt=Abstract&amp;amp;list_uids=35051171&amp;amp;query_hl=1&lt;/_url&gt;&lt;_volume&gt;18&lt;/_volume&gt;&lt;/Details&gt;&lt;Extra&gt;&lt;DBUID&gt;{F96A950B-833F-4880-A151-76DA2D6A2879}&lt;/DBUID&gt;&lt;/Extra&gt;&lt;/Item&gt;&lt;/References&gt;&lt;/Group&gt;&lt;Group&gt;&lt;References&gt;&lt;Item&gt;&lt;ID&gt;1413&lt;/ID&gt;&lt;UID&gt;{47B2168D-C718-444F-8F2B-A850D01E9770}&lt;/UID&gt;&lt;Title&gt;Genetic analysis of quantitative traits in the Japanese population links cell  types to complex human diseases&lt;/Title&gt;&lt;Template&gt;Journal Article&lt;/Template&gt;&lt;Star&gt;0&lt;/Star&gt;&lt;Tag&gt;0&lt;/Tag&gt;&lt;Author&gt;Kanai, M; Akiyama, M; Takahashi, A; Matoba, N; Momozawa, Y; Ikeda, M; Iwata, N; Ikegawa, S; Hirata, M; Matsuda, K; Kubo, M; Okada, Y; Kamatani, Y&lt;/Author&gt;&lt;Year&gt;2018&lt;/Year&gt;&lt;Details&gt;&lt;_accession_num&gt;29403010&lt;/_accession_num&gt;&lt;_author_adr&gt;Department of Statistical Genetics, Osaka University Graduate School of Medicine,  Osaka, Japan.; Laboratory for Statistical Analysis, RIKEN Center for Integrative Medical  Sciences, Yokohama, Japan.; Department of Biomedical Informatics, Harvard Medical School, Boston, MA, USA.; Laboratory for Statistical Analysis, RIKEN Center for Integrative Medical  Sciences, Yokohama, Japan.; Laboratory for Statistical Analysis, RIKEN Center for Integrative Medical  Sciences, Yokohama, Japan.; Department of Genomic Medicine, Research Institute, National Cerebral and  Cardiovascular Center, Osaka, Japan.; Laboratory for Statistical Analysis, RIKEN Center for Integrative Medical  Sciences, Yokohama, Japan.; Laboratory for Genotyping Development, RIKEN Center for Integrative Medical  Sciences, Yokohama, Japan.; Department of Psychiatry, Fujita Health University School of Medicine, Aichi,  Japan.; Department of Psychiatry, Fujita Health University School of Medicine, Aichi,  Japan.; Laboratory for Bone and Joint Diseases, RIKEN Center for Integrative Medical  Sciences, Tokyo, Japan.; Institute of Medical Science, The University of Tokyo, Tokyo, Japan.; Graduate School of Frontier Sciences, The University of Tokyo, Tokyo, Japan.; RIKEN Center for Integrative Medical Sciences, Yokohama, Japan.; Department of Statistical Genetics, Osaka University Graduate School of Medicine,  Osaka, Japan. yokada@sg.med.osaka-u.ac.jp.; Laboratory for Statistical Analysis, RIKEN Center for Integrative Medical  Sciences, Yokohama, Japan. yokada@sg.med.osaka-u.ac.jp.; Laboratory of Statistical Immunology, Immunology Frontier Research Center  (WPI-IFReC), Osaka University, Osaka, Japan. yokada@sg.med.osaka-u.ac.jp.; Laboratory for Statistical Analysis, RIKEN Center for Integrative Medical  Sciences, Yokohama, Japan. yoichiro.kamatani@riken.jp.; Center for Genomic Medicine, Kyoto University Graduate School of Medicine, Kyoto,  Japan. yoichiro.kamatani@riken.jp.&lt;/_author_adr&gt;&lt;_collection_scope&gt;SCI;SCIE&lt;/_collection_scope&gt;&lt;_created&gt;65212750&lt;/_created&gt;&lt;_date&gt;2018-03-01&lt;/_date&gt;&lt;_date_display&gt;2018 Mar&lt;/_date_display&gt;&lt;_db_updated&gt;PubMed&lt;/_db_updated&gt;&lt;_doi&gt;10.1038/s41588-018-0047-6&lt;/_doi&gt;&lt;_impact_factor&gt;  38.330&lt;/_impact_factor&gt;&lt;_isbn&gt;1546-1718 (Electronic); 1061-4036 (Linking)&lt;/_isbn&gt;&lt;_issue&gt;3&lt;/_issue&gt;&lt;_journal&gt;Nat Genet&lt;/_journal&gt;&lt;_language&gt;eng&lt;/_language&gt;&lt;_modified&gt;65212750&lt;/_modified&gt;&lt;_pages&gt;390-400&lt;/_pages&gt;&lt;_subject_headings&gt;Adult; Asian People/*genetics/statistics &amp;amp; numerical data; Cell Lineage/*genetics; Disease/*genetics; Female; Genetic Association Studies; Genetic Predisposition to Disease; Genetics, Population; Genome-Wide Association Study/methods; Humans; Japan/epidemiology; Male; Multifactorial Inheritance/*genetics; Phenotype; Polymorphism, Single Nucleotide; *Quantitative Trait Loci; Sequence Analysis, DNA&lt;/_subject_headings&gt;&lt;_tertiary_title&gt;Nature genetics&lt;/_tertiary_title&gt;&lt;_type_work&gt;Journal Article; Research Support, Non-U.S. Gov&amp;apos;t&lt;/_type_work&gt;&lt;_url&gt;http://www.ncbi.nlm.nih.gov/entrez/query.fcgi?cmd=Retrieve&amp;amp;db=pubmed&amp;amp;dopt=Abstract&amp;amp;list_uids=29403010&amp;amp;query_hl=1&lt;/_url&gt;&lt;_volume&gt;50&lt;/_volume&gt;&lt;/Details&gt;&lt;Extra&gt;&lt;DBUID&gt;{F96A950B-833F-4880-A151-76DA2D6A2879}&lt;/DBUID&gt;&lt;/Extra&gt;&lt;/Item&gt;&lt;/References&gt;&lt;/Group&gt;&lt;/Citation&gt;_x000a_"/>
    <w:docVar w:name="NE.Ref{A39B4C3E-57C0-433F-97E4-3A3F0BDEE6D6}" w:val=" ADDIN NE.Ref.{A39B4C3E-57C0-433F-97E4-3A3F0BDEE6D6}&lt;Citation&gt;&lt;Group&gt;&lt;References&gt;&lt;Item&gt;&lt;ID&gt;1200&lt;/ID&gt;&lt;UID&gt;{C93078FD-6074-4FFB-AF24-586A4025111D}&lt;/UID&gt;&lt;Title&gt;Discovery and systematic characterization of risk variants and genes for coronary  artery disease in over a million participants&lt;/Title&gt;&lt;Template&gt;Journal Article&lt;/Template&gt;&lt;Star&gt;0&lt;/Star&gt;&lt;Tag&gt;0&lt;/Tag&gt;&lt;Author&gt;Aragam, K G; Jiang, T; Goel, A; Kanoni, S; Wolford, B N; Atri, D S; Weeks, E M; Wang, M; Hindy, G; Zhou, W; Grace, C; Roselli, C; Marston, N A; Kamanu, F K; Surakka, I; Venegas, L M; Sherliker, P; Koyama, S; Ishigaki, K; Asvold, B O; Brown, M R; Brumpton, B; de Vries, P S; Giannakopoulou, O; Giardoglou, P; Gudbjartsson, D F; Guldener, U; Haider, SMI; Helgadottir, A; Ibrahim, M; Kastrati, A; Kessler, T; Kyriakou, T; Konopka, T; Li, L; Ma, L; Meitinger, T; Mucha, S; Munz, M; Murgia, F; Nielsen, J B; Nothen, M M; Pang, S; Reinberger, T; Schnitzler, G; Smedley, D; Thorleifsson, G; von Scheidt, M; Ulirsch, J C; Arnar, D O; Burtt, N P; Costanzo, M C; Flannick, J; Ito, K; Jang, D K; Kamatani, Y; Khera, A V; Komuro, I; Kullo, I J; Lotta, L A; Nelson, C P; Roberts, R; Thorgeirsson, G; Thorsteinsdottir, U; Webb, T R; Baras, A; Bjorkegren, JLM; Boerwinkle, E; Dedoussis, G; Holm, H; Hveem, K; Melander, O; Morrison, A C; Orho-Melander, M; Rallidis, L S; Ruusalepp, A; Sabatine, M S; Stefansson, K; Zalloua, P; Ellinor, P T; Farrall, M; Danesh, J; Ruff, C T; Finucane, H K; Hopewell, J C; Clarke, R; Gupta, R M; Erdmann, J; Samani, N J; Schunkert, H; Watkins, H; Willer, C J; Deloukas, P; Kathiresan, S; Butterworth, A S&lt;/Author&gt;&lt;Year&gt;2022&lt;/Year&gt;&lt;Details&gt;&lt;_accession_num&gt;36474045&lt;/_accession_num&gt;&lt;_author_adr&gt;Cardiovascular Research Center, Massachusetts General Hospital, Boston, MA, USA.  karagam@broadinstitute.org.; Center for Genomic Medicine, Massachusetts General Hospital, Boston, MA, USA.  karagam@broadinstitute.org.; Cardiovascular Disease Initiative, Broad Institute of MIT and Harvard, Cambridge,  MA, USA. karagam@broadinstitute.org.; Program in Medical and Population Genetics, Broad Institute of MIT and Harvard,  Cambridge, MA, USA. karagam@broadinstitute.org.; BHF Cardiovascular Epidemiology Unit, Department of Public Health and Primary  Care, University of Cambridge, Cambridge, UK.; Radcliffe Department of Medicine, Division of Cardiovascular Medicine, University  of Oxford, Oxford, UK.; Wellcome Centre for Human Genetics, University of Oxford, Oxford, UK.; William Harvey Research Institute, Barts and the London School of Medicine and  Dentistry, Queen Mary University of London, London, UK.; Department of Computational Medicine and Bioinformatics, University of Michigan,  Ann Arbor, MI, USA.; Cardiovascular Disease Initiative, Broad Institute of MIT and Harvard, Cambridge,  MA, USA.; Divisions of Cardiovascular Medicine and Genetics, Brigham and Women&amp;apos;s Hospital,  Harvard Medical School, Boston, MA, USA.; Program in Medical and Population Genetics, Broad Institute of MIT and Harvard,  Cambridge, MA, USA.; Cardiovascular Disease Initiative, Broad Institute of MIT and Harvard, Cambridge,  MA, USA.; Program in Medical and Population Genetics, Broad Institute of MIT and Harvard,  Cambridge, MA, USA.; Department of Population Medicine, Qatar University College of Medicine, Doha,  Qatar.; Program in Medical and Population Genetics, Broad Institute of MIT and Harvard,  Cambridge, MA, USA.; Department of Computational Medicine and Bioinformatics, University of Michigan,  Ann Arbor, MI, USA.; Analytic and Translational Genetics Unit, Massachusetts General Hospital, Boston,  MA, USA.; Stanley Center for Psychiatric Research, Broad Institute of MIT and Harvard,  Cambridge, MA, USA.; Radcliffe Department of Medicine, Division of Cardiovascular Medicine, University  of Oxford, Oxford, UK.; Wellcome Centre for Human Genetics, University of Oxford, Oxford, UK.; Cardiovascular Disease Initiative, Broad Institute of MIT and Harvard, Cambridge,  MA, USA.; TIMI Study Group, Division of Cardiovascular Medicine, Brigham and Women&amp;apos;s  Hospital, Harvard Medical School, Boston, MA, USA.; TIMI Study Group, Division of Cardiovascular Medicine, Brigham and Women&amp;apos;s  Hospital, Harvard Medical School, Boston, MA, USA.; Department of Internal Medicine, Division of Cardiology, University of Michigan,  Ann Arbor, MI, USA.; Institute for Cardiogenetics, University of Lubeck, Lubeck, Germany.; German Research Center for Cardiovascular Research (DZHK), Partner Site  Hamburg/Lubeck/Kiel, Lubeck, Germany.; Medical Research Council Population Health Research Unit, CTSU-Nuffield  Department of Population Health, Medical Sciences Division, University of Oxford,  Oxford, UK.; Laboratory for Cardiovascular Genomics and Informatics, RIKEN Center for  Integrative Medical Sciences, Tsurumi-ku, Yokohama, Japan.; Laboratory for Statistical and Translational Genetics, RIKEN Center for  Integrative Medical Sciences, Tsurumi-ku, Yokohama, Japan.; Department of Public Health and Nursing, K.G. Jebsen Center for Genetic  Epidemiology, Norwegian University of Science and Technology, NTNU, Trondheim,  Norway.; HUNT Research Centre, Norwegian University of Science and Technology, Levanger,  Norway.; Department of Endocrinology, Clinic of Medicine, St. Olavs Hospital, Trondheim,  Norway.; Human Genetics Center, Department of Epidemiology, Human Genetics, and  Environmental Sciences, School of Public Health, The University of Texas Health  Science Center at Houston, Houston, TX, USA.; Department of Public Health and Nursing, K.G. Jebsen Center for Genetic  Epidemiology, Norwegian University of Science and Technology, NTNU, Trondheim,  Norway.; HUNT Research Centre, Norwegian University of Science and Technology, Levanger,  Norway.; Human Genetics Center, Department of Epidemiology, Human Genetics, and  Environmental Sciences, School of Public Health, The University of Texas Health  Science Center at Houston, Houston, TX, USA.; William Harvey Research Institute, Barts and the London School of Medicine and  Dentistry, Queen Mary University of London, London, UK.; Department of Nutrition-Dietetics, School of Health Science and Education,  Harokopio University, Athens, Greece.; deCODE Genetics/Amgen, Inc., Reykjavik, Iceland.; School of Engineering and Natural Sciences, University of Iceland, Reykjavik,  Iceland.; German Heart Centre Munich, Department of Cardiology, Technical University of  Munich, Munich, Germany.; Institute for Cardiogenetics, University of Lubeck, Lubeck, Germany.; German Research Center for Cardiovascular Research (DZHK), Partner Site  Hamburg/Lubeck/Kiel, Lubeck, Germany.; deCODE Genetics/Amgen, Inc., Reykjavik, Iceland.; CTSU-Nuffield Department of Population Health, Medical Sciences Division,  University of Oxford, Oxford, UK.; German Heart Centre Munich, Department of Cardiology, Technical University of  Munich, Munich, Germany.; German Research Center for Cardiovascular Research (DZHK e.V.), Partner Site  Munich Heart Alliance, Munich, Germany.; German Heart Centre Munich, Department of Cardiology, Technical University of  Munich, Munich, Germany.; German Research Center for Cardiovascular Research (DZHK e.V.), Partner Site  Munich Heart Alliance, Munich, Germany.; Wellcome Centre for Human Genetics, University of Oxford, Oxford, UK.; William Harvey Research Institute, Barts and the London School of Medicine and  Dentistry, Queen Mary University of London, London, UK.; German Heart Centre Munich, Department of Cardiology, Technical University of  Munich, Munich, Germany.; Department of Genetics and Genomic Science, Icahn Institute for Genomics and  Multiscale Biology, Icahn School of Medicine at Mount Sinai, New York, NY, USA.; The Zena and Michael A. Wiener Cardiovascular Institute, Icahn School of Medicine  at Mount Sinai, New York, NY, USA.; German Research Center for Cardiovascular Research (DZHK e.V.), Partner Site  Munich Heart Alliance, Munich, Germany.; Institute of Human Genetics, Helmholtz Zentrum Munchen, German Research Center  for Environmental Health, Neuherberg, Germany.; Klinikum Rechts der Isar, Institute of Human Genetics, Technical University of  Munich, Munich, Germany.; Institute for Cardiogenetics, University of Lubeck, Lubeck, Germany.; German Research Center for Cardiovascular Research (DZHK), Partner Site  Hamburg/Lubeck/Kiel, Lubeck, Germany.; Institute for Cardiogenetics, University of Lubeck, Lubeck, Germany.; German Research Center for Cardiovascular Research (DZHK), Partner Site  Hamburg/Lubeck/Kiel, Lubeck, Germany.; CTSU-Nuffield Department of Population Health, Medical Sciences Division,  University of Oxford, Oxford, UK.; Department of Internal Medicine, Division of Cardiology, University of Michigan,  Ann Arbor, MI, USA.; Department of Public Health and Nursing, K.G. Jebsen Center for Genetic  Epidemiology, Norwegian University of Science and Technology, NTNU, Trondheim,  Norway.; School of Medicine and University Hospital Bonn, Institute of Human Genetics,  University of Bonn, Bonn, Germany.; German Heart Centre Munich, Department of Cardiology, Technical University of  Munich, Munich, Germany.; Institute for Cardiogenetics, University of Lubeck, Lubeck, Germany.; German Research Center for Cardiovascular Research (DZHK), Partner Site  Hamburg/Lubeck/Kiel, Lubeck, Germany.; Cardiovascular Disease Initiative, Broad Institute of MIT and Harvard, Cambridge,  MA, USA.; William Harvey Research Institute, Barts and the London School of Medicine and  Dentistry, Queen Mary University of London, London, UK.; deCODE Genetics/Amgen, Inc., Reykjavik, Iceland.; German Heart Centre Munich, Department of Cardiology, Technical University of  Munich, Munich, Germany.; German Research Center for Cardiovascular Research (DZHK e.V.), Partner Site  Munich Heart Alliance, Munich, Germany.; Program in Medical and Population Genetics, Broad Institute of MIT and Harvard,  Cambridge, MA, USA.; Analytic and Translational Genetics Unit, Massachusetts General Hospital, Boston,  MA, USA.; Program in Biological and Biomedical Sciences, Harvard Medical School, Boston,  MA, USA.; deCODE Genetics/Amgen, Inc., Reykjavik, Iceland.; Faculty of Medicine, University of Iceland, Reykjavik, Iceland.; Department of Internal Medicine, Division of Cardiology, Landspitali-National  University Hospital of Iceland, Hringbraut, Reykjavik, Iceland.; Program in Medical and Population Genetics, Broad Institute of MIT and Harvard,  Cambridge, MA, USA.; Program in Medical and Population Genetics, Broad Institute of MIT and Harvard,  Cambridge, MA, USA.; Division of Genetics and Genomics, Boston Children&amp;apos;s Hospital, Boston, MA, USA.; Laboratory for Cardiovascular Genomics and Informatics, RIKEN Center for  Integrative Medical Sciences, Tsurumi-ku, Yokohama, Japan.; Program in Medical and Population Genetics, Broad Institute of MIT and Harvard,  Cambridge, MA, USA.; Department of Computational Biology and Medical Sciences, Graduate School of  Frontier Sciences, The University of Tokyo, Tokyo, Japan.; Center for Genomic Medicine, Massachusetts General Hospital, Boston, MA, USA.; Cardiovascular Disease Initiative, Broad Institute of MIT and Harvard, Cambridge,  MA, USA.; Program in Medical and Population Genetics, Broad Institute of MIT and Harvard,  Cambridge, MA, USA.; Department of Cardiovascular Medicine, The University of Tokyo, Tokyo, Japan.; Department of Cardiovascular Medicine, Mayo Clinic, Rochester, MN, USA.; Regeneron Genetics Center, Regeneron Pharmaceuticals, Tarrytown, NY, USA.; Department of Cardiovascular Sciences and NIHR Leicester Biomedical Research  Centre, University of Leicester, Glenfield Hospital, Leicester, UK.; Cardiovascular Genomics and Genetics, University of Arizona College of Medicin,  Phoenix, AZ, USA.; deCODE Genetics/Amgen, Inc., Reykjavik, Iceland.; Faculty of Medicine, University of Iceland, Reykjavik, Iceland.; Department of Internal Medicine, Division of Cardiology, Landspitali-National  University Hospital of Iceland, Hringbraut, Reykjavik, Iceland.; deCODE Genetics/Amgen, Inc., Reykjavik, Iceland.; Faculty of Medicine, University of Iceland, Reykjavik, Iceland.; Department of Cardiovascular Sciences and NIHR Leicester Biomedical Research  Centre, University of Leicester, Glenfield Hospital, Leicester, UK.; Regeneron Genetics Center, Regeneron Pharmaceuticals, Tarrytown, NY, USA.; Department of Genetics and Genomic Sciences, Institute of Genomics and Multiscale  Biology, Icahn School of Medicine at Mount Sinai, New York, NY, USA.; Integrated Cardio Metabolic Centre, Karolinska Institutet, Karolinska  Universitetssjukhuset, Huddinge, Sweden.; Clinical Gene Networks AB, Stockholm, Sweden.; Human Genetics Center, Department of Epidemiology, Human Genetics, and  Environmental Sciences, School of Public Health, The University of Texas Health  Science Center at Houston, Houston, TX, USA.; Human Genome Sequencing Center, Baylor College of Medicine, Houston, TX, USA.; Department of Nutrition-Dietetics, School of Health Science and Education,  Harokopio University, Athens, Greece.; deCODE Genetics/Amgen, Inc., Reykjavik, Iceland.; Department of Public Health and Nursing, K.G. Jebsen Center for Genetic  Epidemiology, Norwegian University of Science and Technology, NTNU, Trondheim,  Norway.; HUNT Research Centre, Norwegian University of Science and Technology, Levanger,  Norway.; Department of Clinical Sciences in Malmo, Lund University, Malmo, Sweden.; Human Genetics Center, Department of Epidemiology, Human Genetics, and  Environmental Sciences, School of Public Health, The University of Texas Health  Science Center at Houston, Houston, TX, USA.; Department of Clinical Sciences in Malmo, Lund University, Malmo, Sweden.; Second Department of Cardiology, Medical School, National and Kapodistrian  University of Athens, University General Hospital Attikon, Athens, Greece.; Department of Cardiac Surgery, Tartu University Hospital and Institute of  Clinical Medicine, Tartu University, Tartu, Estonia.; TIMI Study Group, Division of Cardiovascular Medicine, Brigham and Women&amp;apos;s  Hospital, Harvard Medical School, Boston, MA, USA.; deCODE Genetics/Amgen, Inc., Reykjavik, Iceland.; Faculty of Medicine, University of Iceland, Reykjavik, Iceland.; Harvard T.H.Chan School of Public Health, Boston, MA, USA.; College of Medicine and Health Sciences, Khalifa University, Abu Dhabi, UAE.; Cardiovascular Research Center, Massachusetts General Hospital, Boston, MA, USA.; Cardiovascular Disease Initiative, Broad Institute of MIT and Harvard, Cambridge,  MA, USA.; Radcliffe Department of Medicine, Division of Cardiovascular Medicine, University  of Oxford, Oxford, UK.; Wellcome Centre for Human Genetics, University of Oxford, Oxford, UK.; BHF Cardiovascular Epidemiology Unit, Department of Public Health and Primary  Care, University of Cambridge, Cambridge, UK.; National Institute for Health and Care Research Cambridge Biomedical Research  Centre, Cambridge University Hospitals, Cambridge, UK.; The National Institute for Health and Care Research Blood and Transplant Unit  (NIHR BTRU) in Donor Health and Genomics, University of Cambridge, Cambridge, UK.; Human Genetics, Wellcome Sanger Institute, Saffron Walden, UK.; Health Data Research UK Cambridge, Wellcome Genome Campus and University of  Cambridge, Cambridge, UK.; British Heart Foundation Centre of Research Excellence, Division of  Cardiovascular Medicine, Addenbrooke&amp;apos;s Hospital, Cambridge, UK.; TIMI Study Group, Division of Cardiovascular Medicine, Brigham and Women&amp;apos;s  Hospital, Harvard Medical School, Boston, MA, USA.; Program in Medical and Population Genetics, Broad Institute of MIT and Harvard,  Cambridge, MA, USA.; Analytic and Translational Genetics Unit, Massachusetts General Hospital, Boston,  MA, USA.; Stanley Center for Psychiatric Research, Broad Institute of MIT and Harvard,  Cambridge, MA, USA.; CTSU-Nuffield Department of Population Health, Medical Sciences Division,  University of Oxford, Oxford, UK.; CTSU-Nuffield Department of Population Health, Medical Sciences Division,  University of Oxford, Oxford, UK.; Cardiovascular Disease Initiative, Broad Institute of MIT and Harvard, Cambridge,  MA, USA.; Program in Medical and Population Genetics, Broad Institute of MIT and Harvard,  Cambridge, MA, USA.; Divisions of Cardiovascular Medicine and Genetics, Brigham and Women&amp;apos;s Hospital,  Harvard Medical School, Boston, MA, USA.; Institute for Cardiogenetics, University of Lubeck, Lubeck, Germany.; German Research Center for Cardiovascular Research (DZHK), Partner Site  Hamburg/Lubeck/Kiel, Lubeck, Germany.; Faculty of Medicine, University of Iceland, Reykjavik, Iceland.; German Heart Centre Munich, Department of Cardiology, Technical University of  Munich, Munich, Germany.; German Research Center for Cardiovascular Research (DZHK e.V.), Partner Site  Munich Heart Alliance, Munich, Germany.; Radcliffe Department of Medicine, Division of Cardiovascular Medicine, University  of Oxford, Oxford, UK.; Wellcome Centre for Human Genetics, University of Oxford, Oxford, UK.; Department of Computational Medicine and Bioinformatics, University of Michigan,  Ann Arbor, MI, USA.; Department of Internal Medicine, Division of Cardiology, University of Michigan,  Ann Arbor, MI, USA.; Department of Human Genetics, University of Michigan, Ann Arbor, MI, USA.; William Harvey Research Institute, Barts and the London School of Medicine and  Dentistry, Queen Mary University of London, London, UK.; Princess Al-Jawhara Al-Brahim Centre of Excellence in Research of Hereditary  Disorders (PACER-HD), King Abdulaziz University, Jeddah, Saudi Arabia.; Verve Therapeutics, Cambridge, MA, USA.; BHF Cardiovascular Epidemiology Unit, Department of Public Health and Primary  Care, University of Cambridge, Cambridge, UK. asb38@medschl.cam.ac.uk.; National Institute for Health and Care Research Cambridge Biomedical Research  Centre, Cambridge University Hospitals, Cambridge, UK. asb38@medschl.cam.ac.uk.; The National Institute for Health and Care Research Blood and Transplant Unit  (NIHR BTRU) in Donor Health and Genomics, University of Cambridge, Cambridge, UK.  asb38@medschl.cam.ac.uk.; Health Data Research UK Cambridge, Wellcome Genome Campus and University of  Cambridge, Cambridge, UK. asb38@medschl.cam.ac.uk.; British Heart Foundation Centre of Research Excellence, Division of  Cardiovascular Medicine, Addenbrooke&amp;apos;s Hospital, Cambridge, UK.  asb38@medschl.cam.ac.uk.&lt;/_author_adr&gt;&lt;_collection_scope&gt;SCI;SCIE&lt;/_collection_scope&gt;&lt;_created&gt;65011490&lt;/_created&gt;&lt;_date&gt;2022-12-01&lt;/_date&gt;&lt;_date_display&gt;2022 Dec&lt;/_date_display&gt;&lt;_db_updated&gt;PubMed&lt;/_db_updated&gt;&lt;_doi&gt;10.1038/s41588-022-01233-6&lt;/_doi&gt;&lt;_impact_factor&gt;  38.330&lt;/_impact_factor&gt;&lt;_isbn&gt;1546-1718 (Electronic); 1061-4036 (Print); 1061-4036 (Linking)&lt;/_isbn&gt;&lt;_issue&gt;12&lt;/_issue&gt;&lt;_journal&gt;Nat Genet&lt;/_journal&gt;&lt;_language&gt;eng&lt;/_language&gt;&lt;_modified&gt;65011490&lt;/_modified&gt;&lt;_ori_publication&gt;(c) 2022. The Author(s).&lt;/_ori_publication&gt;&lt;_pages&gt;1803-1815&lt;/_pages&gt;&lt;_subject_headings&gt;Humans; *Coronary Artery Disease/genetics; Genome-Wide Association Study&lt;/_subject_headings&gt;&lt;_tertiary_title&gt;Nature genetic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6474045&amp;amp;query_hl=1&lt;/_url&gt;&lt;_volume&gt;54&lt;/_volume&gt;&lt;/Details&gt;&lt;Extra&gt;&lt;DBUID&gt;{F96A950B-833F-4880-A151-76DA2D6A2879}&lt;/DBUID&gt;&lt;/Extra&gt;&lt;/Item&gt;&lt;/References&gt;&lt;/Group&gt;&lt;/Citation&gt;_x000a_"/>
    <w:docVar w:name="NE.Ref{A45FC3DD-3EF2-48E3-8470-5A6CE0A27545}" w:val=" ADDIN NE.Ref.{A45FC3DD-3EF2-48E3-8470-5A6CE0A27545}&lt;Citation&gt;&lt;Group&gt;&lt;References&gt;&lt;Item&gt;&lt;ID&gt;1382&lt;/ID&gt;&lt;UID&gt;{26AC6E45-7E36-4780-B609-3E354C24B829}&lt;/UID&gt;&lt;Title&gt;A cross-population atlas of genetic associations for 220 human phenotypes&lt;/Title&gt;&lt;Template&gt;Journal Article&lt;/Template&gt;&lt;Star&gt;0&lt;/Star&gt;&lt;Tag&gt;0&lt;/Tag&gt;&lt;Author&gt;Sakaue, S; Kanai, M; Tanigawa, Y; Karjalainen, J; Kurki, M; Koshiba, S; Narita, A; Konuma, T; Yamamoto, K; Akiyama, M; Ishigaki, K; Suzuki, A; Suzuki, K; Obara, W; Yamaji, K; Takahashi, K; Asai, S; Takahashi, Y; Suzuki, T; Shinozaki, N; Yamaguchi, H; Minami, S; Murayama, S; Yoshimori, K; Nagayama, S; Obata, D; Higashiyama, M; Masumoto, A; Koretsune, Y; Ito, K; Terao, C; Yamauchi, T; Komuro, I; Kadowaki, T; Tamiya, G; Yamamoto, M; Nakamura, Y; Kubo, M; Murakami, Y; Yamamoto, K; Kamatani, Y; Palotie, A; Rivas, M A; Daly, M J; Matsuda, K; Okada, Y&lt;/Author&gt;&lt;Year&gt;2021&lt;/Year&gt;&lt;Details&gt;&lt;_accession_num&gt;34594039&lt;/_accession_num&gt;&lt;_author_adr&gt;Department of Statistical Genetics, Osaka University Graduate School of Medicine,  Suita, Japan. ssakaue@bwh.harvard.edu.; Laboratory for Statistical and Translational Genetics, RIKEN Center for  Integrative Medical Sciences, Yokohama, Japan. ssakaue@bwh.harvard.edu.; Center for Data Sciences, Harvard Medical School, Boston, MA, USA.  ssakaue@bwh.harvard.edu.; Divisions of Genetics and Rheumatology, Department of Medicine, Brigham and  Women&amp;apos;s Hospital, Harvard Medical School, Boston, MA, USA.  ssakaue@bwh.harvard.edu.; Program in Medical and Population Genetics, Broad Institute of Harvard and MIT,  Cambridge, MA, USA. ssakaue@bwh.harvard.edu.; Department of Statistical Genetics, Osaka University Graduate School of Medicine,  Suita, Japan.; Program in Medical and Population Genetics, Broad Institute of Harvard and MIT,  Cambridge, MA, USA.; Analytic and Translational Genetics Unit, Massachusetts General Hospital, Boston,  MA, USA.; Stanley Center for Psychiatric Research, Broad Institute of Harvard and MIT,  Cambridge, MA, USA.; Department of Biomedical Informatics, Harvard Medical School, Boston, MA, USA.; Institute for Molecular Medicine Finland (FIMM), University of Helsinki,  Helsinki, Finland.; Department of Biomedical Data Science, School of Medicine, Stanford University,  Stanford, CA, USA.;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Tohoku Medical Megabank Organization, Tohoku University, Sendai, Japan.; Advanced Research Center for Innovations in Next-Generation Medicine (INGEM),  Sendai, Japan.; Tohoku Medical Megabank Organization, Tohoku University, Sendai, Japan.; Department of Statistical Genetics, Osaka University Graduate School of Medicine,  Suita, Japan.; Department of Statistical Genetics, Osaka University Graduate School of Medicine,  Suita, Japan.; Department of Pediatrics, Osaka University Graduate School of Medicine, Suita,  Japan.; Laboratory of Statistical Immunology, Immunology Frontier Research Center  (WPI-IFReC), Osaka University, Suita, Japan.; Laboratory for Statistical and Translational Genetics, RIKEN Center for  Integrative Medical Sciences, Yokohama, Japan.; Department of Ocular Pathology and Imaging Science, Graduate School of Medical  Sciences, Kyushu University, Fukuoka, Japan.; Laboratory for Statistical and Translational Genetics, RIKEN Center for  Integrative Medical Sciences, Yokohama, Japan.; Center for Data Sciences, Harvard Medical School, Boston, MA, USA.; Divisions of Genetics and Rheumatology, Department of Medicine, Brigham and  Women&amp;apos;s Hospital, Harvard Medical School, Boston, MA, USA.; Program in Medical and Population Genetics, Broad Institute of Harvard and MIT,  Cambridge, MA, USA.; Laboratory for Autoimmune Diseases, RIKEN Center for Integrative Medical  Sciences, Yokohama, Japan.; Department of Statistical Genetics, Osaka University Graduate School of Medicine,  Suita, Japan.; Department of Urology, Iwate Medical University, Iwate, Japan.; Department of Internal Medicine and Rheumatology, Juntendo University Graduate  School of Medicine, Tokyo, Japan.; Department of Respiratory Medicine, Juntendo University Graduate School of  Medicine, Tokyo, Japan.; Division of Pharmacology, Department of Biomedical Science, Nihon University  School of Medicine, Tokyo, Japan.; Division of Genomic Epidemiology and Clinical Trials, Clinical Trials Research  Center, Nihon University School of Medicine, Tokyo, Japan.; Division of Genomic Epidemiology and Clinical Trials, Clinical Trials Research  Center, Nihon University School of Medicine, Tokyo, Japan.; Tokushukai Group, Tokyo, Japan.; Tokushukai Group, Tokyo, Japan.; Department of Hematology, Nippon Medical School, Tokyo, Japan.; Department of Bioregulation, Nippon Medical School, Kawasaki, Japan.; Tokyo Metropolitan Geriatric Hospital and Institute of Gerontology, Tokyo, Japan.; Fukujuji Hospital, Japan Anti-Tuberculosis Association, Tokyo, Japan.; The Cancer Institute Hospital of the Japanese Foundation for Cancer Research,  Tokyo, Japan.; Center for Clinical Research and Advanced Medicine, Shiga University of Medical  Science, Otsu, Japan.; Department of General Thoracic Surgery, Osaka International Cancer Institute,  Osaka, Japan.; Aso Iizuka Hospital, Fukuoka, Japan.; National Hospital Organization Osaka National Hospital, Osaka, Japan.; Laboratory for Cardiovascular Genomics and Informatics, RIKEN Center for  Integrative Medical Sciences, Yokohama, Japan.; Laboratory for Statistical and Translational Genetics, RIKEN Center for  Integrative Medical Sciences, Yokohama, Japan.; Department of Diabetes and Metabolic Diseases, Graduate School of Medicine, The  University of Tokyo, Tokyo, Japan.; Department of Cardiovascular Medicine, Graduate School of Medicine, The  University of Tokyo, Tokyo, Japan.; Department of Diabetes and Metabolic Diseases, Graduate School of Medicine, The  University of Tokyo, Tokyo, Japan.; Toranomon Hospital, Tokyo, Japan.; Tohoku Medical Megabank Organization, Tohoku University, Sendai, Japan.; Advanced Research Center for Innovations in Next-Generation Medicine (INGEM),  Sendai, Japan.; Graduate School of Medicine, Tohoku University, Sendai, Japan.; Center for Advanced Intelligence Project, RIKEN, Tokyo, Japan.; Tohoku Medical Megabank Organization, Tohoku University, Sendai, Japan.; Advanced Research Center for Innovations in Next-Generation Medicine (INGEM),  Sendai, Japan.; Graduate School of Medicine, Tohoku University, Sendai, Japan.; Human Genome Center, Institute of Medical Science, The University of Tokyo,  Tokyo, Japan.; Cancer Precision Medicine Center, Japanese Foundation for Cancer Research, Tokyo,  Japan.; RIKEN Center for Integrative Medical Sciences, Yokohama, Japan.; Division of Molecular Pathology, Institute of Medical Science, The University of  Tokyo, Tokyo, Japan.; Laboratory for Autoimmune Diseases, RIKEN Center for Integrative Medical  Sciences, Yokohama, Japan.; Laboratory for Statistical and Translational Genetics, RIKEN Center for  Integrative Medical Sciences, Yokohama, Japan.; Laboratory of Complex Trait Genomics, Department of Computational Biology and  Medical Sciences, Graduate School of Frontier Sciences, The University of Tokyo,  Tokyo, Japan.; Program in Medical and Population Genetics, Broad Institute of Harvard and MIT,  Cambridge, MA, USA.; Institute for Molecular Medicine Finland (FIMM), University of Helsinki,  Helsinki, Finland.; Psychiatric &amp;amp; Neurodevelopmental Genetics Unit, Department of Psychiatry,  Analytic and Translational Genetics Unit, Department of Medicine, and the  Department of Neurology, Massachusetts General Hospital, Boston, MA, USA.; Department of Biomedical Data Science, School of Medicine, Stanford University,  Stanford, CA, USA.; Program in Medical and Population Genetics, Broad Institute of Harvard and MIT,  Cambridge, MA, USA.; Analytic and Translational Genetics Unit, Massachusetts General Hospital, Boston,  MA, USA.; Stanley Center for Psychiatric Research, Broad Institute of Harvard and MIT,  Cambridge, MA, USA.; Institute for Molecular Medicine Finland (FIMM), University of Helsinki,  Helsinki, Finland.; Department of Computational Biology and Medical Sciences, Graduate school of  Frontier Sciences, The University of Tokyo, Tokyo, Japan.  kmatsuda@edu.k.u-tokyo.ac.jp.; Department of Statistical Genetics, Osaka University Graduate School of Medicine,  Suita, Japan. yokada@sg.med.osaka-u.ac.jp.; Laboratory for Statistical and Translational Genetics, RIKEN Center for  Integrative Medical Sciences, Yokohama, Japan. yokada@sg.med.osaka-u.ac.jp.; Laboratory of Statistical Immunology, Immunology Frontier Research Center  (WPI-IFReC), Osaka University, Suita, Japan. yokada@sg.med.osaka-u.ac.jp.; Psychiatric &amp;amp; Neurodevelopmental Genetics Unit, Department of Psychiatry,  Analytic and Translational Genetics Unit, Department of Medicine, and the  Department of Neurology, Massachusetts General Hospital, Boston, MA, USA.  yokada@sg.med.osaka-u.ac.jp.; Integrated Frontier Research for Medical Science Division, Institute for Open and  Transdisciplinary Research Initiatives, Osaka University, Suita, Japan.  yokada@sg.med.osaka-u.ac.jp.&lt;/_author_adr&gt;&lt;_collection_scope&gt;SCI;SCIE&lt;/_collection_scope&gt;&lt;_created&gt;65212715&lt;/_created&gt;&lt;_date&gt;2021-10-01&lt;/_date&gt;&lt;_date_display&gt;2021 Oct&lt;/_date_display&gt;&lt;_db_updated&gt;PubMed&lt;/_db_updated&gt;&lt;_doi&gt;10.1038/s41588-021-00931-x&lt;/_doi&gt;&lt;_impact_factor&gt;  38.330&lt;/_impact_factor&gt;&lt;_isbn&gt;1546-1718 (Electronic); 1061-4036 (Linking)&lt;/_isbn&gt;&lt;_issue&gt;10&lt;/_issue&gt;&lt;_journal&gt;Nat Genet&lt;/_journal&gt;&lt;_language&gt;eng&lt;/_language&gt;&lt;_modified&gt;65212716&lt;/_modified&gt;&lt;_ori_publication&gt;(c) 2021. The Author(s), under exclusive licence to Springer Nature America, Inc.&lt;/_ori_publication&gt;&lt;_pages&gt;1415-1424&lt;/_pages&gt;&lt;_subject_headings&gt;ABO Blood-Group System/genetics; Biological Specimen Banks; *Genetic Association Studies; Genetic Loci; Genetic Pleiotropy; *Genetic Predisposition to Disease; Genome-Wide Association Study; Humans; Major Histocompatibility Complex/genetics; Meta-Analysis as Topic; Mutation/genetics; Phenotype&lt;/_subject_headings&gt;&lt;_tertiary_title&gt;Nature genetics&lt;/_tertiary_title&gt;&lt;_type_work&gt;Journal Article; Research Support, N.I.H., Extramural; Research Support, Non-U.S. Gov&amp;apos;t&lt;/_type_work&gt;&lt;_url&gt;http://www.ncbi.nlm.nih.gov/entrez/query.fcgi?cmd=Retrieve&amp;amp;db=pubmed&amp;amp;dopt=Abstract&amp;amp;list_uids=34594039&amp;amp;query_hl=1&lt;/_url&gt;&lt;_volume&gt;53&lt;/_volume&gt;&lt;_accessed&gt;65212816&lt;/_accessed&gt;&lt;/Details&gt;&lt;Extra&gt;&lt;DBUID&gt;{F96A950B-833F-4880-A151-76DA2D6A2879}&lt;/DBUID&gt;&lt;/Extra&gt;&lt;/Item&gt;&lt;/References&gt;&lt;/Group&gt;&lt;Group&gt;&lt;References&gt;&lt;Item&gt;&lt;ID&gt;1381&lt;/ID&gt;&lt;UID&gt;{E840ADBF-7506-40BA-89C3-0791157D14C0}&lt;/UID&gt;&lt;Title&gt;A Polygenic Risk Score Based on a Cardioembolic Stroke Multitrait Analysis  Improves a Clinical Prediction Model for This Stroke Subtype&lt;/Title&gt;&lt;Template&gt;Journal Article&lt;/Template&gt;&lt;Star&gt;0&lt;/Star&gt;&lt;Tag&gt;0&lt;/Tag&gt;&lt;Author&gt;Carcel-Marquez, J; Muino, E; Gallego-Fabrega, C; Cullell, N; Lledos, M; Llucia-Carol, L; Sobrino, T; Campos, F; Castillo, J; Freijo, M; Arenillas, J F; Obach, V; Alvarez-Sabin, J; Molina, C A; Ribo, M; Jimenez-Conde, J; Roquer, J; Munoz-Narbona, L; Lopez-Cancio, E; Millan, M; Diaz-Navarro, R; Vives-Bauza, C; Serrano-Heras, G; Segura, T; Ibanez, L; Heitsch, L; Delgado, P; Dhar, R; Krupinski, J; Delgado-Mederos, R; Prats-Sanchez, L; Camps-Renom, P; Blay, N; Sumoy, L; de Cid, R; Montaner, J; Cruchaga, C; Lee, J M; Marti-Fabregas, J; Fernandez-Cadenas, I&lt;/Author&gt;&lt;Year&gt;2022&lt;/Year&gt;&lt;Details&gt;&lt;_accession_num&gt;35872910&lt;/_accession_num&gt;&lt;_author_adr&gt;Stroke Pharmacogenomics and Genetics Group, Institut d&amp;apos;Investigacio Biomedica  Sant Pau (IIB SANT PAU), Barcelona, Spain.; Departament de Medicina, Universitat Autonoma de Barcelona, Barcelona, Spain.; Stroke Pharmacogenomics and Genetics Group, Institut d&amp;apos;Investigacio Biomedica  Sant Pau (IIB SANT PAU), Barcelona, Spain.; Stroke Pharmacogenomics and Genetics Group, Institut d&amp;apos;Investigacio Biomedica  Sant Pau (IIB SANT PAU), Barcelona, Spain.; Stroke Unit, Department of Neurology, Hospital de la Santa Creu i Sant Pau,  Barcelona, Spain.; Stroke Pharmacogenomics and Genetics Group, Institut d&amp;apos;Investigacio Biomedica  Sant Pau (IIB SANT PAU), Barcelona, Spain.; Stroke Pharmacogenomics and Genetics Laboratory, Fundacion Docencia i Recerca  Mutua Terrassa, Hospital Mutua Terrassa, Terrassa, Spain.; Stroke Pharmacogenomics and Genetics Group, Institut d&amp;apos;Investigacio Biomedica  Sant Pau (IIB SANT PAU), Barcelona, Spain.; Stroke Pharmacogenomics and Genetics Group, Institut d&amp;apos;Investigacio Biomedica  Sant Pau (IIB SANT PAU), Barcelona, Spain.; Department de Genetica i de Microbiologia, Universitat Autonoma de Barcelona,  Barcelona, Spain.; Clinical Neurosciences Research Laboratory, Hospital Clinico Universitario de  Santiago de Compostela, Health Research Institute of Santiago de Compostela  (IDIS), Santiago de Compostela, Spain.; Clinical Neurosciences Research Laboratory, Hospital Clinico Universitario de  Santiago de Compostela, Health Research Institute of Santiago de Compostela  (IDIS), Santiago de Compostela, Spain.; Clinical Neurosciences Research Laboratory, Hospital Clinico Universitario de  Santiago de Compostela, Health Research Institute of Santiago de Compostela  (IDIS), Santiago de Compostela, Spain.; Department of Neurology, Biocruces-Bizkaia Health Research Institute, Bilbao,  Spain.; Stroke Unit, Department of Neurology, University Hospital of Valladolid,  Valladolid, Spain.; Department of Neurology, Hospital Clinic de Barcelona, IDIBAPS, Barcelona, Spain.; Stroke Unit, Department of Neurology, Hospital Universitari Vall d&amp;apos;Hebron,  Barcelona, Spain.; Stroke Unit, Department of Neurology, Hospital Universitari Vall d&amp;apos;Hebron,  Barcelona, Spain.; Stroke Unit, Department of Neurology, Hospital Universitari Vall d&amp;apos;Hebron,  Barcelona, Spain.; Department of Neurology, IMIM-Hospital del Mar; Neurovascular Research Group,  IMIM (Institut Hospital del Mar d&amp;apos;Investigacions Mediques), Universitat Autonoma  de Barcelona/DCEXS-Universitat Pompeu Fabra, Barcelona, Spain.; Department of Neurology, IMIM-Hospital del Mar; Neurovascular Research Group,  IMIM (Institut Hospital del Mar d&amp;apos;Investigacions Mediques), Universitat Autonoma  de Barcelona/DCEXS-Universitat Pompeu Fabra, Barcelona, Spain.; Department of Neurosciences, Hospital Germans Trias i Pujol, Universitat Autonoma  de Barcelona, Barcelona, Spain.; Department of Neurology, University Hospital Central de Asturias (HUCA). Oviedo,  Spain.; Department of Neurosciences, Hospital Germans Trias i Pujol, Universitat Autonoma  de Barcelona, Barcelona, Spain.; Department of Neurology, Son Espases University Hospital, Illes Balears Health  Research Institute (IdISBa), Palma, Spain.; Department of Neurology, Son Espases University Hospital, Illes Balears Health  Research Institute (IdISBa), Palma, Spain.; Department of Neurology, University Hospital of Albacete, Albacete, Spain.; Department of Neurology, University Hospital of Albacete, Albacete, Spain.; Department of Psychiatry, Washington University School of Medicine, Saint Louis,  MO, United States.; Department of Emergency Medicine, Washington University School of Medicine, Saint  Louis, MO, United States.; Department of Neurology, Washington University School of Medicine, Saint Louis,  MO, United States.; Neurovascular Research Laboratory, Vall d&amp;apos;Hebron Institute of Research,  Universitat Autonoma de Barcelona, Barcelona, Spain.; Department of Neurology, Washington University School of Medicine, Saint Louis,  MO, United States.; Neurology Service, Hospital Universitari Mutua Terrassa, Terrassa, Spain.; Stroke Unit, Department of Neurology, Hospital de la Santa Creu i Sant Pau,  Barcelona, Spain.; Stroke Unit, Department of Neurology, Hospital de la Santa Creu i Sant Pau,  Barcelona, Spain.; Stroke Unit, Department of Neurology, Hospital de la Santa Creu i Sant Pau,  Barcelona, Spain.; GenomesForLife-GCAT Lab, Germans Trias i Pujol Research Institute (IGTP),  Badalona, Spain.; High Content Genomics and Bioinformatics Unit, Germans Trias i Pujol Research  Institute (IGTP), Badalona, Spain.; GenomesForLife-GCAT Lab, Germans Trias i Pujol Research Institute (IGTP),  Badalona, Spain.; Institute de Biomedicine of Seville, IBiS/Hospital Universitario Virgen del  Rocio/CSIC/University of Seville and Department of Neurology, Hospital  Universitario Virgen Macarena, Seville, Spain.; Department of Psychiatry, Washington University School of Medicine, Saint Louis,  MO, United States.; Neurogenomics and Informatics Center at Washington University in St. Louis, Saint  Louis, MO, United States.; Department of Neurology, Washington University School of Medicine, Saint Louis,  MO, United States.; Stroke Unit, Department of Neurology, Hospital de la Santa Creu i Sant Pau,  Barcelona, Spain.; Stroke Pharmacogenomics and Genetics Group, Institut d&amp;apos;Investigacio Biomedica  Sant Pau (IIB SANT PAU), Barcelona, Spain.&lt;/_author_adr&gt;&lt;_created&gt;65212715&lt;/_created&gt;&lt;_date&gt;2022-01-20&lt;/_date&gt;&lt;_date_display&gt;2022&lt;/_date_display&gt;&lt;_db_updated&gt;PubMed&lt;/_db_updated&gt;&lt;_doi&gt;10.3389/fcvm.2022.940696&lt;/_doi&gt;&lt;_impact_factor&gt;   6.050&lt;/_impact_factor&gt;&lt;_isbn&gt;2297-055X (Print); 2297-055X (Electronic); 2297-055X (Linking)&lt;/_isbn&gt;&lt;_journal&gt;Front Cardiovasc Med&lt;/_journal&gt;&lt;_keywords&gt;ESUs; GWAS; multi-trait analysis; polygenic risk score; stroke&lt;/_keywords&gt;&lt;_language&gt;eng&lt;/_language&gt;&lt;_modified&gt;65212715&lt;/_modified&gt;&lt;_ori_publication&gt;Copyright (c) 2022 Carcel-Marquez, Muino, Gallego-Fabrega, Cullell, Lledos, _x000d__x000a_      Llucia-Carol, Sobrino, Campos, Castillo, Freijo, Arenillas, Obach, Alvarez-Sabin, _x000d__x000a_      Molina, Ribo, Jimenez-Conde, Roquer, Munoz-Narbona, Lopez-Cancio, Millan, _x000d__x000a_      Diaz-Navarro, Vives-Bauza, Serrano-Heras, Segura, Ibanez, Heitsch, Delgado, Dhar, _x000d__x000a_      Krupinski, Delgado-Mederos, Prats-Sanchez, Camps-Renom, Blay, Sumoy, de Cid, _x000d__x000a_      Montaner, Cruchaga, Lee, Marti-Fabregas and Fernandez-Cadenas.&lt;/_ori_publication&gt;&lt;_pages&gt;940696&lt;/_pages&gt;&lt;_tertiary_title&gt;Frontiers in cardiovascular medicine&lt;/_tertiary_title&gt;&lt;_type_work&gt;Journal Article&lt;/_type_work&gt;&lt;_url&gt;http://www.ncbi.nlm.nih.gov/entrez/query.fcgi?cmd=Retrieve&amp;amp;db=pubmed&amp;amp;dopt=Abstract&amp;amp;list_uids=35872910&amp;amp;query_hl=1&lt;/_url&gt;&lt;_volume&gt;9&lt;/_volume&gt;&lt;/Details&gt;&lt;Extra&gt;&lt;DBUID&gt;{F96A950B-833F-4880-A151-76DA2D6A2879}&lt;/DBUID&gt;&lt;/Extra&gt;&lt;/Item&gt;&lt;/References&gt;&lt;/Group&gt;&lt;Group&gt;&lt;References&gt;&lt;Item&gt;&lt;ID&gt;1380&lt;/ID&gt;&lt;UID&gt;{973C6D9E-88ED-4B35-9EB2-44FE80311983}&lt;/UID&gt;&lt;Title&gt;Multi-ethnic genome-wide association study for atrial fibrillation&lt;/Title&gt;&lt;Template&gt;Journal Article&lt;/Template&gt;&lt;Star&gt;0&lt;/Star&gt;&lt;Tag&gt;0&lt;/Tag&gt;&lt;Author&gt;Roselli, C; Chaffin, M D; Weng, L C; Aeschbacher, S; Ahlberg, G; Albert, C M; Almgren, P; Alonso, A; Anderson, C D; Aragam, K G; Arking, D E; Barnard, J; Bartz, T M; Benjamin, E J; Bihlmeyer, N A; Bis, J C; Bloom, H L; Boerwinkle, E; Bottinger, E B; Brody, J A; Calkins, H; Campbell, A; Cappola, T P; Carlquist, J; Chasman, D I; Chen, L Y; Chen, Y I; Choi, E K; Choi, S H; Christophersen, I E; Chung, M K; Cole, J W; Conen, D; Cook, J; Crijns, H J; Cutler, M J; Damrauer, S M; Daniels, B R; Darbar, D; Delgado, G; Denny, J C; Dichgans, M; Dorr, M; Dudink, E A; Dudley, S C; Esa, N; Esko, T; Eskola, M; Fatkin, D; Felix, S B; Ford, I; Franco, O H; Geelhoed, B; Grewal, R P; Gudnason, V; Guo, X; Gupta, N; Gustafsson, S; Gutmann, R; Hamsten, A; Harris, T B; Hayward, C; Heckbert, S R; Hernesniemi, J; Hocking, L J; Hofman, A; Horimoto, ARVR; Huang, J; Huang, P L; Huffman, J; Ingelsson, E; Ipek, E G; Ito, K; Jimenez-Conde, J; Johnson, R; Jukema, J W; Kaab, S; Kahonen, M; Kamatani, Y; Kane, J P; Kastrati, A; Kathiresan, S; Katschnig-Winter, P; Kavousi, M; Kessler, T; Kietselaer, B L; Kirchhof, P; Kleber, M E; Knight, S; Krieger, J E; Kubo, M; Launer, L J; Laurikka, J; Lehtimaki, T; Leineweber, K; Lemaitre, R N; Li, M; Lim, H E; Lin, H J; Lin, H; Lind, L; Lindgren, C M; Lokki, M L; London, B; Loos, RJF; Low, S K; Lu, Y; Lyytikainen, L P; Macfarlane, P W; Magnusson, P K; Mahajan, A; Malik, R; Mansur, A J; Marcus, G M; Margolin, L; Margulies, K B; Marz, W; McManus, D D; Melander, O; Mohanty, S; Montgomery, J A; Morley, M P; Morris, A P; Muller-Nurasyid, M; Natale, A; Nazarian, S; Neumann, B; Newton-Cheh, C; Niemeijer, M N; Nikus, K; Nilsson, P; Noordam, R; Oellers, H; Olesen, M S; Orho-Melander, M; Padmanabhan, S; Pak, H N; Pare, G; Pedersen, N L; Pera, J; Pereira, A; Porteous, D; Psaty, B M; Pulit, S L; Pullinger, C R; Rader, D J; Refsgaard, L; Ribases, M; Ridker, P M; Rienstra, M; Risch, L; Roden, D M; Rosand, J; Rosenberg, M A; Rost, N; Rotter, J I; Saba, S; Sandhu, R K; Schnabel, R B; Schramm, K; Schunkert, H; Schurman, C; Scott, S A; Seppala, I; Shaffer, C; Shah, S; Shalaby, A A; Shim, J; Shoemaker, M B; Siland, J E; Sinisalo, J; Sinner, M F; Slowik, A; Smith, A V; Smith, B H; Smith, J G; Smith, J D; Smith, N L; Soliman, E Z; Sotoodehnia, N; Stricker, B H; Sun, A; Sun, H; Svendsen, J H; Tanaka, T; Tanriverdi, K; Taylor, K D; Teder-Laving, M; Teumer, A; Theriault, S; Trompet, S; Tucker, N R; Tveit, A; Uitterlinden, A G; Van Der Harst, P; Van Gelder, I C; Van Wagoner, D R; Verweij, N; Vlachopoulou, E; Volker, U; Wang, B; Weeke, P E; Weijs, B; Weiss, R; Weiss, S; Wells, Q S; Wiggins, K L; Wong, J A; Woo, D; Worrall, B B; Yang, P S; Yao, J; Yoneda, Z T; Zeller, T; Zeng, L; Lubitz, S A; Lunetta, K L; Ellinor, P T&lt;/Author&gt;&lt;Year&gt;2018&lt;/Year&gt;&lt;Details&gt;&lt;_accession_num&gt;29892015&lt;/_accession_num&gt;&lt;_author_adr&gt;Program in Medical and Population Genetics, The Broad Institute of MIT and  Harvard, Cambridge, MA, USA.; Program in Medical and Population Genetics, The Broad Institute of MIT and  Harvard, Cambridge, MA, USA.; Program in Medical and Population Genetics, The Broad Institute of MIT and  Harvard, Cambridge, MA, USA.; Cardiovascular Research Center, Massachusetts General Hospital, Boston, MA, USA.; University Hospital Basel, Basel, Switzerland.; Cardiovascular Research Institute Basel, Basel, Switzerland.; Laboratory for Molecular Cardiology, The Heart Centre, Department of Cardiology,  Copenhagen University Hospital, Rigshospitalet, Copenhagen, Denmark.; The Danish National Research Foundation Centre for Cardiac Arrhythmia, Department  of Biomedical Sciences, University of Copenhagen, Copenhagen, Denmark.; Department of Clinical Medicine, Faculty of Health and Medical Sciences,  University of Copenhagen, Copenhagen, Denmark.; Divisions of Preventive and Cardiovascular Medicine, Brigham and Women&amp;apos;s Hospital  &amp;amp; Harvard Medical School, Boston, MA, USA.; Department of Clinical Sciences, Lund University, Malmo, Sweden.; Department of Epidemiology, Rollins School of Public Health, Emory University,  Atlanta, GA, USA.; Program in Medical and Population Genetics, The Broad Institute of MIT and  Harvard, Cambridge, MA, USA.; Center for Genomic Medicine, Massachusetts General Hospital, Boston, MA, USA.; Program in Medical and Population Genetics, The Broad Institute of MIT and  Harvard, Cambridge, MA, USA.; Center for Genomic Medicine, Massachusetts General Hospital, Boston, MA, USA.; McKusick-Nathans Institute of Genetic Medicine, Johns Hopkins University School  of Medicine, Baltimore, MD, USA.; Departments of Cardiovascular Medicine, Cellular and Molecular Medicine,  Molecular Cardiology, and Quantitative Health Sciences, Cleveland Clinic,  Cleveland, OH, USA.; Cardiovascular Health Research Unit, Departments of Medicine and Biostatistics,  University of Washington, Seattle, WA, USA.; NHLBI and Boston University&amp;apos;s Framingham Heart Study, Framingham, MA, USA.; Department of Medicine, Boston University School of Medicine, Boston, MA, USA.; Department of Epidemiology, Boston University School of Public Health, Boston,  MA, USA.; Predoctoral Training Program in Human Genetics, McKusick-Nathans Institute of  Genetic Medicine, Johns Hopkins University School of Medicine, Baltimore, MD,  USA.; Cardiovascular Health Research Unit, Department of Medicine, University of  Washington, Seattle, WA, USA.; Division of Cardiology, Emory University and Atlanta VA Medical Center, Atlanta,  GA, USA.; Human Genome Sequencing Center, Baylor College of Medicine, Houston, TX, USA.; The Charles Bronfman Institute for Personalized Medicine, Icahn School of  Medicine at Mount Sinai, New York, NY, USA.; Department of Pharmacology and Systems Therapeutics, Icahn School of Medicine at  Mount Sinai, New York, NY, USA.; Cardiovascular Health Research Unit, Department of Medicine, University of  Washington, Seattle, WA, USA.; Johns Hopkins University, Baltimore, MD, USA.; Generation Scotland, Centre for Genomic and Experimental Medicine, Institute of  Genetics and Molecular Medicine, University of Edinburgh, Edinburgh, UK.; Penn Cardiovascular Institute and Department of Medicine, Perelman School of  Medicine, University of Pennsylvania, Philadelphia, PA, USA.; Intermountain Heart Institute, Intermountain Medical Center, Murray, UT, USA.; Division of Cardiovascular Medicine, University of Utah, Salt Lake City, UT, USA.; Program in Medical and Population Genetics, The Broad Institute of MIT and  Harvard, Cambridge, MA, USA.; Divisions of Preventive Medicine and Genetics, Brigham and Women&amp;apos;s Hospital &amp;amp;  Harvard Medical School, Boston, MA, USA.; Cardiovascular Division, Department of Medicine, University of Minnesota Medical  School, Minneapolis, MN, USA.; Institute for Translational Genomics and Population Sciences, Department of  Pediatrics, LABioMed at Harbor-UCLA Medical Center, Torrance, CA, USA.; Seoul National University Hospital, Seoul, Korea.; Program in Medical and Population Genetics, The Broad Institute of MIT and  Harvard, Cambridge, MA, USA.; Program in Medical and Population Genetics, The Broad Institute of MIT and  Harvard, Cambridge, MA, USA.; Cardiovascular Research Center, Massachusetts General Hospital, Boston, MA, USA.; Department of Medical Research, Baerum Hospital, Vestre Viken Hospital Trust,  Drammen, Norway.; Departments of Cardiovascular Medicine, Cellular and Molecular Medicine,  Molecular Cardiology, and Quantitative Health Sciences, Cleveland Clinic,  Cleveland, OH, USA.; Baltimore Veterans Affairs Medical Center, Department of Neurology, Baltimore,  MD, USA.; University of Maryland School of Medicine, Department of Neurology, Baltimore,  MD, USA.; University Hospital Basel, Basel, Switzerland.; Cardiovascular Research Institute Basel, Basel, Switzerland.; Population Health Research Institute, McMaster University, Hamilton, Ontario,  Canada.; Department of Biostatistics, University of Liverpool, Liverpool, UK.; Maastricht University Medical Center+ and Cardiovascular Research Institute  Maastricht, Department of Cardiology, Maastricht, The Netherlands.; Intermountain Heart Institute, Intermountain Medical Center, Murray, UT, USA.; Department of Surgery, Perelman School of Medicine, University of Pennsylvania,  Philadelphia, PA, USA.; Department of Surgery, Corporal Michael Crescenz VA Medical Center, Philadelphia,  PA, USA.; Program in Medical and Population Genetics, The Broad Institute of MIT and  Harvard, Cambridge, MA, USA.; University of Illinois Chicago, Chicago, IL, USA.; Vth Department of Medicine, Medical Faculty Mannheim, Heidelberg University,  Heidelberg, Germany.; Department of Medicine, Vanderbilt University Medical Center, Nashville, TN, USA.; Institute for Stroke and Dementia Research (ISD), University Hospital, LMU  Munich, Munich, Germany.; Munich Cluster for Systems Neurology (SyNergy), Munich, Germany.; German Center for Neurodegenerative Diseases (DZNE), Munich, Germany.; Department of Internal Medicine B, University Medicine Greifswald, Greifswald,  Germany.; DZHK (German Centre for Cardiovascular Research), partner site: Greifswald,  Greifswald, Germany.; Maastricht University Medical Center+ and Cardiovascular Research Institute  Maastricht, Department of Cardiology, Maastricht, The Netherlands.; Cardiovascular Division and Lillehei Heart Institute, University of Minnesota,  Minneapolis, MN, USA.; University of Massachusetts Medical School Worcester, Worcester, MA, USA.; Program in Medical and Population Genetics, The Broad Institute of MIT and  Harvard, Cambridge, MA, USA.; Estonian Genome Center, University of Tartu, Tartu, Estonia.; Heart Center, Department of Cardiology, Tampere University Hospital, Finland and  Faculty of Medicine and Life Sciences, University of Tampere, Tampere, Finland.; Victor Chang Cardiac Research Institute, Darlinghurst, New South Wales,  Australia.; St Vincent&amp;apos;s Hospital, Darlinghurst, New South Wales, Australia.; Faculty of Medicine, University of New South Wales, Kensington, New South Wales,  Australia.; Department of Internal Medicine B, University Medicine Greifswald, Greifswald,  Germany.; DZHK (German Centre for Cardiovascular Research), partner site: Greifswald,  Greifswald, Germany.; Robertson Center for Biostatistics, University of Glasgow, Glasgow, UK.; Department of Epidemiology, Erasmus University Medical Center Rotterdam,  Rotterdam, The Netherlands.; Department of Cardiology, University Medical Center Groningen, University of  Groningen, Groningen, The Netherlands.; Dept. of Neuroscience, Saint Francis Medical Center, Trenton, NJ, USA.; School of Health and Medical Sciences, Seton Hall University, South Orange, NJ,  USA.; Icelandic Heart Association, Kopavogur, Iceland.; Faculty of Medicine, University of Iceland, Reykavik, Iceland.; Institute for Translational Genomics and Population Sciences, Department of  Pediatrics, LABioMed at Harbor-UCLA Medical Center, Torrance, CA, USA.; Program in Medical and Population Genetics, The Broad Institute of MIT and  Harvard, Cambridge, MA, USA.; Department of Medical Sciences, Molecular Epidemiology and Science for Life  Laboratory, Uppsala University, Uppsala, Sweden.; Division of Cardiovascular Medicine and Abboud Cardiovascular Research Center,  University of Iowa, Iowa City, IA, USA.; Cardiovascular Genetics and Genomics Group, Atherosclerosis Research Unit,  Department of Medicine Solna, Karolinska Institutet, Stockholm, Sweden.; Laboratory of Epidemiology, Demography, and Biometry, National Institute on  Aging, Bethesda, MD, USA.; MRC Human Genetics Unit, Institute of Genetics and Molecular Medicine, University  of Edinburgh, Edinburgh, UK.; Cardiovascular Health Research Unit and Department of Epidemiology, University of  Washington, Seattle, WA, USA.; Kaiser Permanente Washington Health Research Institute, Seattle, WA, USA.; Heart Center, Department of Cardiology, Tampere University Hospital, Finland and  Faculty of Medicine and Life Sciences, University of Tampere, Tampere, Finland.; Department of Clinical Chemistry, Fimlab Laboratories and Finnish Cardiovascular  Research Center-Tampere, Faculty of Medicine and Life Sciences, University of  Tampere, Tampere, Finland.; Institute of Medical Sciences, University of Aberdeen, Aberdeen, UK.; Department of Epidemiology, Erasmus University Medical Center Rotterdam,  Rotterdam, The Netherlands.; Laboratory of Genetics and Molecular Cardiology, Heart Institute, University of  Sao Paulo, Sao Paulo, Brazil.; Boston VA Research Institute, Inc., Boston, MA, USA.; Cardiovascular Research Center, Massachusetts General Hospital, Boston, MA, USA.; MRC Human Genetics Unit, Institute of Genetics and Molecular Medicine, University  of Edinburgh, Edinburgh, UK.; Department of Medical Sciences, Molecular Epidemiology and Science for Life  Laboratory, Uppsala University, Uppsala, Sweden.; Division of Cardiovascular Medicine, Department of Medicine, Stanford University  School of Medicine, Stanford, CA, USA.; Johns Hopkins University, Baltimore, MD, USA.; Laboratory for Cardiovascular Diseases, RIKEN Center for Integrative Medical  Sciences, Yokohama, Japan.; Department of Neurology, Neurovascular Research Group IMIM-Hospital del Mar  (Institut Hospital del Mar d&amp;apos;Investigacions Mediques), Barcelona, Spain.; Universitat Autonoma de Barcelona, Medicine Department, Barcelona, Spain.; Victor Chang Cardiac Research Institute, Darlinghurst, New South Wales,  Australia.; Department of Cardiology, Leiden University Medical Center, Leiden, The  Netherlands.; Durrer Center for Cardiogenetic Research, Amsterdam, The Netherlands.; Interuniversity Cardiology Institute of the Netherlands, Utrecht, The  Netherlands.; Department of Medicine I, University Hospital Munich,  Ludwig-Maximilians-University, Munich, Germany.; DZHK (German Centre for Cardiovascular Research), partner site: Munich Heart  Alliance, Munich, Germany.; Department of Clinical Physiology, Tampere University Hospital, and Finnish  Cardiovascular Research Center-Tampere, Faculty of Medicine and Life Sciences,  University of Tampere, Tampere, Finland.; Laboratory for Statistical Analysis, RIKEN Center for Integrative Medical  Sciences, Yokohama, Japan.; Cardiovascular Research Institute, University of California, San Francisco, San  Francisco, CA, USA.; DZHK (German Centre for Cardiovascular Research), partner site: Munich Heart  Alliance, Munich, Germany.; Deutsches Herzzentrum Munchen, Klinik fur Herz- und Kreislauferkrankungen,  Technische Universitat Munchen, Munich, Germany.; Program in Medical and Population Genetics, The Broad Institute of MIT and  Harvard, Cambridge, MA, USA.; Center for Genomic Medicine, Massachusetts General Hospital, Boston, MA, USA.; Department of Neurology, Medical University of Graz, Graz, Austria.; Department of Epidemiology, Erasmus University Medical Center Rotterdam,  Rotterdam, The Netherlands.; Deutsches Herzzentrum Munchen, Klinik fur Herz- und Kreislauferkrankungen,  Technische Universitat Munchen, Munich, Germany.; Maastricht University Medical Center+ and Cardiovascular Research Institute  Maastricht, Department of Cardiology, Maastricht, The Netherlands.; Institute of Cardiovascular Sciences, University of Birmingham, Birmingham, UK.; Sandwell and West Birmingham Hospitals NHS Trust and University Hospitals  Birmingham NHS Foundation Trust, Birmingham, UK.; AFNET, Muenster, Germany.; Vth Department of Medicine, Medical Faculty Mannheim, Heidelberg University,  Heidelberg, Germany.; Intermountain Heart Institute, Intermountain Medical Center, Murray, UT, USA.; Department of Medicine, University of Utah, Salt Lake City, UT, USA.; Laboratory of Genetics and Molecular Cardiology, Heart Institute, University of  Sao Paulo, Sao Paulo, Brazil.; RIKEN Center for Integrative Medical Sciences, Yokohama, Japan.; Laboratory of Epidemiology, Demography, and Biometry, National Institute on  Aging, Bethesda, MD, USA.; Department of Cardio-Thoracic Surgery, Heart Center, Tampere University Hospital,  and Finnish Cardiovascular Research Center-Tampere, Faculty of Medicine and Life  Sciences, University of Tampere, Tampere, Finland.; Department of Clinical Chemistry, Fimlab Laboratories and Finnish Cardiovascular  Research Center-Tampere, Faculty of Medicine and Life Sciences, University of  Tampere, Tampere, Finland.; Dept. Disease Genomics, Bayer, Wuppertal, Germany.; Cardiovascular Health Research Unit, Department of Medicine, University of  Washington, Seattle, WA, USA.; Department of Epidemiology, Johns Hopkins University, Baltimore, MD, USA.; Division of Nephrology &amp;amp; Hypertension, Internal Medicine, School of Medicine,  University of Utah, Salt Lake City, UT, USA.; Korea University Guro Hospital, Seoul, Korea.; Institute for Translational Genomics and Population Sciences, Department of  Pediatrics, LABioMed at Harbor-UCLA Medical Center, Torrance, CA, USA.; NHLBI and Boston University&amp;apos;s Framingham Heart Study, Framingham, MA, USA.; Department of Medicine, Boston University School of Medicine, Boston, MA, USA.; Department of Medical Sciences, Cardiovascular Epidemiology, Uppsala University,  Uppsala, Sweden.; Wellcome Trust Centre for Human Genetics, University of Oxford, Oxford, UK.; Transplantation Laboratory, Medicum, University of Helsinki, Helsinki, Finland.; Division of Cardiovascular Medicine and Abboud Cardiovascular Research Center,  University of Iowa, Iowa City, IA, USA.; The Charles Bronfman Institute for Personalized Medicine, Icahn School of  Medicine at Mount Sinai, New York, NY, USA.; The Genetics of Obesity and Related Metabolic Traits Program, Icahn School of  Medicine at Mount Sinai, New York, New York, USA.; The Mindich Child Health and Development Institute, Icahn School of Medicine at  Mount Sinai, New York, NY, USA.; Laboratory for Statistical Analysis, RIKEN Center for Integrative Medical  Sciences, Yokohama, Japan.; The Charles Bronfman Institute for Personalized Medicine, Icahn School of  Medicine at Mount Sinai, New York, NY, USA.; The Genetics of Obesity and Related Metabolic Traits Program, Icahn School of  Medicine at Mount Sinai, New York, New York, USA.; Department of Clinical Chemistry, Fimlab Laboratories and Finnish Cardiovascular  Research Center-Tampere, Faculty of Medicine and Life Sciences, University of  Tampere, Tampere, Finland.; Institute of Health and Wellbeing, College of Medical, Veterinary and Life  Sciences, University of Glasgow, Glasgow, UK.; Department of Medical Epidemiology and Biostatistics, Karolinska Institutet,  Stockholm, Sweden.; Wellcome Trust Centre for Human Genetics, University of Oxford, Oxford, UK.; Institute for Stroke and Dementia Research (ISD), University Hospital, LMU  Munich, Munich, Germany.; Heart Institute, University of Sao Paulo, Sao Paulo, Brazil.; Division of Cardiology, University of California, San Francisco, San Francisco,  California, USA.; Program in Medical and Population Genetics, The Broad Institute of MIT and  Harvard, Cambridge, MA, USA.; Penn Cardiovascular Institute and Department of Medicine, Perelman School of  Medicine, University of Pennsylvania, Philadelphia, PA, USA.; Clinical Institute of Medical and Chemical Laboratory Diagnostics, Medical  University of Graz, Graz, Austria.; Synlab Academy, Synlab Services GmbH, Mannheim, Germany.; University of Massachusetts Medical School Worcester, Worcester, MA, USA.; Department of Internal Medicine, Clinical Sciences, Lund University, Malmo,  Sweden.; Texas Cardiac Arrhythmia Institute, St David&amp;apos;s Medical Center, Austin, TX, USA.; Dell Medical School, Austin, TX, USA.; Department of Medicine, Vanderbilt University Medical Center, Nashville, TN, USA.; Penn Cardiovascular Institute and Department of Medicine, Perelman School of  Medicine, University of Pennsylvania, Philadelphia, PA, USA.; Department of Biostatistics, University of Liverpool, Liverpool, UK.; Department of Medicine I, University Hospital Munich,  Ludwig-Maximilians-University, Munich, Germany.; DZHK (German Centre for Cardiovascular Research), partner site: Munich Heart  Alliance, Munich, Germany.; Institute of Genetic Epidemiology, Helmholtz Zentrum Munchen-German Research  Center for Environmental Health, Neuherberg, Germany.; Texas Cardiac Arrhythmia Institute, St David&amp;apos;s Medical Center, Austin, TX, USA.; Dell Medical School, Austin, TX, USA.; University of Pennsylvania, Philadelphia, PA, USA.; Department of Medicine I, University Hospital Munich,  Ludwig-Maximilians-University, Munich, Germany.; Program in Medical and Population Genetics, The Broad Institute of MIT and  Harvard, Cambridge, MA, USA.; Center for Genomic Medicine, Massachusetts General Hospital, Boston, MA, USA.; Department of Epidemiology, Erasmus University Medical Center Rotterdam,  Rotterdam, The Netherlands.; Heart Center, Department of Cardiology, Tampere University Hospital, Finland and  Faculty of Medicine and Life Sciences, University of Tampere, Tampere, Finland.; Department of Clinical Sciences, Lund University and Skane University Hospital,  Malmo, Sweden.; Section of Gerontology and Geriatrics, Department of Internal Medicine, Leiden  University Medical Center, Leiden, The Netherlands.; Atrial Fibrillation NETwork, Muenster, Germany.; Laboratory for Molecular Cardiology, The Heart Centre, Department of Cardiology,  Copenhagen University Hospital, Rigshospitalet, Copenhagen, Denmark.; The Danish National Research Foundation Centre for Cardiac Arrhythmia, Department  of Biomedical Sciences, University of Copenhagen, Copenhagen, Denmark.; Department of Clinical Medicine, Faculty of Health and Medical Sciences,  University of Copenhagen, Copenhagen, Denmark.; Department of Clinical Sciences, Lund University, Malmo, Sweden.; Institute of Cardiovascular and Medical Sciences, BHF Glasgow Cardiovascular  Research Centre, University of Glasgow, Glasgow, UK.; Yonsei University Health System, Seoul, Korea.; Population Health Research Institute, McMaster University, Hamilton, Ontario,  Canada.; Department of Pathology and Molecular Medicine, McMaster University, Hamilton,  Ontario, Canada.; Department of Medical Epidemiology and Biostatistics, Karolinska Institutet,  Stockholm, Sweden.; Department of Neurology, Faculty of Medicine, Jagiellonian University Medical  College, Krakow, Poland.; Laboratory of Genetics and Molecular Biology, Heart Institute, University of Sao  Paulo, Sao Paulo, Brazil.; Department of Genetics, Harvard Medical School, Boston, MA, USA.; Generation Scotland, Centre for Genomic and Experimental Medicine, Institute of  Genetics and Molecular Medicine, University of Edinburgh, Edinburgh, UK.; Kaiser Permanente Washington Health Research Institute, Seattle, WA, USA.; Cardiovascular Health Research Unit, Departments of Medicine, Epidemiology, and  Health Services, University of Washington, Seattle, WA, USA.; Program in Medical and Population Genetics, The Broad Institute of MIT and  Harvard, Cambridge, MA, USA.; Department of Genetics, Center for Molecular Medicine, University Medical Centre  Utrecht, Utrecht University, Utrecht, The Netherlands.; Li Ka Shing Center for Health Information and Discovery, Big Data Institute,  Oxford University, Oxford, UK.; Cardiovascular Research Institute, University of California, San Francisco, San  Francisco, CA, USA.; Division of Cardiovascular Medicine, Department of Medicine, Perelman School of  Medicine at the University of Pennsylvania, Philadelphia, PA, USA.; Laboratory for Molecular Cardiology, The Heart Centre, Department of Cardiology,  Copenhagen University Hospital, Rigshospitalet, Copenhagen, Denmark.; The Danish National Research Foundation Centre for Cardiac Arrhythmia, Department  of Biomedical Sciences, University of Copenhagen, Copenhagen, Denmark.; Department of Clinical Medicine, Faculty of Health and Medical Sciences,  University of Copenhagen, Copenhagen, Denmark.; Psychiatric Genetics Unit, Group of Psychiatry, Mental Health and Addiction, Vall  d&amp;apos;Hebron Research Institute (VHIR), Universitat Autonoma de Barcelona, Barcelona,  Spain.; Department of Psychiatry, Hospital Universitari Vall d&amp;apos;Hebron, Barcelona, Spain.; Biomedical Network Research Centre on Mental Health (CIBERSAM), Instituto de  Salud Carlos III, Madrid, Spain.; Divisions of Preventive and Cardiovascular Medicine, Brigham and Women&amp;apos;s Hospital  &amp;amp; Harvard Medical School, Boston, MA, USA.; Department of Cardiology, University Medical Center Groningen, University of  Groningen, Groningen, The Netherlands.; University Institute of Clinical Chemistry, University of Bern, Bern,  Switzerland.; Labormedizinisches Zentrum Dr. Risch, Schaan, Liechtenstein.; Department of Medicine, Vanderbilt University Medical Center, Nashville, TN, USA.; Program in Medical and Population Genetics, The Broad Institute of MIT and  Harvard, Cambridge, MA, USA.; Center for Genomic Medicine, Massachusetts General Hospital, Boston, MA, USA.; Center for Genomic Medicine, Massachusetts General Hospital, Boston, MA, USA.; University of Colorado School of Medicine, Aurora, CO, USA.; Program in Medical and Population Genetics, The Broad Institute of MIT and  Harvard, Cambridge, MA, USA.; J. Philip Kistler Stroke Research Center, Massachusetts General Hospital, Boston,  MA, USA.; Institute for Translational Genomics and Population Sciences, Departments of  Pediatrics and Medicine, LABioMed at Harbor-UCLA Medical Center, Torrance, CA,  USA.; Division of Cardiology, University of Pittsburgh, Pittsburgh, PA, USA.; Division of Cardiology, University of Alberta, Edmonton, Alberta, Canada.; Department of General and Interventional Cardiology, University Heart Centre  Hamburg, Hamburg, Germany.; DZHK (German Centre for Cardiovascular Research), partner site:  Hamburg/Kiel/Lubeck, Hamburg, Germany.; Department of Medicine I, University Hospital Munich,  Ludwig-Maximilians-University, Munich, Germany.; Institute of Genetic Epidemiology, Helmholtz Zentrum Munchen-German Research  Center for Environmental Health, Neuherberg, Germany.; DZHK (German Centre for Cardiovascular Research), partner site: Munich Heart  Alliance, Munich, Germany.; Deutsches Herzzentrum Munchen, Klinik fur Herz- und Kreislauferkrankungen,  Technische Universitat Munchen, Munich, Germany.; The Charles Bronfman Institute for Personalized Medicine, Icahn School of  Medicine at Mount Sinai, New York, NY, USA.; The Genetics of Obesity and Related Metabolic Traits Program, Icahn School of  Medicine at Mount Sinai, New York, New York, USA.; Department of Genetics and Genomic Sciences, Icahn School of Medicine at Mount  Sinai, New York, NY, USA.; Department of Clinical Chemistry, Fimlab Laboratories and Finnish Cardiovascular  Research Center-Tampere, Faculty of Medicine and Life Sciences, University of  Tampere, Tampere, Finland.; Department of Medicine, Vanderbilt University Medical Center, Nashville, TN, USA.; Division of Cardiology, Department of Medicine, Duke University School of  Medicine, Durham, North Carolina, USA.; Division of Cardiology, University of Pittsburgh, Pittsburgh, PA, USA.; Cardiology Division, Pittsburgh VA Healthcare System, Pittsburgh, Pennsylvania,  USA.; Korea University Anam Hospital, Seoul, Korea.; Department of Medicine, Vanderbilt University Medical Center, Nashville, TN, USA.; Department of Cardiology, University Medical Center Groningen, University of  Groningen, Groningen, The Netherlands.; Heart and Lung Center HUS, Helsinki University Central Hospital, Helsinki,  Finland.; Department of Medicine I, University Hospital Munich,  Ludwig-Maximilians-University, Munich, Germany.; DZHK (German Centre for Cardiovascular Research), partner site: Munich Heart  Alliance, Munich, Germany.; Department of Neurology, Faculty of Medicine, Jagiellonian University Medical  College, Krakow, Poland.; Icelandic Heart Association, Kopavogur, Iceland.; Faculty of Medicine, University of Iceland, Reykavik, Iceland.; Division of Population Health Sciences, University of Dundee, Dundee, UK.; Program in Medical and Population Genetics, The Broad Institute of MIT and  Harvard, Cambridge, MA, USA.; Department of Cardiology, Clinical Sciences, Lund University and Skane University  Hospital, Lund, Sweden.; Departments of Cardiovascular Medicine, Cellular and Molecular Medicine,  Molecular Cardiology, and Quantitative Health Sciences, Cleveland Clinic,  Cleveland, OH, USA.; Cardiovascular Health Research Unit and Department of Epidemiology, University of  Washington, Seattle, WA, USA.; Kaiser Permanente Washington Health Research Institute, Seattle, WA, USA.; Epidemiological Cardiology Research Center (EPICARE), Wake Forest School of  Medicine, Winston Salem, NC, USA.; Cardiovascular Health Research Unit, Departments of Medicine and Epidemiology,  University of Washington, Seattle, WA, USA.; Department of Epidemiology and Internal Medicine, Erasmus University Medical  Center Rotterdam, Rotterdam, The Netherlands.; Inspectorate of Health Care, Utrecht, The Netherlands.; Division of Cardiology, Department of Medicine, Duke University School of  Medicine, Durham, North Carolina, USA.; Departments of Cardiovascular Medicine, Cellular and Molecular Medicine,  Molecular Cardiology, and Quantitative Health Sciences, Cleveland Clinic,  Cleveland, OH, USA.; Laboratory for Molecular Cardiology, The Heart Centre, Department of Cardiology,  Copenhagen University Hospital, Rigshospitalet, Copenhagen, Denmark.; Department of Clinical Medicine, Faculty of Health and Medical Sciences,  University of Copenhagen, Copenhagen, Denmark.; Department of Human Genetics and Disease Diversity, Tokyo Medical and Dental  University Graduate School of Medical and Dental Sciences, Tokyo, Japan.; University of Massachusetts Medical School Worcester, Worcester, MA, USA.; Institute for Translational Genomics and Population Sciences, Department of  Pediatrics, LABioMed at Harbor-UCLA Medical Center, Torrance, CA, USA.; Estonian Genome Center, University of Tartu, Tartu, Estonia.; DZHK (German Centre for Cardiovascular Research), partner site: Greifswald,  Greifswald, Germany.; Institute for Community Medicine, University Medicine Greifswald, Greifswald,  Germany.; Population Health Research Institute, McMaster University, Hamilton, Ontario,  Canada.; Department of Pathology and Molecular Medicine, McMaster University, Hamilton,  Ontario, Canada.; Department of Cardiology, Leiden University Medical Center, Leiden, The  Netherlands.; Section of Gerontology and Geriatrics, Department of Internal Medicine, Leiden  University Medical Center, Leiden, The Netherlands.; Program in Medical and Population Genetics, The Broad Institute of MIT and  Harvard, Cambridge, MA, USA.; Cardiovascular Research Center, Massachusetts General Hospital, Boston, MA, USA.; Department of Medical Research, Baerum Hospital, Vestre Viken Hospital Trust,  Drammen, Norway.; Institute of Clinical Medicine, University of Oslo, Oslo, Norway.; Department of Epidemiology and Internal Medicine, Erasmus University Medical  Center Rotterdam, Rotterdam, The Netherlands.; Department of Cardiology, University Medical Center Groningen, University of  Groningen, Groningen, The Netherlands.; Department of Cardiology, University Medical Center Groningen, University of  Groningen, Groningen, The Netherlands.; Departments of Cardiovascular Medicine, Cellular and Molecular Medicine,  Molecular Cardiology, and Quantitative Health Sciences, Cleveland Clinic,  Cleveland, OH, USA.; Department of Cardiology, University Medical Center Groningen, University of  Groningen, Groningen, The Netherlands.; Transplantation Laboratory, Medicum, University of Helsinki, Helsinki, Finland.; DZHK (German Centre for Cardiovascular Research), partner site: Greifswald,  Greifswald, Germany.; Interfaculty Institute for Genetics and Functional Genomics, University Medicine  and Ernst-Moritz-Arndt-University Greifswald, Greifswald, Germany.; Department of Biostatistics, Boston University School of Public Health, Boston,  MA, USA.; Laboratory for Molecular Cardiology, The Heart Centre, Department of Cardiology,  Copenhagen University Hospital, Rigshospitalet, Copenhagen, Denmark.; Department of Medicine, Vanderbilt University Medical Center, Nashville, TN, USA.; Maastricht University Medical Center+ and Cardiovascular Research Institute  Maastricht, Department of Cardiology, Maastricht, The Netherlands.; Division of Cardiovascular Medicine, The Ohio State University, Columbus, OH,  USA.; DZHK (German Centre for Cardiovascular Research), partner site: Greifswald,  Greifswald, Germany.; Interfaculty Institute for Genetics and Functional Genomics, University Medicine  and Ernst-Moritz-Arndt-University Greifswald, Greifswald, Germany.; Department of Medicine, Vanderbilt University Medical Center, Nashville, TN, USA.; Cardiovascular Health Research Unit, Department of Medicine, University of  Washington, Seattle, WA, USA.; Division of Cardiology, Hamilton Health Sciences, McMaster University, Hamilton,  Ontario, Canada.; University of Cincinnati College of Medicine, Cincinnati, OH, USA.; Departments of Neurology and Public Health Science, University of Virginia Health  System, Charlottesville, VA, USA.; Yonsei University Health System, Seoul, Korea.; Institute for Translational Genomics and Population Sciences, Department of  Pediatrics, LABioMed at Harbor-UCLA Medical Center, Torrance, CA, USA.; Department of Medicine, Vanderbilt University Medical Center, Nashville, TN, USA.; Department of General and Interventional Cardiology, University Heart Centre  Hamburg, Hamburg, Germany.; DZHK (German Centre for Cardiovascular Research), partner site:  Hamburg/Kiel/Lubeck, Hamburg, Germany.; Deutsches Herzzentrum Munchen, Klinik fur Herz- und Kreislauferkrankungen,  Technische Universitat Munchen, Munich, Germany.; Program in Medical and Population Genetics, The Broad Institute of MIT and  Harvard, Cambridge, MA, USA.; Cardiovascular Research Center, Massachusetts General Hospital, Boston, MA, USA.; Cardiac Arrhythmia Service, Massachusetts General Hospital, Boston, MA, USA.; NHLBI and Boston University&amp;apos;s Framingham Heart Study, Framingham, MA, USA.; Department of Biostatistics, Boston University School of Public Health, Boston,  MA, USA.; Program in Medical and Population Genetics, The Broad Institute of MIT and  Harvard, Cambridge, MA, USA. ellinor@mgh.harvard.edu.; Cardiovascular Research Center, Massachusetts General Hospital, Boston, MA, USA.  ellinor@mgh.harvard.edu.; Cardiac Arrhythmia Service, Massachusetts General Hospital, Boston, MA, USA.  ellinor@mgh.harvard.edu.&lt;/_author_adr&gt;&lt;_collection_scope&gt;SCI;SCIE&lt;/_collection_scope&gt;&lt;_created&gt;65212715&lt;/_created&gt;&lt;_date&gt;2018-06-11&lt;/_date&gt;&lt;_date_display&gt;2018 Jun 11&lt;/_date_display&gt;&lt;_db_updated&gt;PubMed&lt;/_db_updated&gt;&lt;_doi&gt;10.1038/s41588-018-0133-9&lt;/_doi&gt;&lt;_impact_factor&gt;  38.330&lt;/_impact_factor&gt;&lt;_isbn&gt;1546-1718 (Electronic); 1061-4036 (Print); 1061-4036 (Linking)&lt;/_isbn&gt;&lt;_issue&gt;9&lt;/_issue&gt;&lt;_journal&gt;Nat Genet&lt;/_journal&gt;&lt;_language&gt;eng&lt;/_language&gt;&lt;_modified&gt;65212715&lt;/_modified&gt;&lt;_pages&gt;1225-1233&lt;/_pages&gt;&lt;_subject_headings&gt;Atrial Fibrillation/ethnology/*genetics; Case-Control Studies; Ethnicity/*genetics; Genetic Predisposition to Disease; Genome-Wide Association Study/methods; Humans; Quantitative Trait Loci; Transcriptome&lt;/_subject_headings&gt;&lt;_tertiary_title&gt;Nature genetics&lt;/_tertiary_title&gt;&lt;_type_work&gt;Journal Article; Meta-Analysis&lt;/_type_work&gt;&lt;_url&gt;http://www.ncbi.nlm.nih.gov/entrez/query.fcgi?cmd=Retrieve&amp;amp;db=pubmed&amp;amp;dopt=Abstract&amp;amp;list_uids=29892015&amp;amp;query_hl=1&lt;/_url&gt;&lt;_volume&gt;50&lt;/_volume&gt;&lt;/Details&gt;&lt;Extra&gt;&lt;DBUID&gt;{F96A950B-833F-4880-A151-76DA2D6A2879}&lt;/DBUID&gt;&lt;/Extra&gt;&lt;/Item&gt;&lt;/References&gt;&lt;/Group&gt;&lt;/Citation&gt;_x000a_"/>
    <w:docVar w:name="NE.Ref{A7F265BF-BD1F-4E8E-AC75-1BBD21A61721}" w:val=" ADDIN NE.Ref.{A7F265BF-BD1F-4E8E-AC75-1BBD21A61721}&lt;Citation&gt;&lt;Group&gt;&lt;References&gt;&lt;Item&gt;&lt;ID&gt;1199&lt;/ID&gt;&lt;UID&gt;{2704D4BA-115B-4D0F-8B71-BEFF276021E9}&lt;/UID&gt;&lt;Title&gt;Biobank-driven genomic discovery yields new insight into atrial fibrillation  biology&lt;/Title&gt;&lt;Template&gt;Journal Article&lt;/Template&gt;&lt;Star&gt;0&lt;/Star&gt;&lt;Tag&gt;0&lt;/Tag&gt;&lt;Author&gt;Nielsen, J B; Thorolfsdottir, R B; Fritsche, L G; Zhou, W; Skov, M W; Graham, S E; Herron, T J; McCarthy, S; Schmidt, E M; Sveinbjornsson, G; Surakka, I; Mathis, M R; Yamazaki, M; Crawford, R D; Gabrielsen, M E; Skogholt, A H; Holmen, O L; Lin, M; Wolford, B N; Dey, R; Dalen, H; Sulem, P; Chung, J H; Backman, J D; Arnar, D O; Thorsteinsdottir, U; Baras, A; O&amp;apos;Dushlaine, C; Holst, A G; Wen, X; Hornsby, W; Dewey, F E; Boehnke, M; Kheterpal, S; Mukherjee, B; Lee, S; Kang, H M; Holm, H; Kitzman, J; Shavit, J A; Jalife, J; Brummett, C M; Teslovich, T M; Carey, D J; Gudbjartsson, D F; Stefansson, K; Abecasis, G R; Hveem, K; Willer, C J&lt;/Author&gt;&lt;Year&gt;2018&lt;/Year&gt;&lt;Details&gt;&lt;_accession_num&gt;30061737&lt;/_accession_num&gt;&lt;_author_adr&gt;Department of Internal Medicine, Division of Cardiovascular Medicine, University  of Michigan, Ann Arbor, MI, USA.; Department of Human Genetics, University of Michigan, Ann Arbor, MI, USA.; deCODE genetics/Amgen, Inc., Reykjavik, Iceland.; Faculty of Medicine, University of Iceland, Reykjavik, Iceland.; Department of Internal Medicine, Division of Cardiovascular Medicine, University  of Michigan, Ann Arbor, MI, USA.; HUNT Research Centre, Department of Public Health and General Practice, Norwegian  University of Science and Technology, Levanger, Norway.; K.G. Jebsen Center for Genetic Epidemiology, Department of Public Health,  Norwegian University of Science and Technology, Trondheim, Norway.; Department of Computational Medicine and Bioinformatics, University of Michigan,  Ann Arbor, MI, USA.; Department of Internal Medicine, Division of Cardiovascular Medicine, University  of Michigan, Ann Arbor, MI, USA.; Department of Computational Medicine and Bioinformatics, University of Michigan,  Ann Arbor, MI, USA.; Laboratory of Molecular Cardiology, Department of Cardiology, The Heart Centre,  Copenhagen University Hospital, Rigshospitalet, Copenhagen, Denmark.; Department of Internal Medicine, Division of Cardiovascular Medicine, University  of Michigan, Ann Arbor, MI, USA.; Department of Human Genetics, University of Michigan, Ann Arbor, MI, USA.; Department of Internal Medicine, Center for Arrhythmia Research, University of  Michigan, Ann Arbor, MI, USA.; Regeneron Genetics Center, Tarrytown, NY, USA.; Department of Biostatistics, Center for Statistical Genetics, University of  Michigan, Ann Arbor, MI, USA.; deCODE genetics/Amgen, Inc., Reykjavik, Iceland.; Department of Internal Medicine, Division of Cardiovascular Medicine, University  of Michigan, Ann Arbor, MI, USA.; Department of Human Genetics, University of Michigan, Ann Arbor, MI, USA.; Department of Anesthesiology, University of Michigan, Ann Arbor, MI, USA.; Medical Device Development and Regulation Research Center, The University of  Tokyo, Tokyo, Japan.; Department of Computational Medicine and Bioinformatics, University of Michigan,  Ann Arbor, MI, USA.; HUNT Research Centre, Department of Public Health and General Practice, Norwegian  University of Science and Technology, Levanger, Norway.; K.G. Jebsen Center for Genetic Epidemiology, Department of Public Health,  Norwegian University of Science and Technology, Trondheim, Norway.; HUNT Research Centre, Department of Public Health and General Practice, Norwegian  University of Science and Technology, Levanger, Norway.; K.G. Jebsen Center for Genetic Epidemiology, Department of Public Health,  Norwegian University of Science and Technology, Trondheim, Norway.; HUNT Research Centre, Department of Public Health and General Practice, Norwegian  University of Science and Technology, Levanger, Norway.; K.G. Jebsen Center for Genetic Epidemiology, Department of Public Health,  Norwegian University of Science and Technology, Trondheim, Norway.; Department of Cardiology, St. Olav&amp;apos;s University Hospital, Trondheim, Norway.; Department of Internal Medicine, Division of Cardiovascular Medicine, University  of Michigan, Ann Arbor, MI, USA.; Department of Human Genetics, University of Michigan, Ann Arbor, MI, USA.; Department of Internal Medicine, Division of Cardiovascular Medicine, University  of Michigan, Ann Arbor, MI, USA.; Department of Computational Medicine and Bioinformatics, University of Michigan,  Ann Arbor, MI, USA.; Department of Biostatistics, Center for Statistical Genetics, University of  Michigan, Ann Arbor, MI, USA.; Department of Medicine, Levanger Hospital, Nord-Trondelag Hospital Trust,  Levanger, Norway.; Department of Circulation and Medical Imaging, Norwegian University of Science  and Technology, Trondheim, Norway.; Department of Cardiology, St. Olav&amp;apos;s University Hospital, Trondheim University  Hospital, Trondheim, Norway.; deCODE genetics/Amgen, Inc., Reykjavik, Iceland.; Regeneron Genetics Center, Tarrytown, NY, USA.; Regeneron Genetics Center, Tarrytown, NY, USA.; deCODE genetics/Amgen, Inc., Reykjavik, Iceland.; Faculty of Medicine, University of Iceland, Reykjavik, Iceland.; Department of Medicine, Landspitali - National University Hospital, Reykjavik,  Iceland.; deCODE genetics/Amgen, Inc., Reykjavik, Iceland.; Faculty of Medicine, University of Iceland, Reykjavik, Iceland.; Regeneron Genetics Center, Tarrytown, NY, USA.; Regeneron Genetics Center, Tarrytown, NY, USA.; Laboratory of Molecular Cardiology, Department of Cardiology, The Heart Centre,  Copenhagen University Hospital, Rigshospitalet, Copenhagen, Denmark.; Department of Biostatistics, Center for Statistical Genetics, University of  Michigan, Ann Arbor, MI, USA.; Department of Internal Medicine, Division of Cardiovascular Medicine, University  of Michigan, Ann Arbor, MI, USA.; Regeneron Genetics Center, Tarrytown, NY, USA.; Department of Biostatistics, Center for Statistical Genetics, University of  Michigan, Ann Arbor, MI, USA.; Department of Anesthesiology, University of Michigan, Ann Arbor, MI, USA.; Department of Biostatistics, Center for Statistical Genetics, University of  Michigan, Ann Arbor, MI, USA.; Department of Biostatistics, Center for Statistical Genetics, University of  Michigan, Ann Arbor, MI, USA.; Department of Biostatistics, Center for Statistical Genetics, University of  Michigan, Ann Arbor, MI, USA.; deCODE genetics/Amgen, Inc., Reykjavik, Iceland.; Department of Human Genetics, University of Michigan, Ann Arbor, MI, USA.; Department of Pediatrics and Communicable Diseases, University of Michigan, Ann  Arbor, MI, USA.; Department of Internal Medicine, Division of Cardiovascular Medicine, University  of Michigan, Ann Arbor, MI, USA.; Department of Internal Medicine, Center for Arrhythmia Research, University of  Michigan, Ann Arbor, MI, USA.; Fundacion Centro Nacional de Investigaciones Cardiovasculares (CNIC), Madrid,  Spain.; Department of Anesthesiology, University of Michigan, Ann Arbor, MI, USA.; Regeneron Genetics Center, Tarrytown, NY, USA.; Geisinger Health System, Danville, PA, USA.; deCODE genetics/Amgen, Inc., Reykjavik, Iceland.; School of Engineering and Natural Sciences, University of Iceland, Reykjavik,  Iceland.; deCODE genetics/Amgen, Inc., Reykjavik, Iceland.; Faculty of Medicine, University of Iceland, Reykjavik, Iceland.; K.G. Jebsen Center for Genetic Epidemiology, Department of Public Health,  Norwegian University of Science and Technology, Trondheim, Norway.  goncalo@umich.edu.; Department of Biostatistics, Center for Statistical Genetics, University of  Michigan, Ann Arbor, MI, USA. goncalo@umich.edu.; HUNT Research Centre, Department of Public Health and General Practice, Norwegian  University of Science and Technology, Levanger, Norway. kristian.hveem@ntnu.no.; K.G. Jebsen Center for Genetic Epidemiology, Department of Public Health,  Norwegian University of Science and Technology, Trondheim, Norway.  kristian.hveem@ntnu.no.; Department of Medicine, Levanger Hospital, Nord-Trondelag Hospital Trust,  Levanger, Norway. kristian.hveem@ntnu.no.; Department of Internal Medicine, Division of Cardiovascular Medicine, University  of Michigan, Ann Arbor, MI, USA. cristen@umich.edu.; Department of Human Genetics, University of Michigan, Ann Arbor, MI, USA.  cristen@umich.edu.; Department of Computational Medicine and Bioinformatics, University of Michigan,  Ann Arbor, MI, USA. cristen@umich.edu.&lt;/_author_adr&gt;&lt;_collection_scope&gt;SCI;SCIE&lt;/_collection_scope&gt;&lt;_created&gt;65011481&lt;/_created&gt;&lt;_date&gt;2018-09-01&lt;/_date&gt;&lt;_date_display&gt;2018 Sep&lt;/_date_display&gt;&lt;_db_updated&gt;PubMed&lt;/_db_updated&gt;&lt;_doi&gt;10.1038/s41588-018-0171-3&lt;/_doi&gt;&lt;_impact_factor&gt;  38.330&lt;/_impact_factor&gt;&lt;_isbn&gt;1546-1718 (Electronic); 1061-4036 (Print); 1061-4036 (Linking)&lt;/_isbn&gt;&lt;_issue&gt;9&lt;/_issue&gt;&lt;_journal&gt;Nat Genet&lt;/_journal&gt;&lt;_language&gt;eng&lt;/_language&gt;&lt;_modified&gt;65011483&lt;/_modified&gt;&lt;_pages&gt;1234-1239&lt;/_pages&gt;&lt;_subject_headings&gt;Atrial Fibrillation/*genetics; Biological Specimen Banks; Genetic Predisposition to Disease/genetics; Genome-Wide Association Study/methods; Genomics/methods; Heart Defects, Congenital/genetics; Humans; Mutation/*genetics; Risk&lt;/_subject_headings&gt;&lt;_tertiary_title&gt;Nature genetics&lt;/_tertiary_title&gt;&lt;_type_work&gt;Journal Article; Research Support, N.I.H., Extramural; Research Support, Non-U.S. Gov&amp;apos;t&lt;/_type_work&gt;&lt;_url&gt;http://www.ncbi.nlm.nih.gov/entrez/query.fcgi?cmd=Retrieve&amp;amp;db=pubmed&amp;amp;dopt=Abstract&amp;amp;list_uids=30061737&amp;amp;query_hl=1&lt;/_url&gt;&lt;_volume&gt;50&lt;/_volume&gt;&lt;/Details&gt;&lt;Extra&gt;&lt;DBUID&gt;{F96A950B-833F-4880-A151-76DA2D6A2879}&lt;/DBUID&gt;&lt;/Extra&gt;&lt;/Item&gt;&lt;/References&gt;&lt;/Group&gt;&lt;/Citation&gt;_x000a_"/>
    <w:docVar w:name="NE.Ref{AC5C06AB-3A99-4850-8C8B-A5CCD53B05A7}" w:val=" ADDIN NE.Ref.{AC5C06AB-3A99-4850-8C8B-A5CCD53B05A7}&lt;Citation&gt;&lt;Group&gt;&lt;References&gt;&lt;Item&gt;&lt;ID&gt;1207&lt;/ID&gt;&lt;UID&gt;{48CE2683-ABA5-408E-95E6-2000CCDB2A1A}&lt;/UID&gt;&lt;Title&gt;Leveraging Polygenic Functional Enrichment to Improve GWAS Power&lt;/Title&gt;&lt;Template&gt;Journal Article&lt;/Template&gt;&lt;Star&gt;0&lt;/Star&gt;&lt;Tag&gt;0&lt;/Tag&gt;&lt;Author&gt;Kichaev, G; Bhatia, G; Loh, P R; Gazal, S; Burch, K; Freund, M K; Schoech, A; Pasaniuc, B; Price, A L&lt;/Author&gt;&lt;Year&gt;2019&lt;/Year&gt;&lt;Details&gt;&lt;_accession_num&gt;30595370&lt;/_accession_num&gt;&lt;_author_adr&gt;Interdepartamental Program in Bioinformatics, University of California, Los  Angeles, CA 90095, USA. Electronic address: gkichaev@ucla.edu.; Department of Epidemiology. Harvard T. H. Chan School of Public Health, Boston,  MA 02115, USA.; Department of Epidemiology. Harvard T. H. Chan School of Public Health, Boston,  MA 02115, USA; Program in Medical and Population Genetics, Broad Institute,  Cambridge, MA 02142, USA.; Department of Epidemiology. Harvard T. H. Chan School of Public Health, Boston,  MA 02115, USA; Program in Medical and Population Genetics, Broad Institute,  Cambridge, MA 02142, USA.; Interdepartamental Program in Bioinformatics, University of California, Los  Angeles, CA 90095, USA.; Department of Human Genetics, University of California, Los Angeles, CA 90095,  USA.; Department of Epidemiology. Harvard T. H. Chan School of Public Health, Boston,  MA 02115, USA; Program in Medical and Population Genetics, Broad Institute,  Cambridge, MA 02142, USA.; Interdepartamental Program in Bioinformatics, University of California, Los  Angeles, CA 90095, USA; Department of Human Genetics, University of California,  Los Angeles, CA 90095, USA; Department Pathology and Laboratory Medicine,  University of California, Los Angeles, CA 90095, USA.; Department of Epidemiology. Harvard T. H. Chan School of Public Health, Boston,  MA 02115, USA; Program in Medical and Population Genetics, Broad Institute,  Cambridge, MA 02142, USA; Department of Biostatistics, Harvard T. H. Chan School  of Public Health, Boston, MA 02115, USA. Electronic address:  aprice@hsph.harvard.edu.&lt;/_author_adr&gt;&lt;_date_display&gt;2019 Jan 3&lt;/_date_display&gt;&lt;_date&gt;2019-01-03&lt;/_date&gt;&lt;_doi&gt;10.1016/j.ajhg.2018.11.008&lt;/_doi&gt;&lt;_isbn&gt;1537-6605 (Electronic); 0002-9297 (Print); 0002-9297 (Linking)&lt;/_isbn&gt;&lt;_issue&gt;1&lt;/_issue&gt;&lt;_journal&gt;Am J Hum Genet&lt;/_journal&gt;&lt;_keywords&gt;GWAS; complex traits; functional genomics&lt;/_keywords&gt;&lt;_language&gt;eng&lt;/_language&gt;&lt;_ori_publication&gt;Copyright (c) 2018 American Society of Human Genetics. Published by Elsevier Inc. _x000d__x000a_      All rights reserved.&lt;/_ori_publication&gt;&lt;_pages&gt;65-75&lt;/_pages&gt;&lt;_subject_headings&gt;Calibration; Databases, Genetic; Datasets as Topic; False Positive Reactions; *Genome-Wide Association Study; Humans; Multifactorial Inheritance/*genetics; Polymorphism, Single Nucleotide/*genetics; Probability; Reproducibility of Results; United Kingdom&lt;/_subject_headings&gt;&lt;_tertiary_title&gt;American journal of human genetics&lt;/_tertiary_title&gt;&lt;_type_work&gt;Journal Article; Research Support, N.I.H., Extramural&lt;/_type_work&gt;&lt;_url&gt;http://www.ncbi.nlm.nih.gov/entrez/query.fcgi?cmd=Retrieve&amp;amp;db=pubmed&amp;amp;dopt=Abstract&amp;amp;list_uids=30595370&amp;amp;query_hl=1&lt;/_url&gt;&lt;_volume&gt;104&lt;/_volume&gt;&lt;_created&gt;65014262&lt;/_created&gt;&lt;_modified&gt;65014262&lt;/_modified&gt;&lt;_db_updated&gt;PubMed&lt;/_db_updated&gt;&lt;_impact_factor&gt;  11.025&lt;/_impact_factor&gt;&lt;_collection_scope&gt;SCI;SCIE&lt;/_collection_scope&gt;&lt;_accessed&gt;65014266&lt;/_accessed&gt;&lt;/Details&gt;&lt;Extra&gt;&lt;DBUID&gt;{F96A950B-833F-4880-A151-76DA2D6A2879}&lt;/DBUID&gt;&lt;/Extra&gt;&lt;/Item&gt;&lt;/References&gt;&lt;/Group&gt;&lt;Group&gt;&lt;References&gt;&lt;Item&gt;&lt;ID&gt;1208&lt;/ID&gt;&lt;UID&gt;{5FEE7215-1080-4146-B3C4-F803A0EF16DD}&lt;/UID&gt;&lt;Title&gt;A Polygenic Risk Score Based on a Cardioembolic Stroke Multitrait Analysis  Improves a Clinical Prediction Model for This Stroke Subtype&lt;/Title&gt;&lt;Template&gt;Journal Article&lt;/Template&gt;&lt;Star&gt;0&lt;/Star&gt;&lt;Tag&gt;0&lt;/Tag&gt;&lt;Author&gt;Carcel-Marquez, J; Muino, E; Gallego-Fabrega, C; Cullell, N; Lledos, M; Llucia-Carol, L; Sobrino, T; Campos, F; Castillo, J; Freijo, M; Arenillas, J F; Obach, V; Alvarez-Sabin, J; Molina, C A; Ribo, M; Jimenez-Conde, J; Roquer, J; Munoz-Narbona, L; Lopez-Cancio, E; Millan, M; Diaz-Navarro, R; Vives-Bauza, C; Serrano-Heras, G; Segura, T; Ibanez, L; Heitsch, L; Delgado, P; Dhar, R; Krupinski, J; Delgado-Mederos, R; Prats-Sanchez, L; Camps-Renom, P; Blay, N; Sumoy, L; de Cid, R; Montaner, J; Cruchaga, C; Lee, J M; Marti-Fabregas, J; Fernandez-Cadenas, I&lt;/Author&gt;&lt;Year&gt;2022&lt;/Year&gt;&lt;Details&gt;&lt;_accession_num&gt;35872910&lt;/_accession_num&gt;&lt;_author_adr&gt;Stroke Pharmacogenomics and Genetics Group, Institut d&amp;apos;Investigacio Biomedica  Sant Pau (IIB SANT PAU), Barcelona, Spain.; Departament de Medicina, Universitat Autonoma de Barcelona, Barcelona, Spain.; Stroke Pharmacogenomics and Genetics Group, Institut d&amp;apos;Investigacio Biomedica  Sant Pau (IIB SANT PAU), Barcelona, Spain.; Stroke Pharmacogenomics and Genetics Group, Institut d&amp;apos;Investigacio Biomedica  Sant Pau (IIB SANT PAU), Barcelona, Spain.; Stroke Unit, Department of Neurology, Hospital de la Santa Creu i Sant Pau,  Barcelona, Spain.; Stroke Pharmacogenomics and Genetics Group, Institut d&amp;apos;Investigacio Biomedica  Sant Pau (IIB SANT PAU), Barcelona, Spain.; Stroke Pharmacogenomics and Genetics Laboratory, Fundacion Docencia i Recerca  Mutua Terrassa, Hospital Mutua Terrassa, Terrassa, Spain.; Stroke Pharmacogenomics and Genetics Group, Institut d&amp;apos;Investigacio Biomedica  Sant Pau (IIB SANT PAU), Barcelona, Spain.; Stroke Pharmacogenomics and Genetics Group, Institut d&amp;apos;Investigacio Biomedica  Sant Pau (IIB SANT PAU), Barcelona, Spain.; Department de Genetica i de Microbiologia, Universitat Autonoma de Barcelona,  Barcelona, Spain.; Clinical Neurosciences Research Laboratory, Hospital Clinico Universitario de  Santiago de Compostela, Health Research Institute of Santiago de Compostela  (IDIS), Santiago de Compostela, Spain.; Clinical Neurosciences Research Laboratory, Hospital Clinico Universitario de  Santiago de Compostela, Health Research Institute of Santiago de Compostela  (IDIS), Santiago de Compostela, Spain.; Clinical Neurosciences Research Laboratory, Hospital Clinico Universitario de  Santiago de Compostela, Health Research Institute of Santiago de Compostela  (IDIS), Santiago de Compostela, Spain.; Department of Neurology, Biocruces-Bizkaia Health Research Institute, Bilbao,  Spain.; Stroke Unit, Department of Neurology, University Hospital of Valladolid,  Valladolid, Spain.; Department of Neurology, Hospital Clinic de Barcelona, IDIBAPS, Barcelona, Spain.; Stroke Unit, Department of Neurology, Hospital Universitari Vall d&amp;apos;Hebron,  Barcelona, Spain.; Stroke Unit, Department of Neurology, Hospital Universitari Vall d&amp;apos;Hebron,  Barcelona, Spain.; Stroke Unit, Department of Neurology, Hospital Universitari Vall d&amp;apos;Hebron,  Barcelona, Spain.; Department of Neurology, IMIM-Hospital del Mar; Neurovascular Research Group,  IMIM (Institut Hospital del Mar d&amp;apos;Investigacions Mediques), Universitat Autonoma  de Barcelona/DCEXS-Universitat Pompeu Fabra, Barcelona, Spain.; Department of Neurology, IMIM-Hospital del Mar; Neurovascular Research Group,  IMIM (Institut Hospital del Mar d&amp;apos;Investigacions Mediques), Universitat Autonoma  de Barcelona/DCEXS-Universitat Pompeu Fabra, Barcelona, Spain.; Department of Neurosciences, Hospital Germans Trias i Pujol, Universitat Autonoma  de Barcelona, Barcelona, Spain.; Department of Neurology, University Hospital Central de Asturias (HUCA). Oviedo,  Spain.; Department of Neurosciences, Hospital Germans Trias i Pujol, Universitat Autonoma  de Barcelona, Barcelona, Spain.; Department of Neurology, Son Espases University Hospital, Illes Balears Health  Research Institute (IdISBa), Palma, Spain.; Department of Neurology, Son Espases University Hospital, Illes Balears Health  Research Institute (IdISBa), Palma, Spain.; Department of Neurology, University Hospital of Albacete, Albacete, Spain.; Department of Neurology, University Hospital of Albacete, Albacete, Spain.; Department of Psychiatry, Washington University School of Medicine, Saint Louis,  MO, United States.; Department of Emergency Medicine, Washington University School of Medicine, Saint  Louis, MO, United States.; Department of Neurology, Washington University School of Medicine, Saint Louis,  MO, United States.; Neurovascular Research Laboratory, Vall d&amp;apos;Hebron Institute of Research,  Universitat Autonoma de Barcelona, Barcelona, Spain.; Department of Neurology, Washington University School of Medicine, Saint Louis,  MO, United States.; Neurology Service, Hospital Universitari Mutua Terrassa, Terrassa, Spain.; Stroke Unit, Department of Neurology, Hospital de la Santa Creu i Sant Pau,  Barcelona, Spain.; Stroke Unit, Department of Neurology, Hospital de la Santa Creu i Sant Pau,  Barcelona, Spain.; Stroke Unit, Department of Neurology, Hospital de la Santa Creu i Sant Pau,  Barcelona, Spain.; GenomesForLife-GCAT Lab, Germans Trias i Pujol Research Institute (IGTP),  Badalona, Spain.; High Content Genomics and Bioinformatics Unit, Germans Trias i Pujol Research  Institute (IGTP), Badalona, Spain.; GenomesForLife-GCAT Lab, Germans Trias i Pujol Research Institute (IGTP),  Badalona, Spain.; Institute de Biomedicine of Seville, IBiS/Hospital Universitario Virgen del  Rocio/CSIC/University of Seville and Department of Neurology, Hospital  Universitario Virgen Macarena, Seville, Spain.; Department of Psychiatry, Washington University School of Medicine, Saint Louis,  MO, United States.; Neurogenomics and Informatics Center at Washington University in St. Louis, Saint  Louis, MO, United States.; Department of Neurology, Washington University School of Medicine, Saint Louis,  MO, United States.; Stroke Unit, Department of Neurology, Hospital de la Santa Creu i Sant Pau,  Barcelona, Spain.; Stroke Pharmacogenomics and Genetics Group, Institut d&amp;apos;Investigacio Biomedica  Sant Pau (IIB SANT PAU), Barcelona, Spain.&lt;/_author_adr&gt;&lt;_date_display&gt;2022&lt;/_date_display&gt;&lt;_date&gt;2022-01-20&lt;/_date&gt;&lt;_doi&gt;10.3389/fcvm.2022.940696&lt;/_doi&gt;&lt;_isbn&gt;2297-055X (Print); 2297-055X (Electronic); 2297-055X (Linking)&lt;/_isbn&gt;&lt;_journal&gt;Front Cardiovasc Med&lt;/_journal&gt;&lt;_keywords&gt;ESUs; GWAS; multi-trait analysis; polygenic risk score; stroke&lt;/_keywords&gt;&lt;_language&gt;eng&lt;/_language&gt;&lt;_ori_publication&gt;Copyright (c) 2022 Carcel-Marquez, Muino, Gallego-Fabrega, Cullell, Lledos, _x000d__x000a_      Llucia-Carol, Sobrino, Campos, Castillo, Freijo, Arenillas, Obach, Alvarez-Sabin, _x000d__x000a_      Molina, Ribo, Jimenez-Conde, Roquer, Munoz-Narbona, Lopez-Cancio, Millan, _x000d__x000a_      Diaz-Navarro, Vives-Bauza, Serrano-Heras, Segura, Ibanez, Heitsch, Delgado, Dhar, _x000d__x000a_      Krupinski, Delgado-Mederos, Prats-Sanchez, Camps-Renom, Blay, Sumoy, de Cid, _x000d__x000a_      Montaner, Cruchaga, Lee, Marti-Fabregas and Fernandez-Cadenas.&lt;/_ori_publication&gt;&lt;_pages&gt;940696&lt;/_pages&gt;&lt;_tertiary_title&gt;Frontiers in cardiovascular medicine&lt;/_tertiary_title&gt;&lt;_type_work&gt;Journal Article&lt;/_type_work&gt;&lt;_url&gt;http://www.ncbi.nlm.nih.gov/entrez/query.fcgi?cmd=Retrieve&amp;amp;db=pubmed&amp;amp;dopt=Abstract&amp;amp;list_uids=35872910&amp;amp;query_hl=1&lt;/_url&gt;&lt;_volume&gt;9&lt;/_volume&gt;&lt;_created&gt;65014265&lt;/_created&gt;&lt;_modified&gt;65014265&lt;/_modified&gt;&lt;_db_updated&gt;PubMed&lt;/_db_updated&gt;&lt;_impact_factor&gt;   6.050&lt;/_impact_factor&gt;&lt;/Details&gt;&lt;Extra&gt;&lt;DBUID&gt;{F96A950B-833F-4880-A151-76DA2D6A2879}&lt;/DBUID&gt;&lt;/Extra&gt;&lt;/Item&gt;&lt;/References&gt;&lt;/Group&gt;&lt;/Citation&gt;_x000a_"/>
    <w:docVar w:name="NE.Ref{AD3643FC-5D96-4032-BA16-AEEACD769C92}" w:val=" ADDIN NE.Ref.{AD3643FC-5D96-4032-BA16-AEEACD769C92}&lt;Citation&gt;&lt;Group&gt;&lt;References&gt;&lt;Item&gt;&lt;ID&gt;632&lt;/ID&gt;&lt;UID&gt;{5BE2FA27-77F8-4A5E-B3B4-8446C3DB1B1D}&lt;/UID&gt;&lt;Title&gt;PCSK9 Inhibitors&lt;/Title&gt;&lt;Template&gt;Journal Article&lt;/Template&gt;&lt;Star&gt;0&lt;/Star&gt;&lt;Tag&gt;0&lt;/Tag&gt;&lt;Author&gt;Natarajan, P; Kathiresan, S&lt;/Author&gt;&lt;Year&gt;2016&lt;/Year&gt;&lt;Details&gt;&lt;_accession_num&gt;27203103&lt;/_accession_num&gt;&lt;_author_adr&gt;Center for Human Genetic Research and Cardiovascular Research Center,  Massachusetts General Hospital, Boston, MA 02114, USA; Broad Institute of Harvard  and MIT, Cambridge, MA 02142, USA; Harvard Medical School, Boston, MA 02115, USA.; Center for Human Genetic Research and Cardiovascular Research Center,  Massachusetts General Hospital, Boston, MA 02114, USA; Broad Institute of Harvard  and MIT, Cambridge, MA 02142, USA; Harvard Medical School, Boston, MA 02115, USA.  Electronic address: skathiresan@partners.org.&lt;/_author_adr&gt;&lt;_date_display&gt;2016 May 19&lt;/_date_display&gt;&lt;_date&gt;2016-05-19&lt;/_date&gt;&lt;_doi&gt;10.1016/j.cell.2016.05.016&lt;/_doi&gt;&lt;_isbn&gt;1097-4172 (Electronic); 0092-8674 (Linking)&lt;/_isbn&gt;&lt;_issue&gt;5&lt;/_issue&gt;&lt;_journal&gt;Cell&lt;/_journal&gt;&lt;_language&gt;eng&lt;/_language&gt;&lt;_ori_publication&gt;Copyright (c) 2016 Elsevier Inc. All rights reserved.&lt;/_ori_publication&gt;&lt;_pages&gt;1037&lt;/_pages&gt;&lt;_subject_headings&gt;Antibodies, Monoclonal/*therapeutic use; Antibodies, Monoclonal, Humanized; Anticholesteremic Agents/*therapeutic use; Cholesterol, LDL/blood; Humans&lt;/_subject_headings&gt;&lt;_tertiary_title&gt;Cell&lt;/_tertiary_title&gt;&lt;_type_work&gt;Journal Article&lt;/_type_work&gt;&lt;_url&gt;http://www.ncbi.nlm.nih.gov/entrez/query.fcgi?cmd=Retrieve&amp;amp;db=pubmed&amp;amp;dopt=Abstract&amp;amp;list_uids=27203103&amp;amp;query_hl=1&lt;/_url&gt;&lt;_volume&gt;165&lt;/_volume&gt;&lt;_created&gt;65767640&lt;/_created&gt;&lt;_modified&gt;65767640&lt;/_modified&gt;&lt;_db_updated&gt;PubMed&lt;/_db_updated&gt;&lt;_impact_factor&gt;  45.600&lt;/_impact_factor&gt;&lt;_social_category&gt;生化与分子生物学(1) &amp;amp; 细胞生物学(1)&lt;/_social_category&gt;&lt;_collection_scope&gt;SCIE&lt;/_collection_scope&gt;&lt;/Details&gt;&lt;Extra&gt;&lt;DBUID&gt;{03752FAB-B361-4F66-989B-C711D9502F78}&lt;/DBUID&gt;&lt;/Extra&gt;&lt;/Item&gt;&lt;/References&gt;&lt;/Group&gt;&lt;/Citation&gt;_x000a_"/>
    <w:docVar w:name="NE.Ref{B1554235-EDEE-4DAA-9FEB-12F98128D2E3}" w:val=" ADDIN NE.Ref.{B1554235-EDEE-4DAA-9FEB-12F98128D2E3}&lt;Citation&gt;&lt;Group&gt;&lt;References&gt;&lt;Item&gt;&lt;ID&gt;641&lt;/ID&gt;&lt;UID&gt;{1B322231-7215-4BF8-AE32-FFA7DAA9C972}&lt;/UID&gt;&lt;Title&gt;Integrative analysis of omics summary data reveals putative mechanisms underlying  complex traits&lt;/Title&gt;&lt;Template&gt;Journal Article&lt;/Template&gt;&lt;Star&gt;0&lt;/Star&gt;&lt;Tag&gt;0&lt;/Tag&gt;&lt;Author&gt;Wu, Y; Zeng, J; Zhang, F; Zhu, Z; Qi, T; Zheng, Z; Lloyd-Jones, L R; Marioni, R E; Martin, N G; Montgomery, G W; Deary, I J; Wray, N R; Visscher, P M; McRae, A F; Yang, J&lt;/Author&gt;&lt;Year&gt;2018&lt;/Year&gt;&lt;Details&gt;&lt;_accession_num&gt;29500431&lt;/_accession_num&gt;&lt;_author_adr&gt;Institute for Molecular Bioscience, The University of Queensland, Brisbane, QLD,  4072, Australia.; Institute for Molecular Bioscience, The University of Queensland, Brisbane, QLD,  4072, Australia.; Institute for Molecular Bioscience, The University of Queensland, Brisbane, QLD,  4072, Australia.; Institute for Molecular Bioscience, The University of Queensland, Brisbane, QLD,  4072, Australia.; Institute for Molecular Bioscience, The University of Queensland, Brisbane, QLD,  4072, Australia.; Institute for Molecular Bioscience, The University of Queensland, Brisbane, QLD,  4072, Australia.; The Eye Hospital, School of Ophthalmology &amp;amp; Optometry, Wenzhou Medical  University, Wenzhou, Zhejiang, 325027, China.; Institute for Molecular Bioscience, The University of Queensland, Brisbane, QLD,  4072, Australia.; Medical Genetics Section, Centre for Genomics and Experimental Medicine,  Institute of Genetics and Molecular Medicine, University of Edinburgh, Edinburgh,  EH4 2XU, UK.; Centre for Cognitive Ageing and Cognitive Epidemiology, Department of Psychology,  University of Edinburgh, 7 George Square, Edinburgh, EH8 9JZ, UK.; Genetics and Computational Biology, QIMR Berghofer Medical Research Institute,  Brisbane, QLD, 4029, Australia.; Institute for Molecular Bioscience, The University of Queensland, Brisbane, QLD,  4072, Australia.; Centre for Cognitive Ageing and Cognitive Epidemiology, Department of Psychology,  University of Edinburgh, 7 George Square, Edinburgh, EH8 9JZ, UK.; Institute for Molecular Bioscience, The University of Queensland, Brisbane, QLD,  4072, Australia.; Queensland Brain Institute, The University of Queensland, Brisbane, QLD, 4072,  Australia.; Institute for Molecular Bioscience, The University of Queensland, Brisbane, QLD,  4072, Australia.; Queensland Brain Institute, The University of Queensland, Brisbane, QLD, 4072,  Australia.; Institute for Molecular Bioscience, The University of Queensland, Brisbane, QLD,  4072, Australia.; Institute for Molecular Bioscience, The University of Queensland, Brisbane, QLD,  4072, Australia. jian.yang@uq.edu.au.; Queensland Brain Institute, The University of Queensland, Brisbane, QLD, 4072,  Australia. jian.yang@uq.edu.au.&lt;/_author_adr&gt;&lt;_date_display&gt;2018 Mar 2&lt;/_date_display&gt;&lt;_date&gt;2018-03-02&lt;/_date&gt;&lt;_doi&gt;10.1038/s41467-018-03371-0&lt;/_doi&gt;&lt;_isbn&gt;2041-1723 (Electronic); 2041-1723 (Linking)&lt;/_isbn&gt;&lt;_issue&gt;1&lt;/_issue&gt;&lt;_journal&gt;Nat Commun&lt;/_journal&gt;&lt;_language&gt;eng&lt;/_language&gt;&lt;_pages&gt;918&lt;/_pages&gt;&lt;_subject_headings&gt;DNA Methylation/genetics; Genetic Predisposition to Disease; Genome-Wide Association Study; Genomics/*methods; Humans; Organ Specificity; Quantitative Trait Loci/genetics; *Quantitative Trait, Heritable; RNA, Messenger/genetics/metabolism; Regulatory Sequences, Nucleic Acid/genetics; Schizophrenia/genetics; Transcriptome/genetics&lt;/_subject_headings&gt;&lt;_tertiary_title&gt;Nature communications&lt;/_tertiary_title&gt;&lt;_type_work&gt;Journal Article; Research Support, N.I.H., Extramural; Research Support, Non-U.S. Gov&amp;apos;t&lt;/_type_work&gt;&lt;_url&gt;http://www.ncbi.nlm.nih.gov/entrez/query.fcgi?cmd=Retrieve&amp;amp;db=pubmed&amp;amp;dopt=Abstract&amp;amp;list_uids=29500431&amp;amp;query_hl=1&lt;/_url&gt;&lt;_volume&gt;9&lt;/_volume&gt;&lt;_created&gt;65767647&lt;/_created&gt;&lt;_modified&gt;65767647&lt;/_modified&gt;&lt;_db_updated&gt;PubMed&lt;/_db_updated&gt;&lt;_impact_factor&gt;  14.700&lt;/_impact_factor&gt;&lt;_social_category&gt;综合性期刊(1)&lt;/_social_category&gt;&lt;_collection_scope&gt;SCIE&lt;/_collection_scope&gt;&lt;/Details&gt;&lt;Extra&gt;&lt;DBUID&gt;{03752FAB-B361-4F66-989B-C711D9502F78}&lt;/DBUID&gt;&lt;/Extra&gt;&lt;/Item&gt;&lt;/References&gt;&lt;/Group&gt;&lt;/Citation&gt;_x000a_"/>
    <w:docVar w:name="NE.Ref{CAFA4057-644F-45E1-B183-BFCE3542AC53}" w:val=" ADDIN NE.Ref.{CAFA4057-644F-45E1-B183-BFCE3542AC53}&lt;Citation&gt;&lt;Group&gt;&lt;References&gt;&lt;Item&gt;&lt;ID&gt;1215&lt;/ID&gt;&lt;UID&gt;{0A500CA3-36B8-4F51-ABB5-6F30CA0BC7C8}&lt;/UID&gt;&lt;Title&gt;The ATXN2-SH2B3 locus is associated with peripheral arterial disease: an  electronic medical record-based genome-wide association study&lt;/Title&gt;&lt;Template&gt;Journal Article&lt;/Template&gt;&lt;Star&gt;0&lt;/Star&gt;&lt;Tag&gt;0&lt;/Tag&gt;&lt;Author&gt;Kullo, I J; Shameer, K; Jouni, H; Lesnick, T G; Pathak, J; Chute, C G; de Andrade, M&lt;/Author&gt;&lt;Year&gt;2014&lt;/Year&gt;&lt;Details&gt;&lt;_accession_num&gt;25009551&lt;/_accession_num&gt;&lt;_author_adr&gt;Division of Cardiovascular Diseases, Mayo Clinic Rochester, MN, USA.; Division of Cardiovascular Diseases, Mayo Clinic Rochester, MN, USA.; Division of Cardiovascular Diseas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lt;/_author_adr&gt;&lt;_date_display&gt;2014&lt;/_date_display&gt;&lt;_date&gt;2014-01-20&lt;/_date&gt;&lt;_doi&gt;10.3389/fgene.2014.00166&lt;/_doi&gt;&lt;_isbn&gt;1664-8021 (Print); 1664-8021 (Electronic); 1664-8021 (Linking)&lt;/_isbn&gt;&lt;_journal&gt;Front Genet&lt;/_journal&gt;&lt;_keywords&gt;ankle-brachial index; biorepository; electronic medical records; genome-wide association study; peripheral arterial disease&lt;/_keywords&gt;&lt;_language&gt;eng&lt;/_language&gt;&lt;_pages&gt;166&lt;/_pages&gt;&lt;_tertiary_title&gt;Frontiers in genetics&lt;/_tertiary_title&gt;&lt;_type_work&gt;Journal Article&lt;/_type_work&gt;&lt;_url&gt;http://www.ncbi.nlm.nih.gov/entrez/query.fcgi?cmd=Retrieve&amp;amp;db=pubmed&amp;amp;dopt=Abstract&amp;amp;list_uids=25009551&amp;amp;query_hl=1&lt;/_url&gt;&lt;_volume&gt;5&lt;/_volume&gt;&lt;_created&gt;65014276&lt;/_created&gt;&lt;_modified&gt;65014276&lt;/_modified&gt;&lt;_db_updated&gt;PubMed&lt;/_db_updated&gt;&lt;_impact_factor&gt;   4.599&lt;/_impact_factor&gt;&lt;_collection_scope&gt;SCIE&lt;/_collection_scope&gt;&lt;/Details&gt;&lt;Extra&gt;&lt;DBUID&gt;{F96A950B-833F-4880-A151-76DA2D6A2879}&lt;/DBUID&gt;&lt;/Extra&gt;&lt;/Item&gt;&lt;/References&gt;&lt;/Group&gt;&lt;/Citation&gt;_x000a_"/>
    <w:docVar w:name="NE.Ref{CCE9D01A-10E0-4921-90AD-A0CF021F7F64}" w:val=" ADDIN NE.Ref.{CCE9D01A-10E0-4921-90AD-A0CF021F7F64}&lt;Citation&gt;&lt;Group&gt;&lt;References&gt;&lt;Item&gt;&lt;ID&gt;1390&lt;/ID&gt;&lt;UID&gt;{DF24CFAB-BAD0-4BC9-A56D-74588F2547A0}&lt;/UID&gt;&lt;Title&gt;Discovery and systematic characterization of risk variants and genes for coronary  artery disease in over a million participants&lt;/Title&gt;&lt;Template&gt;Journal Article&lt;/Template&gt;&lt;Star&gt;0&lt;/Star&gt;&lt;Tag&gt;0&lt;/Tag&gt;&lt;Author&gt;Aragam, K G; Jiang, T; Goel, A; Kanoni, S; Wolford, B N; Atri, D S; Weeks, E M; Wang, M; Hindy, G; Zhou, W; Grace, C; Roselli, C; Marston, N A; Kamanu, F K; Surakka, I; Venegas, L M; Sherliker, P; Koyama, S; Ishigaki, K; Asvold, B O; Brown, M R; Brumpton, B; de Vries, P S; Giannakopoulou, O; Giardoglou, P; Gudbjartsson, D F; Guldener, U; Haider, SMI; Helgadottir, A; Ibrahim, M; Kastrati, A; Kessler, T; Kyriakou, T; Konopka, T; Li, L; Ma, L; Meitinger, T; Mucha, S; Munz, M; Murgia, F; Nielsen, J B; Nothen, M M; Pang, S; Reinberger, T; Schnitzler, G; Smedley, D; Thorleifsson, G; von Scheidt, M; Ulirsch, J C; Arnar, D O; Burtt, N P; Costanzo, M C; Flannick, J; Ito, K; Jang, D K; Kamatani, Y; Khera, A V; Komuro, I; Kullo, I J; Lotta, L A; Nelson, C P; Roberts, R; Thorgeirsson, G; Thorsteinsdottir, U; Webb, T R; Baras, A; Bjorkegren, JLM; Boerwinkle, E; Dedoussis, G; Holm, H; Hveem, K; Melander, O; Morrison, A C; Orho-Melander, M; Rallidis, L S; Ruusalepp, A; Sabatine, M S; Stefansson, K; Zalloua, P; Ellinor, P T; Farrall, M; Danesh, J; Ruff, C T; Finucane, H K; Hopewell, J C; Clarke, R; Gupta, R M; Erdmann, J; Samani, N J; Schunkert, H; Watkins, H; Willer, C J; Deloukas, P; Kathiresan, S; Butterworth, A S&lt;/Author&gt;&lt;Year&gt;2022&lt;/Year&gt;&lt;Details&gt;&lt;_accession_num&gt;36474045&lt;/_accession_num&gt;&lt;_author_adr&gt;Cardiovascular Research Center, Massachusetts General Hospital, Boston, MA, USA.  karagam@broadinstitute.org.; Center for Genomic Medicine, Massachusetts General Hospital, Boston, MA, USA.  karagam@broadinstitute.org.; Cardiovascular Disease Initiative, Broad Institute of MIT and Harvard, Cambridge,  MA, USA. karagam@broadinstitute.org.; Program in Medical and Population Genetics, Broad Institute of MIT and Harvard,  Cambridge, MA, USA. karagam@broadinstitute.org.; BHF Cardiovascular Epidemiology Unit, Department of Public Health and Primary  Care, University of Cambridge, Cambridge, UK.; Radcliffe Department of Medicine, Division of Cardiovascular Medicine, University  of Oxford, Oxford, UK.; Wellcome Centre for Human Genetics, University of Oxford, Oxford, UK.; William Harvey Research Institute, Barts and the London School of Medicine and  Dentistry, Queen Mary University of London, London, UK.; Department of Computational Medicine and Bioinformatics, University of Michigan,  Ann Arbor, MI, USA.; Cardiovascular Disease Initiative, Broad Institute of MIT and Harvard, Cambridge,  MA, USA.; Divisions of Cardiovascular Medicine and Genetics, Brigham and Women&amp;apos;s Hospital,  Harvard Medical School, Boston, MA, USA.; Program in Medical and Population Genetics, Broad Institute of MIT and Harvard,  Cambridge, MA, USA.; Cardiovascular Disease Initiative, Broad Institute of MIT and Harvard, Cambridge,  MA, USA.; Program in Medical and Population Genetics, Broad Institute of MIT and Harvard,  Cambridge, MA, USA.; Department of Population Medicine, Qatar University College of Medicine, Doha,  Qatar.; Program in Medical and Population Genetics, Broad Institute of MIT and Harvard,  Cambridge, MA, USA.; Department of Computational Medicine and Bioinformatics, University of Michigan,  Ann Arbor, MI, USA.; Analytic and Translational Genetics Unit, Massachusetts General Hospital, Boston,  MA, USA.; Stanley Center for Psychiatric Research, Broad Institute of MIT and Harvard,  Cambridge, MA, USA.; Radcliffe Department of Medicine, Division of Cardiovascular Medicine, University  of Oxford, Oxford, UK.; Wellcome Centre for Human Genetics, University of Oxford, Oxford, UK.; Cardiovascular Disease Initiative, Broad Institute of MIT and Harvard, Cambridge,  MA, USA.; TIMI Study Group, Division of Cardiovascular Medicine, Brigham and Women&amp;apos;s  Hospital, Harvard Medical School, Boston, MA, USA.; TIMI Study Group, Division of Cardiovascular Medicine, Brigham and Women&amp;apos;s  Hospital, Harvard Medical School, Boston, MA, USA.; Department of Internal Medicine, Division of Cardiology, University of Michigan,  Ann Arbor, MI, USA.; Institute for Cardiogenetics, University of Lubeck, Lubeck, Germany.; German Research Center for Cardiovascular Research (DZHK), Partner Site  Hamburg/Lubeck/Kiel, Lubeck, Germany.; Medical Research Council Population Health Research Unit, CTSU-Nuffield  Department of Population Health, Medical Sciences Division, University of Oxford,  Oxford, UK.; Laboratory for Cardiovascular Genomics and Informatics, RIKEN Center for  Integrative Medical Sciences, Tsurumi-ku, Yokohama, Japan.; Laboratory for Statistical and Translational Genetics, RIKEN Center for  Integrative Medical Sciences, Tsurumi-ku, Yokohama, Japan.; Department of Public Health and Nursing, K.G. Jebsen Center for Genetic  Epidemiology, Norwegian University of Science and Technology, NTNU, Trondheim,  Norway.; HUNT Research Centre, Norwegian University of Science and Technology, Levanger,  Norway.; Department of Endocrinology, Clinic of Medicine, St. Olavs Hospital, Trondheim,  Norway.; Human Genetics Center, Department of Epidemiology, Human Genetics, and  Environmental Sciences, School of Public Health, The University of Texas Health  Science Center at Houston, Houston, TX, USA.; Department of Public Health and Nursing, K.G. Jebsen Center for Genetic  Epidemiology, Norwegian University of Science and Technology, NTNU, Trondheim,  Norway.; HUNT Research Centre, Norwegian University of Science and Technology, Levanger,  Norway.; Human Genetics Center, Department of Epidemiology, Human Genetics, and  Environmental Sciences, School of Public Health, The University of Texas Health  Science Center at Houston, Houston, TX, USA.; William Harvey Research Institute, Barts and the London School of Medicine and  Dentistry, Queen Mary University of London, London, UK.; Department of Nutrition-Dietetics, School of Health Science and Education,  Harokopio University, Athens, Greece.; deCODE Genetics/Amgen, Inc., Reykjavik, Iceland.; School of Engineering and Natural Sciences, University of Iceland, Reykjavik,  Iceland.; German Heart Centre Munich, Department of Cardiology, Technical University of  Munich, Munich, Germany.; Institute for Cardiogenetics, University of Lubeck, Lubeck, Germany.; German Research Center for Cardiovascular Research (DZHK), Partner Site  Hamburg/Lubeck/Kiel, Lubeck, Germany.; deCODE Genetics/Amgen, Inc., Reykjavik, Iceland.; CTSU-Nuffield Department of Population Health, Medical Sciences Division,  University of Oxford, Oxford, UK.; German Heart Centre Munich, Department of Cardiology, Technical University of  Munich, Munich, Germany.; German Research Center for Cardiovascular Research (DZHK e.V.), Partner Site  Munich Heart Alliance, Munich, Germany.; German Heart Centre Munich, Department of Cardiology, Technical University of  Munich, Munich, Germany.; German Research Center for Cardiovascular Research (DZHK e.V.), Partner Site  Munich Heart Alliance, Munich, Germany.; Wellcome Centre for Human Genetics, University of Oxford, Oxford, UK.; William Harvey Research Institute, Barts and the London School of Medicine and  Dentistry, Queen Mary University of London, London, UK.; German Heart Centre Munich, Department of Cardiology, Technical University of  Munich, Munich, Germany.; Department of Genetics and Genomic Science, Icahn Institute for Genomics and  Multiscale Biology, Icahn School of Medicine at Mount Sinai, New York, NY, USA.; The Zena and Michael A. Wiener Cardiovascular Institute, Icahn School of Medicine  at Mount Sinai, New York, NY, USA.; German Research Center for Cardiovascular Research (DZHK e.V.), Partner Site  Munich Heart Alliance, Munich, Germany.; Institute of Human Genetics, Helmholtz Zentrum Munchen, German Research Center  for Environmental Health, Neuherberg, Germany.; Klinikum Rechts der Isar, Institute of Human Genetics, Technical University of  Munich, Munich, Germany.; Institute for Cardiogenetics, University of Lubeck, Lubeck, Germany.; German Research Center for Cardiovascular Research (DZHK), Partner Site  Hamburg/Lubeck/Kiel, Lubeck, Germany.; Institute for Cardiogenetics, University of Lubeck, Lubeck, Germany.; German Research Center for Cardiovascular Research (DZHK), Partner Site  Hamburg/Lubeck/Kiel, Lubeck, Germany.; CTSU-Nuffield Department of Population Health, Medical Sciences Division,  University of Oxford, Oxford, UK.; Department of Internal Medicine, Division of Cardiology, University of Michigan,  Ann Arbor, MI, USA.; Department of Public Health and Nursing, K.G. Jebsen Center for Genetic  Epidemiology, Norwegian University of Science and Technology, NTNU, Trondheim,  Norway.; School of Medicine and University Hospital Bonn, Institute of Human Genetics,  University of Bonn, Bonn, Germany.; German Heart Centre Munich, Department of Cardiology, Technical University of  Munich, Munich, Germany.; Institute for Cardiogenetics, University of Lubeck, Lubeck, Germany.; German Research Center for Cardiovascular Research (DZHK), Partner Site  Hamburg/Lubeck/Kiel, Lubeck, Germany.; Cardiovascular Disease Initiative, Broad Institute of MIT and Harvard, Cambridge,  MA, USA.; William Harvey Research Institute, Barts and the London School of Medicine and  Dentistry, Queen Mary University of London, London, UK.; deCODE Genetics/Amgen, Inc., Reykjavik, Iceland.; German Heart Centre Munich, Department of Cardiology, Technical University of  Munich, Munich, Germany.; German Research Center for Cardiovascular Research (DZHK e.V.), Partner Site  Munich Heart Alliance, Munich, Germany.; Program in Medical and Population Genetics, Broad Institute of MIT and Harvard,  Cambridge, MA, USA.; Analytic and Translational Genetics Unit, Massachusetts General Hospital, Boston,  MA, USA.; Program in Biological and Biomedical Sciences, Harvard Medical School, Boston,  MA, USA.; deCODE Genetics/Amgen, Inc., Reykjavik, Iceland.; Faculty of Medicine, University of Iceland, Reykjavik, Iceland.; Department of Internal Medicine, Division of Cardiology, Landspitali-National  University Hospital of Iceland, Hringbraut, Reykjavik, Iceland.; Program in Medical and Population Genetics, Broad Institute of MIT and Harvard,  Cambridge, MA, USA.; Program in Medical and Population Genetics, Broad Institute of MIT and Harvard,  Cambridge, MA, USA.; Division of Genetics and Genomics, Boston Children&amp;apos;s Hospital, Boston, MA, USA.; Laboratory for Cardiovascular Genomics and Informatics, RIKEN Center for  Integrative Medical Sciences, Tsurumi-ku, Yokohama, Japan.; Program in Medical and Population Genetics, Broad Institute of MIT and Harvard,  Cambridge, MA, USA.; Department of Computational Biology and Medical Sciences, Graduate School of  Frontier Sciences, The University of Tokyo, Tokyo, Japan.; Center for Genomic Medicine, Massachusetts General Hospital, Boston, MA, USA.; Cardiovascular Disease Initiative, Broad Institute of MIT and Harvard, Cambridge,  MA, USA.; Program in Medical and Population Genetics, Broad Institute of MIT and Harvard,  Cambridge, MA, USA.; Department of Cardiovascular Medicine, The University of Tokyo, Tokyo, Japan.; Department of Cardiovascular Medicine, Mayo Clinic, Rochester, MN, USA.; Regeneron Genetics Center, Regeneron Pharmaceuticals, Tarrytown, NY, USA.; Department of Cardiovascular Sciences and NIHR Leicester Biomedical Research  Centre, University of Leicester, Glenfield Hospital, Leicester, UK.; Cardiovascular Genomics and Genetics, University of Arizona College of Medicin,  Phoenix, AZ, USA.; deCODE Genetics/Amgen, Inc., Reykjavik, Iceland.; Faculty of Medicine, University of Iceland, Reykjavik, Iceland.; Department of Internal Medicine, Division of Cardiology, Landspitali-National  University Hospital of Iceland, Hringbraut, Reykjavik, Iceland.; deCODE Genetics/Amgen, Inc., Reykjavik, Iceland.; Faculty of Medicine, University of Iceland, Reykjavik, Iceland.; Department of Cardiovascular Sciences and NIHR Leicester Biomedical Research  Centre, University of Leicester, Glenfield Hospital, Leicester, UK.; Regeneron Genetics Center, Regeneron Pharmaceuticals, Tarrytown, NY, USA.; Department of Genetics and Genomic Sciences, Institute of Genomics and Multiscale  Biology, Icahn School of Medicine at Mount Sinai, New York, NY, USA.; Integrated Cardio Metabolic Centre, Karolinska Institutet, Karolinska  Universitetssjukhuset, Huddinge, Sweden.; Clinical Gene Networks AB, Stockholm, Sweden.; Human Genetics Center, Department of Epidemiology, Human Genetics, and  Environmental Sciences, School of Public Health, The University of Texas Health  Science Center at Houston, Houston, TX, USA.; Human Genome Sequencing Center, Baylor College of Medicine, Houston, TX, USA.; Department of Nutrition-Dietetics, School of Health Science and Education,  Harokopio University, Athens, Greece.; deCODE Genetics/Amgen, Inc., Reykjavik, Iceland.; Department of Public Health and Nursing, K.G. Jebsen Center for Genetic  Epidemiology, Norwegian University of Science and Technology, NTNU, Trondheim,  Norway.; HUNT Research Centre, Norwegian University of Science and Technology, Levanger,  Norway.; Department of Clinical Sciences in Malmo, Lund University, Malmo, Sweden.; Human Genetics Center, Department of Epidemiology, Human Genetics, and  Environmental Sciences, School of Public Health, The University of Texas Health  Science Center at Houston, Houston, TX, USA.; Department of Clinical Sciences in Malmo, Lund University, Malmo, Sweden.; Second Department of Cardiology, Medical School, National and Kapodistrian  University of Athens, University General Hospital Attikon, Athens, Greece.; Department of Cardiac Surgery, Tartu University Hospital and Institute of  Clinical Medicine, Tartu University, Tartu, Estonia.; TIMI Study Group, Division of Cardiovascular Medicine, Brigham and Women&amp;apos;s  Hospital, Harvard Medical School, Boston, MA, USA.; deCODE Genetics/Amgen, Inc., Reykjavik, Iceland.; Faculty of Medicine, University of Iceland, Reykjavik, Iceland.; Harvard T.H.Chan School of Public Health, Boston, MA, USA.; College of Medicine and Health Sciences, Khalifa University, Abu Dhabi, UAE.; Cardiovascular Research Center, Massachusetts General Hospital, Boston, MA, USA.; Cardiovascular Disease Initiative, Broad Institute of MIT and Harvard, Cambridge,  MA, USA.; Radcliffe Department of Medicine, Division of Cardiovascular Medicine, University  of Oxford, Oxford, UK.; Wellcome Centre for Human Genetics, University of Oxford, Oxford, UK.; BHF Cardiovascular Epidemiology Unit, Department of Public Health and Primary  Care, University of Cambridge, Cambridge, UK.; National Institute for Health and Care Research Cambridge Biomedical Research  Centre, Cambridge University Hospitals, Cambridge, UK.; The National Institute for Health and Care Research Blood and Transplant Unit  (NIHR BTRU) in Donor Health and Genomics, University of Cambridge, Cambridge, UK.; Human Genetics, Wellcome Sanger Institute, Saffron Walden, UK.; Health Data Research UK Cambridge, Wellcome Genome Campus and University of  Cambridge, Cambridge, UK.; British Heart Foundation Centre of Research Excellence, Division of  Cardiovascular Medicine, Addenbrooke&amp;apos;s Hospital, Cambridge, UK.; TIMI Study Group, Division of Cardiovascular Medicine, Brigham and Women&amp;apos;s  Hospital, Harvard Medical School, Boston, MA, USA.; Program in Medical and Population Genetics, Broad Institute of MIT and Harvard,  Cambridge, MA, USA.; Analytic and Translational Genetics Unit, Massachusetts General Hospital, Boston,  MA, USA.; Stanley Center for Psychiatric Research, Broad Institute of MIT and Harvard,  Cambridge, MA, USA.; CTSU-Nuffield Department of Population Health, Medical Sciences Division,  University of Oxford, Oxford, UK.; CTSU-Nuffield Department of Population Health, Medical Sciences Division,  University of Oxford, Oxford, UK.; Cardiovascular Disease Initiative, Broad Institute of MIT and Harvard, Cambridge,  MA, USA.; Program in Medical and Population Genetics, Broad Institute of MIT and Harvard,  Cambridge, MA, USA.; Divisions of Cardiovascular Medicine and Genetics, Brigham and Women&amp;apos;s Hospital,  Harvard Medical School, Boston, MA, USA.; Institute for Cardiogenetics, University of Lubeck, Lubeck, Germany.; German Research Center for Cardiovascular Research (DZHK), Partner Site  Hamburg/Lubeck/Kiel, Lubeck, Germany.; Faculty of Medicine, University of Iceland, Reykjavik, Iceland.; German Heart Centre Munich, Department of Cardiology, Technical University of  Munich, Munich, Germany.; German Research Center for Cardiovascular Research (DZHK e.V.), Partner Site  Munich Heart Alliance, Munich, Germany.; Radcliffe Department of Medicine, Division of Cardiovascular Medicine, University  of Oxford, Oxford, UK.; Wellcome Centre for Human Genetics, University of Oxford, Oxford, UK.; Department of Computational Medicine and Bioinformatics, University of Michigan,  Ann Arbor, MI, USA.; Department of Internal Medicine, Division of Cardiology, University of Michigan,  Ann Arbor, MI, USA.; Department of Human Genetics, University of Michigan, Ann Arbor, MI, USA.; William Harvey Research Institute, Barts and the London School of Medicine and  Dentistry, Queen Mary University of London, London, UK.; Princess Al-Jawhara Al-Brahim Centre of Excellence in Research of Hereditary  Disorders (PACER-HD), King Abdulaziz University, Jeddah, Saudi Arabia.; Verve Therapeutics, Cambridge, MA, USA.; BHF Cardiovascular Epidemiology Unit, Department of Public Health and Primary  Care, University of Cambridge, Cambridge, UK. asb38@medschl.cam.ac.uk.; National Institute for Health and Care Research Cambridge Biomedical Research  Centre, Cambridge University Hospitals, Cambridge, UK. asb38@medschl.cam.ac.uk.; The National Institute for Health and Care Research Blood and Transplant Unit  (NIHR BTRU) in Donor Health and Genomics, University of Cambridge, Cambridge, UK.  asb38@medschl.cam.ac.uk.; Health Data Research UK Cambridge, Wellcome Genome Campus and University of  Cambridge, Cambridge, UK. asb38@medschl.cam.ac.uk.; British Heart Foundation Centre of Research Excellence, Division of  Cardiovascular Medicine, Addenbrooke&amp;apos;s Hospital, Cambridge, UK.  asb38@medschl.cam.ac.uk.&lt;/_author_adr&gt;&lt;_date_display&gt;2022 Dec&lt;/_date_display&gt;&lt;_date&gt;2022-12-01&lt;/_date&gt;&lt;_doi&gt;10.1038/s41588-022-01233-6&lt;/_doi&gt;&lt;_isbn&gt;1546-1718 (Electronic); 1061-4036 (Print); 1061-4036 (Linking)&lt;/_isbn&gt;&lt;_issue&gt;12&lt;/_issue&gt;&lt;_journal&gt;Nat Genet&lt;/_journal&gt;&lt;_language&gt;eng&lt;/_language&gt;&lt;_ori_publication&gt;(c) 2022. The Author(s).&lt;/_ori_publication&gt;&lt;_pages&gt;1803-1815&lt;/_pages&gt;&lt;_subject_headings&gt;Humans; *Coronary Artery Disease/genetics; Genome-Wide Association Study&lt;/_subject_headings&gt;&lt;_tertiary_title&gt;Nature genetic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6474045&amp;amp;query_hl=1&lt;/_url&gt;&lt;_volume&gt;54&lt;/_volume&gt;&lt;_created&gt;65212721&lt;/_created&gt;&lt;_modified&gt;65212721&lt;/_modified&gt;&lt;_db_updated&gt;PubMed&lt;/_db_updated&gt;&lt;_impact_factor&gt;  38.330&lt;/_impact_factor&gt;&lt;_collection_scope&gt;SCI;SCIE&lt;/_collection_scope&gt;&lt;/Details&gt;&lt;Extra&gt;&lt;DBUID&gt;{F96A950B-833F-4880-A151-76DA2D6A2879}&lt;/DBUID&gt;&lt;/Extra&gt;&lt;/Item&gt;&lt;/References&gt;&lt;/Group&gt;&lt;/Citation&gt;_x000a_"/>
    <w:docVar w:name="NE.Ref{D497D0B7-746C-4246-93F5-EEBA13F4B209}" w:val=" ADDIN NE.Ref.{D497D0B7-746C-4246-93F5-EEBA13F4B209}&lt;Citation&gt;&lt;Group&gt;&lt;References&gt;&lt;Item&gt;&lt;ID&gt;1202&lt;/ID&gt;&lt;UID&gt;{F9ED76C1-BD5D-425A-9A72-0CE95A5F0DDA}&lt;/UID&gt;&lt;Title&gt;Genome-wide association and Mendelian randomisation analysis provide insights  into the pathogenesis of heart failure&lt;/Title&gt;&lt;Template&gt;Journal Article&lt;/Template&gt;&lt;Star&gt;0&lt;/Star&gt;&lt;Tag&gt;0&lt;/Tag&gt;&lt;Author&gt;Shah, S; Henry, A; Roselli, C; Lin, H; Sveinbjornsson, G; Fatemifar, G; Hedman, A K; Wilk, J B; Morley, M P; Chaffin, M D; Helgadottir, A; Verweij, N; Dehghan, A; Almgren, P; Andersson, C; Aragam, K G; Arnlov, J; Backman, J D; Biggs, M L; Bloom, H L; Brandimarto, J; Brown, M R; Buckbinder, L; Carey, D J; Chasman, D I; Chen, X; Chen, X; Chung, J; Chutkow, W; Cook, J P; Delgado, G E; Denaxas, S; Doney, A S; Dorr, M; Dudley, S C; Dunn, M E; Engstrom, G; Esko, T; Felix, S B; Finan, C; Ford, I; Ghanbari, M; Ghasemi, S; Giedraitis, V; Giulianini, F; Gottdiener, J S; Gross, S; Guethbjartsson, D F; Gutmann, R; Haggerty, C M; van der Harst, P; Hyde, C L; Ingelsson, E; Jukema, J W; Kavousi, M; Khaw, K T; Kleber, M E; Kober, L; Koekemoer, A; Langenberg, C; Lind, L; Lindgren, C M; London, B; Lotta, L A; Lovering, R C; Luan, J; Magnusson, P; Mahajan, A; Margulies, K B; Marz, W; Melander, O; Mordi, I R; Morgan, T; Morris, A D; Morris, A P; Morrison, A C; Nagle, M W; Nelson, C P; Niessner, A; Niiranen, T; O&amp;apos;Donoghue, M L; Owens, A T; Palmer, CNA; Parry, H M; Perola, M; Portilla-Fernandez, E; Psaty, B M; Rice, K M; Ridker, P M; Romaine, SPR; Rotter, J I; Salo, P; Salomaa, V; van Setten, J; Shalaby, A A; Smelser, D T; Smith, N L; Stender, S; Stott, D J; Svensson, P; Tammesoo, M L; Taylor, K D; Teder-Laving, M; Teumer, A; Thorgeirsson, G; Thorsteinsdottir, U; Torp-Pedersen, C; Trompet, S; Tyl, B; Uitterlinden, A G; Veluchamy, A; Volker, U; Voors, A A; Wang, X; Wareham, N J; Waterworth, D; Weeke, P E; Weiss, R; Wiggins, K L; Xing, H; Yerges-Armstrong, L M; Yu, B; Zannad, F; Zhao, J H; Hemingway, H; Samani, N J; McMurray, JJV; Yang, J; Visscher, P M; Newton-Cheh, C; Malarstig, A; Holm, H; Lubitz, S A; Sattar, N; Holmes, M V; Cappola, T P; Asselbergs, F W; Hingorani, A D; Kuchenbaecker, K; Ellinor, P T; Lang, C C; Stefansson, K; Smith, J G; Vasan, R S; Swerdlow, D I; Lumbers, R T&lt;/Author&gt;&lt;Year&gt;2020&lt;/Year&gt;&lt;Details&gt;&lt;_accession_num&gt;31919418&lt;/_accession_num&gt;&lt;_author_adr&gt;Institute for Molecular Bioscience, The University of Queensland, Brisbane,  Queensland, 4072, Australia.; Institute of Cardiovascular Science, University College London, London, UK.; British Heart Foundation Research Accelerator, University College London, London,  UK.; Institute of Cardiovascular Science, University College London, London, UK.; British Heart Foundation Research Accelerator, University College London, London,  UK.; Institute of Health Informatics, University College London, London, UK.; Program in Medical and Population Genetics, The Broad Institute of MIT and  Harvard, Cambridge, MA, USA.; Department of Cardiology, University Medical Center Groningen, University of  Groningen, Groningen, The Netherlands.; Section of Computational Biomedicine, Department of Medicine, Boston University  School of Medicine, Boston, MA, USA.; National Heart, Lung, and Blood Institute&amp;apos;s and Boston University&amp;apos;s Framingham  Heart Study, Framingham, MA, USA.; deCODE genetics/Amgen Inc., Sturlugata 8, 101, Reykjavik, Iceland.; British Heart Foundation Research Accelerator, University College London, London,  UK.; Institute of Health Informatics, University College London, London, UK.; Health Data Research UK London, University College London, London, UK.; Cardiovascular Medicine unit, Department of Medicine Solna, Karolinska Institute,  Stockholm, Sweden.; Pfizer Worldwide Research &amp;amp; Development, 1 Portland St, Cambridge, MA, USA.; Penn Cardiovascular Institute, Perelman School of Medicine, University of  Pennsylvania, Philadelphia, PA, USA.; Program in Medical and Population Genetics, The Broad Institute of MIT and  Harvard, Cambridge, MA, USA.; deCODE genetics/Amgen Inc., Sturlugata 8, 101, Reykjavik, Iceland.; Program in Medical and Population Genetics, The Broad Institute of MIT and  Harvard, Cambridge, MA, USA.; Department of Cardiology, University Medical Center Groningen, University of  Groningen, Groningen, The Netherlands.; Department of Epidemiology and Biostatistics, Imperial College London, St Mary&amp;apos;s  Campus, London, W2 1PG, UK.; MRC-PHE Centre for Environment and Health, Department of Epidemiology and  Biostatistics, Imperial College London, St Mary&amp;apos;s Campus, London, W2 1PG, UK.; Department of Clinical Sciences, Lund University, Malmo, Sweden.; National Heart, Lung, and Blood Institute&amp;apos;s and Boston University&amp;apos;s Framingham  Heart Study, Framingham, MA, USA.; Department of Cardiology, Herlev Gentofte Hospital, Herlev Ringvej 57, 2650,  Herlev, Denmark.; Program in Medical and Population Genetics, The Broad Institute of MIT and  Harvard, Cambridge, MA, USA.; Center for Genomic Medicine, Massachusetts General Hospital, Boston, MA, USA.; Cardiovascular Research Center, Massachusetts General Hospital, Boston, MA, USA.; Department of Neurobiology, Care Sciences and Society/ Section of Family Medicine  and Primary Care, Karolinska Institutet, Stockholm, Sweden.; School of Health and Social Sciences, Dalarna University, Falun, Sweden.; Regeneron Genetics Center, 777 Old Saw Mill River Road, Tarrytown, NY, 10591,  USA.; Department of Biostatistics, University of Washington, Seattle, WA, USA.; Department of Medicine, University of Washington, Seattle, WA, USA.; Division of Cardiology, Department of Medicine, Emory University Medical Center,  Atlanta, GA, USA.; Penn Cardiovascular Institute, Perelman School of Medicine, University of  Pennsylvania, Philadelphia, PA, USA.; Department of Epidemiology, Human Genetics, and Environmental Sciences, The  University of Texas School of Public Health, Houston, Texas, USA.; Pfizer Worldwide Research &amp;amp; Development, 1 Portland St, Cambridge, MA, USA.; Department of Molecular and Functional Genomics, Geisinger, Danville, PA, USA.; Division of Preventive Medicine, Brigham and Women&amp;apos;s Hospital, Boston, MA, 02215,  USA.; Harvard Medical School, Boston, MA, 02115, USA.; Pfizer Worldwide Research &amp;amp; Development, 1 Portland St, Cambridge, MA, USA.; Department of Medical Epidemiology and Biostatistics, Karolinska Institutet,  Stockholm, Sweden.; Regeneron Genetics Center, 777 Old Saw Mill River Road, Tarrytown, NY, 10591,  USA.; Novartis Institutes for Biomedical Research, Cambridge, MA, USA.; Department of Biostatistics, University of Liverpool, Liverpool, UK.; Vth Department of Medicine (Nephrology, Hypertensiology, Endocrinology,  Diabetology, Rheumatology), Medical Faculty of Mannheim, University of  Heidelberg, Heidelberg, Germany.; British Heart Foundation Research Accelerator, University College London, London,  UK.; Institute of Health Informatics, University College London, London, UK.; Health Data Research UK London, University College London, London, UK.; The National Institute for Health Research University College London Hospitals  Biomedical Research Centre, University College London, London, UK.; The Alan Turing Institute, London, United Kingdom.; Division of Molecular &amp;amp; Clinical Medicine, University of Dundee, Ninewells  Hospital and Medical School, Dundee, DD1 9SY, UK.; Department of Internal Medicine B, University Medicine Greifswald, Greifswald,  Germany.; DZHK (German Center for Cardiovascular Research), partner site Greifswald,  Greifswald, Germany.; Cardiovascular Division, Department of Medicine, University of Minnesota,  Minneapolis, MN, USA.; Regeneron Pharmaceuticals, Cardiovascular Research, 777 Old Saw Mill River Road,  Tarrytown, NY, 10591, USA.; Department of Clinical Sciences, Lund University, Malmo, Sweden.; Program in Medical and Population Genetics, The Broad Institute of MIT and  Harvard, Cambridge, MA, USA.; Estonian Genome Center, Institute of Genomics, University of Tartu, Tartu, 51010,  Estonia.; Department of Internal Medicine B, University Medicine Greifswald, Greifswald,  Germany.; DZHK (German Center for Cardiovascular Research), partner site Greifswald,  Greifswald, Germany.; Institute of Cardiovascular Science, University College London, London, UK.; British Heart Foundation Research Accelerator, University College London, London,  UK.; Robertson Center for Biostatistics, University of Glasgow, Glasgow, UK.; Department of Epidemiology, Erasmus University Medical Center, Rotterdam, The  Netherlands.; DZHK (German Center for Cardiovascular Research), partner site Greifswald,  Greifswald, Germany.; Institute for Community Medicine, University Medicine Greifswald, Greifswald,  Germany.; Department of Public Health and Caring Sciences, Geriatrics, Uppsala University,  Uppsala, 75185, Sweden.; Division of Preventive Medicine, Brigham and Women&amp;apos;s Hospital, Boston, MA, 02215,  USA.; Department of Medicine, Division of Cardiology, University of Maryland School of  Medicine, Baltimore, MD, USA.; Department of Internal Medicine B, University Medicine Greifswald, Greifswald,  Germany.; DZHK (German Center for Cardiovascular Research), partner site Greifswald,  Greifswald, Germany.; deCODE genetics/Amgen Inc., Sturlugata 8, 101, Reykjavik, Iceland.; School of Engineering and Natural Sciences, University of Iceland, 101,  Reykjavik, Iceland.; Division of Cardiovascular Medicine, University of Iowa Carver College of  Medicine, Iowa City, IA, USA.; Department of Molecular and Functional Genomics, Geisinger, Danville, PA, USA.; Department of Cardiology, University Medical Center Groningen, University of  Groningen, Groningen, The Netherlands.; Department of Genetics, University Medical Center Groningen, University of  Groningen, Groningen, The Netherlands.; Durrer Center for Cardiogenetic Research, ICIN-Netherlands Heart Institute,  Utrecht, The Netherlands.; Pfizer Worldwide Research &amp;amp; Development, 1 Portland St, Cambridge, MA, USA.; Department of Medicine, Division of Cardiovascular Medicine, Stanford University  School of Medicine, Stanford, CA, 94305, USA.; Stanford Cardiovascular Institute, Stanford University, Stanford, CA, 94305, USA.; Department of Medical Sciences, Molecular Epidemiology and Science for Life  Laboratory, Uppsala University, Uppsala, Sweden.; Stanford Diabetes Research Center, Stanford University, Stanford, CA, 94305, USA.; Department of Cardiology, Leiden University Medical Center, Leiden, The  Netherlands.; Einthoven Laboratory for Experimental Vascular Medicine, LUMC, Leiden, The  Netherlands.; Department of Epidemiology, Erasmus University Medical Center, Rotterdam, The  Netherlands.; Department of Public Health and Primary Care, University of Cambridge, Cambridge,  CB2 0QQ, UK.; Vth Department of Medicine (Nephrology, Hypertensiology, Endocrinology,  Diabetology, Rheumatology), Medical Faculty of Mannheim, University of  Heidelberg, Heidelberg, Germany.; Department of Cardiology, Copenhagen University Hospital Rigshospitalet,  Copenhagen, Denmark.; Department of Cardiovascular Sciences, University of Leicester and NIHR Leicester  Biomedical Research Centre, Glenfield Hospital, Leicester, UK.; MRC Epidemiology Unit, Institute of Metabolic Science, University of Cambridge  School of Clinical Medicine, Cambridge, CB2 0QQ, UK.; Department of Medical Sciences, Uppsala University, Uppsala, Sweden.; Program in Medical and Population Genetics, The Broad Institute of MIT and  Harvard, Cambridge, MA, USA.; Big Data Institute at the Li Ka Shing Centre for Health Information and  Discovery, University of Oxford, Oxford, UK.; Wellcome Trust Centre for Human Genetics, University of Oxford, Oxford, UK.; Division of Cardiovascular Medicine and Abboud Cardiovascular Research Center,  University of Iowa, Iowa City, IA, USA.; MRC Epidemiology Unit, Institute of Metabolic Science, University of Cambridge  School of Clinical Medicine, Cambridge, CB2 0QQ, UK.; Institute of Cardiovascular Science, University College London, London, UK.; British Heart Foundation Research Accelerator, University College London, London,  UK.; MRC Epidemiology Unit, Institute of Metabolic Science, University of Cambridge  School of Clinical Medicine, Cambridge, CB2 0QQ, UK.; Department of Medical Epidemiology and Biostatistics, Karolinska Institutet,  Stockholm, Sweden.; Wellcome Trust Centre for Human Genetics, University of Oxford, Oxford, UK.; Penn Cardiovascular Institute, Perelman School of Medicine, University of  Pennsylvania, Philadelphia, PA, USA.; Department of Biostatistics, University of Liverpool, Liverpool, UK.; Synlab Academy, Synlab Holding Deutschland GmbH, Mannheim, Germany.; Clinical Institute of Medical and Chemical Laboratory Diagnostics, Medical  University of Graz, Graz, Austria.; Department of Internal Medicine, Clinical Sciences, Lund University and Skane  University Hospital, Malmo, Sweden.; Division of Molecular &amp;amp; Clinical Medicine, University of Dundee, Ninewells  Hospital and Medical School, Dundee, DD1 9SY, UK.; Novartis Institutes for Biomedical Research, Cambridge, MA, USA.; Vanderbilt University School of Medicine, Nashville, TN, USA.; Usher Institute of Population Health Sciences and Informatics, University of  Edinburgh, Edinburgh, United Kingdom.; Department of Biostatistics, University of Liverpool, Liverpool, UK.; Wellcome Trust Centre for Human Genetics, University of Oxford, Oxford, UK.; Department of Epidemiology, Human Genetics, and Environmental Sciences, The  University of Texas School of Public Health, Houston, Texas, USA.; Pfizer Worldwide Research &amp;amp; Development, 1 Portland St, Cambridge, MA, USA.; Department of Cardiovascular Sciences, University of Leicester and NIHR Leicester  Biomedical Research Centre, Glenfield Hospital, Leicester, UK.; Department of Internal Medicine II, Division of Cardiology, Medical University of  Vienna, Vienna, Austria.; National Institute for Health and Welfare, Helsinki, Finland.; Department of Medicine, Turku University Hospital and University of Turku, Turku,  Finland.; TIMI Study Group, Cardiovascular Division, Brigham and Women&amp;apos;s Hospital, Boston,  MA, USA.; Penn Cardiovascular Institute, Perelman School of Medicine, University of  Pennsylvania, Philadelphia, PA, USA.; Division of Molecular &amp;amp; Clinical Medicine, University of Dundee, Ninewells  Hospital and Medical School, Dundee, DD1 9SY, UK.; Division of Molecular &amp;amp; Clinical Medicine, University of Dundee, Ninewells  Hospital and Medical School, Dundee, DD1 9SY, UK.; National Institute for Health and Welfare, Helsinki, Finland.; Department of Epidemiology, Erasmus University Medical Center, Rotterdam, The  Netherlands.; Division of Vascular Medicine and Pharmacology, Department of Internal Medicine,  Erasmus University Medical Center, Rotterdam, The Netherlands.; Department of Medicine, Epidemiology, and Health Services, University of  Washington, Seattle, WA, USA.; Kaiser Permanente Washington Health Research Institute, Kaiser Permanente  Washington, Seattle, WA, USA.; Department of Biostatistics, University of Washington, Seattle, WA, USA.; Division of Preventive Medicine, Brigham and Women&amp;apos;s Hospital, Boston, MA, 02215,  USA.; Harvard Medical School, Boston, MA, 02115, USA.; Department of Cardiovascular Sciences, University of Leicester and NIHR Leicester  Biomedical Research Centre, Glenfield Hospital, Leicester, UK.; The Institute for Translational Genomics and Population Sciences, Departments of  Pediatrics and Medicine, Los Angeles Biomedical Research Institute at Harbor-UCLA  Medical Center, Torrance, CA, USA.; National Institute for Health and Welfare, Helsinki, Finland.; National Institute for Health and Welfare, Helsinki, Finland.; Department of Cardiology, Division Heart and Lungs, University Medical Center  Utrecht, University of Utrecht, Utrecht, The Netherlands.; Division of Cardiology, Department of Medicine, University of Pittsburgh Medical  Center and VA Pittsburgh HCS, Pittsburgh, PA, USA.; Department of Molecular and Functional Genomics, Geisinger, Danville, PA, USA.; Kaiser Permanente Washington Health Research Institute, Kaiser Permanente  Washington, Seattle, WA, USA.; Department of Epidemiology, University of Washington, Seattle, WA, USA.; Seattle Epidemiologic Research and Information Center, Department of Veterans  Affairs Office of Research &amp;amp; Development, Seattle, WA, USA.; Department of Clinical Biochemistry, Copenhagen University Hospital, Herlev and  Gentofte, Kobenhavn, Denmark.; Institute of Cardiovascular and Medical Sciences, College of Medical, Veterinary  and Life Sciences, University of Glasgow, Glasgow, United Kingdom.; Department of Clinical Science and Education, Sodersjukhuset, Karolinska  Institutet, Stockholm, Sweden.; Department of Cardiology, Sodersjukhuset, Stockholm, Sweden.; Estonian Genome Center, Institute of Genomics, University of Tartu, Tartu, 51010,  Estonia.; Institute for Translational Genomics and Population Sciences, LABiomed and  Departments of Pediatrics at Harbor-UCLA Medical Center, Torrance, CA, 90502,  USA.; Estonian Genome Center, Institute of Genomics, University of Tartu, Tartu, 51010,  Estonia.; DZHK (German Center for Cardiovascular Research), partner site Greifswald,  Greifswald, Germany.; Institute for Community Medicine, University Medicine Greifswald, Greifswald,  Germany.; deCODE genetics/Amgen Inc., Sturlugata 8, 101, Reykjavik, Iceland.; Division of Cardiology, Department of Internal Medicine, Landspitali, National  University Hospital of Iceland, Hringbraut, 101, Reykjavik, Iceland.; deCODE genetics/Amgen Inc., Sturlugata 8, 101, Reykjavik, Iceland.; Faculty of Medicine, Department of Medicine, University of Iceland, Saemundargata  2, 101, Reykjavik, Iceland.; Department of Epidemiology and Biostatistics, Aalborg University Hospital,  Aalborg, Denmark.; Department of Health, Science and Technology, Aalborg University Hospital,  Aalborg, Denmark.; Departments of Cardiology, Aalborg University Hospital, Aalborg, Denmark.; Department of Cardiology, Leiden University Medical Center, Leiden, The  Netherlands.; Section of Gerontology and Geriatrics, Department of Internal Medicine, Leiden  University Medical Center, Leiden, The Netherlands.; Translational and Clinical Research, Servier Cardiovascular Center for  Therapeutic Innovation, 50 rue Carnot, 92284, Suresnes, France.; Department of Epidemiology, Erasmus University Medical Center, Rotterdam, The  Netherlands.; Department of Internal Medicine, Erasmus MC, University Medical Center Rotterdam,  Rotterdam, The Netherlands.; Division of Molecular &amp;amp; Clinical Medicine, University of Dundee, Ninewells  Hospital and Medical School, Dundee, DD1 9SY, UK.; DZHK (German Center for Cardiovascular Research), partner site Greifswald,  Greifswald, Germany.; Interfaculty Institute for Genetics and Functional Genomics, University Medicine  Greifswald, Greifswald, Germany.; Section of Computational Biomedicine, Department of Medicine, Boston University  School of Medicine, Boston, MA, USA.; Novartis Institutes for Biomedical Research, Cambridge, MA, USA.; MRC Epidemiology Unit, Institute of Metabolic Science, University of Cambridge  School of Clinical Medicine, Cambridge, CB2 0QQ, UK.; Human Genetics, GlaxoSmithKline, Collegeville, PA, USA.; Department of Cardiology, Copenhagen University Hospital Rigshospitalet,  Copenhagen, Denmark.; Division of Cardiovascular Medicine, Department of Internal Medicine, The Ohio  State University Medical Center, Columbus, OH, USA.; Department of Medicine, University of Washington, Seattle, WA, USA.; Novartis Institutes for Biomedical Research, Cambridge, MA, USA.; Human Genetics, GlaxoSmithKline, Collegeville, PA, USA.; Department of Epidemiology, Human Genetics, and Environmental Sciences, The  University of Texas School of Public Health, Houston, Texas, USA.; Universite de Lorraine, CHU de Nancy, Inserm and INI-CRCT (F-CRIN), Institut  Lorrain du Coeur et des Vaisseaux, 54500, Vandoeuvre Les, Nancy, France.; MRC Epidemiology Unit, Institute of Metabolic Science, University of Cambridge  School of Clinical Medicine, Cambridge, CB2 0QQ, UK.; British Heart Foundation Research Accelerator, University College London, London,  UK.; Institute of Health Informatics, University College London, London, UK.; Health Data Research UK London, University College London, London, UK.; BHF Cardiovascular Research Centre, University of Glasgow, Glasgow, United  Kingdom.; Department of Cardiovascular Sciences, University of Leicester and NIHR Leicester  Biomedical Research Centre, Glenfield Hospital, Leicester, UK.; BHF Cardiovascular Research Centre, University of Glasgow, Glasgow, United  Kingdom.; Institute for Molecular Bioscience, The University of Queensland, Brisbane,  Queensland, 4072, Australia.; Queensland Brain Institute, The University of Queensland, Brisbane, QLD, 4072,  Australia.; Institute for Molecular Bioscience, The University of Queensland, Brisbane,  Queensland, 4072, Australia.; Queensland Brain Institute, The University of Queensland, Brisbane, QLD, 4072,  Australia.; Program in Medical and Population Genetics, The Broad Institute of MIT and  Harvard, Cambridge, MA, USA.; Cardiovascular Research Center, Massachusetts General Hospital, Boston, MA, USA.; Center for Human Genetic Research, Massachusetts General Hospital, Boston, MA,  USA.; Cardiovascular Medicine unit, Department of Medicine Solna, Karolinska Institute,  Stockholm, Sweden.; Pfizer Worldwide Research &amp;amp; Development, 1 Portland St, Cambridge, MA, USA.; deCODE genetics/Amgen Inc., Sturlugata 8, 101, Reykjavik, Iceland.; Program in Medical and Population Genetics, The Broad Institute of MIT and  Harvard, Cambridge, MA, USA.; Cardiac Arrhythmia Service and Cardiovascular Research Center, Massachusetts  General Hospital, Boston, MA, USA.; BHF Cardiovascular Research Centre, University of Glasgow, Glasgow, United  Kingdom.; Medical Research Council Population Health Research Unit at the University of  Oxford, Oxford, UK.; Clinical Trial Service Unit and Epidemiological Studies Unit, Nuffield Department  of Population Health, Big Data Institute, University of Oxford, Oxford, UK.; National Institute for Health Research Oxford Biomedical Research Centre, Oxford  University Hospital, Oxford, UK.; Penn Cardiovascular Institute, Perelman School of Medicine, University of  Pennsylvania, Philadelphia, PA, USA.; Institute of Cardiovascular Science, University College London, London, UK.; British Heart Foundation Research Accelerator, University College London, London,  UK.; Department of Cardiology, Division Heart and Lungs, University Medical Center  Utrecht, University of Utrecht, Utrecht, The Netherlands.; Institute of Cardiovascular Science, University College London, London, UK.; British Heart Foundation Research Accelerator, University College London, London,  UK.; Division of Psychiatry, University College of London, London, W1T 7NF, UK.; UCL Genetics Institute, University College London, London, WC1E 6BT, UK.; Program in Medical and Population Genetics, The Broad Institute of MIT and  Harvard, Cambridge, MA, USA.; Cardiac Arrhythmia Service and Cardiovascular Research Center, Massachusetts  General Hospital, Boston, MA, USA.; Division of Molecular &amp;amp; Clinical Medicine, University of Dundee, Ninewells  Hospital and Medical School, Dundee, DD1 9SY, UK.; deCODE genetics/Amgen Inc., Sturlugata 8, 101, Reykjavik, Iceland.; Faculty of Medicine, Department of Medicine, University of Iceland, Saemundargata  2, 101, Reykjavik, Iceland.; Program in Medical and Population Genetics, The Broad Institute of MIT and  Harvard, Cambridge, MA, USA.; Department of Cardiology, Clinical Sciences, Lund University and Skane University  Hospital, Lund, Sweden.; Wallenberg Center for Molecular Medicine and Lund University Diabetes Center,  Lund University, Lund, Sweden.; National Heart, Lung, and Blood Institute&amp;apos;s and Boston University&amp;apos;s Framingham  Heart Study, Framingham, MA, USA.; Sections of Cardiology, Preventive Medicine and Epidemiology, Department of  Medicine, Boston University Schools of Medicine and Public Health, Boston, MA,  USA.; Institute of Cardiovascular Science, University College London, London, UK.; British Heart Foundation Research Accelerator, University College London, London,  UK. t.lumbers@ucl.ac.uk.; Institute of Health Informatics, University College London, London, UK.  t.lumbers@ucl.ac.uk.; Health Data Research UK London, University College London, London, UK.  t.lumbers@ucl.ac.uk.; Bart&amp;apos;s Heart Centre, St. Bartholomew&amp;apos;s Hospital, London, UK. t.lumbers@ucl.ac.uk.&lt;/_author_adr&gt;&lt;_collection_scope&gt;SCI;SCIE&lt;/_collection_scope&gt;&lt;_created&gt;65011492&lt;/_created&gt;&lt;_date&gt;2020-01-09&lt;/_date&gt;&lt;_date_display&gt;2020 Jan 9&lt;/_date_display&gt;&lt;_db_updated&gt;PubMed&lt;/_db_updated&gt;&lt;_doi&gt;10.1038/s41467-019-13690-5&lt;/_doi&gt;&lt;_impact_factor&gt;  14.919&lt;/_impact_factor&gt;&lt;_isbn&gt;2041-1723 (Electronic); 2041-1723 (Linking)&lt;/_isbn&gt;&lt;_issue&gt;1&lt;/_issue&gt;&lt;_journal&gt;Nat Commun&lt;/_journal&gt;&lt;_language&gt;eng&lt;/_language&gt;&lt;_modified&gt;65011492&lt;/_modified&gt;&lt;_pages&gt;163&lt;/_pages&gt;&lt;_subject_headings&gt;Adaptor Proteins, Signal Transducing/genetics; Apoptosis Regulatory Proteins/genetics; Atrial Fibrillation/*genetics; Cardiomyopathies/*genetics/pathology; Carrier Proteins/genetics; Case-Control Studies; Coronary Artery Disease/*genetics; Cyclin-Dependent Kinase Inhibitor p21/genetics; Genome-Wide Association Study; Heart Failure/*genetics/*pathology; Humans; Mendelian Randomization Analysis; Microfilament Proteins/genetics; Muscle Proteins/genetics; Risk Factors; Ventricular Function, Left/*genetics&lt;/_subject_headings&gt;&lt;_tertiary_title&gt;Nature communications&lt;/_tertiary_title&gt;&lt;_type_work&gt;Journal Article; Meta-Analysis&lt;/_type_work&gt;&lt;_url&gt;http://www.ncbi.nlm.nih.gov/entrez/query.fcgi?cmd=Retrieve&amp;amp;db=pubmed&amp;amp;dopt=Abstract&amp;amp;list_uids=31919418&amp;amp;query_hl=1&lt;/_url&gt;&lt;_volume&gt;11&lt;/_volume&gt;&lt;/Details&gt;&lt;Extra&gt;&lt;DBUID&gt;{F96A950B-833F-4880-A151-76DA2D6A2879}&lt;/DBUID&gt;&lt;/Extra&gt;&lt;/Item&gt;&lt;/References&gt;&lt;/Group&gt;&lt;/Citation&gt;_x000a_"/>
    <w:docVar w:name="NE.Ref{D56C292E-BE06-48B6-BD47-28A0C632AF85}" w:val=" ADDIN NE.Ref.{D56C292E-BE06-48B6-BD47-28A0C632AF85}&lt;Citation&gt;&lt;Group&gt;&lt;References&gt;&lt;Item&gt;&lt;ID&gt;1385&lt;/ID&gt;&lt;UID&gt;{E1D325AE-19D6-48B0-95AB-48D0AF5ACB2F}&lt;/UID&gt;&lt;Title&gt;Cross-ancestry genome-wide analysis of atrial fibrillation unveils disease  biology and enables cardioembolic risk prediction&lt;/Title&gt;&lt;Template&gt;Journal Article&lt;/Template&gt;&lt;Star&gt;0&lt;/Star&gt;&lt;Tag&gt;0&lt;/Tag&gt;&lt;Author&gt;Miyazawa, K; Ito, K; Ito, M; Zou, Z; Kubota, M; Nomura, S; Matsunaga, H; Koyama, S; Ieki, H; Akiyama, M; Koike, Y; Kurosawa, R; Yoshida, H; Ozaki, K; Onouchi, Y; Takahashi, A; Matsuda, K; Murakami, Y; Aburatani, H; Kubo, M; Momozawa, Y; Terao, C; Oki, S; Akazawa, H; Kamatani, Y; Komuro, I&lt;/Author&gt;&lt;Year&gt;2023&lt;/Year&gt;&lt;Details&gt;&lt;_accession_num&gt;36653681&lt;/_accession_num&gt;&lt;_author_adr&gt;Laboratory for Cardiovascular Genomics and Informatics, RIKEN Center for  Integrative Medical Sciences, Yokohama, Japan.; Laboratory for Cardiovascular Genomics and Informatics, RIKEN Center for  Integrative Medical Sciences, Yokohama, Japan. kaoru.ito@riken.jp.; Department of Cardiovascular Medicine, Graduate School of Medicine, The  University of Tokyo, Tokyo, Japan.; Department of Drug Discovery Medicine, Kyoto University Graduate School of  Medicine, Kyoto, Japan.; Department of Cardiovascular Medicine, Graduate School of Medicine, The  University of Tokyo, Tokyo, Japan.; Department of Cardiovascular Medicine, Graduate School of Medicine, The  University of Tokyo, Tokyo, Japan.; Laboratory for Cardiovascular Genomics and Informatics, RIKEN Center for  Integrative Medical Sciences, Yokohama, Japan.; Department of Cardiovascular Medicine, Graduate School of Medicine, The  University of Tokyo, Tokyo, Japan.; Laboratory for Cardiovascular Genomics and Informatics, RIKEN Center for  Integrative Medical Sciences, Yokohama, Japan.; Program in Medical and Population Genetics, Broad Institute of Harvard and MIT,  Cambridge, MA, USA.; Cardiovascular Research Center, Massachusetts General Hospital, Boston, MA, USA.; Laboratory for Cardiovascular Genomics and Informatics, RIKEN Center for  Integrative Medical Sciences, Yokohama, Japan.; Department of Cardiovascular Medicine, Graduate School of Medicine, The  University of Tokyo, Tokyo, Japan.; Laboratory for Statistical and Translational Genetics, RIKEN Center for  Integrative Medical Sciences, Yokohama, Japan.; Department of Ocular Pathology and Imaging Science, Kyushu University Graduate  School of Medical Sciences, Fukuoka, Japan.; Laboratory for Statistical and Translational Genetics, RIKEN Center for  Integrative Medical Sciences, Yokohama, Japan.; Department of Orthopedic Surgery, Hokkaido University Graduate School of  Medicine, Sapporo, Japan.; Laboratory for Cardiovascular Genomics and Informatics, RIKEN Center for  Integrative Medical Sciences, Yokohama, Japan.; Laboratory for Cardiovascular Genomics and Informatics, RIKEN Center for  Integrative Medical Sciences, Yokohama, Japan.; Department of Cardiovascular Medicine, Graduate School of Medicine, The  University of Tokyo, Tokyo, Japan.; Laboratory for Cardiovascular Genomics and Informatics, RIKEN Center for  Integrative Medical Sciences, Yokohama, Japan.; Medical Genome Center, Research Institute, National Center for Geriatrics and  Gerontology, Obu, Japan.; Laboratory for Cardiovascular Genomics and Informatics, RIKEN Center for  Integrative Medical Sciences, Yokohama, Japan.; Department of Public Health, Chiba University Graduate School of Medicine, Chiba,  Japan.; Laboratory for Statistical and Translational Genetics, RIKEN Center for  Integrative Medical Sciences, Yokohama, Japan.; Department of Genomic Medicine, Research Institute, National Cerebral and  Cardiovascular Center, Suita, Japan.; Department of Computational Biology and Medical Science, Graduate School of  Frontier Sciences, The University of Tokyo, Tokyo, Japan.; Division of Molecular Pathology, Institute of Medical Science, The University of  Tokyo, Tokyo, Japan.; Genome Science &amp;amp; Medicine Laboratory, Research Center for Advanced Science and  Technology, The University of Tokyo, Tokyo, Japan.; RIKEN Center for Integrative Medical Sciences, Yokohama, Japan.; Laboratory for Genotyping Development, RIKEN Center for Integrative Medical  Sciences, Yokohama, Japan.; Laboratory for Statistical and Translational Genetics, RIKEN Center for  Integrative Medical Sciences, Yokohama, Japan.; Department of Drug Discovery Medicine, Kyoto University Graduate School of  Medicine, Kyoto, Japan.; Department of Cardiovascular Medicine, Graduate School of Medicine, The  University of Tokyo, Tokyo, Japan.; Laboratory for Statistical and Translational Genetics, RIKEN Center for  Integrative Medical Sciences, Yokohama, Japan.  kamatani.yoichiro@edu.k.u-tokyo.ac.jp.; Department of Computational Biology and Medical Science, Graduate School of  Frontier Sciences, The University of Tokyo, Tokyo, Japan.  kamatani.yoichiro@edu.k.u-tokyo.ac.jp.; Department of Cardiovascular Medicine, Graduate School of Medicine, The  University of Tokyo, Tokyo, Japan. komuro-tky@umin.ac.jp.&lt;/_author_adr&gt;&lt;_collection_scope&gt;SCI;SCIE&lt;/_collection_scope&gt;&lt;_created&gt;65212717&lt;/_created&gt;&lt;_date&gt;2023-02-01&lt;/_date&gt;&lt;_date_display&gt;2023 Feb&lt;/_date_display&gt;&lt;_db_updated&gt;PubMed&lt;/_db_updated&gt;&lt;_doi&gt;10.1038/s41588-022-01284-9&lt;/_doi&gt;&lt;_impact_factor&gt;  38.330&lt;/_impact_factor&gt;&lt;_isbn&gt;1546-1718 (Electronic); 1061-4036 (Print); 1061-4036 (Linking)&lt;/_isbn&gt;&lt;_issue&gt;2&lt;/_issue&gt;&lt;_journal&gt;Nat Genet&lt;/_journal&gt;&lt;_language&gt;eng&lt;/_language&gt;&lt;_modified&gt;65212717&lt;/_modified&gt;&lt;_ori_publication&gt;(c) 2023. The Author(s).&lt;/_ori_publication&gt;&lt;_pages&gt;187-197&lt;/_pages&gt;&lt;_subject_headings&gt;Humans; *Atrial Fibrillation/genetics; Biology; Genetic Predisposition to Disease; Genome-Wide Association Study/methods; *Induced Pluripotent Stem Cells; Polymorphism, Single Nucleotide/genetics; *Stroke/genetics; Genome, Human&lt;/_subject_headings&gt;&lt;_tertiary_title&gt;Nature genetics&lt;/_tertiary_title&gt;&lt;_type_work&gt;Journal Article; Meta-Analysis; Research Support, Non-U.S. Gov&amp;apos;t&lt;/_type_work&gt;&lt;_url&gt;http://www.ncbi.nlm.nih.gov/entrez/query.fcgi?cmd=Retrieve&amp;amp;db=pubmed&amp;amp;dopt=Abstract&amp;amp;list_uids=36653681&amp;amp;query_hl=1&lt;/_url&gt;&lt;_volume&gt;55&lt;/_volume&gt;&lt;/Details&gt;&lt;Extra&gt;&lt;DBUID&gt;{F96A950B-833F-4880-A151-76DA2D6A2879}&lt;/DBUID&gt;&lt;/Extra&gt;&lt;/Item&gt;&lt;/References&gt;&lt;/Group&gt;&lt;/Citation&gt;_x000a_"/>
    <w:docVar w:name="NE.Ref{E14AEFF4-4DEB-42C8-8E47-524AA5570B5C}" w:val=" ADDIN NE.Ref.{E14AEFF4-4DEB-42C8-8E47-524AA5570B5C}&lt;Citation&gt;&lt;Group&gt;&lt;References&gt;&lt;Item&gt;&lt;ID&gt;1203&lt;/ID&gt;&lt;UID&gt;{CCED0FAB-E3A5-468C-B272-B88269F3B46F}&lt;/UID&gt;&lt;Title&gt;Genome-wide association analysis and Mendelian randomization proteomics identify  drug targets for heart failure&lt;/Title&gt;&lt;Template&gt;Journal Article&lt;/Template&gt;&lt;Star&gt;0&lt;/Star&gt;&lt;Tag&gt;0&lt;/Tag&gt;&lt;Author&gt;Rasooly, D; Peloso, G M; Pereira, A C; Dashti, H; Giambartolomei, C; Wheeler, E; Aung, N; Ferolito, B R; Pietzner, M; Farber-Eger, E H; Wells, Q S; Kosik, N M; Gaziano, L; Posner, D C; Bento, A P; Hui, Q; Liu, C; Aragam, K; Wang, Z; Charest, B; Huffman, J E; Wilson, PWF; Phillips, L S; Whittaker, J; Munroe, P B; Petersen, S E; Cho, K; Leach, A R; Magarinos, M P; Gaziano, J M; Langenberg, C; Sun, Y V; Joseph, J; Casas, J P&lt;/Author&gt;&lt;Year&gt;2023&lt;/Year&gt;&lt;Details&gt;&lt;_accession_num&gt;37429843&lt;/_accession_num&gt;&lt;_author_adr&gt;Division of Aging, Brigham and Women&amp;apos;s Hospital, Harvard Medical School, 75  Francis St., Boston, MA, 02130, USA. drasooly@bwh.harvard.edu.; Massachusetts Veterans Epidemiology Research and Information Center (MAVERIC), VA  Boston Healthcare System, 150. S. Huntington Ave, Boston, MA, 02130, USA.  drasooly@bwh.harvard.edu.; Massachusetts Veterans Epidemiology Research and Information Center (MAVERIC), VA  Boston Healthcare System, 150. S. Huntington Ave, Boston, MA, 02130, USA.; Department of Biostatistics, Boston University School of Public Health, 801  Massachusetts Ave Crosstown Centre, Boston, MA, 02118, USA.; Laboratory of Genetics and Molecular Cardiology, Heart Institute, University of  Sao Paulo, Av Dr Eneas de Carvalho Aguiar 54, Sao Paulo, 5403000, Brazil.; Genetics Department, Harvard Medical School, Harvard University, 77 Avenue Louis  Pasteur, Boston, MA, 02115, USA.; Division of Aging, Brigham and Women&amp;apos;s Hospital, Harvard Medical School, 75  Francis St., Boston, MA, 02130, USA.; Broad Institute of MIT and Harvard, 415 Main St., Cambridge, MA, 02142, USA.; Health Data Science Centre, Human Technopole, V.le Rita Levi-Montalcini, 1,  Milan, 20157, Italy.; Central RNA Lab, Non-coding RNAs and RNA-based Therapeutics, Istituto Italiano di  Tecnologia, Via Morego 30, 16163, Genova, Italy.; MRC Epidemiology Unit, Institute of Metabolic Science, University of Cambridge,  Addenbrookes Hospital, IMS, Box 285, Cambridge, CB2 0QQ, UK.; William Harvey Research Institute, Barts and The London School of Medicine and  Dentistry, Queen Mary University of London, London, EC1M 6BQ, UK.; Barts Heart Centre, St Bartholomew&amp;apos;s Hospital, Barts Health NHS Trust, West  Smithfield, London, UK.; Massachusetts Veterans Epidemiology Research and Information Center (MAVERIC), VA  Boston Healthcare System, 150. S. Huntington Ave, Boston, MA, 02130, USA.; MRC Epidemiology Unit, Institute of Metabolic Science, University of Cambridge,  Addenbrookes Hospital, IMS, Box 285, Cambridge, CB2 0QQ, UK.; Computational Medicine, Berlin Institute of Health (BIH) at Charite -  Universitatsmedizin Berlin, Kapelle Ufer 2, Berlin, 10117, Germany.; Precision Healthcare University Research Institute, Queen Mary University of  London, London, UK.; Vanderbilt Institute for Clinical and Translational Research, Vanderbilt  University Medical Center, Nashville, TN, USA.; Vanderbilt University Med. Ctr., Departments of Medicine (Cardiology), Biomedical  Informatics, and Pharmacology, Nashville, TN, USA.; Massachusetts Veterans Epidemiology Research and Information Center (MAVERIC), VA  Boston Healthcare System, 150. S. Huntington Ave, Boston, MA, 02130, USA.; Massachusetts Veterans Epidemiology Research and Information Center (MAVERIC), VA  Boston Healthcare System, 150. S. Huntington Ave, Boston, MA, 02130, USA.; BHF Cardiovascular Epidemiology Unit, Department of Public Health and Primary  Care, University of Cambridge, Worts Causeway, Cambridge, CB1 8RN, UK.; Massachusetts Veterans Epidemiology Research and Information Center (MAVERIC), VA  Boston Healthcare System, 150. S. Huntington Ave, Boston, MA, 02130, USA.; Department of Chemical Biology, European Molecular Biology Laboratory, European  Bioinformatics Institute, Wellcome Genome Campus, Hinxton, CB10 1SD, UK.; Department of Epidemiology, Emory University Rollins School of Public Health,  1518 Clifton Rd NE, Atlanta, GA, 30322, USA.; Atlanta VA Health Care System, 1670 Clairmont Road, Decatur, GA, 30033, USA.; Department of Epidemiology, Emory University Rollins School of Public Health,  1518 Clifton Rd NE, Atlanta, GA, 30322, USA.; Massachusetts Veterans Epidemiology Research and Information Center (MAVERIC), VA  Boston Healthcare System, 150. S. Huntington Ave, Boston, MA, 02130, USA.; Broad Institute of MIT and Harvard, 415 Main St., Cambridge, MA, 02142, USA.; Massachusetts General Hospital, Boston, MA, 02114, USA.; Department of Epidemiology, Emory University Rollins School of Public Health,  1518 Clifton Rd NE, Atlanta, GA, 30322, USA.; Massachusetts Veterans Epidemiology Research and Information Center (MAVERIC), VA  Boston Healthcare System, 150. S. Huntington Ave, Boston, MA, 02130, USA.; Massachusetts Veterans Epidemiology Research and Information Center (MAVERIC), VA  Boston Healthcare System, 150. S. Huntington Ave, Boston, MA, 02130, USA.; Atlanta VA Health Care System, 1670 Clairmont Road, Decatur, GA, 30033, USA.; Division of Cardiology, Department of Medicine, Emory University School of  Medicine, 1639 Pierce Dr NE, Atlanta, GA, 30322, USA.; Atlanta VA Health Care System, 1670 Clairmont Road, Decatur, GA, 30033, USA.; Division of Endocrinology, Emory University, 101 Woodruff Circle, WMRB 1027,  Atlanta, GA, 30322, USA.; MRC Biostatistics Unit, University of Cambridge, Cambridge, CB2 0SR, United  Kingdom.; William Harvey Research Institute, Barts and The London Faculty of Medicine and  Dentistry, Queen Mary University of London, Charterhouse Square, London, EC1M  6BQ, UK.; National Institute for Health Research, Barts Biomedical Research Centre, Queen  Mary University of London, London, UK.; Barts Heart Centre, St Bartholomew&amp;apos;s Hospital, Barts Health NHS Trust, West  Smithfield, London, UK.; William Harvey Research Institute, NIHR Barts Biomedical Research Centre, Queen  Mary University of London, Charterhouse Square, London, EC1M 68Q, UK.; Division of Aging, Brigham and Women&amp;apos;s Hospital, Harvard Medical School, 75  Francis St., Boston, MA, 02130, USA.; Massachusetts Veterans Epidemiology Research and Information Center (MAVERIC), VA  Boston Healthcare System, 150. S. Huntington Ave, Boston, MA, 02130, USA.; Department of Chemical Biology, European Molecular Biology Laboratory, European  Bioinformatics Institute, Wellcome Genome Campus, Hinxton, CB10 1SD, UK.; Department of Chemical Biology, European Molecular Biology Laboratory, European  Bioinformatics Institute, Wellcome Genome Campus, Hinxton, CB10 1SD, UK.; Division of Aging, Brigham and Women&amp;apos;s Hospital, Harvard Medical School, 75  Francis St., Boston, MA, 02130, USA.; Massachusetts Veterans Epidemiology Research and Information Center (MAVERIC), VA  Boston Healthcare System, 150. S. Huntington Ave, Boston, MA, 02130, USA.; MRC Epidemiology Unit, Institute of Metabolic Science, University of Cambridge,  Addenbrookes Hospital, IMS, Box 285, Cambridge, CB2 0QQ, UK.; Computational Medicine, Berlin Institute of Health (BIH) at Charite -  Universitatsmedizin Berlin, Kapelle Ufer 2, Berlin, 10117, Germany.; Precision Healthcare University Research Institute, Queen Mary University of  London, London, UK.; Department of Epidemiology, Emory University Rollins School of Public Health,  1518 Clifton Rd NE, Atlanta, GA, 30322, USA.; Atlanta VA Health Care System, 1670 Clairmont Road, Decatur, GA, 30033, USA.; Department of Biomedical Informatics, Emory University School of Medicine, 1639  Pierce Dr NE, Atlanta, GA, 30332, USA.; Cardiology Section, VA Providence Healthcare System, 830 Chalkstone Avenue,  Providence, RI, 02908, USA. jacob.joseph@va.gov.; Department of Medicine, Warren Alpert Medical School of Brown University, 222  Richmond Street, Providence, RI, 02903, USA. jacob.joseph@va.gov.; Division of Aging, Brigham and Women&amp;apos;s Hospital, Harvard Medical School, 75  Francis St., Boston, MA, 02130, USA.; Massachusetts Veterans Epidemiology Research and Information Center (MAVERIC), VA  Boston Healthcare System, 150. S. Huntington Ave, Boston, MA, 02130, USA.&lt;/_author_adr&gt;&lt;_collection_scope&gt;SCI;SCIE&lt;/_collection_scope&gt;&lt;_created&gt;65011493&lt;/_created&gt;&lt;_date&gt;2023-07-10&lt;/_date&gt;&lt;_date_display&gt;2023 Jul 10&lt;/_date_display&gt;&lt;_db_updated&gt;PubMed&lt;/_db_updated&gt;&lt;_doi&gt;10.1038/s41467-023-39253-3&lt;/_doi&gt;&lt;_impact_factor&gt;  14.919&lt;/_impact_factor&gt;&lt;_isbn&gt;2041-1723 (Electronic); 2041-1723 (Linking)&lt;/_isbn&gt;&lt;_issue&gt;1&lt;/_issue&gt;&lt;_journal&gt;Nat Commun&lt;/_journal&gt;&lt;_language&gt;eng&lt;/_language&gt;&lt;_modified&gt;65011494&lt;/_modified&gt;&lt;_ori_publication&gt;(c) 2023. The Author(s).&lt;/_ori_publication&gt;&lt;_pages&gt;3826&lt;/_pages&gt;&lt;_subject_headings&gt;Humans; *Genome-Wide Association Study; Mendelian Randomization Analysis; Proteomics; *Heart Failure/drug therapy/genetics&lt;/_subject_headings&gt;&lt;_tertiary_title&gt;Nature communications&lt;/_tertiary_title&gt;&lt;_type_work&gt;Journal Article; Meta-Analysis; Research Support, N.I.H., Extramural; Research Support, Non-U.S. Gov&amp;apos;t; Research Support, U.S. Gov&amp;apos;t, Non-P.H.S.&lt;/_type_work&gt;&lt;_url&gt;http://www.ncbi.nlm.nih.gov/entrez/query.fcgi?cmd=Retrieve&amp;amp;db=pubmed&amp;amp;dopt=Abstract&amp;amp;list_uids=37429843&amp;amp;query_hl=1&lt;/_url&gt;&lt;_volume&gt;14&lt;/_volume&gt;&lt;/Details&gt;&lt;Extra&gt;&lt;DBUID&gt;{F96A950B-833F-4880-A151-76DA2D6A2879}&lt;/DBUID&gt;&lt;/Extra&gt;&lt;/Item&gt;&lt;/References&gt;&lt;/Group&gt;&lt;/Citation&gt;_x000a_"/>
    <w:docVar w:name="NE.Ref{EF3CF490-6880-4577-83EA-A50503FE8574}" w:val=" ADDIN NE.Ref.{EF3CF490-6880-4577-83EA-A50503FE8574}&lt;Citation&gt;&lt;Group&gt;&lt;References&gt;&lt;Item&gt;&lt;ID&gt;1399&lt;/ID&gt;&lt;UID&gt;{4C810721-8F6E-4AA6-8542-00BFDB77188D}&lt;/UID&gt;&lt;Title&gt;The ATXN2-SH2B3 locus is associated with peripheral arterial disease: an  electronic medical record-based genome-wide association study&lt;/Title&gt;&lt;Template&gt;Journal Article&lt;/Template&gt;&lt;Star&gt;0&lt;/Star&gt;&lt;Tag&gt;0&lt;/Tag&gt;&lt;Author&gt;Kullo, I J; Shameer, K; Jouni, H; Lesnick, T G; Pathak, J; Chute, C G; de Andrade, M&lt;/Author&gt;&lt;Year&gt;2014&lt;/Year&gt;&lt;Details&gt;&lt;_accession_num&gt;25009551&lt;/_accession_num&gt;&lt;_author_adr&gt;Division of Cardiovascular Diseases, Mayo Clinic Rochester, MN, USA.; Division of Cardiovascular Diseases, Mayo Clinic Rochester, MN, USA.; Division of Cardiovascular Diseas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lt;/_author_adr&gt;&lt;_collection_scope&gt;SCIE&lt;/_collection_scope&gt;&lt;_created&gt;65212739&lt;/_created&gt;&lt;_date&gt;2014-01-20&lt;/_date&gt;&lt;_date_display&gt;2014&lt;/_date_display&gt;&lt;_db_updated&gt;PubMed&lt;/_db_updated&gt;&lt;_doi&gt;10.3389/fgene.2014.00166&lt;/_doi&gt;&lt;_impact_factor&gt;   4.599&lt;/_impact_factor&gt;&lt;_isbn&gt;1664-8021 (Print); 1664-8021 (Electronic); 1664-8021 (Linking)&lt;/_isbn&gt;&lt;_journal&gt;Front Genet&lt;/_journal&gt;&lt;_keywords&gt;ankle-brachial index; biorepository; electronic medical records; genome-wide association study; peripheral arterial disease&lt;/_keywords&gt;&lt;_language&gt;eng&lt;/_language&gt;&lt;_modified&gt;65212739&lt;/_modified&gt;&lt;_pages&gt;166&lt;/_pages&gt;&lt;_tertiary_title&gt;Frontiers in genetics&lt;/_tertiary_title&gt;&lt;_type_work&gt;Journal Article&lt;/_type_work&gt;&lt;_url&gt;http://www.ncbi.nlm.nih.gov/entrez/query.fcgi?cmd=Retrieve&amp;amp;db=pubmed&amp;amp;dopt=Abstract&amp;amp;list_uids=25009551&amp;amp;query_hl=1&lt;/_url&gt;&lt;_volume&gt;5&lt;/_volume&gt;&lt;/Details&gt;&lt;Extra&gt;&lt;DBUID&gt;{F96A950B-833F-4880-A151-76DA2D6A2879}&lt;/DBUID&gt;&lt;/Extra&gt;&lt;/Item&gt;&lt;/References&gt;&lt;/Group&gt;&lt;Group&gt;&lt;References&gt;&lt;Item&gt;&lt;ID&gt;1397&lt;/ID&gt;&lt;UID&gt;{21FF131A-02B4-460F-99A5-A738523E8308}&lt;/UID&gt;&lt;Title&gt;Genome-wide association study of peripheral artery disease in the Million Veteran  Program&lt;/Title&gt;&lt;Template&gt;Journal Article&lt;/Template&gt;&lt;Star&gt;0&lt;/Star&gt;&lt;Tag&gt;0&lt;/Tag&gt;&lt;Author&gt;Klarin, D; Lynch, J; Aragam, K; Chaffin, M; Assimes, T L; Huang, J; Lee, K M; Shao, Q; Huffman, J E; Natarajan, P; Arya, S; Small, A; Sun, Y V; Vujkovic, M; Freiberg, M S; Wang, L; Chen, J; Saleheen, D; Lee, J S; Miller, D R; Reaven, P; Alba, P R; Patterson, O V; DuVall, S L; Boden, W E; Beckman, J A; Gaziano, J M; Concato, J; Rader, D J; Cho, K; Chang, K M; Wilson, PWF; O&amp;apos;Donnell, C J; Kathiresan, S; Tsao, P S; Damrauer, S M&lt;/Author&gt;&lt;Year&gt;2019&lt;/Year&gt;&lt;Details&gt;&lt;_accession_num&gt;31285632&lt;/_accession_num&gt;&lt;_author_adr&gt;Boston VA Healthcare System, Boston, MA, USA.; Center for Genomic Medicine, Massachusetts General Hospital, Harvard Medical  School, Boston, MA, USA.; Program in Medical and Population Genetics, Broad Institute of MIT and Harvard,  Cambridge, MA, USA.; Department of Surgery, Massachusetts General Hospital, Boston, MA, USA.; VA Informatics and Computing Infrastructure, Department of Veterans Affairs, Salt  Lake City Health Care System, Salt Lake City, CT, USA.; University of Massachusetts College of Nursing &amp;amp; Health Sciences, Boston, MA,  USA.; Center for Healthcare Organization and Implementation Research, Edith Nourse  Rogers Memorial VA Hospital, Bedford, MA, USA.; Center for Genomic Medicine, Massachusetts General Hospital, Harvard Medical  School, Boston, MA, USA.; Program in Medical and Population Genetics, Broad Institute of MIT and Harvard,  Cambridge, MA, USA.; Program in Medical and Population Genetics, Broad Institute of MIT and Harvard,  Cambridge, MA, USA.; VA Palo Alto Health Care System, Palo Alto, CA, USA.; Department of Medicine, Stanford University School of Medicine, Stanford, CA,  USA.; Massachusetts Veterans Epidemiology Research and Information Center, VA Boston  Healthcare System, Boston, MA, USA.; VA Informatics and Computing Infrastructure, Department of Veterans Affairs, Salt  Lake City Health Care System, Salt Lake City, CT, USA.; Center for Healthcare Organization and Implementation Research, Edith Nourse  Rogers Memorial VA Hospital, Bedford, MA, USA.; Department of Health Law, Policy &amp;amp; Management, Boston University School of Public  Health, Boston, MA, USA.; Center for Healthcare Organization and Implementation Research, Edith Nourse  Rogers Memorial VA Hospital, Bedford, MA, USA.; Massachusetts Veterans Epidemiology Research and Information Center, VA Boston  Healthcare System, Boston, MA, USA.; Boston VA Healthcare System, Boston, MA, USA.; Center for Genomic Medicine, Massachusetts General Hospital, Harvard Medical  School, Boston, MA, USA.; Cardiovascular Research Center, Massachusetts General Hospital, Boston, MA, USA.; VA Palo Alto Health Care System, Palo Alto, CA, USA.; Department of Surgery, Stanford University School of Medicine, Stanford, CA, USA.; Corporal Michael J. Crescenz VA Medical Center, Philadelphia, PA, USA.; Department of Medicine, Yale University School of Medicine, New Haven, CT, USA.; Atlanta VA Health Care System, Decatur, GA, USA.; Department of Epidemiology, Emory University Rollins School of Public Health,  Emory University School of Medicine, Atlanta, GA, USA.; Department of Biomedical Informatics, Emory University School of Medicine,  Atlanta, GA, USA.; Corporal Michael J. Crescenz VA Medical Center, Philadelphia, PA, USA.; Department of Biostatistics, Epidemiology, and Informatics, Perelman School of  Medicine, Philadelphia, PA, USA.; VA Tennessee Valley Healthcare System, Nashville, TN, USA.; Vanderbilt University Medical Center, Nashville, TN, USA.; Department of Biostatistics, Epidemiology, and Informatics, Perelman School of  Medicine, Philadelphia, PA, USA.; Department of Biostatistics, Epidemiology, and Informatics, Perelman School of  Medicine, Philadelphia, PA, USA.; Corporal Michael J. Crescenz VA Medical Center, Philadelphia, PA, USA.; Department of Biostatistics, Epidemiology, and Informatics, Perelman School of  Medicine, Philadelphia, PA, USA.; Department of Medicine, Stanford University School of Medicine, Stanford, CA,  USA.; Massachusetts Veterans Epidemiology Research and Information Center, VA Boston  Healthcare System, Boston, MA, USA.; Center for Healthcare Organization and Implementation Research, Edith Nourse  Rogers Memorial Veterans Hospital, Bedford, MA, USA.; Boston University School of Medicine, Boston, MA, USA.; Phoenix Veterans Affairs Health Care System, Phoenix, AZ, USA.; VA Informatics and Computing Infrastructure, Department of Veterans Affairs, Salt  Lake City Health Care System, Salt Lake City, CT, USA.; Division of Epidemiology, Department of Internal Medicine, University of Utah  School of Medicine, Salt Lake City, UT, USA.; VA Informatics and Computing Infrastructure, Department of Veterans Affairs, Salt  Lake City Health Care System, Salt Lake City, CT, USA.; Division of Epidemiology, Department of Internal Medicine, University of Utah  School of Medicine, Salt Lake City, UT, USA.; VA Informatics and Computing Infrastructure, Department of Veterans Affairs, Salt  Lake City Health Care System, Salt Lake City, CT, USA.; Division of Epidemiology, Department of Internal Medicine, University of Utah  School of Medicine, Salt Lake City, UT, USA.; Boston VA Healthcare System, Boston, MA, USA.; Massachusetts Veterans Epidemiology Research and Information Center, VA Boston  Healthcare System, Boston, MA, USA.; Cardiovascular Division, Vanderbilt University Medical Center, Nashville, TN,  USA.; Boston VA Healthcare System, Boston, MA, USA.; Department of Medicine, Brigham and Women&amp;apos;s Hospital, Harvard Medical School,  Boston, MA, USA.; Department of Medicine, Yale University School of Medicine, New Haven, CT, USA.; Clinical Epidemiology Research Center, VA Connecticut Healthcare System, West  Haven, CT, USA.; Center for Drug Evaluation and Research, US Food and Drug Administration, Silver  Spring, MD, USA.; Department of Medicine, Perlman School of Medicine, University of Pennsylvania,  Philadelphia, PA, USA.; Boston VA Healthcare System, Boston, MA, USA.; Corporal Michael J. Crescenz VA Medical Center, Philadelphia, PA, USA.; Department of Medicine, Perlman School of Medicine, University of Pennsylvania,  Philadelphia, PA, USA.; Atlanta VA Health Care System, Decatur, GA, USA.; Emory Clinical Cardiovascular Research Institute, Atlanta, GA, USA.; Boston VA Healthcare System, Boston, MA, USA.; Cardiovascular Medicine Division, Department of Medicine, Brigham and Women&amp;apos;s  Hospital, Harvard Medical School, Boston, MA, USA.; Center for Genomic Medicine, Massachusetts General Hospital, Harvard Medical  School, Boston, MA, USA.; Program in Medical and Population Genetics, Broad Institute of MIT and Harvard,  Cambridge, MA, USA.; VA Palo Alto Health Care System, Palo Alto, CA, USA.; Department of Medicine, Stanford University School of Medicine, Stanford, CA,  USA.; Corporal Michael J. Crescenz VA Medical Center, Philadelphia, PA, USA.  damrauer@upenn.edu.; Department of Surgery, Perlman School of Medicine, University of Pennsylvania,  Philadelphia, PA, USA. damrauer@upenn.edu.&lt;/_author_adr&gt;&lt;_collection_scope&gt;SCI;SCIE&lt;/_collection_scope&gt;&lt;_created&gt;65212738&lt;/_created&gt;&lt;_date&gt;2019-08-01&lt;/_date&gt;&lt;_date_display&gt;2019 Aug&lt;/_date_display&gt;&lt;_db_updated&gt;PubMed&lt;/_db_updated&gt;&lt;_doi&gt;10.1038/s41591-019-0492-5&lt;/_doi&gt;&lt;_impact_factor&gt;  53.440&lt;/_impact_factor&gt;&lt;_isbn&gt;1546-170X (Electronic); 1078-8956 (Print); 1078-8956 (Linking)&lt;/_isbn&gt;&lt;_issue&gt;8&lt;/_issue&gt;&lt;_journal&gt;Nat Med&lt;/_journal&gt;&lt;_language&gt;eng&lt;/_language&gt;&lt;_modified&gt;65212738&lt;/_modified&gt;&lt;_pages&gt;1274-1279&lt;/_pages&gt;&lt;_subject_headings&gt;Aged; Cholesterol, LDL/genetics; Factor V/genetics; Factor Xa Inhibitors/therapeutic use; Genetic Predisposition to Disease; *Genome-Wide Association Study; Humans; Middle Aged; Peripheral Arterial Disease/*genetics; Receptors, LDL/genetics; Veterans&lt;/_subject_headings&gt;&lt;_tertiary_title&gt;Nature medicine&lt;/_tertiary_title&gt;&lt;_type_work&gt;Journal Article; Research Support, N.I.H., Extramural; Research Support, Non-U.S. Gov&amp;apos;t; Research Support, U.S. Gov&amp;apos;t, Non-P.H.S.&lt;/_type_work&gt;&lt;_url&gt;http://www.ncbi.nlm.nih.gov/entrez/query.fcgi?cmd=Retrieve&amp;amp;db=pubmed&amp;amp;dopt=Abstract&amp;amp;list_uids=31285632&amp;amp;query_hl=1&lt;/_url&gt;&lt;_volume&gt;25&lt;/_volume&gt;&lt;/Details&gt;&lt;Extra&gt;&lt;DBUID&gt;{F96A950B-833F-4880-A151-76DA2D6A2879}&lt;/DBUID&gt;&lt;/Extra&gt;&lt;/Item&gt;&lt;/References&gt;&lt;/Group&gt;&lt;/Citation&gt;_x000a_"/>
    <w:docVar w:name="NE.Ref{F0DEFE5F-BDA3-4776-99AE-347A0C554A55}" w:val=" ADDIN NE.Ref.{F0DEFE5F-BDA3-4776-99AE-347A0C554A55}&lt;Citation&gt;&lt;Group&gt;&lt;References&gt;&lt;Item&gt;&lt;ID&gt;1219&lt;/ID&gt;&lt;UID&gt;{D996E39A-F685-49D9-B8A7-A25EEE9D8B43}&lt;/UID&gt;&lt;Title&gt;Development of new anticoagulant in 2023: Prime time for anti-factor XI and XIa  inhibitors&lt;/Title&gt;&lt;Template&gt;Journal Article&lt;/Template&gt;&lt;Star&gt;0&lt;/Star&gt;&lt;Tag&gt;0&lt;/Tag&gt;&lt;Author&gt;Bentounes, N K; Melicine, S; Martin, A C; Smadja, D M; Gendron, N&lt;/Author&gt;&lt;Year&gt;2023&lt;/Year&gt;&lt;Details&gt;&lt;_accession_num&gt;37422330&lt;/_accession_num&gt;&lt;_author_adr&gt;University Paris Cite, Innovative Therapies in Hemostasis, Inserm, 75006 Paris,  France; Hematology Department and Biosurgical Research Lab (Carpentier  Foundation), Assistance publique-Hopitaux de Paris. Centre-Universite Paris Cite  (AP-HP.CUP), 20, rue Leblanc, 75015 Paris, France.; University Paris Cite, Innovative Therapies in Hemostasis, Inserm, 75006 Paris,  France; Hematology Department and Biosurgical Research Lab (Carpentier  Foundation), Assistance publique-Hopitaux de Paris. Centre-Universite Paris Cite  (AP-HP.CUP), 20, rue Leblanc, 75015 Paris, France.; University Paris Cite, Innovative Therapies in Hemostasis, Inserm, 75006 Paris,  France; Cardiology Department, Assistance publique-Hopitaux de Paris.  Centre-Universite Paris Cite (AP-HP.CUP), 20, rue Leblanc, 75015 Paris, France.; University Paris Cite, Innovative Therapies in Hemostasis, Inserm, 75006 Paris,  France; Hematology Department and Biosurgical Research Lab (Carpentier  Foundation), Assistance publique-Hopitaux de Paris. Centre-Universite Paris Cite  (AP-HP.CUP), 20, rue Leblanc, 75015 Paris, France; INNOVTE, F-CRIN,  Saint-Etienne, France.; University Paris Cite, Innovative Therapies in Hemostasis, Inserm, 75006 Paris,  France; Hematology Department and Biosurgical Research Lab (Carpentier  Foundation), Assistance publique-Hopitaux de Paris. Centre-Universite Paris Cite  (AP-HP.CUP), 20, rue Leblanc, 75015 Paris, France. Electronic address:  nicolas.gendron@aphp.fr.&lt;/_author_adr&gt;&lt;_date_display&gt;2023 Apr&lt;/_date_display&gt;&lt;_date&gt;2023-04-01&lt;/_date&gt;&lt;_doi&gt;10.1016/j.jdmv.2023.04.002&lt;/_doi&gt;&lt;_isbn&gt;2542-4513 (Print); 2542-4513 (Linking)&lt;/_isbn&gt;&lt;_issue&gt;2&lt;/_issue&gt;&lt;_journal&gt;J Med Vasc&lt;/_journal&gt;&lt;_keywords&gt;Anticoagulant; Atrial fibrillation; FXI inhibitor; FXIa inhibitor; Venous thromboembolism&lt;/_keywords&gt;&lt;_language&gt;eng&lt;/_language&gt;&lt;_ori_publication&gt;Copyright (c) 2023 Elsevier Masson SAS. All rights reserved.&lt;/_ori_publication&gt;&lt;_pages&gt;69-80&lt;/_pages&gt;&lt;_subject_headings&gt;Humans; *Anticoagulants/adverse effects; Blood Coagulation; Hemostasis; *Thrombosis/drug therapy&lt;/_subject_headings&gt;&lt;_tertiary_title&gt;Journal de medecine vasculaire&lt;/_tertiary_title&gt;&lt;_type_work&gt;Journal Article; Review&lt;/_type_work&gt;&lt;_url&gt;http://www.ncbi.nlm.nih.gov/entrez/query.fcgi?cmd=Retrieve&amp;amp;db=pubmed&amp;amp;dopt=Abstract&amp;amp;list_uids=37422330&amp;amp;query_hl=1&lt;/_url&gt;&lt;_volume&gt;48&lt;/_volume&gt;&lt;_created&gt;65014279&lt;/_created&gt;&lt;_modified&gt;65014279&lt;/_modified&gt;&lt;_db_updated&gt;PubMed&lt;/_db_updated&gt;&lt;/Details&gt;&lt;Extra&gt;&lt;DBUID&gt;{F96A950B-833F-4880-A151-76DA2D6A2879}&lt;/DBUID&gt;&lt;/Extra&gt;&lt;/Item&gt;&lt;/References&gt;&lt;/Group&gt;&lt;Group&gt;&lt;References&gt;&lt;Item&gt;&lt;ID&gt;1220&lt;/ID&gt;&lt;UID&gt;{0C626036-1056-4232-B13F-85E483F84FDC}&lt;/UID&gt;&lt;Title&gt;News at XI: moving beyond factor Xa inhibitors&lt;/Title&gt;&lt;Template&gt;Journal Article&lt;/Template&gt;&lt;Star&gt;0&lt;/Star&gt;&lt;Tag&gt;0&lt;/Tag&gt;&lt;Author&gt;Fredenburgh, J C; Weitz, J I&lt;/Author&gt;&lt;Year&gt;2023&lt;/Year&gt;&lt;Details&gt;&lt;_accession_num&gt;37116752&lt;/_accession_num&gt;&lt;_author_adr&gt;Department of Medicine, McMaster University, Hamilton, Ontario, Canada;  Thrombosis and Atherosclerosis Research Institute, McMaster University, Hamilton,  Ontario, Canada.; Department of Medicine, McMaster University, Hamilton, Ontario, Canada;  Thrombosis and Atherosclerosis Research Institute, McMaster University, Hamilton,  Ontario, Canada; Department of Biochemistry and Biomedical Sciences, McMaster  University, Hamilton, Ontario, Canada. Electronic address: weitzj@taari.ca.&lt;/_author_adr&gt;&lt;_date_display&gt;2023 Jul&lt;/_date_display&gt;&lt;_date&gt;2023-07-01&lt;/_date&gt;&lt;_doi&gt;10.1016/j.jtha.2023.04.021&lt;/_doi&gt;&lt;_isbn&gt;1538-7836 (Electronic); 1538-7836 (Linking)&lt;/_isbn&gt;&lt;_issue&gt;7&lt;/_issue&gt;&lt;_journal&gt;J Thromb Haemost&lt;/_journal&gt;&lt;_keywords&gt;anticoagulant; coagulation; factor XI; thromboembolism; thrombosis&lt;/_keywords&gt;&lt;_language&gt;eng&lt;/_language&gt;&lt;_ori_publication&gt;Crown Copyright (c) 2023. Published by Elsevier Inc. All rights reserved.&lt;/_ori_publication&gt;&lt;_pages&gt;1692-1702&lt;/_pages&gt;&lt;_subject_headings&gt;Humans; Administration, Oral; *Anticoagulants/chemistry/therapeutic use; Dabigatran; *Factor Xa Inhibitors/chemistry/therapeutic use; Factor XI; Rivaroxaban/therapeutic use&lt;/_subject_headings&gt;&lt;_tertiary_title&gt;Journal of thrombosis and haemostasis : JTH&lt;/_tertiary_title&gt;&lt;_type_work&gt;Journal Article; Review&lt;/_type_work&gt;&lt;_url&gt;http://www.ncbi.nlm.nih.gov/entrez/query.fcgi?cmd=Retrieve&amp;amp;db=pubmed&amp;amp;dopt=Abstract&amp;amp;list_uids=37116752&amp;amp;query_hl=1&lt;/_url&gt;&lt;_volume&gt;21&lt;/_volume&gt;&lt;_created&gt;65014280&lt;/_created&gt;&lt;_modified&gt;65014280&lt;/_modified&gt;&lt;_db_updated&gt;PubMed&lt;/_db_updated&gt;&lt;_impact_factor&gt;   5.824&lt;/_impact_factor&gt;&lt;_collection_scope&gt;SCI;SCIE&lt;/_collection_scope&gt;&lt;/Details&gt;&lt;Extra&gt;&lt;DBUID&gt;{F96A950B-833F-4880-A151-76DA2D6A2879}&lt;/DBUID&gt;&lt;/Extra&gt;&lt;/Item&gt;&lt;/References&gt;&lt;/Group&gt;&lt;/Citation&gt;_x000a_"/>
    <w:docVar w:name="NE.Ref{FA775DA3-7074-4230-9964-63B0A62BFFF5}" w:val=" ADDIN NE.Ref.{FA775DA3-7074-4230-9964-63B0A62BFFF5}&lt;Citation&gt;&lt;Group&gt;&lt;References&gt;&lt;Item&gt;&lt;ID&gt;1399&lt;/ID&gt;&lt;UID&gt;{4C810721-8F6E-4AA6-8542-00BFDB77188D}&lt;/UID&gt;&lt;Title&gt;The ATXN2-SH2B3 locus is associated with peripheral arterial disease: an  electronic medical record-based genome-wide association study&lt;/Title&gt;&lt;Template&gt;Journal Article&lt;/Template&gt;&lt;Star&gt;0&lt;/Star&gt;&lt;Tag&gt;0&lt;/Tag&gt;&lt;Author&gt;Kullo, I J; Shameer, K; Jouni, H; Lesnick, T G; Pathak, J; Chute, C G; de Andrade, M&lt;/Author&gt;&lt;Year&gt;2014&lt;/Year&gt;&lt;Details&gt;&lt;_accession_num&gt;25009551&lt;/_accession_num&gt;&lt;_author_adr&gt;Division of Cardiovascular Diseases, Mayo Clinic Rochester, MN, USA.; Division of Cardiovascular Diseases, Mayo Clinic Rochester, MN, USA.; Division of Cardiovascular Diseas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 Biomedical Statistics and Informatics, Health-Related Sciences, Mayo Clinic  Rochester, MN, USA.&lt;/_author_adr&gt;&lt;_collection_scope&gt;SCIE&lt;/_collection_scope&gt;&lt;_created&gt;65212739&lt;/_created&gt;&lt;_date&gt;2014-01-20&lt;/_date&gt;&lt;_date_display&gt;2014&lt;/_date_display&gt;&lt;_db_updated&gt;PubMed&lt;/_db_updated&gt;&lt;_doi&gt;10.3389/fgene.2014.00166&lt;/_doi&gt;&lt;_impact_factor&gt;   4.599&lt;/_impact_factor&gt;&lt;_isbn&gt;1664-8021 (Print); 1664-8021 (Electronic); 1664-8021 (Linking)&lt;/_isbn&gt;&lt;_journal&gt;Front Genet&lt;/_journal&gt;&lt;_keywords&gt;ankle-brachial index; biorepository; electronic medical records; genome-wide association study; peripheral arterial disease&lt;/_keywords&gt;&lt;_language&gt;eng&lt;/_language&gt;&lt;_modified&gt;65212739&lt;/_modified&gt;&lt;_pages&gt;166&lt;/_pages&gt;&lt;_tertiary_title&gt;Frontiers in genetics&lt;/_tertiary_title&gt;&lt;_type_work&gt;Journal Article&lt;/_type_work&gt;&lt;_url&gt;http://www.ncbi.nlm.nih.gov/entrez/query.fcgi?cmd=Retrieve&amp;amp;db=pubmed&amp;amp;dopt=Abstract&amp;amp;list_uids=25009551&amp;amp;query_hl=1&lt;/_url&gt;&lt;_volume&gt;5&lt;/_volume&gt;&lt;/Details&gt;&lt;Extra&gt;&lt;DBUID&gt;{F96A950B-833F-4880-A151-76DA2D6A2879}&lt;/DBUID&gt;&lt;/Extra&gt;&lt;/Item&gt;&lt;/References&gt;&lt;/Group&gt;&lt;/Citation&gt;_x000a_"/>
    <w:docVar w:name="NE.Ref{FD1BEB16-5A53-483C-9BDE-A9E6D51828CA}" w:val=" ADDIN NE.Ref.{FD1BEB16-5A53-483C-9BDE-A9E6D51828CA}&lt;Citation&gt;&lt;Group&gt;&lt;References&gt;&lt;Item&gt;&lt;ID&gt;638&lt;/ID&gt;&lt;UID&gt;{376A04A9-1632-426C-BEC6-8C0E88560853}&lt;/UID&gt;&lt;Title&gt;Plasma proteomic associations with genetics and health in the UK Biobank&lt;/Title&gt;&lt;Template&gt;Journal Article&lt;/Template&gt;&lt;Star&gt;0&lt;/Star&gt;&lt;Tag&gt;0&lt;/Tag&gt;&lt;Author&gt;Sun, B B; Chiou, J; Traylor, M; Benner, C; Hsu, Y H; Richardson, T G; Surendran, P; Mahajan, A; Robins, C; Vasquez-Grinnell, S G; Hou, L; Kvikstad, E M; Burren, O S; Davitte, J; Ferber, K L; Gillies, C E; Hedman, A K; Hu, S; Lin, T; Mikkilineni, R; Pendergrass, R K; Pickering, C; Prins, B; Baird, D; Chen, C Y; Ward, L D; Deaton, A M; Welsh, S; Willis, C M; Lehner, N; Arnold, M; Worheide, M A; Suhre, K; Kastenmuller, G; Sethi, A; Cule, M; Raj, A; Burkitt-Gray, L; Melamud, E; Black, M H; Fauman, E B; Howson, JMM; Kang, H M; McCarthy, M I; Nioi, P; Petrovski, S; Scott, R A; Smith, E N; Szalma, S; Waterworth, D M; Mitnaul, L J; Szustakowski, J D; Gibson, B W; Miller, M R; Whelan, C D&lt;/Author&gt;&lt;Year&gt;2023&lt;/Year&gt;&lt;Details&gt;&lt;_accession_num&gt;37794186&lt;/_accession_num&gt;&lt;_author_adr&gt;Translational Sciences, Research &amp;amp; Development, Biogen, Cambridge, MA, USA.  bbsun92@outlook.com.; Internal Medicine Research Unit, Worldwide Research, Development and Medical,  Pfizer, Cambridge, MA, USA.; Human Genetics Centre of Excellence, Novo Nordisk Research Centre Oxford, Oxford,  UK.; Genentech, San Francisco, CA, USA.; Amgen Research, Cambridge, MA, USA.; Human Genetics Centre of Excellence, Novo Nordisk Research Centre Oxford, Oxford,  UK.; Genomic Sciences, GlaxoSmithKline, Stevenage, UK.; Genomic Sciences, GlaxoSmithKline, Stevenage, UK.; Genentech, San Francisco, CA, USA.; Genomic Sciences, GlaxoSmithKline, Collegeville, PA, USA.; Bristol Myers Squibb, Princeton, NJ, USA.; Population Analytics, Janssen Research &amp;amp; Development, Spring House, PA, USA.; Bristol Myers Squibb, Princeton, NJ, USA.; Centre for Genomics Research, Discovery Sciences, BioPharmaceuticals R&amp;amp;D,  AstraZeneca, Cambridge, UK.; Genomic Sciences, GlaxoSmithKline, Collegeville, PA, USA.; Biostatistics, Research and Development, Biogen, Cambridge, MA, USA.; Regeneron Genetics Center, Tarrytown, NY, USA.; External Science and Innovation Target Sciences, Worldwide Research, Development  and Medical, Pfizer, Stockholm, Sweden.; Human Genetics Centre of Excellence, Novo Nordisk Research Centre Oxford, Oxford,  UK.; Analytics and Data Sciences, Biogen, Cambridge, MA, USA.; Data Science Institute, Takeda Development Center Americas, Cambridge, MA, USA.; Genentech, San Francisco, CA, USA.; UK Biobank, Stockport, UK.; Centre for Genomics Research, Discovery Sciences, BioPharmaceuticals R&amp;amp;D,  AstraZeneca, Cambridge, UK.; Translational Sciences, Research &amp;amp; Development, Biogen, Cambridge, MA, USA.; Translational Sciences, Research &amp;amp; Development, Biogen, Cambridge, MA, USA.; Alnylam Human Genetics, Discovery &amp;amp; Translational Research, Alnylam  Pharmaceuticals, Cambridge, MA, USA.; Alnylam Human Genetics, Discovery &amp;amp; Translational Research, Alnylam  Pharmaceuticals, Cambridge, MA, USA.; UK Biobank, Stockport, UK.; Alnylam Human Genetics, Discovery &amp;amp; Translational Research, Alnylam  Pharmaceuticals, Cambridge, MA, USA.; Institute of Computational Biology, Helmholtz Zentrum Munchen, German Research  Center for Environmental Health, Neuherberg, Germany.; Institute of Computational Biology, Helmholtz Zentrum Munchen, German Research  Center for Environmental Health, Neuherberg, Germany.; Department of Psychiatry and Behavioral Sciences, Duke University, Durham, NC,  USA.; Institute of Computational Biology, Helmholtz Zentrum Munchen, German Research  Center for Environmental Health, Neuherberg, Germany.; Bioinformatics Core, Weill Cornell Medicine-Qatar, Doha, Qatar.; Institute of Computational Biology, Helmholtz Zentrum Munchen, German Research  Center for Environmental Health, Neuherberg, Germany.; Calico Life Sciences, San Francisco, CA, USA.; Calico Life Sciences, San Francisco, CA, USA.; Calico Life Sciences, San Francisco, CA, USA.; UK Biobank, Stockport, UK.; Calico Life Sciences, San Francisco, CA, USA.; Population Analytics, Janssen Research &amp;amp; Development, Spring House, PA, USA.; Internal Medicine Research Unit, Worldwide Research, Development and Medical,  Pfizer, Cambridge, MA, USA.; Human Genetics Centre of Excellence, Novo Nordisk Research Centre Oxford, Oxford,  UK.; Regeneron Genetics Center, Tarrytown, NY, USA.; Genentech, San Francisco, CA, USA.; Alnylam Human Genetics, Discovery &amp;amp; Translational Research, Alnylam  Pharmaceuticals, Cambridge, MA, USA.; Centre for Genomics Research, Discovery Sciences, BioPharmaceuticals R&amp;amp;D,  AstraZeneca, Cambridge, UK.; Department of Medicine, University of Melbourne, Austin Health, Melbourne,  Victoria, Australia.; Genomic Sciences, GlaxoSmithKline, Stevenage, UK.; Takeda Development Center Americas, San Diego, CA, USA.; Takeda Development Center Americas, San Diego, CA, USA.; Immunology, Janssen Research &amp;amp; Development, Spring House, PA, USA.; Regeneron Genetics Center, Tarrytown, NY, USA.; Bristol Myers Squibb, Princeton, NJ, USA.; Amgen Research, Cambridge, MA, USA.; Internal Medicine Research Unit, Worldwide Research, Development and Medical,  Pfizer, Cambridge, MA, USA.; Translational Sciences, Research &amp;amp; Development, Biogen, Cambridge, MA, USA.  christopherdwhelan@outlook.com.; Neuroscience Data Science, Janssen Research &amp;amp; Development, Cambridge, MA, USA.  christopherdwhelan@outlook.com.&lt;/_author_adr&gt;&lt;_date_display&gt;2023 Oct&lt;/_date_display&gt;&lt;_date&gt;2023-10-01&lt;/_date&gt;&lt;_doi&gt;10.1038/s41586-023-06592-6&lt;/_doi&gt;&lt;_isbn&gt;1476-4687 (Electronic); 0028-0836 (Print); 0028-0836 (Linking)&lt;/_isbn&gt;&lt;_issue&gt;7982&lt;/_issue&gt;&lt;_journal&gt;Nature&lt;/_journal&gt;&lt;_language&gt;eng&lt;/_language&gt;&lt;_ori_publication&gt;(c) 2023. The Author(s).&lt;/_ori_publication&gt;&lt;_pages&gt;329-338&lt;/_pages&gt;&lt;_subject_headings&gt;Humans; ABO Blood-Group System/genetics; *Biological Specimen Banks; *Blood Proteins/analysis/genetics; COVID-19/genetics; *Databases, Factual; Drug Discovery; Epistasis, Genetic; Fucosyltransferases/metabolism; Genetic Predisposition to Disease; *Genomics; *Health; Plasma/chemistry; Proprotein Convertase 9/metabolism; *Proteome/analysis/genetics; *Proteomics; Public-Private Sector Partnerships; Quantitative Trait Loci; United Kingdom; Galactoside 2-alpha-L-fucosyltransferase&lt;/_subject_headings&gt;&lt;_tertiary_title&gt;Nature&lt;/_tertiary_title&gt;&lt;_type_work&gt;Journal Article&lt;/_type_work&gt;&lt;_url&gt;http://www.ncbi.nlm.nih.gov/entrez/query.fcgi?cmd=Retrieve&amp;amp;db=pubmed&amp;amp;dopt=Abstract&amp;amp;list_uids=37794186&amp;amp;query_hl=1&lt;/_url&gt;&lt;_volume&gt;622&lt;/_volume&gt;&lt;_created&gt;65767645&lt;/_created&gt;&lt;_modified&gt;65767645&lt;/_modified&gt;&lt;_db_updated&gt;PubMed&lt;/_db_updated&gt;&lt;_impact_factor&gt;  50.500&lt;/_impact_factor&gt;&lt;_social_category&gt;综合性期刊(1)&lt;/_social_category&gt;&lt;_collection_scope&gt;SCIE&lt;/_collection_scope&gt;&lt;/Details&gt;&lt;Extra&gt;&lt;DBUID&gt;{03752FAB-B361-4F66-989B-C711D9502F78}&lt;/DBUID&gt;&lt;/Extra&gt;&lt;/Item&gt;&lt;/References&gt;&lt;/Group&gt;&lt;/Citation&gt;_x000a_"/>
    <w:docVar w:name="ne_docsoft" w:val="MSWord"/>
    <w:docVar w:name="ne_docversion" w:val="NoteExpress 2.0"/>
    <w:docVar w:name="ne_stylename" w:val="Nature Communications New"/>
  </w:docVars>
  <w:rsids>
    <w:rsidRoot w:val="00172A27"/>
    <w:rsid w:val="001526C6"/>
    <w:rsid w:val="00172A27"/>
    <w:rsid w:val="003D7B4D"/>
    <w:rsid w:val="00446A7A"/>
    <w:rsid w:val="00696B08"/>
    <w:rsid w:val="006A3BF2"/>
    <w:rsid w:val="00924F11"/>
    <w:rsid w:val="00C01C59"/>
    <w:rsid w:val="00C02A99"/>
    <w:rsid w:val="00E46454"/>
    <w:rsid w:val="00E55E9D"/>
    <w:rsid w:val="094457A2"/>
    <w:rsid w:val="0BFFBC15"/>
    <w:rsid w:val="0C1F25E3"/>
    <w:rsid w:val="0DB10441"/>
    <w:rsid w:val="0E905F75"/>
    <w:rsid w:val="1BD7F5B0"/>
    <w:rsid w:val="1BE7B575"/>
    <w:rsid w:val="1BEEF960"/>
    <w:rsid w:val="1FEF7C1C"/>
    <w:rsid w:val="225E628C"/>
    <w:rsid w:val="2EFAC6E2"/>
    <w:rsid w:val="2F97C424"/>
    <w:rsid w:val="2FF7D025"/>
    <w:rsid w:val="31A5F3CD"/>
    <w:rsid w:val="34515C51"/>
    <w:rsid w:val="35FA4F3C"/>
    <w:rsid w:val="38FF750B"/>
    <w:rsid w:val="3BEBF3B6"/>
    <w:rsid w:val="3BEEBCE0"/>
    <w:rsid w:val="3BF84B53"/>
    <w:rsid w:val="3BFB90DB"/>
    <w:rsid w:val="3BFD4305"/>
    <w:rsid w:val="3BFF0DAA"/>
    <w:rsid w:val="3DBF72AE"/>
    <w:rsid w:val="3EFF1418"/>
    <w:rsid w:val="3FBE7880"/>
    <w:rsid w:val="3FBFDAF9"/>
    <w:rsid w:val="3FE7C763"/>
    <w:rsid w:val="4016683C"/>
    <w:rsid w:val="4AEE39BE"/>
    <w:rsid w:val="4B3A6678"/>
    <w:rsid w:val="4EFFD146"/>
    <w:rsid w:val="4FF6B4CE"/>
    <w:rsid w:val="4FFFA70D"/>
    <w:rsid w:val="517FB052"/>
    <w:rsid w:val="557F9E10"/>
    <w:rsid w:val="55E22755"/>
    <w:rsid w:val="57F77313"/>
    <w:rsid w:val="57FB7F0D"/>
    <w:rsid w:val="57FEBE17"/>
    <w:rsid w:val="59F9006D"/>
    <w:rsid w:val="5BDB3064"/>
    <w:rsid w:val="5BDFAF9C"/>
    <w:rsid w:val="5BE9D8A1"/>
    <w:rsid w:val="5CFF3B35"/>
    <w:rsid w:val="5E7F331F"/>
    <w:rsid w:val="5F666383"/>
    <w:rsid w:val="5F7ABCF4"/>
    <w:rsid w:val="5FDF2717"/>
    <w:rsid w:val="66EEB246"/>
    <w:rsid w:val="6AD7AAFB"/>
    <w:rsid w:val="6C35A499"/>
    <w:rsid w:val="6DF34B86"/>
    <w:rsid w:val="6DF6A2DB"/>
    <w:rsid w:val="6DFBAA5B"/>
    <w:rsid w:val="6EDC85C9"/>
    <w:rsid w:val="6EFB591B"/>
    <w:rsid w:val="6EFD8393"/>
    <w:rsid w:val="6FBDC4B5"/>
    <w:rsid w:val="6FFF0F99"/>
    <w:rsid w:val="72B9C617"/>
    <w:rsid w:val="73CF0581"/>
    <w:rsid w:val="76442B95"/>
    <w:rsid w:val="76FF6DB7"/>
    <w:rsid w:val="77590D3C"/>
    <w:rsid w:val="776C596E"/>
    <w:rsid w:val="77AF72AE"/>
    <w:rsid w:val="77BE51C1"/>
    <w:rsid w:val="77C72977"/>
    <w:rsid w:val="77D69C54"/>
    <w:rsid w:val="77FB62C0"/>
    <w:rsid w:val="77FDA91B"/>
    <w:rsid w:val="796ECF9C"/>
    <w:rsid w:val="797BD737"/>
    <w:rsid w:val="7AB5F839"/>
    <w:rsid w:val="7BBFA378"/>
    <w:rsid w:val="7BF2527C"/>
    <w:rsid w:val="7C85A0BB"/>
    <w:rsid w:val="7D3EEDAB"/>
    <w:rsid w:val="7D7F3F65"/>
    <w:rsid w:val="7D8C6890"/>
    <w:rsid w:val="7DB729AE"/>
    <w:rsid w:val="7DD30381"/>
    <w:rsid w:val="7DFEC593"/>
    <w:rsid w:val="7E97E4B2"/>
    <w:rsid w:val="7EAA9CCC"/>
    <w:rsid w:val="7EAF5FB8"/>
    <w:rsid w:val="7EEFBBA5"/>
    <w:rsid w:val="7EF949D5"/>
    <w:rsid w:val="7EFBB48B"/>
    <w:rsid w:val="7F09C482"/>
    <w:rsid w:val="7F3F9E6E"/>
    <w:rsid w:val="7F9939AE"/>
    <w:rsid w:val="7FAE6E6B"/>
    <w:rsid w:val="7FBED4E1"/>
    <w:rsid w:val="7FCF2D69"/>
    <w:rsid w:val="7FE6649F"/>
    <w:rsid w:val="7FEF008D"/>
    <w:rsid w:val="7FF22957"/>
    <w:rsid w:val="7FF95A02"/>
    <w:rsid w:val="7FFDFC69"/>
    <w:rsid w:val="91FDE019"/>
    <w:rsid w:val="97CF1796"/>
    <w:rsid w:val="9BCB197A"/>
    <w:rsid w:val="A3D7B0AE"/>
    <w:rsid w:val="B2E3C39D"/>
    <w:rsid w:val="B3FBBB93"/>
    <w:rsid w:val="B5BE6EC2"/>
    <w:rsid w:val="B7AFA1AA"/>
    <w:rsid w:val="B9EF4D1D"/>
    <w:rsid w:val="BB3C7F70"/>
    <w:rsid w:val="BBFDDF10"/>
    <w:rsid w:val="BD1F76DD"/>
    <w:rsid w:val="BD5E863F"/>
    <w:rsid w:val="BDBF261F"/>
    <w:rsid w:val="BF6DC605"/>
    <w:rsid w:val="BFFFB1CF"/>
    <w:rsid w:val="C6DEE0EB"/>
    <w:rsid w:val="C7F6140A"/>
    <w:rsid w:val="CFC7FAEF"/>
    <w:rsid w:val="D38E48BE"/>
    <w:rsid w:val="D4FFA21B"/>
    <w:rsid w:val="DA7F8195"/>
    <w:rsid w:val="DB2ECCBE"/>
    <w:rsid w:val="DBFF85AB"/>
    <w:rsid w:val="DBFF87C4"/>
    <w:rsid w:val="DCB7BC7C"/>
    <w:rsid w:val="DDB74D47"/>
    <w:rsid w:val="DDBF69B8"/>
    <w:rsid w:val="DEFF475A"/>
    <w:rsid w:val="DF74CA2F"/>
    <w:rsid w:val="DFD2B9C2"/>
    <w:rsid w:val="DFD768ED"/>
    <w:rsid w:val="DFFA9E02"/>
    <w:rsid w:val="DFFC681F"/>
    <w:rsid w:val="DFFD50F0"/>
    <w:rsid w:val="DFFFDD76"/>
    <w:rsid w:val="E5E9BAAD"/>
    <w:rsid w:val="E665BFC4"/>
    <w:rsid w:val="E7946A43"/>
    <w:rsid w:val="EA4FD965"/>
    <w:rsid w:val="EBEDA3E3"/>
    <w:rsid w:val="EBF41856"/>
    <w:rsid w:val="ECF7C9C6"/>
    <w:rsid w:val="EFE38982"/>
    <w:rsid w:val="EFF73C51"/>
    <w:rsid w:val="EFFD3C8F"/>
    <w:rsid w:val="F51F812A"/>
    <w:rsid w:val="F655B981"/>
    <w:rsid w:val="F77C3D37"/>
    <w:rsid w:val="F7BBAF8E"/>
    <w:rsid w:val="F86E5C3C"/>
    <w:rsid w:val="F9E34503"/>
    <w:rsid w:val="F9FDF409"/>
    <w:rsid w:val="FBF85B18"/>
    <w:rsid w:val="FBFF3F77"/>
    <w:rsid w:val="FCD72A5F"/>
    <w:rsid w:val="FCFF352A"/>
    <w:rsid w:val="FD6FF1FF"/>
    <w:rsid w:val="FDBBCDD7"/>
    <w:rsid w:val="FDBF5BC1"/>
    <w:rsid w:val="FE8B2F3E"/>
    <w:rsid w:val="FEDF2F05"/>
    <w:rsid w:val="FEFDABA1"/>
    <w:rsid w:val="FEFF04A5"/>
    <w:rsid w:val="FF5687B9"/>
    <w:rsid w:val="FF5D025A"/>
    <w:rsid w:val="FF6ADF28"/>
    <w:rsid w:val="FF730AB4"/>
    <w:rsid w:val="FF7BC107"/>
    <w:rsid w:val="FF7D888D"/>
    <w:rsid w:val="FF7FE01D"/>
    <w:rsid w:val="FF9BE505"/>
    <w:rsid w:val="FFC53A17"/>
    <w:rsid w:val="FFD59007"/>
    <w:rsid w:val="FFF59515"/>
    <w:rsid w:val="FFFBB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paragraph" w:customStyle="1" w:styleId="9">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7085</Words>
  <Characters>43220</Characters>
  <Lines>260</Lines>
  <Paragraphs>73</Paragraphs>
  <TotalTime>50</TotalTime>
  <ScaleCrop>false</ScaleCrop>
  <LinksUpToDate>false</LinksUpToDate>
  <CharactersWithSpaces>49558</CharactersWithSpaces>
  <Application>WPS Office_7.4.0.8981_F1E327BC-269C-435d-A152-05C5408002CA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2023-06-04T17:45:00Z</dcterms:created>
  <dc:creator>Jun Qiao</dc:creator>
  <cp:lastModifiedBy>Jun Qiao</cp:lastModifiedBy>
  <dcterms:modified xsi:type="dcterms:W3CDTF">2025-07-11T22:22:37Z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2052-7.4.0.8981</vt:lpwstr>
  </property>
  <property fmtid="{D5CDD505-2E9C-101B-9397-08002B2CF9AE}" pid="3" name="ICV">
    <vt:lpwstr>F1599BD24B5FBDEC22818A678C9B9E1C_43</vt:lpwstr>
  </property>
  <property fmtid="{D5CDD505-2E9C-101B-9397-08002B2CF9AE}" pid="4" name="KSOTemplateDocerSaveRecord">
    <vt:lpwstr>eyJoZGlkIjoiMTUxOTgwZjVjNjFlYTljMDc5N2MzMTY3YzE0M2EzN2IifQ==</vt:lpwstr>
  </property>
</Properties>
</file>