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39AC" w:rsidRPr="002C5738" w:rsidRDefault="00B739AC" w:rsidP="00DA3B3A">
      <w:pPr>
        <w:spacing w:after="0" w:line="240" w:lineRule="auto"/>
        <w:rPr>
          <w:rFonts w:ascii="Arial" w:hAnsi="Arial" w:cs="Arial"/>
          <w:b/>
          <w:sz w:val="28"/>
        </w:rPr>
      </w:pPr>
      <w:r w:rsidRPr="002C5738">
        <w:rPr>
          <w:rFonts w:ascii="Arial" w:hAnsi="Arial" w:cs="Arial"/>
          <w:b/>
          <w:sz w:val="28"/>
        </w:rPr>
        <w:t>Description of Additional Supplementary Files</w:t>
      </w:r>
    </w:p>
    <w:p w:rsidR="002C5738" w:rsidRPr="00FD22B6" w:rsidRDefault="002C5738" w:rsidP="00DA3B3A">
      <w:pPr>
        <w:spacing w:after="0" w:line="240" w:lineRule="auto"/>
        <w:rPr>
          <w:rFonts w:ascii="Arial" w:hAnsi="Arial" w:cs="Arial"/>
        </w:rPr>
      </w:pPr>
    </w:p>
    <w:p w:rsidR="002C5738" w:rsidRPr="002C5738" w:rsidRDefault="002C5738" w:rsidP="00DA3B3A">
      <w:pPr>
        <w:spacing w:after="0" w:line="240" w:lineRule="auto"/>
        <w:rPr>
          <w:rFonts w:ascii="Arial" w:hAnsi="Arial" w:cs="Arial"/>
        </w:rPr>
      </w:pPr>
      <w:r w:rsidRPr="002C5738">
        <w:rPr>
          <w:rFonts w:ascii="Arial" w:hAnsi="Arial" w:cs="Arial"/>
        </w:rPr>
        <w:t>File Name: Supplementary Data</w:t>
      </w:r>
      <w:r w:rsidR="00B739AC" w:rsidRPr="002C5738">
        <w:rPr>
          <w:rFonts w:ascii="Arial" w:hAnsi="Arial" w:cs="Arial"/>
        </w:rPr>
        <w:t xml:space="preserve"> </w:t>
      </w:r>
      <w:r w:rsidR="00B40557">
        <w:rPr>
          <w:rFonts w:ascii="Arial" w:hAnsi="Arial" w:cs="Arial"/>
        </w:rPr>
        <w:t>1</w:t>
      </w:r>
      <w:r w:rsidR="00562413">
        <w:rPr>
          <w:rFonts w:ascii="Arial" w:hAnsi="Arial" w:cs="Arial"/>
        </w:rPr>
        <w:t xml:space="preserve">; </w:t>
      </w:r>
      <w:r w:rsidR="00562413" w:rsidRPr="00562413">
        <w:rPr>
          <w:rFonts w:ascii="Arial" w:hAnsi="Arial" w:cs="Arial"/>
        </w:rPr>
        <w:t>41467_2025_64074_MOESM3_ESM.xlsx</w:t>
      </w:r>
    </w:p>
    <w:p w:rsidR="002C5738" w:rsidRPr="002C5738" w:rsidRDefault="002C5738" w:rsidP="00DA3B3A">
      <w:pPr>
        <w:spacing w:after="0" w:line="240" w:lineRule="auto"/>
        <w:rPr>
          <w:rFonts w:ascii="Arial" w:hAnsi="Arial" w:cs="Arial"/>
        </w:rPr>
      </w:pPr>
      <w:r w:rsidRPr="002C5738">
        <w:rPr>
          <w:rFonts w:ascii="Arial" w:hAnsi="Arial" w:cs="Arial"/>
        </w:rPr>
        <w:t xml:space="preserve">Description: </w:t>
      </w:r>
      <w:r w:rsidR="00B739AC" w:rsidRPr="002C5738">
        <w:rPr>
          <w:rFonts w:ascii="Arial" w:hAnsi="Arial" w:cs="Arial"/>
        </w:rPr>
        <w:t xml:space="preserve">Clinical information per individual. </w:t>
      </w:r>
    </w:p>
    <w:p w:rsidR="002C5738" w:rsidRDefault="00B739AC" w:rsidP="00DA3B3A">
      <w:pPr>
        <w:spacing w:after="0" w:line="240" w:lineRule="auto"/>
        <w:rPr>
          <w:rFonts w:ascii="Arial" w:hAnsi="Arial" w:cs="Arial"/>
        </w:rPr>
      </w:pPr>
      <w:r w:rsidRPr="002C5738">
        <w:rPr>
          <w:rFonts w:ascii="Arial" w:hAnsi="Arial" w:cs="Arial"/>
        </w:rPr>
        <w:t>N/A: not assessed or not available; DD: developmental delay; ID: intellectual disability</w:t>
      </w:r>
      <w:r w:rsidR="00190AB9">
        <w:rPr>
          <w:rFonts w:ascii="Arial" w:hAnsi="Arial" w:cs="Arial"/>
        </w:rPr>
        <w:t xml:space="preserve">. </w:t>
      </w:r>
      <w:r w:rsidR="0086692E">
        <w:rPr>
          <w:rFonts w:ascii="Arial" w:hAnsi="Arial" w:cs="Arial"/>
        </w:rPr>
        <w:t>Sequencing methods indicated are for reference only. Variants or patients previously reported are indicated</w:t>
      </w:r>
      <w:r w:rsidR="00190AB9">
        <w:rPr>
          <w:rFonts w:ascii="Arial" w:hAnsi="Arial" w:cs="Arial"/>
        </w:rPr>
        <w:fldChar w:fldCharType="begin"/>
      </w:r>
      <w:r w:rsidR="00190AB9">
        <w:rPr>
          <w:rFonts w:ascii="Arial" w:hAnsi="Arial" w:cs="Arial"/>
        </w:rPr>
        <w:instrText xml:space="preserve"> ADDIN ZOTERO_ITEM CSL_CITATION {"citationID":"C1gZKLKI","properties":{"formattedCitation":"\\super 1\\uc0\\u8211{}3\\nosupersub{}","plainCitation":"1–3","noteIndex":0},"citationItems":[{"id":690,"uris":["http://zotero.org/users/local/Vk69XLdY/items/4KRJ6H6M"],"itemData":{"id":690,"type":"article-journal","abstract":"OBJECTIVE: Determining the genetic basis of speech disorders provides insight into the neurobiology of human communication. Despite intensive investigation over the past 2 decades, the etiology of most speech disorders in children remains unexplained. To test the hypothesis that speech disorders have a genetic etiology, we performed genetic analysis of children with severe speech disorder, specifically childhood apraxia of speech (CAS).\nMETHODS: Precise phenotyping together with research genome or exome analysis were performed on children referred with a primary diagnosis of CAS. Gene coexpression and gene set enrichment analyses were conducted on high-confidence gene candidates.\nRESULTS: Thirty-four probands ascertained for CAS were studied. In 11/34 (32%) probands, we identified highly plausible pathogenic single nucleotide (n = 10; CDK13, EBF3, GNAO1, GNB1, DDX3X, MEIS2, POGZ, SETBP1, UPF2, ZNF142) or copy number (n = 1; 5q14.3q21.1 locus) variants in novel genes or loci for CAS. Testing of parental DNA was available for 9 probands and confirmed that the variants had arisen de novo. Eight genes encode proteins critical for regulation of gene transcription, and analyses of transcriptomic data found CAS-implicated genes were highly coexpressed in the developing human brain.\nCONCLUSION: We identify the likely genetic etiology in 11 patients with CAS and implicate 9 genes for the first time. We find that CAS is often a sporadic monogenic disorder, and highly genetically heterogeneous. Highly penetrant variants implicate shared pathways in broad transcriptional regulation, highlighting the key role of transcriptional regulation in normal speech development. CAS is a distinctive, socially debilitating clinical disorder, and understanding its molecular basis is the first step towards identifying precision medicine approaches.","container-title":"Neurology","DOI":"10.1212/WNL.0000000000009441","ISSN":"1526-632X","issue":"20","journalAbbreviation":"Neurology","language":"eng","note":"number: 20\nPMID: 32345733","page":"e2148-e2167","source":"PubMed","title":"Severe childhood speech disorder: Gene discovery highlights transcriptional dysregulation","title-short":"Severe childhood speech disorder","volume":"94","author":[{"family":"Hildebrand","given":"Michael S."},{"family":"Jackson","given":"Victoria E."},{"family":"Scerri","given":"Thomas S."},{"family":"Van Reyk","given":"Olivia"},{"family":"Coleman","given":"Matthew"},{"family":"Braden","given":"Ruth O."},{"family":"Turner","given":"Samantha"},{"family":"Rigbye","given":"Kristin A."},{"family":"Boys","given":"Amber"},{"family":"Barton","given":"Sarah"},{"family":"Webster","given":"Richard"},{"family":"Fahey","given":"Michael"},{"family":"Saunders","given":"Kerryn"},{"family":"Parry-Fielder","given":"Bronwyn"},{"family":"Paxton","given":"Georgia"},{"family":"Hayman","given":"Michael"},{"family":"Coman","given":"David"},{"family":"Goel","given":"Himanshu"},{"family":"Baxter","given":"Anne"},{"family":"Ma","given":"Alan"},{"family":"Davis","given":"Noni"},{"family":"Reilly","given":"Sheena"},{"family":"Delatycki","given":"Martin"},{"family":"Liégeois","given":"Frederique J."},{"family":"Connelly","given":"Alan"},{"family":"Gecz","given":"Jozef"},{"family":"Fisher","given":"Simon E."},{"family":"Amor","given":"David J."},{"family":"Scheffer","given":"Ingrid E."},{"family":"Bahlo","given":"Melanie"},{"family":"Morgan","given":"Angela T."}],"issued":{"date-parts":[["2020",5,19]]}}},{"id":615,"uris":["http://zotero.org/users/local/Vk69XLdY/items/WGJBMTWU"],"itemData":{"id":615,"type":"article-journal","abstract":"Schinzel-Giedion syndrome (SGS) is a rare developmental disorder characterized by multiple malformations, severe neurological alterations and increased risk of malignancy. SGS is caused by de novo germline mutations clustering to a 12bp hotspot in exon 4 of SETBP1. Mutations in this hotspot disrupt a degron, a signal for the regulation of protein degradation, and lead to the accumulation of SETBP1 protein. Overlapping SETBP1 hotspot mutations have been observed recurrently as somatic events in leukemia. We collected clinical information of 47 SGS patients (including 26 novel cases) with germline SETBP1 mutations and of four individuals with a milder phenotype caused by de novo germline mutations adjacent to the SETBP1 hotspot. Different mutations within and around the SETBP1 hotspot have varying effects on SETBP1 stability and protein levels in vitro and in in silico modeling. Substitutions in SETBP1 residue I871 result in a weak increase in protein levels and mutations affecting this residue are significantly more frequent in SGS than in leukemia. On the other hand, substitutions in residue D868 lead to the largest increase in protein levels. Individuals with germline mutations affecting D868 have enhanced cell proliferation in vitro and higher incidence of cancer compared to patients with other germline SETBP1 mutations. Our findings substantiate that, despite their overlap, somatic SETBP1 mutations driving malignancy are more disruptive to the degron than germline SETBP1 mutations causing SGS. Additionally, this suggests that the functional threshold for the development of cancer driven by the disruption of the SETBP1 degron is higher than for the alteration in prenatal development in SGS. Drawing on previous studies of somatic SETBP1 mutations in leukemia, our results reveal a genotype-phenotype correlation in germline SETBP1 mutations spanning a molecular, cellular and clinical phenotype.","container-title":"PLoS genetics","DOI":"10.1371/journal.pgen.1006683","ISSN":"1553-7404","issue":"3","journalAbbreviation":"PLoS Genet","language":"eng","note":"number: 3\nPMID: 28346496\nPMCID: PMC5386295","page":"e1006683","source":"PubMed","title":"Overlapping SETBP1 gain-of-function mutations in Schinzel-Giedion syndrome and hematologic malignancies","volume":"13","author":[{"family":"Acuna-Hidalgo","given":"Rocio"},{"family":"Deriziotis","given":"Pelagia"},{"family":"Steehouwer","given":"Marloes"},{"family":"Gilissen","given":"Christian"},{"family":"Graham","given":"Sarah A."},{"family":"Dam","given":"Sipko","non-dropping-particle":"van"},{"family":"Hoover-Fong","given":"Julie"},{"family":"Telegrafi","given":"Aida B."},{"family":"Destree","given":"Anne"},{"family":"Smigiel","given":"Robert"},{"family":"Lambie","given":"Lindsday A."},{"family":"Kayserili","given":"Hülya"},{"family":"Altunoglu","given":"Umut"},{"family":"Lapi","given":"Elisabetta"},{"family":"Uzielli","given":"Maria Luisa"},{"family":"Aracena","given":"Mariana"},{"family":"Nur","given":"Banu G."},{"family":"Mihci","given":"Ercan"},{"family":"Moreira","given":"Lilia M. A."},{"family":"Borges Ferreira","given":"Viviane"},{"family":"Horovitz","given":"Dafne D. G."},{"family":"Rocha","given":"Katia M.","non-dropping-particle":"da"},{"family":"Jezela-Stanek","given":"Aleksandra"},{"family":"Brooks","given":"Alice S."},{"family":"Reutter","given":"Heiko"},{"family":"Cohen","given":"Julie S."},{"family":"Fatemi","given":"Ali"},{"family":"Smitka","given":"Martin"},{"family":"Grebe","given":"Theresa A."},{"family":"Di Donato","given":"Nataliya"},{"family":"Deshpande","given":"Charu"},{"family":"Vandersteen","given":"Anthony"},{"family":"Marques Lourenço","given":"Charles"},{"family":"Dufke","given":"Andreas"},{"family":"Rossier","given":"Eva"},{"family":"Andre","given":"Gwenaelle"},{"family":"Baumer","given":"Alessandra"},{"family":"Spencer","given":"Careni"},{"family":"McGaughran","given":"Julie"},{"family":"Franke","given":"Lude"},{"family":"Veltman","given":"Joris A."},{"family":"De Vries","given":"Bert B. A."},{"family":"Schinzel","given":"Albert"},{"family":"Fisher","given":"Simon E."},{"family":"Hoischen","given":"Alexander"},{"family":"Bon","given":"Bregje W.","non-dropping-particle":"van"}],"issued":{"date-parts":[["2017",3]]}}},{"id":1004,"uris":["http://zotero.org/users/local/Vk69XLdY/items/GLKJWEPM"],"itemData":{"id":1004,"type":"article-journal","abstract":"Objective To assess the benefits and limitations of whole genome sequencing (WGS) compared to exome sequencing (ES) or multigene panel (MGP) in the molecular diagnosis of developmental and epileptic encephalopathies (DEE).\nMethods We performed WGS of 30 comprehensively phenotyped DEE patient trios that were undiagnosed after first-tier testing, including chromosomal microarray and either research ES (n = 15) or diagnostic MGP (n = 15).\nResults Eight diagnoses were made in the 15 individuals who received prior ES (53%): 3 individuals had complex structural variants; 5 had ES-detectable variants, which now had additional evidence for pathogenicity. Eleven diagnoses were made in the 15 MGP-negative individuals (68%); the majority (n = 10) involved genes not included in the panel, particularly in individuals with postneonatal onset of seizures and those with more complex presentations including movement disorders, dysmorphic features, or multiorgan involvement. A total of 42% of diagnoses were autosomal recessive or X-chromosome linked.\nConclusion WGS was able to improve diagnostic yield over ES primarily through the detection of complex structural variants (n = 3). The higher diagnostic yield was otherwise better attributed to the power of re-analysis rather than inherent advantages of the WGS platform. Additional research is required to assist in the assessment of pathogenicity of novel noncoding and complex structural variants and further improve diagnostic yield for patients with DEE and other neurogenetic disorders.","container-title":"Neurology","DOI":"10.1212/WNL.0000000000011655","ISSN":"0028-3878, 1526-632X","issue":"13","language":"en","license":"© 2021 American Academy of Neurology","note":"number: 13\npublisher: Wolters Kluwer Health, Inc. on behalf of the American Academy of Neurology\nsection: Article\nPMID: 33568551","page":"e1770-e1782","source":"n.neurology.org","title":"Diagnostic Yield of Whole Genome Sequencing After Nondiagnostic Exome Sequencing or Gene Panel in Developmental and Epileptic Encephalopathies","volume":"96","author":[{"family":"Palmer","given":"Elizabeth Emma"},{"family":"Sachdev","given":"Rani"},{"family":"Macintosh","given":"Rebecca"},{"family":"Melo","given":"Uirá Souto"},{"family":"Mundlos","given":"Stefan"},{"family":"Righetti","given":"Sarah"},{"family":"Kandula","given":"Tejaswi"},{"family":"Minoche","given":"Andre E."},{"family":"Puttick","given":"Clare"},{"family":"Gayevskiy","given":"Velimir"},{"family":"Hesson","given":"Luke"},{"family":"Idrisoglu","given":"Senel"},{"family":"Shoubridge","given":"Cheryl"},{"family":"Thai","given":"Monica Hong Ngoc"},{"family":"Davis","given":"Ryan L."},{"family":"Drew","given":"Alexander P."},{"family":"Sampaio","given":"Hugo"},{"family":"Andrews","given":"Peter Ian"},{"family":"Lawson","given":"John"},{"family":"Cardamone","given":"Michael"},{"family":"Mowat","given":"David"},{"family":"Colley","given":"Alison"},{"family":"Kummerfeld","given":"Sarah"},{"family":"Dinger","given":"Marcel E."},{"family":"Cowley","given":"Mark J."},{"family":"Roscioli","given":"Tony"},{"family":"Bye","given":"Ann"},{"family":"Kirk","given":"Edwin"}],"issued":{"date-parts":[["2021",3,30]]}}}],"schema":"https://github.com/citation-style-language/schema/raw/master/csl-citation.json"} </w:instrText>
      </w:r>
      <w:r w:rsidR="00190AB9">
        <w:rPr>
          <w:rFonts w:ascii="Arial" w:hAnsi="Arial" w:cs="Arial"/>
        </w:rPr>
        <w:fldChar w:fldCharType="separate"/>
      </w:r>
      <w:r w:rsidR="00190AB9" w:rsidRPr="00190AB9">
        <w:rPr>
          <w:rFonts w:ascii="Arial" w:hAnsi="Arial" w:cs="Arial"/>
          <w:szCs w:val="24"/>
          <w:vertAlign w:val="superscript"/>
        </w:rPr>
        <w:t>1–3</w:t>
      </w:r>
      <w:r w:rsidR="00190AB9">
        <w:rPr>
          <w:rFonts w:ascii="Arial" w:hAnsi="Arial" w:cs="Arial"/>
        </w:rPr>
        <w:fldChar w:fldCharType="end"/>
      </w:r>
      <w:r w:rsidR="0086692E">
        <w:rPr>
          <w:rFonts w:ascii="Arial" w:hAnsi="Arial" w:cs="Arial"/>
        </w:rPr>
        <w:t xml:space="preserve">. Patients identified via diagnostic molecular analysis are indicated. </w:t>
      </w:r>
    </w:p>
    <w:p w:rsidR="00337C36" w:rsidRPr="002C5738" w:rsidRDefault="00337C36" w:rsidP="00DA3B3A">
      <w:pPr>
        <w:spacing w:after="0" w:line="240" w:lineRule="auto"/>
        <w:rPr>
          <w:rFonts w:ascii="Arial" w:hAnsi="Arial" w:cs="Arial"/>
        </w:rPr>
      </w:pPr>
    </w:p>
    <w:p w:rsidR="002C5738" w:rsidRPr="002C5738" w:rsidRDefault="002C5738" w:rsidP="00DA3B3A">
      <w:pPr>
        <w:spacing w:after="0" w:line="240" w:lineRule="auto"/>
        <w:rPr>
          <w:rFonts w:ascii="Arial" w:hAnsi="Arial" w:cs="Arial"/>
        </w:rPr>
      </w:pPr>
      <w:r w:rsidRPr="002C5738">
        <w:rPr>
          <w:rFonts w:ascii="Arial" w:hAnsi="Arial" w:cs="Arial"/>
        </w:rPr>
        <w:t>File Name: Supplementary Data</w:t>
      </w:r>
      <w:r w:rsidR="00B739AC" w:rsidRPr="002C5738">
        <w:rPr>
          <w:rFonts w:ascii="Arial" w:hAnsi="Arial" w:cs="Arial"/>
        </w:rPr>
        <w:t xml:space="preserve"> </w:t>
      </w:r>
      <w:r w:rsidR="00220C26">
        <w:rPr>
          <w:rFonts w:ascii="Arial" w:hAnsi="Arial" w:cs="Arial"/>
        </w:rPr>
        <w:t>2</w:t>
      </w:r>
      <w:r w:rsidR="00562413">
        <w:rPr>
          <w:rFonts w:ascii="Arial" w:hAnsi="Arial" w:cs="Arial"/>
        </w:rPr>
        <w:t>;</w:t>
      </w:r>
      <w:r w:rsidR="00B739AC" w:rsidRPr="002C5738">
        <w:rPr>
          <w:rFonts w:ascii="Arial" w:hAnsi="Arial" w:cs="Arial"/>
        </w:rPr>
        <w:t xml:space="preserve"> </w:t>
      </w:r>
      <w:r w:rsidR="00562413" w:rsidRPr="00562413">
        <w:rPr>
          <w:rFonts w:ascii="Arial" w:hAnsi="Arial" w:cs="Arial"/>
        </w:rPr>
        <w:t>41467_2025_64074_MOESM</w:t>
      </w:r>
      <w:r w:rsidR="00562413">
        <w:rPr>
          <w:rFonts w:ascii="Arial" w:hAnsi="Arial" w:cs="Arial"/>
        </w:rPr>
        <w:t>4</w:t>
      </w:r>
      <w:r w:rsidR="00562413" w:rsidRPr="00562413">
        <w:rPr>
          <w:rFonts w:ascii="Arial" w:hAnsi="Arial" w:cs="Arial"/>
        </w:rPr>
        <w:t>_ESM.xlsx</w:t>
      </w:r>
    </w:p>
    <w:p w:rsidR="002C5738" w:rsidRPr="002C5738" w:rsidRDefault="002C5738" w:rsidP="00DA3B3A">
      <w:pPr>
        <w:spacing w:after="0" w:line="240" w:lineRule="auto"/>
        <w:rPr>
          <w:rFonts w:ascii="Arial" w:hAnsi="Arial" w:cs="Arial"/>
        </w:rPr>
      </w:pPr>
      <w:r w:rsidRPr="002C5738">
        <w:rPr>
          <w:rFonts w:ascii="Arial" w:hAnsi="Arial" w:cs="Arial"/>
        </w:rPr>
        <w:t xml:space="preserve">Description: </w:t>
      </w:r>
      <w:r w:rsidR="00B739AC" w:rsidRPr="002C5738">
        <w:rPr>
          <w:rFonts w:ascii="Arial" w:hAnsi="Arial" w:cs="Arial"/>
        </w:rPr>
        <w:t xml:space="preserve">Summary of prediction of </w:t>
      </w:r>
      <w:proofErr w:type="spellStart"/>
      <w:r w:rsidR="00B739AC" w:rsidRPr="002C5738">
        <w:rPr>
          <w:rFonts w:ascii="Arial" w:hAnsi="Arial" w:cs="Arial"/>
        </w:rPr>
        <w:t>PhenoScore</w:t>
      </w:r>
      <w:proofErr w:type="spellEnd"/>
      <w:r w:rsidR="00B739AC" w:rsidRPr="002C5738">
        <w:rPr>
          <w:rFonts w:ascii="Arial" w:hAnsi="Arial" w:cs="Arial"/>
        </w:rPr>
        <w:t xml:space="preserve">, HPO terms and facial features for individuals with </w:t>
      </w:r>
      <w:r w:rsidR="00B739AC" w:rsidRPr="002C5738">
        <w:rPr>
          <w:rFonts w:ascii="Arial" w:hAnsi="Arial" w:cs="Arial"/>
          <w:i/>
        </w:rPr>
        <w:t xml:space="preserve">SETBP1 </w:t>
      </w:r>
      <w:r w:rsidR="00B739AC" w:rsidRPr="002C5738">
        <w:rPr>
          <w:rFonts w:ascii="Arial" w:hAnsi="Arial" w:cs="Arial"/>
        </w:rPr>
        <w:t xml:space="preserve">variants outside the degron. </w:t>
      </w:r>
    </w:p>
    <w:p w:rsidR="00B739AC" w:rsidRPr="002C5738" w:rsidRDefault="00B739AC" w:rsidP="00DA3B3A">
      <w:pPr>
        <w:spacing w:after="0" w:line="240" w:lineRule="auto"/>
        <w:rPr>
          <w:rFonts w:ascii="Arial" w:hAnsi="Arial" w:cs="Arial"/>
        </w:rPr>
      </w:pPr>
      <w:r w:rsidRPr="002C5738">
        <w:rPr>
          <w:rFonts w:ascii="Arial" w:hAnsi="Arial" w:cs="Arial"/>
        </w:rPr>
        <w:t xml:space="preserve">SGS = 1, </w:t>
      </w:r>
      <w:proofErr w:type="spellStart"/>
      <w:r w:rsidRPr="002C5738">
        <w:rPr>
          <w:rFonts w:ascii="Arial" w:hAnsi="Arial" w:cs="Arial"/>
        </w:rPr>
        <w:t>LoF</w:t>
      </w:r>
      <w:proofErr w:type="spellEnd"/>
      <w:r w:rsidRPr="002C5738">
        <w:rPr>
          <w:rFonts w:ascii="Arial" w:hAnsi="Arial" w:cs="Arial"/>
        </w:rPr>
        <w:t xml:space="preserve"> = 0. If prediction score is higher 0.7, it is classified as similar to SGS; 0.3-0.7: No match; &lt; 0.3: classified as similar to </w:t>
      </w:r>
      <w:proofErr w:type="spellStart"/>
      <w:r w:rsidRPr="002C5738">
        <w:rPr>
          <w:rFonts w:ascii="Arial" w:hAnsi="Arial" w:cs="Arial"/>
        </w:rPr>
        <w:t>LoF</w:t>
      </w:r>
      <w:proofErr w:type="spellEnd"/>
      <w:r w:rsidRPr="002C5738">
        <w:rPr>
          <w:rFonts w:ascii="Arial" w:hAnsi="Arial" w:cs="Arial"/>
        </w:rPr>
        <w:t>; N/A: not applicable.</w:t>
      </w:r>
    </w:p>
    <w:p w:rsidR="002C5738" w:rsidRPr="002C5738" w:rsidRDefault="002C5738" w:rsidP="00DA3B3A">
      <w:pPr>
        <w:spacing w:after="0" w:line="240" w:lineRule="auto"/>
        <w:rPr>
          <w:rFonts w:ascii="Arial" w:hAnsi="Arial" w:cs="Arial"/>
        </w:rPr>
      </w:pPr>
    </w:p>
    <w:p w:rsidR="002C5738" w:rsidRPr="002C5738" w:rsidRDefault="002C5738" w:rsidP="00DA3B3A">
      <w:pPr>
        <w:spacing w:after="0" w:line="240" w:lineRule="auto"/>
        <w:ind w:right="-52"/>
        <w:rPr>
          <w:rFonts w:ascii="Arial" w:hAnsi="Arial" w:cs="Arial"/>
        </w:rPr>
      </w:pPr>
      <w:r w:rsidRPr="002C5738">
        <w:rPr>
          <w:rFonts w:ascii="Arial" w:hAnsi="Arial" w:cs="Arial"/>
        </w:rPr>
        <w:t>File Name: Supplementary Data</w:t>
      </w:r>
      <w:r w:rsidR="00B739AC" w:rsidRPr="002C5738">
        <w:rPr>
          <w:rFonts w:ascii="Arial" w:hAnsi="Arial" w:cs="Arial"/>
        </w:rPr>
        <w:t xml:space="preserve"> </w:t>
      </w:r>
      <w:r w:rsidR="00220C26">
        <w:rPr>
          <w:rFonts w:ascii="Arial" w:hAnsi="Arial" w:cs="Arial"/>
        </w:rPr>
        <w:t>3</w:t>
      </w:r>
      <w:r w:rsidR="00562413">
        <w:rPr>
          <w:rFonts w:ascii="Arial" w:hAnsi="Arial" w:cs="Arial"/>
        </w:rPr>
        <w:t xml:space="preserve">; </w:t>
      </w:r>
      <w:r w:rsidR="00562413" w:rsidRPr="00562413">
        <w:rPr>
          <w:rFonts w:ascii="Arial" w:hAnsi="Arial" w:cs="Arial"/>
        </w:rPr>
        <w:t>41467_2025_64074_MOESM</w:t>
      </w:r>
      <w:r w:rsidR="00562413">
        <w:rPr>
          <w:rFonts w:ascii="Arial" w:hAnsi="Arial" w:cs="Arial"/>
        </w:rPr>
        <w:t>5</w:t>
      </w:r>
      <w:r w:rsidR="00562413" w:rsidRPr="00562413">
        <w:rPr>
          <w:rFonts w:ascii="Arial" w:hAnsi="Arial" w:cs="Arial"/>
        </w:rPr>
        <w:t>_ESM.xlsx</w:t>
      </w:r>
    </w:p>
    <w:p w:rsidR="00B739AC" w:rsidRPr="002C5738" w:rsidRDefault="002C5738" w:rsidP="00DA3B3A">
      <w:pPr>
        <w:spacing w:after="0" w:line="240" w:lineRule="auto"/>
        <w:ind w:right="-52"/>
        <w:rPr>
          <w:rFonts w:ascii="Arial" w:hAnsi="Arial" w:cs="Arial"/>
        </w:rPr>
      </w:pPr>
      <w:r w:rsidRPr="002C5738">
        <w:rPr>
          <w:rFonts w:ascii="Arial" w:hAnsi="Arial" w:cs="Arial"/>
        </w:rPr>
        <w:t xml:space="preserve">Description: </w:t>
      </w:r>
      <w:r w:rsidR="00B739AC" w:rsidRPr="002C5738">
        <w:rPr>
          <w:rFonts w:ascii="Arial" w:hAnsi="Arial" w:cs="Arial"/>
        </w:rPr>
        <w:t>List of variants, including annotations and classification based on ACMG guidelines.</w:t>
      </w:r>
    </w:p>
    <w:p w:rsidR="002C5738" w:rsidRPr="002C5738" w:rsidRDefault="002C5738" w:rsidP="00DA3B3A">
      <w:pPr>
        <w:spacing w:after="0" w:line="240" w:lineRule="auto"/>
        <w:rPr>
          <w:rFonts w:ascii="Arial" w:hAnsi="Arial" w:cs="Arial"/>
        </w:rPr>
      </w:pPr>
    </w:p>
    <w:p w:rsidR="002C5738" w:rsidRPr="002C5738" w:rsidRDefault="002C5738" w:rsidP="00DA3B3A">
      <w:pPr>
        <w:spacing w:after="0" w:line="240" w:lineRule="auto"/>
        <w:rPr>
          <w:rFonts w:ascii="Arial" w:hAnsi="Arial" w:cs="Arial"/>
        </w:rPr>
      </w:pPr>
      <w:r w:rsidRPr="002C5738">
        <w:rPr>
          <w:rFonts w:ascii="Arial" w:hAnsi="Arial" w:cs="Arial"/>
        </w:rPr>
        <w:t>File Name: Supplementary Data</w:t>
      </w:r>
      <w:r w:rsidR="00B739AC" w:rsidRPr="002C5738">
        <w:rPr>
          <w:rFonts w:ascii="Arial" w:hAnsi="Arial" w:cs="Arial"/>
        </w:rPr>
        <w:t xml:space="preserve"> </w:t>
      </w:r>
      <w:r w:rsidR="00220C26">
        <w:rPr>
          <w:rFonts w:ascii="Arial" w:hAnsi="Arial" w:cs="Arial"/>
        </w:rPr>
        <w:t>4</w:t>
      </w:r>
      <w:r w:rsidR="00562413">
        <w:rPr>
          <w:rFonts w:ascii="Arial" w:hAnsi="Arial" w:cs="Arial"/>
        </w:rPr>
        <w:t xml:space="preserve">; </w:t>
      </w:r>
      <w:r w:rsidR="00562413" w:rsidRPr="00562413">
        <w:rPr>
          <w:rFonts w:ascii="Arial" w:hAnsi="Arial" w:cs="Arial"/>
        </w:rPr>
        <w:t>41467_2025_64074_MOESM</w:t>
      </w:r>
      <w:r w:rsidR="00562413">
        <w:rPr>
          <w:rFonts w:ascii="Arial" w:hAnsi="Arial" w:cs="Arial"/>
        </w:rPr>
        <w:t>6</w:t>
      </w:r>
      <w:r w:rsidR="00562413" w:rsidRPr="00562413">
        <w:rPr>
          <w:rFonts w:ascii="Arial" w:hAnsi="Arial" w:cs="Arial"/>
        </w:rPr>
        <w:t>_ESM.xlsx</w:t>
      </w:r>
    </w:p>
    <w:p w:rsidR="00B739AC" w:rsidRPr="002C5738" w:rsidRDefault="002C5738" w:rsidP="00DA3B3A">
      <w:pPr>
        <w:spacing w:after="0" w:line="240" w:lineRule="auto"/>
        <w:rPr>
          <w:rFonts w:ascii="Arial" w:hAnsi="Arial" w:cs="Arial"/>
        </w:rPr>
      </w:pPr>
      <w:r w:rsidRPr="002C5738">
        <w:rPr>
          <w:rFonts w:ascii="Arial" w:hAnsi="Arial" w:cs="Arial"/>
        </w:rPr>
        <w:t>Description:</w:t>
      </w:r>
      <w:r w:rsidR="00B739AC" w:rsidRPr="002C5738">
        <w:rPr>
          <w:rFonts w:ascii="Arial" w:hAnsi="Arial" w:cs="Arial"/>
        </w:rPr>
        <w:t xml:space="preserve"> Frequency of variants in cancer.</w:t>
      </w:r>
    </w:p>
    <w:p w:rsidR="002C5738" w:rsidRPr="002C5738" w:rsidRDefault="002C5738" w:rsidP="00DA3B3A">
      <w:pPr>
        <w:spacing w:after="0" w:line="240" w:lineRule="auto"/>
        <w:rPr>
          <w:rFonts w:ascii="Arial" w:hAnsi="Arial" w:cs="Arial"/>
        </w:rPr>
      </w:pPr>
    </w:p>
    <w:p w:rsidR="002C5738" w:rsidRPr="002C5738" w:rsidRDefault="002C5738" w:rsidP="00DA3B3A">
      <w:pPr>
        <w:spacing w:after="0" w:line="240" w:lineRule="auto"/>
        <w:rPr>
          <w:rFonts w:ascii="Arial" w:hAnsi="Arial" w:cs="Arial"/>
        </w:rPr>
      </w:pPr>
      <w:r w:rsidRPr="002C5738">
        <w:rPr>
          <w:rFonts w:ascii="Arial" w:hAnsi="Arial" w:cs="Arial"/>
        </w:rPr>
        <w:t>File Name: Supplementary Data</w:t>
      </w:r>
      <w:r w:rsidR="00B739AC" w:rsidRPr="002C5738">
        <w:rPr>
          <w:rFonts w:ascii="Arial" w:hAnsi="Arial" w:cs="Arial"/>
        </w:rPr>
        <w:t xml:space="preserve"> </w:t>
      </w:r>
      <w:r w:rsidR="00220C26">
        <w:rPr>
          <w:rFonts w:ascii="Arial" w:hAnsi="Arial" w:cs="Arial"/>
        </w:rPr>
        <w:t>5</w:t>
      </w:r>
      <w:r w:rsidR="00562413">
        <w:rPr>
          <w:rFonts w:ascii="Arial" w:hAnsi="Arial" w:cs="Arial"/>
        </w:rPr>
        <w:t xml:space="preserve">; </w:t>
      </w:r>
      <w:r w:rsidR="00562413" w:rsidRPr="00562413">
        <w:rPr>
          <w:rFonts w:ascii="Arial" w:hAnsi="Arial" w:cs="Arial"/>
        </w:rPr>
        <w:t>41467_2025_64074_MOESM</w:t>
      </w:r>
      <w:r w:rsidR="00562413">
        <w:rPr>
          <w:rFonts w:ascii="Arial" w:hAnsi="Arial" w:cs="Arial"/>
        </w:rPr>
        <w:t>7</w:t>
      </w:r>
      <w:r w:rsidR="00562413" w:rsidRPr="00562413">
        <w:rPr>
          <w:rFonts w:ascii="Arial" w:hAnsi="Arial" w:cs="Arial"/>
        </w:rPr>
        <w:t>_ESM.xlsx</w:t>
      </w:r>
    </w:p>
    <w:p w:rsidR="000177A7" w:rsidRDefault="002C5738" w:rsidP="00DA3B3A">
      <w:pPr>
        <w:spacing w:after="0" w:line="240" w:lineRule="auto"/>
        <w:rPr>
          <w:rFonts w:ascii="Arial" w:hAnsi="Arial" w:cs="Arial"/>
        </w:rPr>
      </w:pPr>
      <w:r w:rsidRPr="002C5738">
        <w:rPr>
          <w:rFonts w:ascii="Arial" w:hAnsi="Arial" w:cs="Arial"/>
        </w:rPr>
        <w:t>Description</w:t>
      </w:r>
      <w:r w:rsidR="00B739AC" w:rsidRPr="002C5738">
        <w:rPr>
          <w:rFonts w:ascii="Arial" w:hAnsi="Arial" w:cs="Arial"/>
        </w:rPr>
        <w:t xml:space="preserve">: Fibroblast cell lines included in RNA-seq. </w:t>
      </w:r>
    </w:p>
    <w:p w:rsidR="00B739AC" w:rsidRPr="002C5738" w:rsidRDefault="00B739AC" w:rsidP="00DA3B3A">
      <w:pPr>
        <w:spacing w:after="0" w:line="240" w:lineRule="auto"/>
        <w:rPr>
          <w:rFonts w:ascii="Arial" w:hAnsi="Arial" w:cs="Arial"/>
        </w:rPr>
      </w:pPr>
      <w:r w:rsidRPr="002C5738">
        <w:rPr>
          <w:rFonts w:ascii="Arial" w:hAnsi="Arial" w:cs="Arial"/>
        </w:rPr>
        <w:t>Age at sampling: 1-12: kids; 13-20 teenagers; &gt;20: adults. Related to Fig 5.</w:t>
      </w:r>
    </w:p>
    <w:p w:rsidR="002C5738" w:rsidRPr="002C5738" w:rsidRDefault="002C5738" w:rsidP="00DA3B3A">
      <w:pPr>
        <w:spacing w:after="0" w:line="240" w:lineRule="auto"/>
        <w:rPr>
          <w:rFonts w:ascii="Arial" w:hAnsi="Arial" w:cs="Arial"/>
        </w:rPr>
      </w:pPr>
    </w:p>
    <w:p w:rsidR="002C5738" w:rsidRPr="002C5738" w:rsidRDefault="002C5738" w:rsidP="00DA3B3A">
      <w:pPr>
        <w:spacing w:after="0" w:line="240" w:lineRule="auto"/>
        <w:rPr>
          <w:rFonts w:ascii="Arial" w:hAnsi="Arial" w:cs="Arial"/>
        </w:rPr>
      </w:pPr>
      <w:r w:rsidRPr="002C5738">
        <w:rPr>
          <w:rFonts w:ascii="Arial" w:hAnsi="Arial" w:cs="Arial"/>
        </w:rPr>
        <w:t>File Name: Supplementary Data</w:t>
      </w:r>
      <w:r w:rsidR="00B739AC" w:rsidRPr="002C5738">
        <w:rPr>
          <w:rFonts w:ascii="Arial" w:hAnsi="Arial" w:cs="Arial"/>
        </w:rPr>
        <w:t xml:space="preserve"> </w:t>
      </w:r>
      <w:r w:rsidR="00220C26">
        <w:rPr>
          <w:rFonts w:ascii="Arial" w:hAnsi="Arial" w:cs="Arial"/>
        </w:rPr>
        <w:t>6</w:t>
      </w:r>
      <w:r w:rsidR="00562413">
        <w:rPr>
          <w:rFonts w:ascii="Arial" w:hAnsi="Arial" w:cs="Arial"/>
        </w:rPr>
        <w:t xml:space="preserve">; </w:t>
      </w:r>
      <w:r w:rsidR="00562413" w:rsidRPr="00562413">
        <w:rPr>
          <w:rFonts w:ascii="Arial" w:hAnsi="Arial" w:cs="Arial"/>
        </w:rPr>
        <w:t>41467_2025_64074_MOESM</w:t>
      </w:r>
      <w:r w:rsidR="00562413">
        <w:rPr>
          <w:rFonts w:ascii="Arial" w:hAnsi="Arial" w:cs="Arial"/>
        </w:rPr>
        <w:t>8</w:t>
      </w:r>
      <w:r w:rsidR="00562413" w:rsidRPr="00562413">
        <w:rPr>
          <w:rFonts w:ascii="Arial" w:hAnsi="Arial" w:cs="Arial"/>
        </w:rPr>
        <w:t>_ESM.xlsx</w:t>
      </w:r>
    </w:p>
    <w:p w:rsidR="00B739AC" w:rsidRPr="002C5738" w:rsidRDefault="002C5738" w:rsidP="00DA3B3A">
      <w:pPr>
        <w:spacing w:after="0" w:line="240" w:lineRule="auto"/>
        <w:rPr>
          <w:rFonts w:ascii="Arial" w:hAnsi="Arial" w:cs="Arial"/>
        </w:rPr>
      </w:pPr>
      <w:r w:rsidRPr="002C5738">
        <w:rPr>
          <w:rFonts w:ascii="Arial" w:hAnsi="Arial" w:cs="Arial"/>
        </w:rPr>
        <w:t>Description</w:t>
      </w:r>
      <w:r w:rsidR="00B739AC" w:rsidRPr="002C5738">
        <w:rPr>
          <w:rFonts w:ascii="Arial" w:hAnsi="Arial" w:cs="Arial"/>
        </w:rPr>
        <w:t>: List of small molecules used for generating induced neurons from fibroblasts</w:t>
      </w:r>
      <w:r w:rsidR="00B739AC" w:rsidRPr="002C5738">
        <w:rPr>
          <w:rFonts w:ascii="Arial" w:hAnsi="Arial" w:cs="Arial"/>
        </w:rPr>
        <w:fldChar w:fldCharType="begin"/>
      </w:r>
      <w:r w:rsidR="00190AB9">
        <w:rPr>
          <w:rFonts w:ascii="Arial" w:hAnsi="Arial" w:cs="Arial"/>
        </w:rPr>
        <w:instrText xml:space="preserve"> ADDIN ZOTERO_ITEM CSL_CITATION {"citationID":"xD003AK2","properties":{"formattedCitation":"\\super 4\\nosupersub{}","plainCitation":"4","noteIndex":0},"citationItems":[{"id":"738dCD54/TwIm0Dwy","uris":["http://zotero.org/users/14665253/items/36ZYI7AE"],"itemData":{"id":4141,"type":"article-journal","abstract":"Recent studies have demonstrated that human astrocytes and fibroblasts can be directly converted into functional neurons by small molecules. However, fibroblasts, as a potentially better cell resource for transplantation, are not as easy to reprogram as astrocytes regarding their fate to neurons, and chemically induced neurons (iNs) with low efficiency from fibroblasts resulted in limited application for the treatment of neurological disorders, including depression. Here, we report that human fibroblasts can be efficiently and directly reprogrammed into glutamatergic neuron-like cells by serially exposing cells to a combination of small molecules. These iNs displayed neuronal transcriptional networks, and also exhibited mature firing patterns and formed functional synapses. Importantly, iNs could integrate into local circuits after transplantation into postnatal mouse brain. Our study provides a rapid and efficient transgene-free approach for chemically generating neuron-like cells from human fibroblasts. Furthermore, our approach offers strategies for disease modeling and drug discovery in central nervous system disorders.","container-title":"Stem Cell Reports","DOI":"10.1016/j.stemcr.2019.09.007","ISSN":"2213-6711","issue":"5","journalAbbreviation":"Stem Cell Reports","page":"862-876","source":"ScienceDirect","title":"Rapid and Efficient Conversion of Human Fibroblasts into Functional Neurons by Small Molecules","URL":"https://www.sciencedirect.com/science/article/pii/S2213671119303364","volume":"13","author":[{"family":"Yang","given":"Yaming"},{"family":"Chen","given":"Ruiguo"},{"family":"Wu","given":"Xianming"},{"family":"Zhao","given":"Yannan"},{"family":"Fan","given":"Yongheng"},{"family":"Xiao","given":"Zhifeng"},{"family":"Han","given":"Jin"},{"family":"Sun","given":"Le"},{"family":"Wang","given":"Xiaoqun"},{"family":"Dai","given":"Jianwu"}],"accessed":{"date-parts":[["2024",3,27]]},"issued":{"date-parts":[["2019",11,12]]}}}],"schema":"https://github.com/citation-style-language/schema/raw/master/csl-citation.json"} </w:instrText>
      </w:r>
      <w:r w:rsidR="00B739AC" w:rsidRPr="002C5738">
        <w:rPr>
          <w:rFonts w:ascii="Arial" w:hAnsi="Arial" w:cs="Arial"/>
        </w:rPr>
        <w:fldChar w:fldCharType="separate"/>
      </w:r>
      <w:r w:rsidR="00190AB9" w:rsidRPr="00190AB9">
        <w:rPr>
          <w:rFonts w:ascii="Arial" w:hAnsi="Arial" w:cs="Arial"/>
          <w:szCs w:val="24"/>
          <w:vertAlign w:val="superscript"/>
        </w:rPr>
        <w:t>4</w:t>
      </w:r>
      <w:r w:rsidR="00B739AC" w:rsidRPr="002C5738">
        <w:rPr>
          <w:rFonts w:ascii="Arial" w:hAnsi="Arial" w:cs="Arial"/>
        </w:rPr>
        <w:fldChar w:fldCharType="end"/>
      </w:r>
      <w:r w:rsidR="004A61BC">
        <w:rPr>
          <w:rFonts w:ascii="Arial" w:hAnsi="Arial" w:cs="Arial"/>
        </w:rPr>
        <w:t>.</w:t>
      </w:r>
    </w:p>
    <w:p w:rsidR="00B739AC" w:rsidRPr="002C5738" w:rsidRDefault="00B739AC" w:rsidP="00DA3B3A">
      <w:pPr>
        <w:spacing w:after="0" w:line="240" w:lineRule="auto"/>
        <w:rPr>
          <w:rFonts w:ascii="Arial" w:hAnsi="Arial" w:cs="Arial"/>
        </w:rPr>
      </w:pPr>
    </w:p>
    <w:p w:rsidR="00EA79FF" w:rsidRDefault="00EA79FF" w:rsidP="00EA79FF">
      <w:pPr>
        <w:spacing w:after="0" w:line="240" w:lineRule="auto"/>
        <w:rPr>
          <w:rFonts w:ascii="Arial" w:hAnsi="Arial" w:cs="Arial"/>
        </w:rPr>
      </w:pPr>
      <w:r w:rsidRPr="002C5738">
        <w:rPr>
          <w:rFonts w:ascii="Arial" w:hAnsi="Arial" w:cs="Arial"/>
        </w:rPr>
        <w:t xml:space="preserve">File Name: Supplementary Data </w:t>
      </w:r>
      <w:r w:rsidR="00220C26">
        <w:rPr>
          <w:rFonts w:ascii="Arial" w:hAnsi="Arial" w:cs="Arial"/>
        </w:rPr>
        <w:t>7</w:t>
      </w:r>
      <w:r w:rsidR="00562413">
        <w:rPr>
          <w:rFonts w:ascii="Arial" w:hAnsi="Arial" w:cs="Arial"/>
        </w:rPr>
        <w:t xml:space="preserve">; </w:t>
      </w:r>
      <w:r w:rsidR="00562413" w:rsidRPr="00562413">
        <w:rPr>
          <w:rFonts w:ascii="Arial" w:hAnsi="Arial" w:cs="Arial"/>
        </w:rPr>
        <w:t>41467_2025_64074_MOESM</w:t>
      </w:r>
      <w:r w:rsidR="00562413">
        <w:rPr>
          <w:rFonts w:ascii="Arial" w:hAnsi="Arial" w:cs="Arial"/>
        </w:rPr>
        <w:t>9</w:t>
      </w:r>
      <w:r w:rsidR="00562413" w:rsidRPr="00562413">
        <w:rPr>
          <w:rFonts w:ascii="Arial" w:hAnsi="Arial" w:cs="Arial"/>
        </w:rPr>
        <w:t>_ESM.xlsx</w:t>
      </w:r>
    </w:p>
    <w:p w:rsidR="00EA79FF" w:rsidRDefault="00EA79FF" w:rsidP="00EA79FF">
      <w:pPr>
        <w:spacing w:after="0" w:line="240" w:lineRule="auto"/>
        <w:rPr>
          <w:rFonts w:ascii="Arial" w:hAnsi="Arial" w:cs="Arial"/>
        </w:rPr>
      </w:pPr>
      <w:r>
        <w:rPr>
          <w:rFonts w:ascii="Arial" w:hAnsi="Arial" w:cs="Arial"/>
        </w:rPr>
        <w:t>Description</w:t>
      </w:r>
      <w:r w:rsidRPr="002C5738">
        <w:rPr>
          <w:rFonts w:ascii="Arial" w:hAnsi="Arial" w:cs="Arial"/>
        </w:rPr>
        <w:t xml:space="preserve">: Fibroblast cell lines included in generation of induced neurons using small molecules and included in RNA-seq. </w:t>
      </w:r>
    </w:p>
    <w:p w:rsidR="00EA79FF" w:rsidRDefault="00EA79FF" w:rsidP="00DA3B3A">
      <w:pPr>
        <w:spacing w:after="0" w:line="240" w:lineRule="auto"/>
        <w:rPr>
          <w:rFonts w:ascii="Arial" w:hAnsi="Arial" w:cs="Arial"/>
        </w:rPr>
      </w:pPr>
      <w:r w:rsidRPr="002C5738">
        <w:rPr>
          <w:rFonts w:ascii="Arial" w:hAnsi="Arial" w:cs="Arial"/>
        </w:rPr>
        <w:t>Age at sampling: 1-12: kids; 13-20 teenagers; &gt;20: adults. Related to Fig 6.</w:t>
      </w:r>
    </w:p>
    <w:p w:rsidR="00EA79FF" w:rsidRDefault="00EA79FF" w:rsidP="00DA3B3A">
      <w:pPr>
        <w:spacing w:after="0" w:line="240" w:lineRule="auto"/>
        <w:rPr>
          <w:rFonts w:ascii="Arial" w:hAnsi="Arial" w:cs="Arial"/>
        </w:rPr>
      </w:pPr>
    </w:p>
    <w:p w:rsidR="002C5738" w:rsidRPr="002C5738" w:rsidRDefault="002C5738" w:rsidP="00DA3B3A">
      <w:pPr>
        <w:spacing w:after="0" w:line="240" w:lineRule="auto"/>
        <w:rPr>
          <w:rFonts w:ascii="Arial" w:hAnsi="Arial" w:cs="Arial"/>
        </w:rPr>
      </w:pPr>
      <w:r w:rsidRPr="002C5738">
        <w:rPr>
          <w:rFonts w:ascii="Arial" w:hAnsi="Arial" w:cs="Arial"/>
        </w:rPr>
        <w:t>File Name: Supplementary Data</w:t>
      </w:r>
      <w:r w:rsidR="00B739AC" w:rsidRPr="002C5738">
        <w:rPr>
          <w:rFonts w:ascii="Arial" w:hAnsi="Arial" w:cs="Arial"/>
        </w:rPr>
        <w:t xml:space="preserve"> </w:t>
      </w:r>
      <w:r w:rsidR="00220C26">
        <w:rPr>
          <w:rFonts w:ascii="Arial" w:hAnsi="Arial" w:cs="Arial"/>
        </w:rPr>
        <w:t>8</w:t>
      </w:r>
      <w:r w:rsidR="00562413">
        <w:rPr>
          <w:rFonts w:ascii="Arial" w:hAnsi="Arial" w:cs="Arial"/>
        </w:rPr>
        <w:t xml:space="preserve">; </w:t>
      </w:r>
      <w:r w:rsidR="00562413" w:rsidRPr="00562413">
        <w:rPr>
          <w:rFonts w:ascii="Arial" w:hAnsi="Arial" w:cs="Arial"/>
        </w:rPr>
        <w:t>41467_2025_64074_MOESM</w:t>
      </w:r>
      <w:r w:rsidR="00562413">
        <w:rPr>
          <w:rFonts w:ascii="Arial" w:hAnsi="Arial" w:cs="Arial"/>
        </w:rPr>
        <w:t>10</w:t>
      </w:r>
      <w:r w:rsidR="00562413" w:rsidRPr="00562413">
        <w:rPr>
          <w:rFonts w:ascii="Arial" w:hAnsi="Arial" w:cs="Arial"/>
        </w:rPr>
        <w:t>_ESM.xlsx</w:t>
      </w:r>
    </w:p>
    <w:p w:rsidR="00B739AC" w:rsidRPr="002C5738" w:rsidRDefault="002C5738" w:rsidP="00DA3B3A">
      <w:pPr>
        <w:spacing w:after="0" w:line="240" w:lineRule="auto"/>
        <w:rPr>
          <w:rFonts w:ascii="Arial" w:hAnsi="Arial" w:cs="Arial"/>
        </w:rPr>
      </w:pPr>
      <w:r w:rsidRPr="002C5738">
        <w:rPr>
          <w:rFonts w:ascii="Arial" w:hAnsi="Arial" w:cs="Arial"/>
        </w:rPr>
        <w:t>Description</w:t>
      </w:r>
      <w:r w:rsidR="00B739AC" w:rsidRPr="002C5738">
        <w:rPr>
          <w:rFonts w:ascii="Arial" w:hAnsi="Arial" w:cs="Arial"/>
        </w:rPr>
        <w:t>: Sequences of primers and oligos used in the current study. F=forward primer; R=reverse primer; S=sense; AS=anti-sense; SDM=Site-Directed Mutagenesis.</w:t>
      </w:r>
    </w:p>
    <w:p w:rsidR="00B739AC" w:rsidRPr="002C5738" w:rsidRDefault="00B739AC" w:rsidP="00DA3B3A">
      <w:pPr>
        <w:spacing w:after="0" w:line="240" w:lineRule="auto"/>
        <w:rPr>
          <w:rFonts w:ascii="Arial" w:hAnsi="Arial" w:cs="Arial"/>
        </w:rPr>
      </w:pPr>
    </w:p>
    <w:p w:rsidR="002C5738" w:rsidRPr="002C5738" w:rsidRDefault="002C5738" w:rsidP="00DA3B3A">
      <w:pPr>
        <w:spacing w:after="0" w:line="240" w:lineRule="auto"/>
        <w:rPr>
          <w:rFonts w:ascii="Arial" w:hAnsi="Arial" w:cs="Arial"/>
        </w:rPr>
      </w:pPr>
      <w:r w:rsidRPr="002C5738">
        <w:rPr>
          <w:rFonts w:ascii="Arial" w:hAnsi="Arial" w:cs="Arial"/>
        </w:rPr>
        <w:t>File Name: Supplementary Data</w:t>
      </w:r>
      <w:r w:rsidR="00B739AC" w:rsidRPr="002C5738">
        <w:rPr>
          <w:rFonts w:ascii="Arial" w:hAnsi="Arial" w:cs="Arial"/>
        </w:rPr>
        <w:t xml:space="preserve"> </w:t>
      </w:r>
      <w:r w:rsidR="00220C26">
        <w:rPr>
          <w:rFonts w:ascii="Arial" w:hAnsi="Arial" w:cs="Arial"/>
        </w:rPr>
        <w:t>9</w:t>
      </w:r>
      <w:r w:rsidR="00562413">
        <w:rPr>
          <w:rFonts w:ascii="Arial" w:hAnsi="Arial" w:cs="Arial"/>
        </w:rPr>
        <w:t xml:space="preserve">; </w:t>
      </w:r>
      <w:r w:rsidR="00562413" w:rsidRPr="00562413">
        <w:rPr>
          <w:rFonts w:ascii="Arial" w:hAnsi="Arial" w:cs="Arial"/>
        </w:rPr>
        <w:t>41467_2025_64074_MOESM</w:t>
      </w:r>
      <w:r w:rsidR="00562413">
        <w:rPr>
          <w:rFonts w:ascii="Arial" w:hAnsi="Arial" w:cs="Arial"/>
        </w:rPr>
        <w:t>11</w:t>
      </w:r>
      <w:r w:rsidR="00562413" w:rsidRPr="00562413">
        <w:rPr>
          <w:rFonts w:ascii="Arial" w:hAnsi="Arial" w:cs="Arial"/>
        </w:rPr>
        <w:t>_ESM.xlsx</w:t>
      </w:r>
    </w:p>
    <w:p w:rsidR="002C5738" w:rsidRPr="002C5738" w:rsidRDefault="002C5738" w:rsidP="00DA3B3A">
      <w:pPr>
        <w:spacing w:after="0" w:line="240" w:lineRule="auto"/>
        <w:rPr>
          <w:rFonts w:ascii="Arial" w:hAnsi="Arial" w:cs="Arial"/>
        </w:rPr>
      </w:pPr>
      <w:r w:rsidRPr="002C5738">
        <w:rPr>
          <w:rFonts w:ascii="Arial" w:hAnsi="Arial" w:cs="Arial"/>
        </w:rPr>
        <w:t>Description</w:t>
      </w:r>
      <w:r w:rsidR="00B739AC" w:rsidRPr="002C5738">
        <w:rPr>
          <w:rFonts w:ascii="Arial" w:hAnsi="Arial" w:cs="Arial"/>
        </w:rPr>
        <w:t>: List of antibodies</w:t>
      </w:r>
      <w:r w:rsidR="008713A4">
        <w:rPr>
          <w:rFonts w:ascii="Arial" w:hAnsi="Arial" w:cs="Arial"/>
        </w:rPr>
        <w:t xml:space="preserve"> used in the curre</w:t>
      </w:r>
      <w:bookmarkStart w:id="0" w:name="_GoBack"/>
      <w:bookmarkEnd w:id="0"/>
      <w:r w:rsidR="008713A4">
        <w:rPr>
          <w:rFonts w:ascii="Arial" w:hAnsi="Arial" w:cs="Arial"/>
        </w:rPr>
        <w:t>nt study</w:t>
      </w:r>
      <w:r w:rsidRPr="002C5738">
        <w:rPr>
          <w:rFonts w:ascii="Arial" w:hAnsi="Arial" w:cs="Arial"/>
        </w:rPr>
        <w:t>.</w:t>
      </w:r>
      <w:r w:rsidR="00447946">
        <w:rPr>
          <w:rFonts w:ascii="Arial" w:hAnsi="Arial" w:cs="Arial"/>
        </w:rPr>
        <w:fldChar w:fldCharType="begin"/>
      </w:r>
      <w:r w:rsidR="00447946">
        <w:rPr>
          <w:rFonts w:ascii="Arial" w:hAnsi="Arial" w:cs="Arial"/>
        </w:rPr>
        <w:instrText xml:space="preserve"> ADDIN ZOTERO_ITEM CSL_CITATION {"citationID":"K4E8407n","properties":{"formattedCitation":"\\super 4\\nosupersub{}","plainCitation":"4","noteIndex":0},"citationItems":[{"id":"738dCD54/TwIm0Dwy","uris":["http://zotero.org/users/14665253/items/36ZYI7AE"],"itemData":{"id":"738dCD54/TwIm0Dwy","type":"article-journal","abstract":"Recent studies have demonstrated that human astrocytes and fibroblasts can be directly converted into functional neurons by small molecules. However, fibroblasts, as a potentially better cell resource for transplantation, are not as easy to reprogram as astrocytes regarding their fate to neurons, and chemically induced neurons (iNs) with low efficiency from fibroblasts resulted in limited application for the treatment of neurological disorders, including depression. Here, we report that human fibroblasts can be efficiently and directly reprogrammed into glutamatergic neuron-like cells by serially exposing cells to a combination of small molecules. These iNs displayed neuronal transcriptional networks, and also exhibited mature firing patterns and formed functional synapses. Importantly, iNs could integrate into local circuits after transplantation into postnatal mouse brain. Our study provides a rapid and efficient transgene-free approach for chemically generating neuron-like cells from human fibroblasts. Furthermore, our approach offers strategies for disease modeling and drug discovery in central nervous system disorders.","container-title":"Stem Cell Reports","DOI":"10.1016/j.stemcr.2019.09.007","ISSN":"2213-6711","issue":"5","journalAbbreviation":"Stem Cell Reports","page":"862-876","source":"ScienceDirect","title":"Rapid and Efficient Conversion of Human Fibroblasts into Functional Neurons by Small Molecules","URL":"https://www.sciencedirect.com/science/article/pii/S2213671119303364","volume":"13","author":[{"family":"Yang","given":"Yaming"},{"family":"Chen","given":"Ruiguo"},{"family":"Wu","given":"Xianming"},{"family":"Zhao","given":"Yannan"},{"family":"Fan","given":"Yongheng"},{"family":"Xiao","given":"Zhifeng"},{"family":"Han","given":"Jin"},{"family":"Sun","given":"Le"},{"family":"Wang","given":"Xiaoqun"},{"family":"Dai","given":"Jianwu"}],"accessed":{"date-parts":[["2024",3,27]]},"issued":{"date-parts":[["2019",11,12]]}}}],"schema":"https://github.com/citation-style-language/schema/raw/master/csl-citation.json"} </w:instrText>
      </w:r>
      <w:r w:rsidR="00447946">
        <w:rPr>
          <w:rFonts w:ascii="Arial" w:hAnsi="Arial" w:cs="Arial"/>
        </w:rPr>
        <w:fldChar w:fldCharType="separate"/>
      </w:r>
      <w:r w:rsidR="00447946" w:rsidRPr="00447946">
        <w:rPr>
          <w:rFonts w:ascii="Arial" w:hAnsi="Arial" w:cs="Arial"/>
          <w:szCs w:val="24"/>
          <w:vertAlign w:val="superscript"/>
        </w:rPr>
        <w:t>4</w:t>
      </w:r>
      <w:r w:rsidR="00447946">
        <w:rPr>
          <w:rFonts w:ascii="Arial" w:hAnsi="Arial" w:cs="Arial"/>
        </w:rPr>
        <w:fldChar w:fldCharType="end"/>
      </w:r>
    </w:p>
    <w:p w:rsidR="00B739AC" w:rsidRPr="002C5738" w:rsidRDefault="00B739AC" w:rsidP="00DA3B3A">
      <w:pPr>
        <w:spacing w:after="0" w:line="240" w:lineRule="auto"/>
        <w:rPr>
          <w:rFonts w:ascii="Arial" w:hAnsi="Arial" w:cs="Arial"/>
        </w:rPr>
      </w:pPr>
      <w:r w:rsidRPr="002C5738">
        <w:rPr>
          <w:rFonts w:ascii="Arial" w:hAnsi="Arial" w:cs="Arial"/>
        </w:rPr>
        <w:t xml:space="preserve">Ms = mouse; Ck = chicken; </w:t>
      </w:r>
      <w:proofErr w:type="spellStart"/>
      <w:r w:rsidRPr="002C5738">
        <w:rPr>
          <w:rFonts w:ascii="Arial" w:hAnsi="Arial" w:cs="Arial"/>
        </w:rPr>
        <w:t>Rb</w:t>
      </w:r>
      <w:proofErr w:type="spellEnd"/>
      <w:r w:rsidRPr="002C5738">
        <w:rPr>
          <w:rFonts w:ascii="Arial" w:hAnsi="Arial" w:cs="Arial"/>
        </w:rPr>
        <w:t xml:space="preserve"> = rabbit; Gt = goat; </w:t>
      </w:r>
      <w:proofErr w:type="spellStart"/>
      <w:r w:rsidRPr="002C5738">
        <w:rPr>
          <w:rFonts w:ascii="Arial" w:hAnsi="Arial" w:cs="Arial"/>
        </w:rPr>
        <w:t>Gp</w:t>
      </w:r>
      <w:proofErr w:type="spellEnd"/>
      <w:r w:rsidRPr="002C5738">
        <w:rPr>
          <w:rFonts w:ascii="Arial" w:hAnsi="Arial" w:cs="Arial"/>
        </w:rPr>
        <w:t xml:space="preserve"> = guinea pig; IB = immunoblotting; IF = immunofluorescence</w:t>
      </w:r>
    </w:p>
    <w:p w:rsidR="000E0FF6" w:rsidRDefault="000E0FF6" w:rsidP="00DA3B3A">
      <w:pPr>
        <w:spacing w:after="0" w:line="240" w:lineRule="auto"/>
        <w:rPr>
          <w:rFonts w:ascii="Arial" w:hAnsi="Arial" w:cs="Arial"/>
        </w:rPr>
      </w:pPr>
    </w:p>
    <w:p w:rsidR="000E0FF6" w:rsidRDefault="000E0FF6" w:rsidP="00DA3B3A">
      <w:pPr>
        <w:spacing w:after="0" w:line="240" w:lineRule="auto"/>
        <w:rPr>
          <w:rFonts w:ascii="Arial" w:hAnsi="Arial" w:cs="Arial"/>
        </w:rPr>
      </w:pPr>
      <w:r>
        <w:rPr>
          <w:rFonts w:ascii="Arial" w:hAnsi="Arial" w:cs="Arial"/>
        </w:rPr>
        <w:t>Reference</w:t>
      </w:r>
    </w:p>
    <w:p w:rsidR="00447946" w:rsidRPr="00447946" w:rsidRDefault="00B4245C" w:rsidP="00447946">
      <w:pPr>
        <w:pStyle w:val="Bibliography"/>
        <w:rPr>
          <w:rFonts w:ascii="Arial" w:hAnsi="Arial" w:cs="Arial"/>
        </w:rPr>
      </w:pPr>
      <w:r>
        <w:rPr>
          <w:rFonts w:ascii="Arial" w:hAnsi="Arial" w:cs="Arial"/>
        </w:rPr>
        <w:fldChar w:fldCharType="begin"/>
      </w:r>
      <w:r w:rsidR="00447946" w:rsidRPr="0086692E">
        <w:rPr>
          <w:rFonts w:ascii="Arial" w:hAnsi="Arial" w:cs="Arial"/>
          <w:lang w:val="en-US"/>
        </w:rPr>
        <w:instrText xml:space="preserve"> ADDIN ZOTERO_BIBL {"uncited":[],"omitted":[],"custom":[]} CSL_BIBLIOGRAPHY </w:instrText>
      </w:r>
      <w:r>
        <w:rPr>
          <w:rFonts w:ascii="Arial" w:hAnsi="Arial" w:cs="Arial"/>
        </w:rPr>
        <w:fldChar w:fldCharType="separate"/>
      </w:r>
      <w:r w:rsidR="00447946" w:rsidRPr="0086692E">
        <w:rPr>
          <w:rFonts w:ascii="Arial" w:hAnsi="Arial" w:cs="Arial"/>
          <w:lang w:val="en-US"/>
        </w:rPr>
        <w:t>1.</w:t>
      </w:r>
      <w:r w:rsidR="00447946" w:rsidRPr="0086692E">
        <w:rPr>
          <w:rFonts w:ascii="Arial" w:hAnsi="Arial" w:cs="Arial"/>
          <w:lang w:val="en-US"/>
        </w:rPr>
        <w:tab/>
        <w:t xml:space="preserve">Hildebrand, M. S. </w:t>
      </w:r>
      <w:r w:rsidR="00447946" w:rsidRPr="0086692E">
        <w:rPr>
          <w:rFonts w:ascii="Arial" w:hAnsi="Arial" w:cs="Arial"/>
          <w:i/>
          <w:iCs/>
          <w:lang w:val="en-US"/>
        </w:rPr>
        <w:t>et al.</w:t>
      </w:r>
      <w:r w:rsidR="00447946" w:rsidRPr="0086692E">
        <w:rPr>
          <w:rFonts w:ascii="Arial" w:hAnsi="Arial" w:cs="Arial"/>
          <w:lang w:val="en-US"/>
        </w:rPr>
        <w:t xml:space="preserve"> </w:t>
      </w:r>
      <w:r w:rsidR="00447946" w:rsidRPr="00447946">
        <w:rPr>
          <w:rFonts w:ascii="Arial" w:hAnsi="Arial" w:cs="Arial"/>
        </w:rPr>
        <w:t xml:space="preserve">Severe childhood speech disorder: Gene discovery highlights transcriptional dysregulation. </w:t>
      </w:r>
      <w:r w:rsidR="00447946" w:rsidRPr="00447946">
        <w:rPr>
          <w:rFonts w:ascii="Arial" w:hAnsi="Arial" w:cs="Arial"/>
          <w:i/>
          <w:iCs/>
        </w:rPr>
        <w:t>Neurology</w:t>
      </w:r>
      <w:r w:rsidR="00447946" w:rsidRPr="00447946">
        <w:rPr>
          <w:rFonts w:ascii="Arial" w:hAnsi="Arial" w:cs="Arial"/>
        </w:rPr>
        <w:t xml:space="preserve"> </w:t>
      </w:r>
      <w:r w:rsidR="00447946" w:rsidRPr="00447946">
        <w:rPr>
          <w:rFonts w:ascii="Arial" w:hAnsi="Arial" w:cs="Arial"/>
          <w:b/>
          <w:bCs/>
        </w:rPr>
        <w:t>94</w:t>
      </w:r>
      <w:r w:rsidR="00447946" w:rsidRPr="00447946">
        <w:rPr>
          <w:rFonts w:ascii="Arial" w:hAnsi="Arial" w:cs="Arial"/>
        </w:rPr>
        <w:t>, e2148–e2167 (2020).</w:t>
      </w:r>
    </w:p>
    <w:p w:rsidR="00447946" w:rsidRPr="00447946" w:rsidRDefault="00447946" w:rsidP="00447946">
      <w:pPr>
        <w:pStyle w:val="Bibliography"/>
        <w:rPr>
          <w:rFonts w:ascii="Arial" w:hAnsi="Arial" w:cs="Arial"/>
        </w:rPr>
      </w:pPr>
      <w:r w:rsidRPr="0086692E">
        <w:rPr>
          <w:rFonts w:ascii="Arial" w:hAnsi="Arial" w:cs="Arial"/>
        </w:rPr>
        <w:t>2.</w:t>
      </w:r>
      <w:r w:rsidRPr="0086692E">
        <w:rPr>
          <w:rFonts w:ascii="Arial" w:hAnsi="Arial" w:cs="Arial"/>
        </w:rPr>
        <w:tab/>
        <w:t xml:space="preserve">Acuna-Hidalgo, R. </w:t>
      </w:r>
      <w:r w:rsidRPr="0086692E">
        <w:rPr>
          <w:rFonts w:ascii="Arial" w:hAnsi="Arial" w:cs="Arial"/>
          <w:i/>
          <w:iCs/>
        </w:rPr>
        <w:t>et al.</w:t>
      </w:r>
      <w:r w:rsidRPr="0086692E">
        <w:rPr>
          <w:rFonts w:ascii="Arial" w:hAnsi="Arial" w:cs="Arial"/>
        </w:rPr>
        <w:t xml:space="preserve"> </w:t>
      </w:r>
      <w:r w:rsidRPr="00447946">
        <w:rPr>
          <w:rFonts w:ascii="Arial" w:hAnsi="Arial" w:cs="Arial"/>
        </w:rPr>
        <w:t xml:space="preserve">Overlapping SETBP1 gain-of-function mutations in Schinzel-Giedion syndrome and hematologic malignancies. </w:t>
      </w:r>
      <w:r w:rsidRPr="00447946">
        <w:rPr>
          <w:rFonts w:ascii="Arial" w:hAnsi="Arial" w:cs="Arial"/>
          <w:i/>
          <w:iCs/>
        </w:rPr>
        <w:t>PLoS Genet.</w:t>
      </w:r>
      <w:r w:rsidRPr="00447946">
        <w:rPr>
          <w:rFonts w:ascii="Arial" w:hAnsi="Arial" w:cs="Arial"/>
        </w:rPr>
        <w:t xml:space="preserve"> </w:t>
      </w:r>
      <w:r w:rsidRPr="00447946">
        <w:rPr>
          <w:rFonts w:ascii="Arial" w:hAnsi="Arial" w:cs="Arial"/>
          <w:b/>
          <w:bCs/>
        </w:rPr>
        <w:t>13</w:t>
      </w:r>
      <w:r w:rsidRPr="00447946">
        <w:rPr>
          <w:rFonts w:ascii="Arial" w:hAnsi="Arial" w:cs="Arial"/>
        </w:rPr>
        <w:t>, e1006683 (2017).</w:t>
      </w:r>
    </w:p>
    <w:p w:rsidR="00447946" w:rsidRPr="00447946" w:rsidRDefault="00447946" w:rsidP="00447946">
      <w:pPr>
        <w:pStyle w:val="Bibliography"/>
        <w:rPr>
          <w:rFonts w:ascii="Arial" w:hAnsi="Arial" w:cs="Arial"/>
        </w:rPr>
      </w:pPr>
      <w:r w:rsidRPr="00447946">
        <w:rPr>
          <w:rFonts w:ascii="Arial" w:hAnsi="Arial" w:cs="Arial"/>
        </w:rPr>
        <w:lastRenderedPageBreak/>
        <w:t>3.</w:t>
      </w:r>
      <w:r w:rsidRPr="00447946">
        <w:rPr>
          <w:rFonts w:ascii="Arial" w:hAnsi="Arial" w:cs="Arial"/>
        </w:rPr>
        <w:tab/>
        <w:t xml:space="preserve">Palmer, E. E. </w:t>
      </w:r>
      <w:r w:rsidRPr="00447946">
        <w:rPr>
          <w:rFonts w:ascii="Arial" w:hAnsi="Arial" w:cs="Arial"/>
          <w:i/>
          <w:iCs/>
        </w:rPr>
        <w:t>et al.</w:t>
      </w:r>
      <w:r w:rsidRPr="00447946">
        <w:rPr>
          <w:rFonts w:ascii="Arial" w:hAnsi="Arial" w:cs="Arial"/>
        </w:rPr>
        <w:t xml:space="preserve"> Diagnostic Yield of Whole Genome Sequencing After Nondiagnostic Exome Sequencing or Gene Panel in Developmental and Epileptic Encephalopathies. </w:t>
      </w:r>
      <w:r w:rsidRPr="00447946">
        <w:rPr>
          <w:rFonts w:ascii="Arial" w:hAnsi="Arial" w:cs="Arial"/>
          <w:i/>
          <w:iCs/>
        </w:rPr>
        <w:t>Neurology</w:t>
      </w:r>
      <w:r w:rsidRPr="00447946">
        <w:rPr>
          <w:rFonts w:ascii="Arial" w:hAnsi="Arial" w:cs="Arial"/>
        </w:rPr>
        <w:t xml:space="preserve"> </w:t>
      </w:r>
      <w:r w:rsidRPr="00447946">
        <w:rPr>
          <w:rFonts w:ascii="Arial" w:hAnsi="Arial" w:cs="Arial"/>
          <w:b/>
          <w:bCs/>
        </w:rPr>
        <w:t>96</w:t>
      </w:r>
      <w:r w:rsidRPr="00447946">
        <w:rPr>
          <w:rFonts w:ascii="Arial" w:hAnsi="Arial" w:cs="Arial"/>
        </w:rPr>
        <w:t>, e1770–e1782 (2021).</w:t>
      </w:r>
    </w:p>
    <w:p w:rsidR="00447946" w:rsidRPr="00447946" w:rsidRDefault="00447946" w:rsidP="00447946">
      <w:pPr>
        <w:pStyle w:val="Bibliography"/>
        <w:rPr>
          <w:rFonts w:ascii="Arial" w:hAnsi="Arial" w:cs="Arial"/>
        </w:rPr>
      </w:pPr>
      <w:r w:rsidRPr="00447946">
        <w:rPr>
          <w:rFonts w:ascii="Arial" w:hAnsi="Arial" w:cs="Arial"/>
        </w:rPr>
        <w:t>4.</w:t>
      </w:r>
      <w:r w:rsidRPr="00447946">
        <w:rPr>
          <w:rFonts w:ascii="Arial" w:hAnsi="Arial" w:cs="Arial"/>
        </w:rPr>
        <w:tab/>
        <w:t xml:space="preserve">Yang, Y. </w:t>
      </w:r>
      <w:r w:rsidRPr="00447946">
        <w:rPr>
          <w:rFonts w:ascii="Arial" w:hAnsi="Arial" w:cs="Arial"/>
          <w:i/>
          <w:iCs/>
        </w:rPr>
        <w:t>et al.</w:t>
      </w:r>
      <w:r w:rsidRPr="00447946">
        <w:rPr>
          <w:rFonts w:ascii="Arial" w:hAnsi="Arial" w:cs="Arial"/>
        </w:rPr>
        <w:t xml:space="preserve"> Rapid and Efficient Conversion of Human Fibroblasts into Functional Neurons by Small Molecules. </w:t>
      </w:r>
      <w:r w:rsidRPr="00447946">
        <w:rPr>
          <w:rFonts w:ascii="Arial" w:hAnsi="Arial" w:cs="Arial"/>
          <w:i/>
          <w:iCs/>
        </w:rPr>
        <w:t>Stem Cell Rep.</w:t>
      </w:r>
      <w:r w:rsidRPr="00447946">
        <w:rPr>
          <w:rFonts w:ascii="Arial" w:hAnsi="Arial" w:cs="Arial"/>
        </w:rPr>
        <w:t xml:space="preserve"> </w:t>
      </w:r>
      <w:r w:rsidRPr="00447946">
        <w:rPr>
          <w:rFonts w:ascii="Arial" w:hAnsi="Arial" w:cs="Arial"/>
          <w:b/>
          <w:bCs/>
        </w:rPr>
        <w:t>13</w:t>
      </w:r>
      <w:r w:rsidRPr="00447946">
        <w:rPr>
          <w:rFonts w:ascii="Arial" w:hAnsi="Arial" w:cs="Arial"/>
        </w:rPr>
        <w:t>, 862–876 (2019).</w:t>
      </w:r>
    </w:p>
    <w:p w:rsidR="0023376B" w:rsidRPr="00BD2AE2" w:rsidRDefault="00B4245C" w:rsidP="00DA3B3A">
      <w:pPr>
        <w:spacing w:after="0" w:line="240" w:lineRule="auto"/>
        <w:rPr>
          <w:rFonts w:ascii="Arial" w:hAnsi="Arial" w:cs="Arial"/>
        </w:rPr>
      </w:pPr>
      <w:r>
        <w:rPr>
          <w:rFonts w:ascii="Arial" w:hAnsi="Arial" w:cs="Arial"/>
        </w:rPr>
        <w:fldChar w:fldCharType="end"/>
      </w:r>
    </w:p>
    <w:sectPr w:rsidR="0023376B" w:rsidRPr="00BD2A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378F"/>
    <w:multiLevelType w:val="multilevel"/>
    <w:tmpl w:val="536237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DB2265A"/>
    <w:multiLevelType w:val="multilevel"/>
    <w:tmpl w:val="6566792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B7AF44B-7FD3-4040-9A30-117F44EE8CFB}"/>
    <w:docVar w:name="dgnword-eventsink" w:val="567247848"/>
  </w:docVars>
  <w:rsids>
    <w:rsidRoot w:val="00B739AC"/>
    <w:rsid w:val="000177A7"/>
    <w:rsid w:val="00043F82"/>
    <w:rsid w:val="000E0FF6"/>
    <w:rsid w:val="00190AB9"/>
    <w:rsid w:val="00220C26"/>
    <w:rsid w:val="0023376B"/>
    <w:rsid w:val="002C5738"/>
    <w:rsid w:val="00332E5F"/>
    <w:rsid w:val="00337C36"/>
    <w:rsid w:val="003D1EDE"/>
    <w:rsid w:val="004334A0"/>
    <w:rsid w:val="00447946"/>
    <w:rsid w:val="004A61BC"/>
    <w:rsid w:val="00562413"/>
    <w:rsid w:val="006C24EA"/>
    <w:rsid w:val="007B143A"/>
    <w:rsid w:val="007E588F"/>
    <w:rsid w:val="0086692E"/>
    <w:rsid w:val="008713A4"/>
    <w:rsid w:val="008946BD"/>
    <w:rsid w:val="00990646"/>
    <w:rsid w:val="009D5CA2"/>
    <w:rsid w:val="00B40557"/>
    <w:rsid w:val="00B4245C"/>
    <w:rsid w:val="00B739AC"/>
    <w:rsid w:val="00BD2AE2"/>
    <w:rsid w:val="00DA3B3A"/>
    <w:rsid w:val="00DB49A7"/>
    <w:rsid w:val="00E00EF2"/>
    <w:rsid w:val="00EA79FF"/>
    <w:rsid w:val="00FC393B"/>
    <w:rsid w:val="00FD22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18AB2"/>
  <w15:chartTrackingRefBased/>
  <w15:docId w15:val="{11F7FDE8-8117-4D6A-A625-86BF4774A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39AC"/>
    <w:rPr>
      <w:rFonts w:ascii="Times New Roman" w:eastAsiaTheme="minorHAnsi" w:hAnsi="Times New Roman"/>
      <w:lang w:val="en-GB" w:eastAsia="en-US"/>
    </w:rPr>
  </w:style>
  <w:style w:type="paragraph" w:styleId="Heading3">
    <w:name w:val="heading 3"/>
    <w:basedOn w:val="Normal"/>
    <w:next w:val="Normal"/>
    <w:link w:val="Heading3Char"/>
    <w:autoRedefine/>
    <w:uiPriority w:val="9"/>
    <w:unhideWhenUsed/>
    <w:qFormat/>
    <w:rsid w:val="007B143A"/>
    <w:pPr>
      <w:keepNext/>
      <w:keepLines/>
      <w:numPr>
        <w:ilvl w:val="2"/>
        <w:numId w:val="2"/>
      </w:numPr>
      <w:spacing w:after="0" w:line="240" w:lineRule="auto"/>
      <w:ind w:left="720"/>
      <w:outlineLvl w:val="2"/>
    </w:pPr>
    <w:rPr>
      <w:rFonts w:eastAsiaTheme="majorEastAsia" w:cstheme="majorBid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Caption headings"/>
    <w:basedOn w:val="Normal"/>
    <w:next w:val="Normal"/>
    <w:autoRedefine/>
    <w:uiPriority w:val="35"/>
    <w:unhideWhenUsed/>
    <w:qFormat/>
    <w:rsid w:val="00043F82"/>
    <w:pPr>
      <w:spacing w:after="200" w:line="240" w:lineRule="auto"/>
    </w:pPr>
    <w:rPr>
      <w:rFonts w:ascii="Arial" w:hAnsi="Arial"/>
      <w:iCs/>
      <w:color w:val="000000" w:themeColor="text1"/>
      <w:sz w:val="20"/>
      <w:szCs w:val="18"/>
    </w:rPr>
  </w:style>
  <w:style w:type="paragraph" w:customStyle="1" w:styleId="Legends">
    <w:name w:val="Legends"/>
    <w:basedOn w:val="Caption"/>
    <w:autoRedefine/>
    <w:qFormat/>
    <w:rsid w:val="00043F82"/>
    <w:pPr>
      <w:jc w:val="both"/>
    </w:pPr>
  </w:style>
  <w:style w:type="paragraph" w:customStyle="1" w:styleId="legend">
    <w:name w:val="legend"/>
    <w:basedOn w:val="Normal"/>
    <w:link w:val="legendChar"/>
    <w:autoRedefine/>
    <w:qFormat/>
    <w:rsid w:val="007B143A"/>
    <w:pPr>
      <w:spacing w:after="0" w:line="240" w:lineRule="auto"/>
      <w:jc w:val="both"/>
    </w:pPr>
    <w:rPr>
      <w:sz w:val="16"/>
    </w:rPr>
  </w:style>
  <w:style w:type="character" w:customStyle="1" w:styleId="legendChar">
    <w:name w:val="legend Char"/>
    <w:basedOn w:val="DefaultParagraphFont"/>
    <w:link w:val="legend"/>
    <w:rsid w:val="007B143A"/>
    <w:rPr>
      <w:rFonts w:ascii="Times New Roman" w:hAnsi="Times New Roman"/>
      <w:sz w:val="16"/>
    </w:rPr>
  </w:style>
  <w:style w:type="character" w:customStyle="1" w:styleId="Heading3Char">
    <w:name w:val="Heading 3 Char"/>
    <w:basedOn w:val="DefaultParagraphFont"/>
    <w:link w:val="Heading3"/>
    <w:uiPriority w:val="9"/>
    <w:rsid w:val="007B143A"/>
    <w:rPr>
      <w:rFonts w:ascii="Times New Roman" w:eastAsiaTheme="majorEastAsia" w:hAnsi="Times New Roman" w:cstheme="majorBidi"/>
      <w:bCs/>
      <w:i/>
    </w:rPr>
  </w:style>
  <w:style w:type="table" w:styleId="TableGrid">
    <w:name w:val="Table Grid"/>
    <w:basedOn w:val="TableNormal"/>
    <w:uiPriority w:val="39"/>
    <w:rsid w:val="00B739A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B4245C"/>
    <w:pPr>
      <w:tabs>
        <w:tab w:val="left" w:pos="264"/>
      </w:tabs>
      <w:spacing w:after="0"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2889</Words>
  <Characters>16471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Wong</dc:creator>
  <cp:keywords/>
  <dc:description/>
  <cp:lastModifiedBy>Maggie Wong</cp:lastModifiedBy>
  <cp:revision>3</cp:revision>
  <dcterms:created xsi:type="dcterms:W3CDTF">2025-09-25T14:20:00Z</dcterms:created>
  <dcterms:modified xsi:type="dcterms:W3CDTF">2025-09-25T14:22:00Z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id="738dCD54"/&gt;&lt;style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