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13604B" w14:textId="77777777" w:rsidR="001007FF" w:rsidRDefault="00000000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Legend for Supplementary Data 1</w:t>
      </w:r>
    </w:p>
    <w:p w14:paraId="5897950A" w14:textId="77777777" w:rsidR="001007FF" w:rsidRDefault="00000000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Title: The baseline characteristics of the participants</w:t>
      </w:r>
    </w:p>
    <w:p w14:paraId="72634CFF" w14:textId="77777777" w:rsidR="001007FF" w:rsidRDefault="00000000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Description:</w:t>
      </w:r>
    </w:p>
    <w:p w14:paraId="30A2BC79" w14:textId="46800DEF" w:rsidR="001007FF" w:rsidRDefault="00000000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table summarizes the demographic and clinical baseline characteristics of the Crohn</w:t>
      </w:r>
      <w:r w:rsidR="00F47F50">
        <w:rPr>
          <w:rFonts w:ascii="Arial" w:hAnsi="Arial" w:cs="Arial"/>
          <w:sz w:val="24"/>
        </w:rPr>
        <w:t>’</w:t>
      </w:r>
      <w:r>
        <w:rPr>
          <w:rFonts w:ascii="Arial" w:hAnsi="Arial" w:cs="Arial"/>
          <w:sz w:val="24"/>
        </w:rPr>
        <w:t>s disease (CD) patient cohort and the healthy control (HC) cohort included in the study. It provides the sample size, sex distribution (male/female), age, and body mass index (BMI) for each group. Exact P-values from two-sided statistical tests (Chi-squared test for sex; Welch</w:t>
      </w:r>
      <w:r w:rsidR="00F47F50">
        <w:rPr>
          <w:rFonts w:ascii="Arial" w:hAnsi="Arial" w:cs="Arial"/>
          <w:sz w:val="24"/>
        </w:rPr>
        <w:t>’</w:t>
      </w:r>
      <w:r>
        <w:rPr>
          <w:rFonts w:ascii="Arial" w:hAnsi="Arial" w:cs="Arial"/>
          <w:sz w:val="24"/>
        </w:rPr>
        <w:t>s t-test for age and BMI) are included to demonstrate the comparability of the groups at baseline.</w:t>
      </w:r>
    </w:p>
    <w:p w14:paraId="38328DC1" w14:textId="0674ECC0" w:rsidR="00603005" w:rsidRDefault="00603005">
      <w:pPr>
        <w:widowControl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E904459" w14:textId="77777777" w:rsidR="00603005" w:rsidRDefault="00603005" w:rsidP="00603005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Legend for Supplementary Data 2</w:t>
      </w:r>
    </w:p>
    <w:p w14:paraId="565B04B2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Title: Composition of standard and custom-designed experimental mouse diets.</w:t>
      </w:r>
    </w:p>
    <w:p w14:paraId="7CD00451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Description:</w:t>
      </w:r>
    </w:p>
    <w:p w14:paraId="53428798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file contains the detailed nutritional composition of two types of diets used in the animal experiments: 1) The standard maintenance chow (Product P1101F-25), and 2) A pair of custom-designed, amino-acid-defined diets (Tryptophan-deficient and Control diets, Product FB-A10021B). The tables list complete specifications for macronutrients, amino acids, minerals, vitamins, and other ingredients.</w:t>
      </w:r>
    </w:p>
    <w:p w14:paraId="4EAB27BD" w14:textId="3A58A8E9" w:rsidR="00603005" w:rsidRDefault="00603005">
      <w:pPr>
        <w:widowControl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468A892E" w14:textId="77777777" w:rsidR="00603005" w:rsidRDefault="00603005" w:rsidP="00603005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Legend for Supplementary Data 3</w:t>
      </w:r>
    </w:p>
    <w:p w14:paraId="42AE4FE6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Title: The metabolite profile of mice colon content.</w:t>
      </w:r>
    </w:p>
    <w:p w14:paraId="343C139B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Description:</w:t>
      </w:r>
    </w:p>
    <w:p w14:paraId="7FC8EE1B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file contains the primary dataset from metabolomic profiling of mouse colon content samples. The table lists detected metabolites with associated information such as compound name, abbreviation, and putative classification.</w:t>
      </w:r>
    </w:p>
    <w:p w14:paraId="7654D28D" w14:textId="5A6388FA" w:rsidR="00603005" w:rsidRDefault="00603005">
      <w:pPr>
        <w:widowControl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04A9ADB" w14:textId="47035906" w:rsidR="00603005" w:rsidRPr="00BC419D" w:rsidRDefault="00603005" w:rsidP="00603005">
      <w:pPr>
        <w:spacing w:line="360" w:lineRule="auto"/>
        <w:rPr>
          <w:rFonts w:ascii="Arial" w:hAnsi="Arial" w:cs="Arial" w:hint="eastAsia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Legend for Supplementary Data 4</w:t>
      </w:r>
    </w:p>
    <w:p w14:paraId="5923A890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Title: The profile of tryptophan-related metabolites in the supernatant of BC.</w:t>
      </w:r>
    </w:p>
    <w:p w14:paraId="48067075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Description:</w:t>
      </w:r>
    </w:p>
    <w:p w14:paraId="3A1511AB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dataset quantifies a panel of tryptophan-derived microbial metabolites in the supernatant of bacterial cultures. It includes key metabolites such as indole-3-propionic acid (IPA), indole-3-lactic acid (ILA), kynurenic acid (KYNA).</w:t>
      </w:r>
    </w:p>
    <w:p w14:paraId="378AD2BC" w14:textId="5553ACCE" w:rsidR="00603005" w:rsidRDefault="00603005">
      <w:pPr>
        <w:widowControl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3E55FEE3" w14:textId="77777777" w:rsidR="00603005" w:rsidRDefault="00603005" w:rsidP="00603005">
      <w:pPr>
        <w:spacing w:line="36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Legend for Supplementary Data 5</w:t>
      </w:r>
    </w:p>
    <w:p w14:paraId="607991DE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Title: Results of method validation.</w:t>
      </w:r>
    </w:p>
    <w:p w14:paraId="32DDE09E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Description:</w:t>
      </w:r>
    </w:p>
    <w:p w14:paraId="04FEE79E" w14:textId="77777777" w:rsidR="00603005" w:rsidRDefault="00603005" w:rsidP="00603005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table summarizes the method validation results for the simultaneous quantification of Indole-3-propionic acid (IPA), Indole-3-lactic acid (ILA), and Tryptophan (</w:t>
      </w:r>
      <w:proofErr w:type="spellStart"/>
      <w:r>
        <w:rPr>
          <w:rFonts w:ascii="Arial" w:hAnsi="Arial" w:cs="Arial"/>
          <w:sz w:val="24"/>
        </w:rPr>
        <w:t>Trp</w:t>
      </w:r>
      <w:proofErr w:type="spellEnd"/>
      <w:r>
        <w:rPr>
          <w:rFonts w:ascii="Arial" w:hAnsi="Arial" w:cs="Arial"/>
          <w:sz w:val="24"/>
        </w:rPr>
        <w:t>) by UHPLC-MS/MS. Key analytical performance parameters are reported, including the limit of detection (LOD), limit of quantification (LOQ), intra-day and inter-day precision (RSD%), linear regression equation, linear range, and correlation coefficient (r).</w:t>
      </w:r>
    </w:p>
    <w:p w14:paraId="061932F5" w14:textId="77777777" w:rsidR="00603005" w:rsidRDefault="00603005">
      <w:pPr>
        <w:spacing w:line="360" w:lineRule="auto"/>
        <w:rPr>
          <w:rFonts w:ascii="Arial" w:hAnsi="Arial" w:cs="Arial" w:hint="eastAsia"/>
          <w:sz w:val="24"/>
        </w:rPr>
      </w:pPr>
    </w:p>
    <w:sectPr w:rsidR="00603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513A25"/>
    <w:rsid w:val="001007FF"/>
    <w:rsid w:val="001C2531"/>
    <w:rsid w:val="00603005"/>
    <w:rsid w:val="007B6EA1"/>
    <w:rsid w:val="00BC419D"/>
    <w:rsid w:val="00CE2389"/>
    <w:rsid w:val="00F47F50"/>
    <w:rsid w:val="2651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17F58D0"/>
  <w15:docId w15:val="{25AFB614-856A-D84F-8022-3FDED4AE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～～</dc:creator>
  <cp:lastModifiedBy>Zhu,Shu</cp:lastModifiedBy>
  <cp:revision>4</cp:revision>
  <dcterms:created xsi:type="dcterms:W3CDTF">2026-02-14T13:15:00Z</dcterms:created>
  <dcterms:modified xsi:type="dcterms:W3CDTF">2026-02-14T13:24:00Z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40BF9B0C6041438C886C2C136DB151B2_11</vt:lpwstr>
  </property>
  <property fmtid="{D5CDD505-2E9C-101B-9397-08002B2CF9AE}" pid="4" name="KSOTemplateDocerSaveRecord">
    <vt:lpwstr>eyJoZGlkIjoiNjY5ZmIxMzkwYWMyYWU4OGNmOWU4MWFjOTYwNzgwMWYiLCJ1c2VySWQiOiIzMjA1NjQ2MTQifQ==</vt:lpwstr>
  </property>
</Properties>
</file>