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016C2" w14:textId="77777777" w:rsidR="00505502" w:rsidRDefault="00505502"/>
    <w:p w14:paraId="3BF5DC88" w14:textId="77777777" w:rsidR="007167EA" w:rsidRPr="006F6E46" w:rsidRDefault="007167EA" w:rsidP="007167EA">
      <w:pPr>
        <w:spacing w:line="480" w:lineRule="auto"/>
        <w:jc w:val="both"/>
        <w:rPr>
          <w:rFonts w:ascii="Arial" w:eastAsia="Arial" w:hAnsi="Arial" w:cs="Arial"/>
          <w:color w:val="0070C0"/>
        </w:rPr>
      </w:pPr>
      <w:r w:rsidRPr="006F6E46">
        <w:rPr>
          <w:rFonts w:ascii="Arial" w:hAnsi="Arial" w:cs="Arial"/>
          <w:color w:val="0070C0"/>
        </w:rPr>
        <w:t>Key Resources Table</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1"/>
        <w:gridCol w:w="3827"/>
        <w:gridCol w:w="2268"/>
        <w:gridCol w:w="1281"/>
      </w:tblGrid>
      <w:tr w:rsidR="00F8620A" w:rsidRPr="004E77B2" w14:paraId="4C6465EE" w14:textId="5E59BBE5" w:rsidTr="00C424AF">
        <w:trPr>
          <w:gridAfter w:val="1"/>
          <w:wAfter w:w="1281" w:type="dxa"/>
          <w:trHeight w:val="240"/>
        </w:trPr>
        <w:tc>
          <w:tcPr>
            <w:tcW w:w="2831" w:type="dxa"/>
            <w:tcBorders>
              <w:top w:val="single" w:sz="4" w:space="0" w:color="000000"/>
              <w:left w:val="single" w:sz="4" w:space="0" w:color="000000"/>
              <w:bottom w:val="single" w:sz="4" w:space="0" w:color="000000"/>
              <w:right w:val="single" w:sz="4" w:space="0" w:color="000000"/>
            </w:tcBorders>
          </w:tcPr>
          <w:p w14:paraId="621A0EE4" w14:textId="77777777" w:rsidR="00F8620A" w:rsidRPr="00C424AF" w:rsidRDefault="00F8620A" w:rsidP="000F7D0B">
            <w:pPr>
              <w:rPr>
                <w:rFonts w:ascii="Arial" w:eastAsia="Arial" w:hAnsi="Arial" w:cs="Arial"/>
                <w:b/>
                <w:bCs/>
                <w:color w:val="000000"/>
                <w:sz w:val="20"/>
                <w:szCs w:val="20"/>
              </w:rPr>
            </w:pPr>
            <w:r w:rsidRPr="00C424AF">
              <w:rPr>
                <w:rFonts w:ascii="Arial" w:eastAsia="Arial" w:hAnsi="Arial" w:cs="Arial"/>
                <w:b/>
                <w:bCs/>
                <w:color w:val="000000"/>
                <w:sz w:val="20"/>
                <w:szCs w:val="20"/>
              </w:rPr>
              <w:t>REAGENT or RESOURCE</w:t>
            </w:r>
          </w:p>
        </w:tc>
        <w:tc>
          <w:tcPr>
            <w:tcW w:w="3827" w:type="dxa"/>
            <w:tcBorders>
              <w:top w:val="single" w:sz="4" w:space="0" w:color="000000"/>
              <w:left w:val="single" w:sz="4" w:space="0" w:color="000000"/>
              <w:bottom w:val="single" w:sz="4" w:space="0" w:color="000000"/>
              <w:right w:val="single" w:sz="4" w:space="0" w:color="000000"/>
            </w:tcBorders>
          </w:tcPr>
          <w:p w14:paraId="1CBA3798" w14:textId="77777777" w:rsidR="00F8620A" w:rsidRPr="00C424AF" w:rsidRDefault="00F8620A" w:rsidP="000F7D0B">
            <w:pPr>
              <w:rPr>
                <w:rFonts w:ascii="Arial" w:eastAsia="Arial" w:hAnsi="Arial" w:cs="Arial"/>
                <w:b/>
                <w:bCs/>
                <w:color w:val="000000"/>
                <w:sz w:val="20"/>
                <w:szCs w:val="20"/>
              </w:rPr>
            </w:pPr>
            <w:r w:rsidRPr="00C424AF">
              <w:rPr>
                <w:rFonts w:ascii="Arial" w:eastAsia="Arial" w:hAnsi="Arial" w:cs="Arial"/>
                <w:b/>
                <w:bCs/>
                <w:color w:val="000000"/>
                <w:sz w:val="20"/>
                <w:szCs w:val="20"/>
              </w:rPr>
              <w:t>SOURCE</w:t>
            </w:r>
          </w:p>
        </w:tc>
        <w:tc>
          <w:tcPr>
            <w:tcW w:w="2268" w:type="dxa"/>
            <w:tcBorders>
              <w:top w:val="single" w:sz="4" w:space="0" w:color="000000"/>
              <w:left w:val="single" w:sz="4" w:space="0" w:color="000000"/>
              <w:bottom w:val="single" w:sz="4" w:space="0" w:color="000000"/>
              <w:right w:val="single" w:sz="4" w:space="0" w:color="000000"/>
            </w:tcBorders>
          </w:tcPr>
          <w:p w14:paraId="2EF371E0" w14:textId="77777777" w:rsidR="00F8620A" w:rsidRPr="00C424AF" w:rsidRDefault="00F8620A" w:rsidP="000F7D0B">
            <w:pPr>
              <w:rPr>
                <w:rFonts w:ascii="Arial" w:eastAsia="Arial" w:hAnsi="Arial" w:cs="Arial"/>
                <w:b/>
                <w:bCs/>
                <w:color w:val="000000"/>
                <w:sz w:val="20"/>
                <w:szCs w:val="20"/>
              </w:rPr>
            </w:pPr>
            <w:r w:rsidRPr="00C424AF">
              <w:rPr>
                <w:rFonts w:ascii="Arial" w:eastAsia="Arial" w:hAnsi="Arial" w:cs="Arial"/>
                <w:b/>
                <w:bCs/>
                <w:color w:val="000000"/>
                <w:sz w:val="20"/>
                <w:szCs w:val="20"/>
              </w:rPr>
              <w:t>IDENTIFIER</w:t>
            </w:r>
          </w:p>
        </w:tc>
      </w:tr>
      <w:tr w:rsidR="00F8620A" w:rsidRPr="004E77B2" w14:paraId="26639DBD" w14:textId="7FF3DDB0" w:rsidTr="00C424AF">
        <w:trPr>
          <w:trHeight w:val="240"/>
        </w:trPr>
        <w:tc>
          <w:tcPr>
            <w:tcW w:w="8926" w:type="dxa"/>
            <w:gridSpan w:val="3"/>
            <w:tcBorders>
              <w:top w:val="single" w:sz="12" w:space="0" w:color="000000"/>
              <w:left w:val="single" w:sz="12" w:space="0" w:color="000000"/>
              <w:bottom w:val="single" w:sz="12" w:space="0" w:color="000000"/>
              <w:right w:val="single" w:sz="12" w:space="0" w:color="000000"/>
            </w:tcBorders>
          </w:tcPr>
          <w:p w14:paraId="42A74735" w14:textId="77777777" w:rsidR="00F8620A" w:rsidRPr="004E77B2" w:rsidRDefault="00F8620A" w:rsidP="000F7D0B">
            <w:pPr>
              <w:rPr>
                <w:rFonts w:ascii="Arial" w:eastAsia="Arial" w:hAnsi="Arial" w:cs="Arial"/>
                <w:b/>
                <w:color w:val="000000"/>
                <w:sz w:val="20"/>
                <w:szCs w:val="20"/>
              </w:rPr>
            </w:pPr>
            <w:r w:rsidRPr="004E77B2">
              <w:rPr>
                <w:rFonts w:ascii="Arial" w:eastAsia="Arial" w:hAnsi="Arial" w:cs="Arial"/>
                <w:b/>
                <w:color w:val="000000"/>
                <w:sz w:val="20"/>
                <w:szCs w:val="20"/>
              </w:rPr>
              <w:t>Antibodies</w:t>
            </w:r>
          </w:p>
        </w:tc>
        <w:tc>
          <w:tcPr>
            <w:tcW w:w="1281" w:type="dxa"/>
          </w:tcPr>
          <w:p w14:paraId="498CA851" w14:textId="7FEC5482" w:rsidR="00F8620A" w:rsidRPr="0052493D" w:rsidRDefault="00F8620A" w:rsidP="000F7D0B">
            <w:pPr>
              <w:rPr>
                <w:rFonts w:ascii="Arial" w:eastAsia="Arial" w:hAnsi="Arial" w:cs="Arial"/>
                <w:b/>
                <w:color w:val="000000"/>
                <w:sz w:val="20"/>
                <w:szCs w:val="20"/>
              </w:rPr>
            </w:pPr>
            <w:r w:rsidRPr="0052493D">
              <w:rPr>
                <w:rFonts w:ascii="Arial" w:eastAsia="Arial" w:hAnsi="Arial" w:cs="Arial"/>
                <w:b/>
                <w:color w:val="000000"/>
                <w:sz w:val="20"/>
                <w:szCs w:val="20"/>
              </w:rPr>
              <w:t>Dilution</w:t>
            </w:r>
          </w:p>
        </w:tc>
      </w:tr>
      <w:tr w:rsidR="00F8620A" w:rsidRPr="00A65ED8" w14:paraId="3C1B4FEE" w14:textId="1E753713" w:rsidTr="00C424AF">
        <w:trPr>
          <w:trHeight w:val="240"/>
        </w:trPr>
        <w:tc>
          <w:tcPr>
            <w:tcW w:w="2831" w:type="dxa"/>
          </w:tcPr>
          <w:p w14:paraId="56A71B33"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Rat anti-Deadpan (195173)</w:t>
            </w:r>
          </w:p>
        </w:tc>
        <w:tc>
          <w:tcPr>
            <w:tcW w:w="3827" w:type="dxa"/>
          </w:tcPr>
          <w:p w14:paraId="63CB4E90"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 xml:space="preserve">Abcam </w:t>
            </w:r>
          </w:p>
        </w:tc>
        <w:tc>
          <w:tcPr>
            <w:tcW w:w="2268" w:type="dxa"/>
          </w:tcPr>
          <w:p w14:paraId="0991DEC1"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_2687586</w:t>
            </w:r>
          </w:p>
        </w:tc>
        <w:tc>
          <w:tcPr>
            <w:tcW w:w="1281" w:type="dxa"/>
          </w:tcPr>
          <w:p w14:paraId="11CEA008" w14:textId="226A63B9"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1:200</w:t>
            </w:r>
          </w:p>
        </w:tc>
      </w:tr>
      <w:tr w:rsidR="00F8620A" w:rsidRPr="00A65ED8" w14:paraId="64AED8D7" w14:textId="66FFBB34" w:rsidTr="00C424AF">
        <w:trPr>
          <w:trHeight w:val="240"/>
        </w:trPr>
        <w:tc>
          <w:tcPr>
            <w:tcW w:w="2831" w:type="dxa"/>
          </w:tcPr>
          <w:p w14:paraId="7ED631AD"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Guinea pig anti-Deadpan</w:t>
            </w:r>
          </w:p>
        </w:tc>
        <w:tc>
          <w:tcPr>
            <w:tcW w:w="3827" w:type="dxa"/>
          </w:tcPr>
          <w:p w14:paraId="7A3CC057"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Gift from James B Skeath</w:t>
            </w:r>
          </w:p>
        </w:tc>
        <w:tc>
          <w:tcPr>
            <w:tcW w:w="2268" w:type="dxa"/>
          </w:tcPr>
          <w:p w14:paraId="07ABCB9C"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i/>
                <w:color w:val="000000" w:themeColor="text1"/>
                <w:sz w:val="20"/>
                <w:szCs w:val="20"/>
              </w:rPr>
              <w:t>---</w:t>
            </w:r>
          </w:p>
        </w:tc>
        <w:tc>
          <w:tcPr>
            <w:tcW w:w="1281" w:type="dxa"/>
          </w:tcPr>
          <w:p w14:paraId="7BBDA449" w14:textId="579A23EB"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1:1000</w:t>
            </w:r>
          </w:p>
        </w:tc>
      </w:tr>
      <w:tr w:rsidR="00F8620A" w:rsidRPr="00A65ED8" w14:paraId="2982EAC4" w14:textId="3C5052EF" w:rsidTr="00C424AF">
        <w:trPr>
          <w:trHeight w:val="363"/>
        </w:trPr>
        <w:tc>
          <w:tcPr>
            <w:tcW w:w="2831" w:type="dxa"/>
          </w:tcPr>
          <w:p w14:paraId="22C1A0A6"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Mouse anti-Prospero (MR1A)</w:t>
            </w:r>
          </w:p>
        </w:tc>
        <w:tc>
          <w:tcPr>
            <w:tcW w:w="3827" w:type="dxa"/>
          </w:tcPr>
          <w:p w14:paraId="793CD366"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 xml:space="preserve">Developmental Studies Hybridoma bank </w:t>
            </w:r>
          </w:p>
        </w:tc>
        <w:tc>
          <w:tcPr>
            <w:tcW w:w="2268" w:type="dxa"/>
          </w:tcPr>
          <w:p w14:paraId="2D86DAC1"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_528440</w:t>
            </w:r>
          </w:p>
        </w:tc>
        <w:tc>
          <w:tcPr>
            <w:tcW w:w="1281" w:type="dxa"/>
          </w:tcPr>
          <w:p w14:paraId="708A7DCD" w14:textId="394C1FCD"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1:200</w:t>
            </w:r>
          </w:p>
        </w:tc>
      </w:tr>
      <w:tr w:rsidR="00F8620A" w:rsidRPr="00A65ED8" w14:paraId="7FEFD7F4" w14:textId="66828BA8" w:rsidTr="00C424AF">
        <w:trPr>
          <w:trHeight w:val="363"/>
        </w:trPr>
        <w:tc>
          <w:tcPr>
            <w:tcW w:w="2831" w:type="dxa"/>
          </w:tcPr>
          <w:p w14:paraId="1E753414" w14:textId="77777777" w:rsidR="00F8620A" w:rsidRPr="00A65ED8" w:rsidRDefault="00F8620A" w:rsidP="000F7D0B">
            <w:pPr>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Rat anti-Elav (7E8A10)</w:t>
            </w:r>
          </w:p>
        </w:tc>
        <w:tc>
          <w:tcPr>
            <w:tcW w:w="3827" w:type="dxa"/>
          </w:tcPr>
          <w:p w14:paraId="115B92B3" w14:textId="77777777" w:rsidR="00F8620A" w:rsidRPr="00A65ED8" w:rsidRDefault="00F8620A" w:rsidP="000F7D0B">
            <w:pPr>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Developmental Studies Hybridoma bank</w:t>
            </w:r>
          </w:p>
        </w:tc>
        <w:tc>
          <w:tcPr>
            <w:tcW w:w="2268" w:type="dxa"/>
          </w:tcPr>
          <w:p w14:paraId="01178FAF" w14:textId="77777777" w:rsidR="00F8620A" w:rsidRPr="00A65ED8" w:rsidRDefault="00F8620A" w:rsidP="000F7D0B">
            <w:pPr>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_528218</w:t>
            </w:r>
          </w:p>
        </w:tc>
        <w:tc>
          <w:tcPr>
            <w:tcW w:w="1281" w:type="dxa"/>
          </w:tcPr>
          <w:p w14:paraId="39349681" w14:textId="3F2EDDBC"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1:100</w:t>
            </w:r>
          </w:p>
        </w:tc>
      </w:tr>
      <w:tr w:rsidR="00F8620A" w:rsidRPr="00A65ED8" w14:paraId="60F04B9F" w14:textId="23C49DF9" w:rsidTr="00C424AF">
        <w:trPr>
          <w:trHeight w:val="467"/>
        </w:trPr>
        <w:tc>
          <w:tcPr>
            <w:tcW w:w="2831" w:type="dxa"/>
          </w:tcPr>
          <w:p w14:paraId="2F3CB25D" w14:textId="77777777" w:rsidR="00F8620A" w:rsidRPr="00A65ED8" w:rsidRDefault="00F8620A" w:rsidP="000F7D0B">
            <w:pPr>
              <w:tabs>
                <w:tab w:val="left" w:pos="1525"/>
              </w:tabs>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Mouse anti-Repo (8D12)</w:t>
            </w:r>
          </w:p>
        </w:tc>
        <w:tc>
          <w:tcPr>
            <w:tcW w:w="3827" w:type="dxa"/>
          </w:tcPr>
          <w:p w14:paraId="46936F6E" w14:textId="77777777" w:rsidR="00F8620A" w:rsidRPr="00A65ED8" w:rsidRDefault="00F8620A" w:rsidP="000F7D0B">
            <w:pPr>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Developmental Studies Hybridoma bank</w:t>
            </w:r>
          </w:p>
        </w:tc>
        <w:tc>
          <w:tcPr>
            <w:tcW w:w="2268" w:type="dxa"/>
          </w:tcPr>
          <w:p w14:paraId="21269A0B" w14:textId="77777777" w:rsidR="00F8620A" w:rsidRPr="00A65ED8" w:rsidRDefault="00F8620A" w:rsidP="000F7D0B">
            <w:pPr>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_528448</w:t>
            </w:r>
          </w:p>
        </w:tc>
        <w:tc>
          <w:tcPr>
            <w:tcW w:w="1281" w:type="dxa"/>
          </w:tcPr>
          <w:p w14:paraId="48ED16AC" w14:textId="66058DD9"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1:100</w:t>
            </w:r>
          </w:p>
        </w:tc>
      </w:tr>
      <w:tr w:rsidR="00F8620A" w:rsidRPr="00A65ED8" w14:paraId="03C42A18" w14:textId="7EA6EEA0" w:rsidTr="00C424AF">
        <w:trPr>
          <w:trHeight w:val="240"/>
        </w:trPr>
        <w:tc>
          <w:tcPr>
            <w:tcW w:w="2831" w:type="dxa"/>
          </w:tcPr>
          <w:p w14:paraId="7D91F25E" w14:textId="77777777" w:rsidR="00F8620A" w:rsidRPr="00A65ED8" w:rsidRDefault="00F8620A" w:rsidP="000F7D0B">
            <w:pPr>
              <w:tabs>
                <w:tab w:val="left" w:pos="1525"/>
              </w:tabs>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Rabbit anti-pH3 (9701)</w:t>
            </w:r>
          </w:p>
        </w:tc>
        <w:tc>
          <w:tcPr>
            <w:tcW w:w="3827" w:type="dxa"/>
          </w:tcPr>
          <w:p w14:paraId="630BF7A8" w14:textId="77777777" w:rsidR="00F8620A" w:rsidRPr="00A65ED8" w:rsidRDefault="00F8620A" w:rsidP="000F7D0B">
            <w:pPr>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Cell Signaling Technology</w:t>
            </w:r>
          </w:p>
        </w:tc>
        <w:tc>
          <w:tcPr>
            <w:tcW w:w="2268" w:type="dxa"/>
          </w:tcPr>
          <w:p w14:paraId="5D28DD71" w14:textId="77777777" w:rsidR="00F8620A" w:rsidRPr="00A65ED8" w:rsidRDefault="00F8620A" w:rsidP="000F7D0B">
            <w:pPr>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_331535</w:t>
            </w:r>
          </w:p>
        </w:tc>
        <w:tc>
          <w:tcPr>
            <w:tcW w:w="1281" w:type="dxa"/>
          </w:tcPr>
          <w:p w14:paraId="651D64F0" w14:textId="62AF9CC0"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1:1000</w:t>
            </w:r>
          </w:p>
        </w:tc>
      </w:tr>
      <w:tr w:rsidR="00F8620A" w:rsidRPr="00A65ED8" w14:paraId="0209621A" w14:textId="4DB4D84F" w:rsidTr="00C424AF">
        <w:trPr>
          <w:trHeight w:val="240"/>
        </w:trPr>
        <w:tc>
          <w:tcPr>
            <w:tcW w:w="2831" w:type="dxa"/>
          </w:tcPr>
          <w:p w14:paraId="178F9FBB" w14:textId="77777777" w:rsidR="00F8620A" w:rsidRPr="00A65ED8" w:rsidRDefault="00F8620A" w:rsidP="000F7D0B">
            <w:pPr>
              <w:tabs>
                <w:tab w:val="left" w:pos="1525"/>
              </w:tabs>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 xml:space="preserve">Rabbit anti- pH2Av </w:t>
            </w:r>
          </w:p>
        </w:tc>
        <w:tc>
          <w:tcPr>
            <w:tcW w:w="3827" w:type="dxa"/>
          </w:tcPr>
          <w:p w14:paraId="7BEF8792" w14:textId="77777777" w:rsidR="00F8620A" w:rsidRPr="00A65ED8" w:rsidRDefault="00F8620A" w:rsidP="000F7D0B">
            <w:pPr>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Rockland</w:t>
            </w:r>
          </w:p>
        </w:tc>
        <w:tc>
          <w:tcPr>
            <w:tcW w:w="2268" w:type="dxa"/>
          </w:tcPr>
          <w:p w14:paraId="2F30E68C" w14:textId="77777777" w:rsidR="00F8620A" w:rsidRPr="00A65ED8" w:rsidRDefault="00F8620A" w:rsidP="000F7D0B">
            <w:pPr>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_828383</w:t>
            </w:r>
          </w:p>
        </w:tc>
        <w:tc>
          <w:tcPr>
            <w:tcW w:w="1281" w:type="dxa"/>
          </w:tcPr>
          <w:p w14:paraId="2DDB3F78" w14:textId="4EEA5CC7"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1:500</w:t>
            </w:r>
          </w:p>
        </w:tc>
      </w:tr>
      <w:tr w:rsidR="00F8620A" w:rsidRPr="00A65ED8" w14:paraId="56FFA52E" w14:textId="4616B458" w:rsidTr="00C424AF">
        <w:trPr>
          <w:trHeight w:val="240"/>
        </w:trPr>
        <w:tc>
          <w:tcPr>
            <w:tcW w:w="2831" w:type="dxa"/>
          </w:tcPr>
          <w:p w14:paraId="3D053FBC"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Mouse anti-γH2Av</w:t>
            </w:r>
          </w:p>
        </w:tc>
        <w:tc>
          <w:tcPr>
            <w:tcW w:w="3827" w:type="dxa"/>
          </w:tcPr>
          <w:p w14:paraId="0D6AE34C"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Developmental Studies Hybridoma bank</w:t>
            </w:r>
          </w:p>
        </w:tc>
        <w:tc>
          <w:tcPr>
            <w:tcW w:w="2268" w:type="dxa"/>
          </w:tcPr>
          <w:p w14:paraId="589E967A"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_2618077</w:t>
            </w:r>
          </w:p>
        </w:tc>
        <w:tc>
          <w:tcPr>
            <w:tcW w:w="1281" w:type="dxa"/>
          </w:tcPr>
          <w:p w14:paraId="70115C46" w14:textId="5EA38C8D"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1:300</w:t>
            </w:r>
          </w:p>
        </w:tc>
      </w:tr>
      <w:tr w:rsidR="00F8620A" w:rsidRPr="00A65ED8" w14:paraId="2E2EECE5" w14:textId="5629C932" w:rsidTr="00C424AF">
        <w:trPr>
          <w:trHeight w:val="240"/>
        </w:trPr>
        <w:tc>
          <w:tcPr>
            <w:tcW w:w="2831" w:type="dxa"/>
          </w:tcPr>
          <w:p w14:paraId="2870ADE7"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Rabbit anti-cleaved Dcp-1 (</w:t>
            </w:r>
            <w:r w:rsidRPr="00A65ED8">
              <w:rPr>
                <w:rFonts w:ascii="Arial" w:hAnsi="Arial" w:cs="Arial"/>
                <w:color w:val="000000" w:themeColor="text1"/>
                <w:sz w:val="20"/>
                <w:szCs w:val="20"/>
                <w:shd w:val="clear" w:color="auto" w:fill="FFFFFF"/>
              </w:rPr>
              <w:t>9578S)</w:t>
            </w:r>
          </w:p>
        </w:tc>
        <w:tc>
          <w:tcPr>
            <w:tcW w:w="3827" w:type="dxa"/>
          </w:tcPr>
          <w:p w14:paraId="05CC48BE"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Cell Signaling Technology</w:t>
            </w:r>
          </w:p>
        </w:tc>
        <w:tc>
          <w:tcPr>
            <w:tcW w:w="2268" w:type="dxa"/>
          </w:tcPr>
          <w:p w14:paraId="090F61FD" w14:textId="77777777" w:rsidR="00F8620A" w:rsidRPr="00A65ED8" w:rsidRDefault="00F8620A" w:rsidP="000F7D0B">
            <w:pPr>
              <w:rPr>
                <w:rFonts w:ascii="Arial" w:eastAsia="Arial" w:hAnsi="Arial" w:cs="Arial"/>
                <w:i/>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_2721060</w:t>
            </w:r>
          </w:p>
        </w:tc>
        <w:tc>
          <w:tcPr>
            <w:tcW w:w="1281" w:type="dxa"/>
          </w:tcPr>
          <w:p w14:paraId="1C18615A" w14:textId="0566FD56"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1:100</w:t>
            </w:r>
          </w:p>
        </w:tc>
      </w:tr>
      <w:tr w:rsidR="00F8620A" w:rsidRPr="00A65ED8" w14:paraId="59823ABD" w14:textId="5E6D0074" w:rsidTr="00C424AF">
        <w:trPr>
          <w:trHeight w:val="240"/>
        </w:trPr>
        <w:tc>
          <w:tcPr>
            <w:tcW w:w="2831" w:type="dxa"/>
          </w:tcPr>
          <w:p w14:paraId="5942D9B1"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Rat anti-</w:t>
            </w:r>
            <w:proofErr w:type="spellStart"/>
            <w:r w:rsidRPr="00A65ED8">
              <w:rPr>
                <w:rFonts w:ascii="Arial" w:eastAsia="Arial" w:hAnsi="Arial" w:cs="Arial"/>
                <w:color w:val="000000" w:themeColor="text1"/>
                <w:sz w:val="20"/>
                <w:szCs w:val="20"/>
              </w:rPr>
              <w:t>Worniu</w:t>
            </w:r>
            <w:proofErr w:type="spellEnd"/>
            <w:r w:rsidRPr="00A65ED8">
              <w:rPr>
                <w:rFonts w:ascii="Arial" w:eastAsia="Arial" w:hAnsi="Arial" w:cs="Arial"/>
                <w:color w:val="000000" w:themeColor="text1"/>
                <w:sz w:val="20"/>
                <w:szCs w:val="20"/>
              </w:rPr>
              <w:t xml:space="preserve"> (#ab196362)</w:t>
            </w:r>
          </w:p>
        </w:tc>
        <w:tc>
          <w:tcPr>
            <w:tcW w:w="3827" w:type="dxa"/>
          </w:tcPr>
          <w:p w14:paraId="74A64698"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Abcam</w:t>
            </w:r>
          </w:p>
        </w:tc>
        <w:tc>
          <w:tcPr>
            <w:tcW w:w="2268" w:type="dxa"/>
          </w:tcPr>
          <w:p w14:paraId="29EF399E"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w:t>
            </w:r>
          </w:p>
        </w:tc>
        <w:tc>
          <w:tcPr>
            <w:tcW w:w="1281" w:type="dxa"/>
          </w:tcPr>
          <w:p w14:paraId="16B74ECA" w14:textId="6D2B8BB6"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1:200</w:t>
            </w:r>
          </w:p>
        </w:tc>
      </w:tr>
      <w:tr w:rsidR="00F8620A" w:rsidRPr="00A65ED8" w14:paraId="737613FD" w14:textId="5E512265" w:rsidTr="00C424AF">
        <w:trPr>
          <w:trHeight w:val="240"/>
        </w:trPr>
        <w:tc>
          <w:tcPr>
            <w:tcW w:w="2831" w:type="dxa"/>
          </w:tcPr>
          <w:p w14:paraId="7414446A" w14:textId="5A6DB712" w:rsidR="00F8620A" w:rsidRPr="0052493D" w:rsidRDefault="00F8620A" w:rsidP="000F7D0B">
            <w:pPr>
              <w:tabs>
                <w:tab w:val="left" w:pos="1525"/>
              </w:tabs>
              <w:rPr>
                <w:rFonts w:ascii="Arial" w:eastAsia="Arial" w:hAnsi="Arial" w:cs="Arial"/>
                <w:color w:val="000000" w:themeColor="text1"/>
                <w:sz w:val="20"/>
                <w:szCs w:val="20"/>
              </w:rPr>
            </w:pPr>
            <w:r w:rsidRPr="0052493D">
              <w:rPr>
                <w:rFonts w:ascii="Arial" w:eastAsia="Arial" w:hAnsi="Arial" w:cs="Arial"/>
                <w:color w:val="000000" w:themeColor="text1"/>
                <w:sz w:val="20"/>
                <w:szCs w:val="20"/>
              </w:rPr>
              <w:t>Mouse anti-Dp53 (</w:t>
            </w:r>
            <w:r w:rsidRPr="0052493D">
              <w:rPr>
                <w:rFonts w:ascii="Arial" w:hAnsi="Arial" w:cs="Arial"/>
                <w:color w:val="000000" w:themeColor="text1"/>
                <w:sz w:val="20"/>
                <w:szCs w:val="20"/>
                <w:shd w:val="clear" w:color="auto" w:fill="FFFFFF"/>
              </w:rPr>
              <w:t>p53 25F4)</w:t>
            </w:r>
          </w:p>
        </w:tc>
        <w:tc>
          <w:tcPr>
            <w:tcW w:w="3827" w:type="dxa"/>
          </w:tcPr>
          <w:p w14:paraId="48919BF4"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Developmental Studies Hybridoma bank</w:t>
            </w:r>
          </w:p>
        </w:tc>
        <w:tc>
          <w:tcPr>
            <w:tcW w:w="2268" w:type="dxa"/>
          </w:tcPr>
          <w:p w14:paraId="1518CCD0" w14:textId="77777777" w:rsidR="00F8620A" w:rsidRPr="00A65ED8" w:rsidRDefault="00F8620A" w:rsidP="000F7D0B">
            <w:pPr>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_579787</w:t>
            </w:r>
          </w:p>
        </w:tc>
        <w:tc>
          <w:tcPr>
            <w:tcW w:w="1281" w:type="dxa"/>
          </w:tcPr>
          <w:p w14:paraId="69A16D3B" w14:textId="7CFE1EC2"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1:50</w:t>
            </w:r>
          </w:p>
        </w:tc>
      </w:tr>
      <w:tr w:rsidR="00F8620A" w:rsidRPr="00A65ED8" w14:paraId="3F65D7A1" w14:textId="0B5919B3" w:rsidTr="00C424AF">
        <w:trPr>
          <w:trHeight w:val="240"/>
        </w:trPr>
        <w:tc>
          <w:tcPr>
            <w:tcW w:w="2831" w:type="dxa"/>
          </w:tcPr>
          <w:p w14:paraId="13E9B53E" w14:textId="6A6C6529" w:rsidR="00F8620A" w:rsidRPr="0052493D" w:rsidRDefault="00F8620A" w:rsidP="000F7D0B">
            <w:pPr>
              <w:tabs>
                <w:tab w:val="left" w:pos="1525"/>
              </w:tabs>
              <w:rPr>
                <w:rFonts w:ascii="Arial" w:eastAsia="Arial" w:hAnsi="Arial" w:cs="Arial"/>
                <w:color w:val="000000" w:themeColor="text1"/>
                <w:sz w:val="20"/>
                <w:szCs w:val="20"/>
              </w:rPr>
            </w:pPr>
            <w:r w:rsidRPr="0052493D">
              <w:rPr>
                <w:rFonts w:ascii="Arial" w:eastAsia="Arial" w:hAnsi="Arial" w:cs="Arial"/>
                <w:color w:val="000000" w:themeColor="text1"/>
                <w:sz w:val="20"/>
                <w:szCs w:val="20"/>
              </w:rPr>
              <w:t>Mouse anti-Dp53 (p53 7A4)</w:t>
            </w:r>
          </w:p>
        </w:tc>
        <w:tc>
          <w:tcPr>
            <w:tcW w:w="3827" w:type="dxa"/>
          </w:tcPr>
          <w:p w14:paraId="07DAC765"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Developmental Studies Hybridoma bank</w:t>
            </w:r>
          </w:p>
        </w:tc>
        <w:tc>
          <w:tcPr>
            <w:tcW w:w="2268" w:type="dxa"/>
          </w:tcPr>
          <w:p w14:paraId="6F20262F"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_579786</w:t>
            </w:r>
          </w:p>
        </w:tc>
        <w:tc>
          <w:tcPr>
            <w:tcW w:w="1281" w:type="dxa"/>
          </w:tcPr>
          <w:p w14:paraId="743B9488" w14:textId="3808CB28"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1:50</w:t>
            </w:r>
          </w:p>
        </w:tc>
      </w:tr>
      <w:tr w:rsidR="00F8620A" w:rsidRPr="00A65ED8" w14:paraId="42C010BF" w14:textId="3170CA22" w:rsidTr="00C424AF">
        <w:trPr>
          <w:trHeight w:val="240"/>
        </w:trPr>
        <w:tc>
          <w:tcPr>
            <w:tcW w:w="2831" w:type="dxa"/>
          </w:tcPr>
          <w:p w14:paraId="410E0D63"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Mouse anti-</w:t>
            </w:r>
            <w:proofErr w:type="spellStart"/>
            <w:r w:rsidRPr="00A65ED8">
              <w:rPr>
                <w:rFonts w:ascii="Arial" w:eastAsia="Arial" w:hAnsi="Arial" w:cs="Arial"/>
                <w:color w:val="000000" w:themeColor="text1"/>
                <w:sz w:val="20"/>
                <w:szCs w:val="20"/>
              </w:rPr>
              <w:t>Dacapo</w:t>
            </w:r>
            <w:proofErr w:type="spellEnd"/>
            <w:r w:rsidRPr="00A65ED8">
              <w:rPr>
                <w:rFonts w:ascii="Arial" w:eastAsia="Arial" w:hAnsi="Arial" w:cs="Arial"/>
                <w:color w:val="000000" w:themeColor="text1"/>
                <w:sz w:val="20"/>
                <w:szCs w:val="20"/>
              </w:rPr>
              <w:t xml:space="preserve"> (NP1)</w:t>
            </w:r>
          </w:p>
        </w:tc>
        <w:tc>
          <w:tcPr>
            <w:tcW w:w="3827" w:type="dxa"/>
          </w:tcPr>
          <w:p w14:paraId="532456E5"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Developmental Studies Hybridoma bank</w:t>
            </w:r>
          </w:p>
        </w:tc>
        <w:tc>
          <w:tcPr>
            <w:tcW w:w="2268" w:type="dxa"/>
          </w:tcPr>
          <w:p w14:paraId="3426776B"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_10805540</w:t>
            </w:r>
          </w:p>
        </w:tc>
        <w:tc>
          <w:tcPr>
            <w:tcW w:w="1281" w:type="dxa"/>
          </w:tcPr>
          <w:p w14:paraId="4F075696" w14:textId="4F16E5FA"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w:t>
            </w:r>
            <w:r w:rsidR="00537A01" w:rsidRPr="0052493D">
              <w:rPr>
                <w:rFonts w:ascii="Arial" w:eastAsia="Arial" w:hAnsi="Arial" w:cs="Arial"/>
                <w:color w:val="000000" w:themeColor="text1"/>
                <w:sz w:val="20"/>
                <w:szCs w:val="20"/>
              </w:rPr>
              <w:t>10</w:t>
            </w:r>
          </w:p>
        </w:tc>
      </w:tr>
      <w:tr w:rsidR="00F8620A" w:rsidRPr="00A65ED8" w14:paraId="122F3F73" w14:textId="35052F0C" w:rsidTr="00C424AF">
        <w:trPr>
          <w:trHeight w:val="240"/>
        </w:trPr>
        <w:tc>
          <w:tcPr>
            <w:tcW w:w="2831" w:type="dxa"/>
          </w:tcPr>
          <w:p w14:paraId="5D4F5729"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Mouse anti-</w:t>
            </w:r>
            <w:proofErr w:type="spellStart"/>
            <w:r w:rsidRPr="00A65ED8">
              <w:rPr>
                <w:rFonts w:ascii="Arial" w:eastAsia="Arial" w:hAnsi="Arial" w:cs="Arial"/>
                <w:color w:val="000000" w:themeColor="text1"/>
                <w:sz w:val="20"/>
                <w:szCs w:val="20"/>
              </w:rPr>
              <w:t>Sxl</w:t>
            </w:r>
            <w:proofErr w:type="spellEnd"/>
            <w:r w:rsidRPr="00A65ED8">
              <w:rPr>
                <w:rFonts w:ascii="Arial" w:eastAsia="Arial" w:hAnsi="Arial" w:cs="Arial"/>
                <w:color w:val="000000" w:themeColor="text1"/>
                <w:sz w:val="20"/>
                <w:szCs w:val="20"/>
              </w:rPr>
              <w:t xml:space="preserve"> (M18)</w:t>
            </w:r>
          </w:p>
        </w:tc>
        <w:tc>
          <w:tcPr>
            <w:tcW w:w="3827" w:type="dxa"/>
          </w:tcPr>
          <w:p w14:paraId="47CFAFB0"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Developmental Studies Hybridoma bank</w:t>
            </w:r>
          </w:p>
        </w:tc>
        <w:tc>
          <w:tcPr>
            <w:tcW w:w="2268" w:type="dxa"/>
          </w:tcPr>
          <w:p w14:paraId="0593CD15"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_528464</w:t>
            </w:r>
          </w:p>
        </w:tc>
        <w:tc>
          <w:tcPr>
            <w:tcW w:w="1281" w:type="dxa"/>
          </w:tcPr>
          <w:p w14:paraId="22EAAD83" w14:textId="03E314EA"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w:t>
            </w:r>
          </w:p>
        </w:tc>
      </w:tr>
      <w:tr w:rsidR="00F8620A" w:rsidRPr="00A65ED8" w14:paraId="696DB8DC" w14:textId="6BFAD1F6" w:rsidTr="00C424AF">
        <w:trPr>
          <w:trHeight w:val="240"/>
        </w:trPr>
        <w:tc>
          <w:tcPr>
            <w:tcW w:w="2831" w:type="dxa"/>
          </w:tcPr>
          <w:p w14:paraId="39A1E7AF"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Goat anti-Msl2 (sc-32459)</w:t>
            </w:r>
          </w:p>
        </w:tc>
        <w:tc>
          <w:tcPr>
            <w:tcW w:w="3827" w:type="dxa"/>
          </w:tcPr>
          <w:p w14:paraId="1341F44D"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Santa Cruz</w:t>
            </w:r>
          </w:p>
        </w:tc>
        <w:tc>
          <w:tcPr>
            <w:tcW w:w="2268" w:type="dxa"/>
          </w:tcPr>
          <w:p w14:paraId="6445EBA3" w14:textId="77777777" w:rsidR="00F8620A" w:rsidRPr="00A65ED8" w:rsidRDefault="00F8620A"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RRID:AB</w:t>
            </w:r>
            <w:proofErr w:type="gramEnd"/>
            <w:r w:rsidRPr="00A65ED8">
              <w:rPr>
                <w:rFonts w:ascii="Arial" w:eastAsia="Arial" w:hAnsi="Arial" w:cs="Arial"/>
                <w:color w:val="000000" w:themeColor="text1"/>
                <w:sz w:val="20"/>
                <w:szCs w:val="20"/>
              </w:rPr>
              <w:t>_672213</w:t>
            </w:r>
          </w:p>
        </w:tc>
        <w:tc>
          <w:tcPr>
            <w:tcW w:w="1281" w:type="dxa"/>
          </w:tcPr>
          <w:p w14:paraId="1055C8C6" w14:textId="4C48729D"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1:50</w:t>
            </w:r>
          </w:p>
        </w:tc>
      </w:tr>
      <w:tr w:rsidR="00F8620A" w:rsidRPr="00A65ED8" w14:paraId="691BABBE" w14:textId="1B91257B" w:rsidTr="00C424AF">
        <w:trPr>
          <w:trHeight w:val="240"/>
        </w:trPr>
        <w:tc>
          <w:tcPr>
            <w:tcW w:w="2831" w:type="dxa"/>
          </w:tcPr>
          <w:p w14:paraId="3159B84C" w14:textId="77777777" w:rsidR="00F8620A" w:rsidRPr="00A65ED8" w:rsidRDefault="00F8620A"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Guinea pig anti-</w:t>
            </w:r>
            <w:proofErr w:type="spellStart"/>
            <w:r w:rsidRPr="00A65ED8">
              <w:rPr>
                <w:rFonts w:ascii="Arial" w:eastAsia="Arial" w:hAnsi="Arial" w:cs="Arial"/>
                <w:color w:val="000000" w:themeColor="text1"/>
                <w:sz w:val="20"/>
                <w:szCs w:val="20"/>
              </w:rPr>
              <w:t>Myc</w:t>
            </w:r>
            <w:proofErr w:type="spellEnd"/>
          </w:p>
        </w:tc>
        <w:tc>
          <w:tcPr>
            <w:tcW w:w="3827" w:type="dxa"/>
          </w:tcPr>
          <w:p w14:paraId="5A00166C" w14:textId="77777777" w:rsidR="00F8620A" w:rsidRPr="00A65ED8" w:rsidRDefault="00F8620A" w:rsidP="000F7D0B">
            <w:pPr>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fldChar w:fldCharType="begin" w:fldLock="1"/>
            </w:r>
            <w:r w:rsidRPr="00A65ED8">
              <w:rPr>
                <w:rFonts w:ascii="Arial" w:eastAsia="Arial" w:hAnsi="Arial" w:cs="Arial"/>
                <w:i/>
                <w:color w:val="000000" w:themeColor="text1"/>
                <w:sz w:val="20"/>
                <w:szCs w:val="20"/>
              </w:rPr>
              <w:instrText>ADDIN CSL_CITATION {"citationItems":[{"id":"ITEM-1","itemData":{"DOI":"10.1038/emboj.2008.84","ISSN":"14602075","PMID":"18451803","abstract":"The control of tissue growth and patterning is orchestrated in various multicellular tissues by the coordinated activity of the signalling molecules Wnt/Wingless (Wg) and Notch, and mutations in these pathways can cause cancer. The role of these molecules in the control of cell proliferation and the crosstalk between their corresponding pathways remain poorly understood. Crosstalk between Notch and Wg has been proposed to organize pattern and growth in the Drosophila wing primordium. Here we report that Wg and Notch act in a surprisingly linear pathway to control G1-S progression. We present evidence that these molecules exert their function by regulating the expression of the dmyc proto-oncogene and the bantam micro-RNA, which positively modulated the activity of the E2F transcription factor. Our results demonstrate that Notch acts in this cellular context as a repressor of cell-cycle progression and Wg has a permissive role in alleviating Notch-mediated repression of G1-S progression in wing cells.","author":[{"dropping-particle":"","family":"Herranz","given":"H.","non-dropping-particle":"","parse-names":false,"suffix":""},{"dropping-particle":"","family":"Pérez","given":"L.","non-dropping-particle":"","parse-names":false,"suffix":""},{"dropping-particle":"","family":"Martín","given":"F.A.","non-dropping-particle":"","parse-names":false,"suffix":""},{"dropping-particle":"","family":"Milán","given":"M.","non-dropping-particle":"","parse-names":false,"suffix":""},{"dropping-particle":"","family":"Perez","given":"L","non-dropping-particle":"","parse-names":false,"suffix":""},{"dropping-particle":"","family":"Martin","given":"F A","non-dropping-particle":"","parse-names":false,"suffix":""},{"dropping-particle":"","family":"Milan","given":"M","non-dropping-particle":"","parse-names":false,"suffix":""}],"container-title":"Embo J","id":"ITEM-1","issue":"11","issued":{"date-parts":[["2008"]]},"note":"From Duplicate 1 (A Wingless and Notch double-repression mechanism regulates G1-S transition in the Drosophila wing - Herranz, H; Perez, L; Martin, F A; Milan, M)\n\n1460-2075 (Electronic)\nJournal Article\nResearch Support, Non-U.S. Gov't\n\nFrom Duplicate 2 (A Wingless and Notch double-repression mechanism regulates G1-S transition in the Drosophila wing - Herranz, H.; Pérez, L.; Martín, F.A.; Milán, M.; Perez, L; Martin, F A; Milan, M)\n\nFrom Duplicate 1 (A Wingless and Notch double-repression mechanism regulates G1-S transition in the Drosophila wing - Herranz, H; Perez, L; Martin, F A; Milan, M)\n\n1460-2075 (Electronic)\nJournal Article\nResearch Support, Non-U.S. Gov't","page":"1633-1645","title":"A Wingless and Notch double-repression mechanism regulates G1-S transition in the Drosophila wing","type":"article-journal","volume":"27"},"uris":["http://www.mendeley.com/documents/?uuid=0eab8429-5d8c-4cd5-9050-f26488c01e1b"]}],"mendeley":{"formattedCitation":"(Herranz et al. 2008)","plainTextFormattedCitation":"(Herranz et al. 2008)","previouslyFormattedCitation":"(Herranz et al. 2008)"},"properties":{"noteIndex":0},"schema":"https://github.com/citation-style-language/schema/raw/master/csl-citation.json"}</w:instrText>
            </w:r>
            <w:r w:rsidRPr="00A65ED8">
              <w:rPr>
                <w:rFonts w:ascii="Arial" w:eastAsia="Arial" w:hAnsi="Arial" w:cs="Arial"/>
                <w:i/>
                <w:color w:val="000000" w:themeColor="text1"/>
                <w:sz w:val="20"/>
                <w:szCs w:val="20"/>
              </w:rPr>
              <w:fldChar w:fldCharType="separate"/>
            </w:r>
            <w:r w:rsidRPr="00A65ED8">
              <w:rPr>
                <w:rFonts w:ascii="Arial" w:eastAsia="Arial" w:hAnsi="Arial" w:cs="Arial"/>
                <w:noProof/>
                <w:color w:val="000000" w:themeColor="text1"/>
                <w:sz w:val="20"/>
                <w:szCs w:val="20"/>
              </w:rPr>
              <w:t>(Herranz et al. 2008)</w:t>
            </w:r>
            <w:r w:rsidRPr="00A65ED8">
              <w:rPr>
                <w:rFonts w:ascii="Arial" w:eastAsia="Arial" w:hAnsi="Arial" w:cs="Arial"/>
                <w:i/>
                <w:color w:val="000000" w:themeColor="text1"/>
                <w:sz w:val="20"/>
                <w:szCs w:val="20"/>
              </w:rPr>
              <w:fldChar w:fldCharType="end"/>
            </w:r>
          </w:p>
        </w:tc>
        <w:tc>
          <w:tcPr>
            <w:tcW w:w="2268" w:type="dxa"/>
          </w:tcPr>
          <w:p w14:paraId="50690CC4" w14:textId="77777777" w:rsidR="00F8620A" w:rsidRPr="00A65ED8" w:rsidRDefault="00F8620A"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w:t>
            </w:r>
          </w:p>
        </w:tc>
        <w:tc>
          <w:tcPr>
            <w:tcW w:w="1281" w:type="dxa"/>
          </w:tcPr>
          <w:p w14:paraId="2A578D3E" w14:textId="7F9DB841" w:rsidR="00F8620A" w:rsidRPr="0052493D" w:rsidRDefault="00F8620A"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1:1000</w:t>
            </w:r>
          </w:p>
        </w:tc>
      </w:tr>
      <w:tr w:rsidR="00F8620A" w:rsidRPr="00A65ED8" w14:paraId="100F527D" w14:textId="47196388" w:rsidTr="00C424AF">
        <w:trPr>
          <w:trHeight w:val="240"/>
        </w:trPr>
        <w:tc>
          <w:tcPr>
            <w:tcW w:w="2831" w:type="dxa"/>
          </w:tcPr>
          <w:p w14:paraId="6598917B" w14:textId="77777777" w:rsidR="00F8620A" w:rsidRPr="00A65ED8" w:rsidRDefault="00F8620A" w:rsidP="000F7D0B">
            <w:pPr>
              <w:tabs>
                <w:tab w:val="left" w:pos="1525"/>
              </w:tabs>
              <w:rPr>
                <w:rFonts w:ascii="Arial" w:eastAsia="Arial" w:hAnsi="Arial" w:cs="Arial"/>
                <w:color w:val="000000" w:themeColor="text1"/>
                <w:sz w:val="20"/>
                <w:szCs w:val="20"/>
              </w:rPr>
            </w:pPr>
            <w:r>
              <w:rPr>
                <w:rFonts w:ascii="Arial" w:eastAsia="Arial" w:hAnsi="Arial" w:cs="Arial"/>
                <w:color w:val="000000" w:themeColor="text1"/>
                <w:sz w:val="20"/>
                <w:szCs w:val="20"/>
              </w:rPr>
              <w:t>Rabbit anti-Bub3</w:t>
            </w:r>
          </w:p>
        </w:tc>
        <w:tc>
          <w:tcPr>
            <w:tcW w:w="3827" w:type="dxa"/>
          </w:tcPr>
          <w:p w14:paraId="29120662" w14:textId="77777777" w:rsidR="00F8620A" w:rsidRPr="00EF5A8F" w:rsidRDefault="00F8620A" w:rsidP="000F7D0B">
            <w:pPr>
              <w:rPr>
                <w:rFonts w:ascii="Arial" w:eastAsia="Arial" w:hAnsi="Arial" w:cs="Arial"/>
                <w:color w:val="000000" w:themeColor="text1"/>
                <w:sz w:val="20"/>
                <w:szCs w:val="20"/>
              </w:rPr>
            </w:pPr>
            <w:proofErr w:type="spellStart"/>
            <w:r w:rsidRPr="00EF5A8F">
              <w:rPr>
                <w:rFonts w:ascii="Arial" w:eastAsia="Arial" w:hAnsi="Arial" w:cs="Arial"/>
                <w:color w:val="000000" w:themeColor="text1"/>
                <w:sz w:val="20"/>
                <w:szCs w:val="20"/>
              </w:rPr>
              <w:t>Abcepta</w:t>
            </w:r>
            <w:proofErr w:type="spellEnd"/>
          </w:p>
        </w:tc>
        <w:tc>
          <w:tcPr>
            <w:tcW w:w="2268" w:type="dxa"/>
          </w:tcPr>
          <w:p w14:paraId="338BAA41" w14:textId="77777777" w:rsidR="00F8620A" w:rsidRPr="00A65ED8" w:rsidRDefault="00F8620A" w:rsidP="000F7D0B">
            <w:pPr>
              <w:rPr>
                <w:rFonts w:ascii="Arial" w:eastAsia="Arial" w:hAnsi="Arial" w:cs="Arial"/>
                <w:color w:val="000000" w:themeColor="text1"/>
                <w:sz w:val="20"/>
                <w:szCs w:val="20"/>
              </w:rPr>
            </w:pPr>
            <w:r>
              <w:rPr>
                <w:rFonts w:ascii="Arial" w:eastAsia="Arial" w:hAnsi="Arial" w:cs="Arial"/>
                <w:color w:val="000000" w:themeColor="text1"/>
                <w:sz w:val="20"/>
                <w:szCs w:val="20"/>
              </w:rPr>
              <w:t xml:space="preserve">Code: </w:t>
            </w:r>
            <w:r w:rsidRPr="00164484">
              <w:rPr>
                <w:rFonts w:ascii="Arial" w:eastAsia="Arial" w:hAnsi="Arial" w:cs="Arial"/>
                <w:color w:val="000000" w:themeColor="text1"/>
                <w:sz w:val="20"/>
                <w:szCs w:val="20"/>
              </w:rPr>
              <w:t>AP20606a</w:t>
            </w:r>
          </w:p>
        </w:tc>
        <w:tc>
          <w:tcPr>
            <w:tcW w:w="1281" w:type="dxa"/>
          </w:tcPr>
          <w:p w14:paraId="340C3BC3" w14:textId="72733DDC" w:rsidR="00F8620A" w:rsidRPr="0052493D" w:rsidRDefault="00C424AF" w:rsidP="000F7D0B">
            <w:pPr>
              <w:rPr>
                <w:rFonts w:ascii="Arial" w:eastAsia="Arial" w:hAnsi="Arial" w:cs="Arial"/>
                <w:color w:val="000000" w:themeColor="text1"/>
                <w:sz w:val="20"/>
                <w:szCs w:val="20"/>
              </w:rPr>
            </w:pPr>
            <w:r w:rsidRPr="0052493D">
              <w:rPr>
                <w:rFonts w:ascii="Arial" w:eastAsia="Arial" w:hAnsi="Arial" w:cs="Arial"/>
                <w:color w:val="000000" w:themeColor="text1"/>
                <w:sz w:val="20"/>
                <w:szCs w:val="20"/>
              </w:rPr>
              <w:t>1:</w:t>
            </w:r>
            <w:r w:rsidR="00174AA6" w:rsidRPr="0052493D">
              <w:rPr>
                <w:rFonts w:ascii="Arial" w:eastAsia="Arial" w:hAnsi="Arial" w:cs="Arial"/>
                <w:color w:val="000000" w:themeColor="text1"/>
                <w:sz w:val="20"/>
                <w:szCs w:val="20"/>
              </w:rPr>
              <w:t>1</w:t>
            </w:r>
            <w:r w:rsidRPr="0052493D">
              <w:rPr>
                <w:rFonts w:ascii="Arial" w:eastAsia="Arial" w:hAnsi="Arial" w:cs="Arial"/>
                <w:color w:val="000000" w:themeColor="text1"/>
                <w:sz w:val="20"/>
                <w:szCs w:val="20"/>
              </w:rPr>
              <w:t>00</w:t>
            </w:r>
          </w:p>
        </w:tc>
      </w:tr>
      <w:tr w:rsidR="00C424AF" w:rsidRPr="00A65ED8" w14:paraId="38E3F51F" w14:textId="62743895" w:rsidTr="00C424AF">
        <w:trPr>
          <w:gridAfter w:val="1"/>
          <w:wAfter w:w="1281" w:type="dxa"/>
          <w:trHeight w:val="240"/>
        </w:trPr>
        <w:tc>
          <w:tcPr>
            <w:tcW w:w="8926" w:type="dxa"/>
            <w:gridSpan w:val="3"/>
            <w:tcBorders>
              <w:top w:val="single" w:sz="12" w:space="0" w:color="000000"/>
              <w:left w:val="single" w:sz="12" w:space="0" w:color="000000"/>
              <w:bottom w:val="single" w:sz="12" w:space="0" w:color="000000"/>
              <w:right w:val="single" w:sz="12" w:space="0" w:color="000000"/>
            </w:tcBorders>
          </w:tcPr>
          <w:p w14:paraId="36DC34D7" w14:textId="77777777" w:rsidR="00C424AF" w:rsidRPr="00A65ED8" w:rsidRDefault="00C424AF" w:rsidP="000F7D0B">
            <w:pPr>
              <w:rPr>
                <w:rFonts w:ascii="Arial" w:eastAsia="Arial" w:hAnsi="Arial" w:cs="Arial"/>
                <w:b/>
                <w:color w:val="000000" w:themeColor="text1"/>
                <w:sz w:val="20"/>
                <w:szCs w:val="20"/>
              </w:rPr>
            </w:pPr>
            <w:r w:rsidRPr="00A65ED8">
              <w:rPr>
                <w:rFonts w:ascii="Arial" w:eastAsia="Arial" w:hAnsi="Arial" w:cs="Arial"/>
                <w:b/>
                <w:color w:val="000000" w:themeColor="text1"/>
                <w:sz w:val="20"/>
                <w:szCs w:val="20"/>
              </w:rPr>
              <w:t>Chemicals, Peptides and Recombinant Proteins</w:t>
            </w:r>
          </w:p>
        </w:tc>
      </w:tr>
      <w:tr w:rsidR="00C424AF" w:rsidRPr="00A65ED8" w14:paraId="68BB3635" w14:textId="55B886CF" w:rsidTr="00C424AF">
        <w:trPr>
          <w:gridAfter w:val="1"/>
          <w:wAfter w:w="1281" w:type="dxa"/>
          <w:trHeight w:val="240"/>
        </w:trPr>
        <w:tc>
          <w:tcPr>
            <w:tcW w:w="2831" w:type="dxa"/>
          </w:tcPr>
          <w:p w14:paraId="1C3F7803" w14:textId="77777777" w:rsidR="00C424AF" w:rsidRPr="00A65ED8" w:rsidRDefault="00C424AF"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Click-</w:t>
            </w:r>
            <w:proofErr w:type="spellStart"/>
            <w:r w:rsidRPr="00A65ED8">
              <w:rPr>
                <w:rFonts w:ascii="Arial" w:eastAsia="Arial" w:hAnsi="Arial" w:cs="Arial"/>
                <w:color w:val="000000" w:themeColor="text1"/>
                <w:sz w:val="20"/>
                <w:szCs w:val="20"/>
              </w:rPr>
              <w:t>iT</w:t>
            </w:r>
            <w:proofErr w:type="spellEnd"/>
            <w:r w:rsidRPr="00A65ED8">
              <w:rPr>
                <w:rFonts w:ascii="Arial" w:eastAsia="Arial" w:hAnsi="Arial" w:cs="Arial"/>
                <w:color w:val="000000" w:themeColor="text1"/>
                <w:sz w:val="20"/>
                <w:szCs w:val="20"/>
              </w:rPr>
              <w:t xml:space="preserve">™ Plus </w:t>
            </w:r>
            <w:proofErr w:type="spellStart"/>
            <w:r w:rsidRPr="00A65ED8">
              <w:rPr>
                <w:rFonts w:ascii="Arial" w:eastAsia="Arial" w:hAnsi="Arial" w:cs="Arial"/>
                <w:color w:val="000000" w:themeColor="text1"/>
                <w:sz w:val="20"/>
                <w:szCs w:val="20"/>
              </w:rPr>
              <w:t>EdU</w:t>
            </w:r>
            <w:proofErr w:type="spellEnd"/>
            <w:r w:rsidRPr="00A65ED8">
              <w:rPr>
                <w:rFonts w:ascii="Arial" w:eastAsia="Arial" w:hAnsi="Arial" w:cs="Arial"/>
                <w:color w:val="000000" w:themeColor="text1"/>
                <w:sz w:val="20"/>
                <w:szCs w:val="20"/>
              </w:rPr>
              <w:t xml:space="preserve"> Alexa Fluor™ 647 Imaging Kit</w:t>
            </w:r>
          </w:p>
        </w:tc>
        <w:tc>
          <w:tcPr>
            <w:tcW w:w="3827" w:type="dxa"/>
          </w:tcPr>
          <w:p w14:paraId="49EBC516"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Invitrogen</w:t>
            </w:r>
          </w:p>
        </w:tc>
        <w:tc>
          <w:tcPr>
            <w:tcW w:w="2268" w:type="dxa"/>
          </w:tcPr>
          <w:p w14:paraId="74F4A718" w14:textId="77777777" w:rsidR="00C424AF" w:rsidRPr="00A65ED8" w:rsidRDefault="00C424AF" w:rsidP="000F7D0B">
            <w:pPr>
              <w:rPr>
                <w:rFonts w:ascii="Arial" w:eastAsia="Arial" w:hAnsi="Arial" w:cs="Arial"/>
                <w:i/>
                <w:color w:val="000000" w:themeColor="text1"/>
                <w:sz w:val="20"/>
                <w:szCs w:val="20"/>
              </w:rPr>
            </w:pPr>
            <w:r w:rsidRPr="00A65ED8">
              <w:rPr>
                <w:rFonts w:ascii="Arial" w:eastAsia="Arial" w:hAnsi="Arial" w:cs="Arial"/>
                <w:color w:val="000000" w:themeColor="text1"/>
                <w:sz w:val="20"/>
                <w:szCs w:val="20"/>
              </w:rPr>
              <w:t>Code: C10640</w:t>
            </w:r>
          </w:p>
        </w:tc>
      </w:tr>
      <w:tr w:rsidR="00C424AF" w:rsidRPr="00A65ED8" w14:paraId="50168196" w14:textId="458DEAC0" w:rsidTr="00C424AF">
        <w:trPr>
          <w:gridAfter w:val="1"/>
          <w:wAfter w:w="1281" w:type="dxa"/>
          <w:trHeight w:val="240"/>
        </w:trPr>
        <w:tc>
          <w:tcPr>
            <w:tcW w:w="2831" w:type="dxa"/>
          </w:tcPr>
          <w:p w14:paraId="711B7E12" w14:textId="77777777" w:rsidR="00C424AF" w:rsidRPr="00A65ED8" w:rsidRDefault="00C424AF" w:rsidP="000F7D0B">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DAPI</w:t>
            </w:r>
          </w:p>
        </w:tc>
        <w:tc>
          <w:tcPr>
            <w:tcW w:w="3827" w:type="dxa"/>
          </w:tcPr>
          <w:p w14:paraId="46C06B2E"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Sigma Aldrich</w:t>
            </w:r>
          </w:p>
        </w:tc>
        <w:tc>
          <w:tcPr>
            <w:tcW w:w="2268" w:type="dxa"/>
          </w:tcPr>
          <w:p w14:paraId="5EDC9A40" w14:textId="77777777" w:rsidR="00C424AF" w:rsidRPr="00A65ED8" w:rsidRDefault="00C424AF" w:rsidP="000F7D0B">
            <w:pPr>
              <w:rPr>
                <w:rFonts w:ascii="Arial" w:eastAsia="Arial" w:hAnsi="Arial" w:cs="Arial"/>
                <w:i/>
                <w:color w:val="000000" w:themeColor="text1"/>
                <w:sz w:val="20"/>
                <w:szCs w:val="20"/>
              </w:rPr>
            </w:pPr>
            <w:r w:rsidRPr="00A65ED8">
              <w:rPr>
                <w:rFonts w:ascii="Arial" w:eastAsia="Arial" w:hAnsi="Arial" w:cs="Arial"/>
                <w:color w:val="000000" w:themeColor="text1"/>
                <w:sz w:val="20"/>
                <w:szCs w:val="20"/>
              </w:rPr>
              <w:t>Code: 28718-90-3</w:t>
            </w:r>
          </w:p>
        </w:tc>
      </w:tr>
      <w:tr w:rsidR="00C424AF" w:rsidRPr="00A65ED8" w14:paraId="248FDCBC" w14:textId="550996F1" w:rsidTr="00C424AF">
        <w:trPr>
          <w:gridAfter w:val="1"/>
          <w:wAfter w:w="1281" w:type="dxa"/>
          <w:trHeight w:val="240"/>
        </w:trPr>
        <w:tc>
          <w:tcPr>
            <w:tcW w:w="2831" w:type="dxa"/>
          </w:tcPr>
          <w:p w14:paraId="0A762665" w14:textId="77777777" w:rsidR="00C424AF" w:rsidRPr="004C6742" w:rsidRDefault="00C424AF" w:rsidP="000F7D0B">
            <w:pPr>
              <w:tabs>
                <w:tab w:val="left" w:pos="1525"/>
              </w:tabs>
              <w:rPr>
                <w:rFonts w:ascii="Arial" w:eastAsia="Arial" w:hAnsi="Arial" w:cs="Arial"/>
                <w:color w:val="000000" w:themeColor="text1"/>
                <w:sz w:val="20"/>
                <w:szCs w:val="20"/>
              </w:rPr>
            </w:pPr>
            <w:r w:rsidRPr="004C6742">
              <w:rPr>
                <w:rFonts w:ascii="Arial" w:eastAsia="Arial" w:hAnsi="Arial" w:cs="Arial"/>
                <w:color w:val="000000" w:themeColor="text1"/>
                <w:sz w:val="20"/>
                <w:szCs w:val="20"/>
              </w:rPr>
              <w:t>Rapamycin</w:t>
            </w:r>
          </w:p>
        </w:tc>
        <w:tc>
          <w:tcPr>
            <w:tcW w:w="3827" w:type="dxa"/>
          </w:tcPr>
          <w:p w14:paraId="71ABAE6E" w14:textId="77777777" w:rsidR="00C424AF" w:rsidRPr="004C6742" w:rsidRDefault="00C424AF" w:rsidP="000F7D0B">
            <w:pPr>
              <w:rPr>
                <w:rFonts w:ascii="Arial" w:eastAsia="Arial" w:hAnsi="Arial" w:cs="Arial"/>
                <w:color w:val="000000" w:themeColor="text1"/>
                <w:sz w:val="20"/>
                <w:szCs w:val="20"/>
              </w:rPr>
            </w:pPr>
            <w:proofErr w:type="spellStart"/>
            <w:r w:rsidRPr="004C6742">
              <w:rPr>
                <w:rFonts w:ascii="Arial" w:eastAsia="Arial" w:hAnsi="Arial" w:cs="Arial"/>
                <w:color w:val="000000" w:themeColor="text1"/>
                <w:sz w:val="20"/>
                <w:szCs w:val="20"/>
              </w:rPr>
              <w:t>LabNet</w:t>
            </w:r>
            <w:proofErr w:type="spellEnd"/>
            <w:r w:rsidRPr="004C6742">
              <w:rPr>
                <w:rFonts w:ascii="Arial" w:eastAsia="Arial" w:hAnsi="Arial" w:cs="Arial"/>
                <w:color w:val="000000" w:themeColor="text1"/>
                <w:sz w:val="20"/>
                <w:szCs w:val="20"/>
              </w:rPr>
              <w:t xml:space="preserve"> </w:t>
            </w:r>
            <w:proofErr w:type="spellStart"/>
            <w:r w:rsidRPr="004C6742">
              <w:rPr>
                <w:rFonts w:ascii="Arial" w:eastAsia="Arial" w:hAnsi="Arial" w:cs="Arial"/>
                <w:color w:val="000000" w:themeColor="text1"/>
                <w:sz w:val="20"/>
                <w:szCs w:val="20"/>
              </w:rPr>
              <w:t>Biotecnica</w:t>
            </w:r>
            <w:proofErr w:type="spellEnd"/>
          </w:p>
        </w:tc>
        <w:tc>
          <w:tcPr>
            <w:tcW w:w="2268" w:type="dxa"/>
          </w:tcPr>
          <w:p w14:paraId="624FA593" w14:textId="77777777" w:rsidR="00C424AF" w:rsidRPr="004C6742" w:rsidRDefault="00C424AF" w:rsidP="000F7D0B">
            <w:pPr>
              <w:rPr>
                <w:rFonts w:ascii="Arial" w:eastAsia="Arial" w:hAnsi="Arial" w:cs="Arial"/>
                <w:color w:val="000000" w:themeColor="text1"/>
                <w:sz w:val="20"/>
                <w:szCs w:val="20"/>
              </w:rPr>
            </w:pPr>
            <w:r w:rsidRPr="004C6742">
              <w:rPr>
                <w:rFonts w:ascii="Arial" w:eastAsia="Arial" w:hAnsi="Arial" w:cs="Arial"/>
                <w:color w:val="000000" w:themeColor="text1"/>
                <w:sz w:val="20"/>
                <w:szCs w:val="20"/>
              </w:rPr>
              <w:t>Code: AM-M176</w:t>
            </w:r>
          </w:p>
        </w:tc>
      </w:tr>
      <w:tr w:rsidR="00C424AF" w:rsidRPr="00A65ED8" w14:paraId="2E0BACFA" w14:textId="6806D135" w:rsidTr="00C424AF">
        <w:trPr>
          <w:gridAfter w:val="1"/>
          <w:wAfter w:w="1281" w:type="dxa"/>
          <w:trHeight w:val="240"/>
        </w:trPr>
        <w:tc>
          <w:tcPr>
            <w:tcW w:w="2831" w:type="dxa"/>
          </w:tcPr>
          <w:p w14:paraId="3E13D417" w14:textId="77777777" w:rsidR="00C424AF" w:rsidRPr="004C6742" w:rsidRDefault="00C424AF" w:rsidP="000F7D0B">
            <w:pPr>
              <w:tabs>
                <w:tab w:val="left" w:pos="1525"/>
              </w:tabs>
              <w:rPr>
                <w:rFonts w:ascii="Arial" w:eastAsia="Arial" w:hAnsi="Arial" w:cs="Arial"/>
                <w:color w:val="000000" w:themeColor="text1"/>
                <w:sz w:val="20"/>
                <w:szCs w:val="20"/>
              </w:rPr>
            </w:pPr>
            <w:r>
              <w:rPr>
                <w:rFonts w:ascii="Arial" w:eastAsia="Arial" w:hAnsi="Arial" w:cs="Arial"/>
                <w:color w:val="000000" w:themeColor="text1"/>
                <w:sz w:val="20"/>
                <w:szCs w:val="20"/>
              </w:rPr>
              <w:t>Colchicine</w:t>
            </w:r>
          </w:p>
        </w:tc>
        <w:tc>
          <w:tcPr>
            <w:tcW w:w="3827" w:type="dxa"/>
          </w:tcPr>
          <w:p w14:paraId="19BC4E40" w14:textId="77777777" w:rsidR="00C424AF" w:rsidRPr="004C6742" w:rsidRDefault="00C424AF" w:rsidP="000F7D0B">
            <w:pPr>
              <w:rPr>
                <w:rFonts w:ascii="Arial" w:eastAsia="Arial" w:hAnsi="Arial" w:cs="Arial"/>
                <w:color w:val="000000" w:themeColor="text1"/>
                <w:sz w:val="20"/>
                <w:szCs w:val="20"/>
              </w:rPr>
            </w:pPr>
            <w:r>
              <w:rPr>
                <w:rFonts w:ascii="Arial" w:eastAsia="Arial" w:hAnsi="Arial" w:cs="Arial"/>
                <w:color w:val="000000" w:themeColor="text1"/>
                <w:sz w:val="20"/>
                <w:szCs w:val="20"/>
              </w:rPr>
              <w:t>Sigma Aldrich</w:t>
            </w:r>
          </w:p>
        </w:tc>
        <w:tc>
          <w:tcPr>
            <w:tcW w:w="2268" w:type="dxa"/>
          </w:tcPr>
          <w:p w14:paraId="6812A332" w14:textId="77777777" w:rsidR="00C424AF" w:rsidRPr="004C6742" w:rsidRDefault="00C424AF" w:rsidP="000F7D0B">
            <w:pPr>
              <w:rPr>
                <w:rFonts w:ascii="Arial" w:eastAsia="Arial" w:hAnsi="Arial" w:cs="Arial"/>
                <w:color w:val="000000" w:themeColor="text1"/>
                <w:sz w:val="20"/>
                <w:szCs w:val="20"/>
              </w:rPr>
            </w:pPr>
            <w:r>
              <w:rPr>
                <w:rFonts w:ascii="Arial" w:eastAsia="Arial" w:hAnsi="Arial" w:cs="Arial"/>
                <w:color w:val="000000" w:themeColor="text1"/>
                <w:sz w:val="20"/>
                <w:szCs w:val="20"/>
              </w:rPr>
              <w:t>Code:</w:t>
            </w:r>
            <w:r w:rsidRPr="00E22F46">
              <w:rPr>
                <w:rFonts w:ascii="Arial" w:eastAsia="Arial" w:hAnsi="Arial" w:cs="Arial"/>
                <w:color w:val="000000" w:themeColor="text1"/>
                <w:sz w:val="20"/>
                <w:szCs w:val="20"/>
              </w:rPr>
              <w:t xml:space="preserve"> C9754</w:t>
            </w:r>
          </w:p>
        </w:tc>
      </w:tr>
      <w:tr w:rsidR="00C424AF" w:rsidRPr="00A65ED8" w14:paraId="0A4005EE" w14:textId="29EDDF72" w:rsidTr="00C424AF">
        <w:trPr>
          <w:gridAfter w:val="1"/>
          <w:wAfter w:w="1281" w:type="dxa"/>
          <w:trHeight w:val="240"/>
        </w:trPr>
        <w:tc>
          <w:tcPr>
            <w:tcW w:w="8926" w:type="dxa"/>
            <w:gridSpan w:val="3"/>
            <w:tcBorders>
              <w:top w:val="single" w:sz="12" w:space="0" w:color="000000"/>
              <w:left w:val="single" w:sz="12" w:space="0" w:color="000000"/>
              <w:bottom w:val="single" w:sz="12" w:space="0" w:color="000000"/>
              <w:right w:val="single" w:sz="12" w:space="0" w:color="000000"/>
            </w:tcBorders>
          </w:tcPr>
          <w:p w14:paraId="10F7B74F" w14:textId="77777777" w:rsidR="00C424AF" w:rsidRPr="00A65ED8" w:rsidRDefault="00C424AF" w:rsidP="000F7D0B">
            <w:pPr>
              <w:rPr>
                <w:rFonts w:ascii="Arial" w:eastAsia="Arial" w:hAnsi="Arial" w:cs="Arial"/>
                <w:b/>
                <w:color w:val="000000" w:themeColor="text1"/>
                <w:sz w:val="20"/>
                <w:szCs w:val="20"/>
                <w:highlight w:val="yellow"/>
              </w:rPr>
            </w:pPr>
            <w:r w:rsidRPr="00A65ED8">
              <w:rPr>
                <w:rFonts w:ascii="Arial" w:eastAsia="Arial" w:hAnsi="Arial" w:cs="Arial"/>
                <w:b/>
                <w:color w:val="000000" w:themeColor="text1"/>
                <w:sz w:val="20"/>
                <w:szCs w:val="20"/>
              </w:rPr>
              <w:t>Experimental Models. Organisms/Strains</w:t>
            </w:r>
          </w:p>
        </w:tc>
      </w:tr>
      <w:tr w:rsidR="00C424AF" w:rsidRPr="00A65ED8" w14:paraId="240268BB" w14:textId="4C36DFFE" w:rsidTr="00C424AF">
        <w:trPr>
          <w:gridAfter w:val="1"/>
          <w:wAfter w:w="1281" w:type="dxa"/>
          <w:trHeight w:val="240"/>
        </w:trPr>
        <w:tc>
          <w:tcPr>
            <w:tcW w:w="2831" w:type="dxa"/>
          </w:tcPr>
          <w:p w14:paraId="55301FBA" w14:textId="77777777" w:rsidR="00C424AF" w:rsidRPr="00A65ED8" w:rsidRDefault="00C424AF" w:rsidP="000F7D0B">
            <w:pPr>
              <w:tabs>
                <w:tab w:val="left" w:pos="1525"/>
              </w:tabs>
              <w:ind w:right="-235"/>
              <w:rPr>
                <w:rFonts w:ascii="Arial" w:eastAsia="Arial" w:hAnsi="Arial" w:cs="Arial"/>
                <w:color w:val="000000" w:themeColor="text1"/>
                <w:sz w:val="20"/>
                <w:szCs w:val="20"/>
              </w:rPr>
            </w:pPr>
            <w:r w:rsidRPr="00A65ED8">
              <w:rPr>
                <w:rFonts w:ascii="Arial" w:eastAsia="Arial" w:hAnsi="Arial" w:cs="Arial"/>
                <w:i/>
                <w:color w:val="000000" w:themeColor="text1"/>
                <w:sz w:val="20"/>
                <w:szCs w:val="20"/>
              </w:rPr>
              <w:t>wor-GAL4</w:t>
            </w:r>
          </w:p>
        </w:tc>
        <w:tc>
          <w:tcPr>
            <w:tcW w:w="3827" w:type="dxa"/>
          </w:tcPr>
          <w:p w14:paraId="323DF91D"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0E8A9F83" w14:textId="77777777" w:rsidR="00C424AF" w:rsidRPr="00A65ED8" w:rsidRDefault="00C424AF" w:rsidP="000F7D0B">
            <w:pPr>
              <w:ind w:right="-235"/>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_56553</w:t>
            </w:r>
          </w:p>
          <w:p w14:paraId="77160D1F" w14:textId="77777777" w:rsidR="00C424AF" w:rsidRPr="00A65ED8" w:rsidRDefault="00C424AF" w:rsidP="000F7D0B">
            <w:pPr>
              <w:ind w:right="-235"/>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lastRenderedPageBreak/>
              <w:t>RRID:BDSC</w:t>
            </w:r>
            <w:proofErr w:type="gramEnd"/>
            <w:r w:rsidRPr="00A65ED8">
              <w:rPr>
                <w:rFonts w:ascii="Arial" w:eastAsia="Arial" w:hAnsi="Arial" w:cs="Arial"/>
                <w:color w:val="000000" w:themeColor="text1"/>
                <w:sz w:val="20"/>
                <w:szCs w:val="20"/>
              </w:rPr>
              <w:t>_56554</w:t>
            </w:r>
          </w:p>
        </w:tc>
      </w:tr>
      <w:tr w:rsidR="00C424AF" w:rsidRPr="00A65ED8" w14:paraId="38B89067" w14:textId="64AC3885" w:rsidTr="00C424AF">
        <w:trPr>
          <w:gridAfter w:val="1"/>
          <w:wAfter w:w="1281" w:type="dxa"/>
          <w:trHeight w:val="240"/>
        </w:trPr>
        <w:tc>
          <w:tcPr>
            <w:tcW w:w="2831" w:type="dxa"/>
          </w:tcPr>
          <w:p w14:paraId="0B789B30" w14:textId="77777777" w:rsidR="00C424AF" w:rsidRPr="00A65ED8" w:rsidRDefault="00C424AF" w:rsidP="000F7D0B">
            <w:pPr>
              <w:tabs>
                <w:tab w:val="left" w:pos="1525"/>
              </w:tabs>
              <w:rPr>
                <w:rFonts w:ascii="Arial" w:eastAsia="Arial" w:hAnsi="Arial" w:cs="Arial"/>
                <w:i/>
                <w:color w:val="000000" w:themeColor="text1"/>
                <w:sz w:val="20"/>
                <w:szCs w:val="20"/>
              </w:rPr>
            </w:pPr>
            <w:r>
              <w:rPr>
                <w:rFonts w:ascii="Arial" w:eastAsia="Arial" w:hAnsi="Arial" w:cs="Arial"/>
                <w:i/>
                <w:color w:val="000000" w:themeColor="text1"/>
                <w:sz w:val="20"/>
                <w:szCs w:val="20"/>
              </w:rPr>
              <w:lastRenderedPageBreak/>
              <w:t>UAS-bub3</w:t>
            </w:r>
            <w:r w:rsidRPr="00946E42">
              <w:rPr>
                <w:rFonts w:ascii="Arial" w:eastAsia="Arial" w:hAnsi="Arial" w:cs="Arial"/>
                <w:i/>
                <w:color w:val="000000" w:themeColor="text1"/>
                <w:sz w:val="20"/>
                <w:szCs w:val="20"/>
                <w:vertAlign w:val="superscript"/>
              </w:rPr>
              <w:t>RNAi</w:t>
            </w:r>
          </w:p>
        </w:tc>
        <w:tc>
          <w:tcPr>
            <w:tcW w:w="3827" w:type="dxa"/>
          </w:tcPr>
          <w:p w14:paraId="2CE63E54"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 xml:space="preserve">Vienna Drosophila Resource Center </w:t>
            </w:r>
          </w:p>
        </w:tc>
        <w:tc>
          <w:tcPr>
            <w:tcW w:w="2268" w:type="dxa"/>
          </w:tcPr>
          <w:p w14:paraId="17F1F7B5"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VDRC ID_21037</w:t>
            </w:r>
          </w:p>
        </w:tc>
      </w:tr>
      <w:tr w:rsidR="00C424AF" w:rsidRPr="00A65ED8" w14:paraId="5D528F91" w14:textId="58A40C3C" w:rsidTr="00C424AF">
        <w:trPr>
          <w:gridAfter w:val="1"/>
          <w:wAfter w:w="1281" w:type="dxa"/>
          <w:trHeight w:val="240"/>
        </w:trPr>
        <w:tc>
          <w:tcPr>
            <w:tcW w:w="2831" w:type="dxa"/>
          </w:tcPr>
          <w:p w14:paraId="1B889B5C"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rod</w:t>
            </w:r>
            <w:r w:rsidRPr="00A65ED8">
              <w:rPr>
                <w:rFonts w:ascii="Arial" w:eastAsia="Arial" w:hAnsi="Arial" w:cs="Arial"/>
                <w:i/>
                <w:color w:val="000000" w:themeColor="text1"/>
                <w:sz w:val="20"/>
                <w:szCs w:val="20"/>
                <w:vertAlign w:val="superscript"/>
              </w:rPr>
              <w:t>RNAi</w:t>
            </w:r>
            <w:proofErr w:type="spellEnd"/>
          </w:p>
        </w:tc>
        <w:tc>
          <w:tcPr>
            <w:tcW w:w="3827" w:type="dxa"/>
          </w:tcPr>
          <w:p w14:paraId="62BCC707"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 xml:space="preserve">Vienna Drosophila Resource Center </w:t>
            </w:r>
          </w:p>
        </w:tc>
        <w:tc>
          <w:tcPr>
            <w:tcW w:w="2268" w:type="dxa"/>
          </w:tcPr>
          <w:p w14:paraId="7F2C30A1"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RRID:Flybase</w:t>
            </w:r>
            <w:proofErr w:type="gramEnd"/>
            <w:r w:rsidRPr="00A65ED8">
              <w:rPr>
                <w:rFonts w:ascii="Arial" w:eastAsia="Arial" w:hAnsi="Arial" w:cs="Arial"/>
                <w:color w:val="000000" w:themeColor="text1"/>
                <w:sz w:val="20"/>
                <w:szCs w:val="20"/>
              </w:rPr>
              <w:t>_FBst0453381</w:t>
            </w:r>
          </w:p>
        </w:tc>
      </w:tr>
      <w:tr w:rsidR="00C424AF" w:rsidRPr="00A65ED8" w14:paraId="2C2707AB" w14:textId="77679289" w:rsidTr="00C424AF">
        <w:trPr>
          <w:gridAfter w:val="1"/>
          <w:wAfter w:w="1281" w:type="dxa"/>
          <w:trHeight w:val="240"/>
        </w:trPr>
        <w:tc>
          <w:tcPr>
            <w:tcW w:w="2831" w:type="dxa"/>
          </w:tcPr>
          <w:p w14:paraId="435A89EA"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gfp</w:t>
            </w:r>
            <w:proofErr w:type="spellEnd"/>
            <w:r w:rsidRPr="00A65ED8">
              <w:rPr>
                <w:rFonts w:ascii="Arial" w:eastAsia="Arial" w:hAnsi="Arial" w:cs="Arial"/>
                <w:i/>
                <w:color w:val="000000" w:themeColor="text1"/>
                <w:sz w:val="20"/>
                <w:szCs w:val="20"/>
              </w:rPr>
              <w:t>-RNAi</w:t>
            </w:r>
          </w:p>
        </w:tc>
        <w:tc>
          <w:tcPr>
            <w:tcW w:w="3827" w:type="dxa"/>
          </w:tcPr>
          <w:p w14:paraId="0369A07E"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063EA405"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_35786</w:t>
            </w:r>
          </w:p>
        </w:tc>
      </w:tr>
      <w:tr w:rsidR="00C424AF" w:rsidRPr="00A65ED8" w14:paraId="182A6484" w14:textId="4F5D51E6" w:rsidTr="00C424AF">
        <w:trPr>
          <w:gridAfter w:val="1"/>
          <w:wAfter w:w="1281" w:type="dxa"/>
          <w:trHeight w:val="240"/>
        </w:trPr>
        <w:tc>
          <w:tcPr>
            <w:tcW w:w="2831" w:type="dxa"/>
          </w:tcPr>
          <w:p w14:paraId="705DF945"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3xmCherry-atg8a</w:t>
            </w:r>
          </w:p>
        </w:tc>
        <w:tc>
          <w:tcPr>
            <w:tcW w:w="3827" w:type="dxa"/>
          </w:tcPr>
          <w:p w14:paraId="6030B736"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fldChar w:fldCharType="begin" w:fldLock="1"/>
            </w:r>
            <w:r w:rsidRPr="00A65ED8">
              <w:rPr>
                <w:rFonts w:ascii="Arial" w:eastAsia="Arial" w:hAnsi="Arial" w:cs="Arial"/>
                <w:color w:val="000000" w:themeColor="text1"/>
                <w:sz w:val="20"/>
                <w:szCs w:val="20"/>
              </w:rPr>
              <w:instrText>ADDIN CSL_CITATION {"citationItems":[{"id":"ITEM-1","itemData":{"DOI":"10.1091/mbc.E16-03-0205","ISSN":"1939-4586","PMID":"27559127","abstract":"The small GTPase Rab5 promotes recruitment of the Ccz1-Mon1 guanosine exchange complex to endosomes to activate Rab7, which facilitates endosome maturation and fusion with lysosomes. How these factors function during autophagy is incompletely understood. Here we show that autophagosomes accumulate due to impaired fusion with lysosomes upon loss of the Ccz1-Mon1-Rab7 module in starved Drosophila fat cells. In contrast, autophagosomes generated in Rab5-null mutant cells normally fuse with lysosomes during the starvation response. Consistent with that, Rab5 is dispensable for the Ccz1-Mon1-dependent recruitment of Rab7 to PI3P-positive autophagosomes, which are generated by the action of the Atg14-containing Vps34 PI3 kinase complex. Finally, we find that Rab5 is required for proper lysosomal function. Thus the Ccz1-Mon1-Rab7 module is required for autophagosome-lysosome fusion, whereas Rab5 loss interferes with a later step of autophagy: the breakdown of autophagic cargo within lysosomes.","author":[{"dropping-particle":"","family":"Hegedűs","given":"Krisztina","non-dropping-particle":"","parse-names":false,"suffix":""},{"dropping-particle":"","family":"Takáts","given":"Szabolcs","non-dropping-particle":"","parse-names":false,"suffix":""},{"dropping-particle":"","family":"Boda","given":"Attila","non-dropping-particle":"","parse-names":false,"suffix":""},{"dropping-particle":"","family":"Jipa","given":"András","non-dropping-particle":"","parse-names":false,"suffix":""},{"dropping-particle":"","family":"Nagy","given":"Péter","non-dropping-particle":"","parse-names":false,"suffix":""},{"dropping-particle":"","family":"Varga","given":"Kata","non-dropping-particle":"","parse-names":false,"suffix":""},{"dropping-particle":"","family":"Kovács","given":"Attila L","non-dropping-particle":"","parse-names":false,"suffix":""},{"dropping-particle":"","family":"Juhász","given":"Gábor","non-dropping-particle":"","parse-names":false,"suffix":""}],"container-title":"Molecular biology of the cell","id":"ITEM-1","issue":"20","issued":{"date-parts":[["2016","10","15"]]},"page":"3132-3142","publisher":"American Society for Cell Biology","title":"The Ccz1-Mon1-Rab7 module and Rab5 control distinct steps of autophagy.","type":"article-journal","volume":"27"},"uris":["http://www.mendeley.com/documents/?uuid=5c703d36-8da6-3283-b99f-bae16b624256"]}],"mendeley":{"formattedCitation":"(Hegedűs et al. 2016)","plainTextFormattedCitation":"(Hegedűs et al. 2016)","previouslyFormattedCitation":"(Hegedűs et al. 2016)"},"properties":{"noteIndex":0},"schema":"https://github.com/citation-style-language/schema/raw/master/csl-citation.json"}</w:instrText>
            </w:r>
            <w:r w:rsidRPr="00A65ED8">
              <w:rPr>
                <w:rFonts w:ascii="Arial" w:eastAsia="Arial" w:hAnsi="Arial" w:cs="Arial"/>
                <w:color w:val="000000" w:themeColor="text1"/>
                <w:sz w:val="20"/>
                <w:szCs w:val="20"/>
              </w:rPr>
              <w:fldChar w:fldCharType="separate"/>
            </w:r>
            <w:r w:rsidRPr="00A65ED8">
              <w:rPr>
                <w:rFonts w:ascii="Arial" w:eastAsia="Arial" w:hAnsi="Arial" w:cs="Arial"/>
                <w:noProof/>
                <w:color w:val="000000" w:themeColor="text1"/>
                <w:sz w:val="20"/>
                <w:szCs w:val="20"/>
              </w:rPr>
              <w:t>(Hegedűs et al. 2016)</w:t>
            </w:r>
            <w:r w:rsidRPr="00A65ED8">
              <w:rPr>
                <w:rFonts w:ascii="Arial" w:eastAsia="Arial" w:hAnsi="Arial" w:cs="Arial"/>
                <w:color w:val="000000" w:themeColor="text1"/>
                <w:sz w:val="20"/>
                <w:szCs w:val="20"/>
              </w:rPr>
              <w:fldChar w:fldCharType="end"/>
            </w:r>
          </w:p>
        </w:tc>
        <w:tc>
          <w:tcPr>
            <w:tcW w:w="2268" w:type="dxa"/>
          </w:tcPr>
          <w:p w14:paraId="47F1893A"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496DA565" w14:textId="41BCDDFD" w:rsidTr="00C424AF">
        <w:trPr>
          <w:gridAfter w:val="1"/>
          <w:wAfter w:w="1281" w:type="dxa"/>
          <w:trHeight w:val="240"/>
        </w:trPr>
        <w:tc>
          <w:tcPr>
            <w:tcW w:w="2831" w:type="dxa"/>
          </w:tcPr>
          <w:p w14:paraId="2D5EEBC1" w14:textId="77777777" w:rsidR="00C424AF" w:rsidRPr="00A65ED8" w:rsidRDefault="00C424AF" w:rsidP="000F7D0B">
            <w:pPr>
              <w:tabs>
                <w:tab w:val="left" w:pos="1525"/>
              </w:tabs>
              <w:rPr>
                <w:rFonts w:ascii="Arial" w:eastAsia="Arial" w:hAnsi="Arial" w:cs="Arial"/>
                <w:i/>
                <w:color w:val="000000" w:themeColor="text1"/>
                <w:sz w:val="20"/>
                <w:szCs w:val="20"/>
              </w:rPr>
            </w:pPr>
            <w:proofErr w:type="spellStart"/>
            <w:r w:rsidRPr="00A65ED8">
              <w:rPr>
                <w:rFonts w:ascii="Arial" w:eastAsia="Arial" w:hAnsi="Arial" w:cs="Arial"/>
                <w:i/>
                <w:color w:val="000000" w:themeColor="text1"/>
                <w:sz w:val="20"/>
                <w:szCs w:val="20"/>
              </w:rPr>
              <w:t>Sqh-MitoYFP</w:t>
            </w:r>
            <w:proofErr w:type="spellEnd"/>
          </w:p>
        </w:tc>
        <w:tc>
          <w:tcPr>
            <w:tcW w:w="3827" w:type="dxa"/>
          </w:tcPr>
          <w:p w14:paraId="2D870FC0"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3173FAEA"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_7194</w:t>
            </w:r>
          </w:p>
        </w:tc>
      </w:tr>
      <w:tr w:rsidR="00C424AF" w:rsidRPr="00A65ED8" w14:paraId="7EDF785C" w14:textId="385DB4FE" w:rsidTr="00C424AF">
        <w:trPr>
          <w:gridAfter w:val="1"/>
          <w:wAfter w:w="1281" w:type="dxa"/>
          <w:trHeight w:val="240"/>
        </w:trPr>
        <w:tc>
          <w:tcPr>
            <w:tcW w:w="2831" w:type="dxa"/>
          </w:tcPr>
          <w:p w14:paraId="0E6EEAFC"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MitoQC</w:t>
            </w:r>
            <w:proofErr w:type="spellEnd"/>
          </w:p>
        </w:tc>
        <w:tc>
          <w:tcPr>
            <w:tcW w:w="3827" w:type="dxa"/>
          </w:tcPr>
          <w:p w14:paraId="50399079" w14:textId="77777777" w:rsidR="00C424AF" w:rsidRPr="00A65ED8" w:rsidRDefault="00C424AF" w:rsidP="000F7D0B">
            <w:pPr>
              <w:rPr>
                <w:rFonts w:ascii="Arial" w:eastAsia="Arial" w:hAnsi="Arial" w:cs="Arial"/>
                <w:color w:val="000000" w:themeColor="text1"/>
                <w:sz w:val="20"/>
                <w:szCs w:val="20"/>
                <w:lang w:val="es-ES"/>
              </w:rPr>
            </w:pPr>
            <w:r w:rsidRPr="00A65ED8">
              <w:rPr>
                <w:rFonts w:ascii="Arial" w:eastAsia="Arial" w:hAnsi="Arial" w:cs="Arial"/>
                <w:color w:val="000000" w:themeColor="text1"/>
                <w:sz w:val="20"/>
                <w:szCs w:val="20"/>
              </w:rPr>
              <w:fldChar w:fldCharType="begin" w:fldLock="1"/>
            </w:r>
            <w:r w:rsidRPr="00A65ED8">
              <w:rPr>
                <w:rFonts w:ascii="Arial" w:eastAsia="Arial" w:hAnsi="Arial" w:cs="Arial"/>
                <w:color w:val="000000" w:themeColor="text1"/>
                <w:sz w:val="20"/>
                <w:szCs w:val="20"/>
                <w:lang w:val="es-ES"/>
              </w:rPr>
              <w:instrText>ADDIN CSL_CITATION {"citationItems":[{"id":"ITEM-1","itemData":{"DOI":"10.1083/jcb.201801044","ISSN":"0021-9525","abstract":"The Parkinson’s disease factors PINK1 and parkin are strongly implicated in stress-induced mitophagy in vitro, but little is known about their impact on basal mitophagy in vivo. We generated transgenic Drosophila melanogaster expressing fluorescent mitophagy reporters to evaluate the impact of Pink1/parkin mutations on basal mitophagy under physiological conditions. We find that mitophagy is readily detectable and abundant in many tissues, including Parkinson’s disease–relevant dopaminergic neurons. However, we did not detect mitolysosomes in flight muscle. Surprisingly, in Pink1 or parkin null flies, we did not observe any substantial impact on basal mitophagy. Because these flies exhibit locomotor defects and dopaminergic neuron loss, our findings raise questions about current assumptions of the pathogenic mechanism associated with the PINK1/parkin pathway. Our findings provide evidence that Pink1 and parkin are not essential for bulk basal mitophagy in Drosophila. They also emphasize that mechanisms underpinning basal mitophagy remain largely obscure.","author":[{"dropping-particle":"","family":"Lee","given":"Juliette J.","non-dropping-particle":"","parse-names":false,"suffix":""},{"dropping-particle":"","family":"Sanchez-Martinez","given":"Alvaro","non-dropping-particle":"","parse-names":false,"suffix":""},{"dropping-particle":"","family":"Zarate","given":"Aitor Martinez","non-dropping-particle":"","parse-names":false,"suffix":""},{"dropping-particle":"","family":"Benincá","given":"Cristiane","non-dropping-particle":"","parse-names":false,"suffix":""},{"dropping-particle":"","family":"Mayor","given":"Ugo","non-dropping-particle":"","parse-names":false,"suffix":""},{"dropping-particle":"","family":"Clague","given":"Michael J.","non-dropping-particle":"","parse-names":false,"suffix":""},{"dropping-particle":"","family":"Whitworth","given":"Alexander J.","non-dropping-particle":"","parse-names":false,"suffix":""}],"container-title":"Journal of Cell Biology","id":"ITEM-1","issue":"5","issued":{"date-parts":[["2018","5","7"]]},"page":"1613-1622","title":"Basal mitophagy is widespread in Drosophila but minimally affected by loss of Pink1 or parkin","type":"article-journal","volume":"217"},"uris":["http://www.mendeley.com/documents/?uuid=2ff4469f-70f1-4048-b322-45179ede6b67"]}],"mendeley":{"formattedCitation":"(Lee et al. 2018)","plainTextFormattedCitation":"(Lee et al. 2018)","previouslyFormattedCitation":"(Lee et al. 2018)"},"properties":{"noteIndex":0},"schema":"https://github.com/citation-style-language/schema/raw/master/csl-citation.json"}</w:instrText>
            </w:r>
            <w:r w:rsidRPr="00A65ED8">
              <w:rPr>
                <w:rFonts w:ascii="Arial" w:eastAsia="Arial" w:hAnsi="Arial" w:cs="Arial"/>
                <w:color w:val="000000" w:themeColor="text1"/>
                <w:sz w:val="20"/>
                <w:szCs w:val="20"/>
              </w:rPr>
              <w:fldChar w:fldCharType="separate"/>
            </w:r>
            <w:r w:rsidRPr="00A65ED8">
              <w:rPr>
                <w:rFonts w:ascii="Arial" w:eastAsia="Arial" w:hAnsi="Arial" w:cs="Arial"/>
                <w:noProof/>
                <w:color w:val="000000" w:themeColor="text1"/>
                <w:sz w:val="20"/>
                <w:szCs w:val="20"/>
                <w:lang w:val="es-ES"/>
              </w:rPr>
              <w:t>(Lee et al. 2018)</w:t>
            </w:r>
            <w:r w:rsidRPr="00A65ED8">
              <w:rPr>
                <w:rFonts w:ascii="Arial" w:eastAsia="Arial" w:hAnsi="Arial" w:cs="Arial"/>
                <w:color w:val="000000" w:themeColor="text1"/>
                <w:sz w:val="20"/>
                <w:szCs w:val="20"/>
              </w:rPr>
              <w:fldChar w:fldCharType="end"/>
            </w:r>
          </w:p>
        </w:tc>
        <w:tc>
          <w:tcPr>
            <w:tcW w:w="2268" w:type="dxa"/>
          </w:tcPr>
          <w:p w14:paraId="4B68645F"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46881411" w14:textId="683A0D4C" w:rsidTr="00C424AF">
        <w:trPr>
          <w:gridAfter w:val="1"/>
          <w:wAfter w:w="1281" w:type="dxa"/>
          <w:trHeight w:val="240"/>
        </w:trPr>
        <w:tc>
          <w:tcPr>
            <w:tcW w:w="2831" w:type="dxa"/>
          </w:tcPr>
          <w:p w14:paraId="5E19582F"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MitoTimer</w:t>
            </w:r>
            <w:proofErr w:type="spellEnd"/>
          </w:p>
        </w:tc>
        <w:tc>
          <w:tcPr>
            <w:tcW w:w="3827" w:type="dxa"/>
          </w:tcPr>
          <w:p w14:paraId="0D58D92C"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24901526"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_57323</w:t>
            </w:r>
          </w:p>
        </w:tc>
      </w:tr>
      <w:tr w:rsidR="00C424AF" w:rsidRPr="00A65ED8" w14:paraId="60861351" w14:textId="38E1F776" w:rsidTr="00C424AF">
        <w:trPr>
          <w:gridAfter w:val="1"/>
          <w:wAfter w:w="1281" w:type="dxa"/>
          <w:trHeight w:val="240"/>
        </w:trPr>
        <w:tc>
          <w:tcPr>
            <w:tcW w:w="2831" w:type="dxa"/>
          </w:tcPr>
          <w:p w14:paraId="6D76B208"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UAS-CL1-GFP</w:t>
            </w:r>
          </w:p>
        </w:tc>
        <w:tc>
          <w:tcPr>
            <w:tcW w:w="3827" w:type="dxa"/>
          </w:tcPr>
          <w:p w14:paraId="7D98BF49"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fldChar w:fldCharType="begin" w:fldLock="1"/>
            </w:r>
            <w:r w:rsidRPr="00A65ED8">
              <w:rPr>
                <w:rFonts w:ascii="Arial" w:eastAsia="Arial" w:hAnsi="Arial" w:cs="Arial"/>
                <w:color w:val="000000" w:themeColor="text1"/>
                <w:sz w:val="20"/>
                <w:szCs w:val="20"/>
              </w:rPr>
              <w:instrText>ADDIN CSL_CITATION {"citationItems":[{"id":"ITEM-1","itemData":{"DOI":"10.1038/nature05853","ISSN":"14764687","abstract":"A prominent feature of late-onset neurodegenerative diseases is accumulation of misfolded protein in vulnerable neurons. When levels of misfolded protein overwhelm degradative pathways, the result is cellular toxicity and neurodegeneration. Cellular mechanisms for degrading misfolded protein include the ubiquitin-proteasome system (UPS), the main non-lysosomal degradative pathway for ubiquitinated proteins, and autophagy, a lysosome-mediated degradative pathway. The UPS and autophagy have long been viewed as complementary degradation systems with no point of intersection. This view has been challenged by two observations suggesting an apparent interaction: impairment of the UPS induces autophagy in vitro, and conditional knockout of autophagy in the mouse brain leads to neurodegeneration with ubiquitin-positive pathology. It is not known whether autophagy is strictly a parallel degradation system, or whether it is a compensatory degradation system when the UPS is impaired; furthermore, if there is a compensatory interaction between these systems, the molecular link is not known. Here we show that autophagy acts as a compensatory degradation system when the UPS is impaired in Drosophila melanogaster, and that histone deacetylase 6 (HDAC6), a microtubule-associated deacetylase that interacts with polyubiquitinated proteins, is an essential mechanistic link in this compensatory interaction. We found that compensatory autophagy was induced in response to mutations affecting the proteasome and in response to UPS impairment in a fly model of the neurodegenerative disease spinobulbar muscular atrophy. Autophagy compensated for impaired UPS function in an HDAC6-dependent manner. Furthermore, expression of HDAC6 was sufficient to rescue degeneration associated with UPS dysfunction in vivo in an autophagy-dependent manner. This study suggests that impairment of autophagy (for example, associated with ageing or genetic variation) might predispose to neurodegeneration. Morover, these findings suggest that it may be possible to intervene in neurodegeneration by augmenting HDAC6 to enhance autophagy. ©2007 Nature Publishing Group.","author":[{"dropping-particle":"","family":"Pandey","given":"Udai Bhan","non-dropping-particle":"","parse-names":false,"suffix":""},{"dropping-particle":"","family":"Nie","given":"Zhiping","non-dropping-particle":"","parse-names":false,"suffix":""},{"dropping-particle":"","family":"Batlevi","given":"Yakup","non-dropping-particle":"","parse-names":false,"suffix":""},{"dropping-particle":"","family":"McCray","given":"Brett A.","non-dropping-particle":"","parse-names":false,"suffix":""},{"dropping-particle":"","family":"Ritson","given":"Gillian P.","non-dropping-particle":"","parse-names":false,"suffix":""},{"dropping-particle":"","family":"Nedelsky","given":"Natalia B.","non-dropping-particle":"","parse-names":false,"suffix":""},{"dropping-particle":"","family":"Schwartz","given":"Stephanie L.","non-dropping-particle":"","parse-names":false,"suffix":""},{"dropping-particle":"","family":"Diprospero","given":"Nicholas A.","non-dropping-particle":"","parse-names":false,"suffix":""},{"dropping-particle":"","family":"Knight","given":"Melanie A.","non-dropping-particle":"","parse-names":false,"suffix":""},{"dropping-particle":"","family":"Schuldiner","given":"Oren","non-dropping-particle":"","parse-names":false,"suffix":""},{"dropping-particle":"","family":"Padmanabhan","given":"Ranjani","non-dropping-particle":"","parse-names":false,"suffix":""},{"dropping-particle":"","family":"Hild","given":"Marc","non-dropping-particle":"","parse-names":false,"suffix":""},{"dropping-particle":"","family":"Berry","given":"Deborah L.","non-dropping-particle":"","parse-names":false,"suffix":""},{"dropping-particle":"","family":"Garza","given":"Dan","non-dropping-particle":"","parse-names":false,"suffix":""},{"dropping-particle":"","family":"Hubbert","given":"Charlotte C.","non-dropping-particle":"","parse-names":false,"suffix":""},{"dropping-particle":"","family":"Yao","given":"Tso Pang","non-dropping-particle":"","parse-names":false,"suffix":""},{"dropping-particle":"","family":"Baehrecke","given":"Eric H.","non-dropping-particle":"","parse-names":false,"suffix":""},{"dropping-particle":"","family":"Taylor","given":"J. Paul","non-dropping-particle":"","parse-names":false,"suffix":""}],"container-title":"Nature","id":"ITEM-1","issue":"7146","issued":{"date-parts":[["2007","6","14"]]},"page":"859-863","publisher":"Nature Publishing Group","title":"HDAC6 rescues neurodegeneration and provides an essential link between autophagy and the UPS","type":"article-journal","volume":"447"},"uris":["http://www.mendeley.com/documents/?uuid=c9131653-0dfe-375d-9a2a-586425c46997"]}],"mendeley":{"formattedCitation":"(Pandey et al. 2007)","plainTextFormattedCitation":"(Pandey et al. 2007)","previouslyFormattedCitation":"(Pandey et al. 2007)"},"properties":{"noteIndex":0},"schema":"https://github.com/citation-style-language/schema/raw/master/csl-citation.json"}</w:instrText>
            </w:r>
            <w:r w:rsidRPr="00A65ED8">
              <w:rPr>
                <w:rFonts w:ascii="Arial" w:eastAsia="Arial" w:hAnsi="Arial" w:cs="Arial"/>
                <w:color w:val="000000" w:themeColor="text1"/>
                <w:sz w:val="20"/>
                <w:szCs w:val="20"/>
              </w:rPr>
              <w:fldChar w:fldCharType="separate"/>
            </w:r>
            <w:r w:rsidRPr="00A65ED8">
              <w:rPr>
                <w:rFonts w:ascii="Arial" w:eastAsia="Arial" w:hAnsi="Arial" w:cs="Arial"/>
                <w:noProof/>
                <w:color w:val="000000" w:themeColor="text1"/>
                <w:sz w:val="20"/>
                <w:szCs w:val="20"/>
              </w:rPr>
              <w:t>(Pandey et al. 2007)</w:t>
            </w:r>
            <w:r w:rsidRPr="00A65ED8">
              <w:rPr>
                <w:rFonts w:ascii="Arial" w:eastAsia="Arial" w:hAnsi="Arial" w:cs="Arial"/>
                <w:color w:val="000000" w:themeColor="text1"/>
                <w:sz w:val="20"/>
                <w:szCs w:val="20"/>
              </w:rPr>
              <w:fldChar w:fldCharType="end"/>
            </w:r>
          </w:p>
        </w:tc>
        <w:tc>
          <w:tcPr>
            <w:tcW w:w="2268" w:type="dxa"/>
          </w:tcPr>
          <w:p w14:paraId="67EF4063"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47B7BCC8" w14:textId="12B90588" w:rsidTr="00C424AF">
        <w:trPr>
          <w:gridAfter w:val="1"/>
          <w:wAfter w:w="1281" w:type="dxa"/>
          <w:trHeight w:val="240"/>
        </w:trPr>
        <w:tc>
          <w:tcPr>
            <w:tcW w:w="2831" w:type="dxa"/>
          </w:tcPr>
          <w:p w14:paraId="12A00636"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UAS-htt25Q-cerulean</w:t>
            </w:r>
          </w:p>
        </w:tc>
        <w:tc>
          <w:tcPr>
            <w:tcW w:w="3827" w:type="dxa"/>
          </w:tcPr>
          <w:p w14:paraId="201AFBCB"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463A5ABC"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_58360</w:t>
            </w:r>
          </w:p>
        </w:tc>
      </w:tr>
      <w:tr w:rsidR="00C424AF" w:rsidRPr="00A65ED8" w14:paraId="113EC106" w14:textId="43768F7C" w:rsidTr="00C424AF">
        <w:trPr>
          <w:gridAfter w:val="1"/>
          <w:wAfter w:w="1281" w:type="dxa"/>
          <w:trHeight w:val="240"/>
        </w:trPr>
        <w:tc>
          <w:tcPr>
            <w:tcW w:w="2831" w:type="dxa"/>
          </w:tcPr>
          <w:p w14:paraId="6ED2205E"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UAS-Atg1</w:t>
            </w:r>
          </w:p>
        </w:tc>
        <w:tc>
          <w:tcPr>
            <w:tcW w:w="3827" w:type="dxa"/>
          </w:tcPr>
          <w:p w14:paraId="0E309C94"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79F398ED"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_51654</w:t>
            </w:r>
          </w:p>
        </w:tc>
      </w:tr>
      <w:tr w:rsidR="00C424AF" w:rsidRPr="00A65ED8" w14:paraId="029CA538" w14:textId="43CC078F" w:rsidTr="00C424AF">
        <w:trPr>
          <w:gridAfter w:val="1"/>
          <w:wAfter w:w="1281" w:type="dxa"/>
          <w:trHeight w:val="240"/>
        </w:trPr>
        <w:tc>
          <w:tcPr>
            <w:tcW w:w="2831" w:type="dxa"/>
          </w:tcPr>
          <w:p w14:paraId="2F7FBFA6"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UAS-hsp60</w:t>
            </w:r>
          </w:p>
        </w:tc>
        <w:tc>
          <w:tcPr>
            <w:tcW w:w="3827" w:type="dxa"/>
          </w:tcPr>
          <w:p w14:paraId="52E80D2F"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fldChar w:fldCharType="begin" w:fldLock="1"/>
            </w:r>
            <w:r w:rsidRPr="00A65ED8">
              <w:rPr>
                <w:rFonts w:ascii="Arial" w:eastAsia="Arial" w:hAnsi="Arial" w:cs="Arial"/>
                <w:color w:val="000000" w:themeColor="text1"/>
                <w:sz w:val="20"/>
                <w:szCs w:val="20"/>
              </w:rPr>
              <w:instrText>ADDIN CSL_CITATION {"citationItems":[{"id":"ITEM-1","itemData":{"DOI":"10.1016/j.cell.2013.09.021","ISSN":"00928674","abstract":"Mitochondrial dysfunction is usually associated with aging. To systematically characterize the compensatory stress signaling cascades triggered in response to muscle mitochondrial perturbation, we analyzed a Drosophila model of muscle mitochondrial injury. We find that mild muscle mitochondrial distress preserves mitochondrial function, impedes the age-dependent deterioration of muscle function and architecture, and prolongs lifespan. Strikingly, this effect is mediated by at least two prolongevity compensatory signaling modules: one involving a muscle-restricted redox-dependent induction of genes that regulate the mitochondrial unfolded protein response (UPR mt) and another involving the transcriptional induction of the Drosophila ortholog of insulin-like growth factor-binding protein 7, which systemically antagonizes insulin signaling and facilitates mitophagy. Given that several secreted IGF-binding proteins (IGFBPs) exist in mammals, our work raises the possibility that muscle mitochondrial injury in humans may similarly result in the secretion of IGFBPs, with important ramifications for diseases associated with aberrant insulin signaling. © 2013 Elsevier Inc.","author":[{"dropping-particle":"","family":"Owusu-Ansah","given":"Edward","non-dropping-particle":"","parse-names":false,"suffix":""},{"dropping-particle":"","family":"Song","given":"Wei","non-dropping-particle":"","parse-names":false,"suffix":""},{"dropping-particle":"","family":"Perrimon","given":"Norbert","non-dropping-particle":"","parse-names":false,"suffix":""}],"container-title":"Cell","id":"ITEM-1","issue":"3","issued":{"date-parts":[["2013","10"]]},"page":"699-712","title":"Muscle Mitohormesis Promotes Longevity via Systemic Repression of Insulin Signaling","type":"article-journal","volume":"155"},"uris":["http://www.mendeley.com/documents/?uuid=727887af-c7c3-4d22-a916-244891e2339b"]}],"mendeley":{"formattedCitation":"(Owusu-Ansah, Song, and Perrimon 2013)","plainTextFormattedCitation":"(Owusu-Ansah, Song, and Perrimon 2013)","previouslyFormattedCitation":"(Owusu-Ansah, Song, and Perrimon 2013)"},"properties":{"noteIndex":0},"schema":"https://github.com/citation-style-language/schema/raw/master/csl-citation.json"}</w:instrText>
            </w:r>
            <w:r w:rsidRPr="00A65ED8">
              <w:rPr>
                <w:rFonts w:ascii="Arial" w:eastAsia="Arial" w:hAnsi="Arial" w:cs="Arial"/>
                <w:color w:val="000000" w:themeColor="text1"/>
                <w:sz w:val="20"/>
                <w:szCs w:val="20"/>
              </w:rPr>
              <w:fldChar w:fldCharType="separate"/>
            </w:r>
            <w:r w:rsidRPr="00A65ED8">
              <w:rPr>
                <w:rFonts w:ascii="Arial" w:eastAsia="Arial" w:hAnsi="Arial" w:cs="Arial"/>
                <w:noProof/>
                <w:color w:val="000000" w:themeColor="text1"/>
                <w:sz w:val="20"/>
                <w:szCs w:val="20"/>
              </w:rPr>
              <w:t>(Owusu-Ansah, Song, and Perrimon 2013)</w:t>
            </w:r>
            <w:r w:rsidRPr="00A65ED8">
              <w:rPr>
                <w:rFonts w:ascii="Arial" w:eastAsia="Arial" w:hAnsi="Arial" w:cs="Arial"/>
                <w:color w:val="000000" w:themeColor="text1"/>
                <w:sz w:val="20"/>
                <w:szCs w:val="20"/>
              </w:rPr>
              <w:fldChar w:fldCharType="end"/>
            </w:r>
            <w:r w:rsidRPr="00A65ED8">
              <w:rPr>
                <w:rFonts w:ascii="Arial" w:eastAsia="Arial" w:hAnsi="Arial" w:cs="Arial"/>
                <w:color w:val="000000" w:themeColor="text1"/>
                <w:sz w:val="20"/>
                <w:szCs w:val="20"/>
              </w:rPr>
              <w:t xml:space="preserve"> </w:t>
            </w:r>
          </w:p>
        </w:tc>
        <w:tc>
          <w:tcPr>
            <w:tcW w:w="2268" w:type="dxa"/>
          </w:tcPr>
          <w:p w14:paraId="2B4EA1A9"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17938842" w14:textId="55CD051A" w:rsidTr="00C424AF">
        <w:trPr>
          <w:gridAfter w:val="1"/>
          <w:wAfter w:w="1281" w:type="dxa"/>
          <w:trHeight w:val="240"/>
        </w:trPr>
        <w:tc>
          <w:tcPr>
            <w:tcW w:w="2831" w:type="dxa"/>
          </w:tcPr>
          <w:p w14:paraId="4E7AFA22"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UAS-hsp60c</w:t>
            </w:r>
          </w:p>
        </w:tc>
        <w:tc>
          <w:tcPr>
            <w:tcW w:w="3827" w:type="dxa"/>
          </w:tcPr>
          <w:p w14:paraId="5EDACB4F"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fldChar w:fldCharType="begin" w:fldLock="1"/>
            </w:r>
            <w:r w:rsidRPr="00A65ED8">
              <w:rPr>
                <w:rFonts w:ascii="Arial" w:eastAsia="Arial" w:hAnsi="Arial" w:cs="Arial"/>
                <w:color w:val="000000" w:themeColor="text1"/>
                <w:sz w:val="20"/>
                <w:szCs w:val="20"/>
              </w:rPr>
              <w:instrText>ADDIN CSL_CITATION {"citationItems":[{"id":"ITEM-1","itemData":{"DOI":"10.1016/j.cell.2013.09.021","ISSN":"00928674","abstract":"Mitochondrial dysfunction is usually associated with aging. To systematically characterize the compensatory stress signaling cascades triggered in response to muscle mitochondrial perturbation, we analyzed a Drosophila model of muscle mitochondrial injury. We find that mild muscle mitochondrial distress preserves mitochondrial function, impedes the age-dependent deterioration of muscle function and architecture, and prolongs lifespan. Strikingly, this effect is mediated by at least two prolongevity compensatory signaling modules: one involving a muscle-restricted redox-dependent induction of genes that regulate the mitochondrial unfolded protein response (UPR mt) and another involving the transcriptional induction of the Drosophila ortholog of insulin-like growth factor-binding protein 7, which systemically antagonizes insulin signaling and facilitates mitophagy. Given that several secreted IGF-binding proteins (IGFBPs) exist in mammals, our work raises the possibility that muscle mitochondrial injury in humans may similarly result in the secretion of IGFBPs, with important ramifications for diseases associated with aberrant insulin signaling. © 2013 Elsevier Inc.","author":[{"dropping-particle":"","family":"Owusu-Ansah","given":"Edward","non-dropping-particle":"","parse-names":false,"suffix":""},{"dropping-particle":"","family":"Song","given":"Wei","non-dropping-particle":"","parse-names":false,"suffix":""},{"dropping-particle":"","family":"Perrimon","given":"Norbert","non-dropping-particle":"","parse-names":false,"suffix":""}],"container-title":"Cell","id":"ITEM-1","issue":"3","issued":{"date-parts":[["2013","10"]]},"page":"699-712","title":"Muscle Mitohormesis Promotes Longevity via Systemic Repression of Insulin Signaling","type":"article-journal","volume":"155"},"uris":["http://www.mendeley.com/documents/?uuid=727887af-c7c3-4d22-a916-244891e2339b"]}],"mendeley":{"formattedCitation":"(Owusu-Ansah, Song, and Perrimon 2013)","plainTextFormattedCitation":"(Owusu-Ansah, Song, and Perrimon 2013)","previouslyFormattedCitation":"(Owusu-Ansah, Song, and Perrimon 2013)"},"properties":{"noteIndex":0},"schema":"https://github.com/citation-style-language/schema/raw/master/csl-citation.json"}</w:instrText>
            </w:r>
            <w:r w:rsidRPr="00A65ED8">
              <w:rPr>
                <w:rFonts w:ascii="Arial" w:eastAsia="Arial" w:hAnsi="Arial" w:cs="Arial"/>
                <w:color w:val="000000" w:themeColor="text1"/>
                <w:sz w:val="20"/>
                <w:szCs w:val="20"/>
              </w:rPr>
              <w:fldChar w:fldCharType="separate"/>
            </w:r>
            <w:r w:rsidRPr="00A65ED8">
              <w:rPr>
                <w:rFonts w:ascii="Arial" w:eastAsia="Arial" w:hAnsi="Arial" w:cs="Arial"/>
                <w:noProof/>
                <w:color w:val="000000" w:themeColor="text1"/>
                <w:sz w:val="20"/>
                <w:szCs w:val="20"/>
              </w:rPr>
              <w:t>(Owusu-Ansah, Song, and Perrimon 2013)</w:t>
            </w:r>
            <w:r w:rsidRPr="00A65ED8">
              <w:rPr>
                <w:rFonts w:ascii="Arial" w:eastAsia="Arial" w:hAnsi="Arial" w:cs="Arial"/>
                <w:color w:val="000000" w:themeColor="text1"/>
                <w:sz w:val="20"/>
                <w:szCs w:val="20"/>
              </w:rPr>
              <w:fldChar w:fldCharType="end"/>
            </w:r>
          </w:p>
        </w:tc>
        <w:tc>
          <w:tcPr>
            <w:tcW w:w="2268" w:type="dxa"/>
          </w:tcPr>
          <w:p w14:paraId="0AB68831"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27628BFC" w14:textId="58E99ECB" w:rsidTr="00C424AF">
        <w:trPr>
          <w:gridAfter w:val="1"/>
          <w:wAfter w:w="1281" w:type="dxa"/>
          <w:trHeight w:val="240"/>
        </w:trPr>
        <w:tc>
          <w:tcPr>
            <w:tcW w:w="2831" w:type="dxa"/>
          </w:tcPr>
          <w:p w14:paraId="11DF1842"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UAS-Sod2</w:t>
            </w:r>
          </w:p>
        </w:tc>
        <w:tc>
          <w:tcPr>
            <w:tcW w:w="3827" w:type="dxa"/>
          </w:tcPr>
          <w:p w14:paraId="36B24C02"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 xml:space="preserve">N. </w:t>
            </w:r>
            <w:proofErr w:type="spellStart"/>
            <w:r w:rsidRPr="00A65ED8">
              <w:rPr>
                <w:rFonts w:ascii="Arial" w:eastAsia="Arial" w:hAnsi="Arial" w:cs="Arial"/>
                <w:color w:val="000000" w:themeColor="text1"/>
                <w:sz w:val="20"/>
                <w:szCs w:val="20"/>
              </w:rPr>
              <w:t>Perrimon</w:t>
            </w:r>
            <w:proofErr w:type="spellEnd"/>
          </w:p>
        </w:tc>
        <w:tc>
          <w:tcPr>
            <w:tcW w:w="2268" w:type="dxa"/>
          </w:tcPr>
          <w:p w14:paraId="711AACC2"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00A0D3AD" w14:textId="289CB08E" w:rsidTr="00C424AF">
        <w:trPr>
          <w:gridAfter w:val="1"/>
          <w:wAfter w:w="1281" w:type="dxa"/>
          <w:trHeight w:val="240"/>
        </w:trPr>
        <w:tc>
          <w:tcPr>
            <w:tcW w:w="2831" w:type="dxa"/>
          </w:tcPr>
          <w:p w14:paraId="0AA0FF9E"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UAS-GTPx-1</w:t>
            </w:r>
          </w:p>
        </w:tc>
        <w:tc>
          <w:tcPr>
            <w:tcW w:w="3827" w:type="dxa"/>
          </w:tcPr>
          <w:p w14:paraId="5D7B054C"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 xml:space="preserve">N. </w:t>
            </w:r>
            <w:proofErr w:type="spellStart"/>
            <w:r w:rsidRPr="00A65ED8">
              <w:rPr>
                <w:rFonts w:ascii="Arial" w:eastAsia="Arial" w:hAnsi="Arial" w:cs="Arial"/>
                <w:color w:val="000000" w:themeColor="text1"/>
                <w:sz w:val="20"/>
                <w:szCs w:val="20"/>
              </w:rPr>
              <w:t>Perrimon</w:t>
            </w:r>
            <w:proofErr w:type="spellEnd"/>
          </w:p>
        </w:tc>
        <w:tc>
          <w:tcPr>
            <w:tcW w:w="2268" w:type="dxa"/>
          </w:tcPr>
          <w:p w14:paraId="53871797"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679FE83D" w14:textId="32DA7843" w:rsidTr="00C424AF">
        <w:trPr>
          <w:gridAfter w:val="1"/>
          <w:wAfter w:w="1281" w:type="dxa"/>
          <w:trHeight w:val="240"/>
        </w:trPr>
        <w:tc>
          <w:tcPr>
            <w:tcW w:w="2831" w:type="dxa"/>
          </w:tcPr>
          <w:p w14:paraId="34E542D4"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miRHG</w:t>
            </w:r>
            <w:proofErr w:type="spellEnd"/>
          </w:p>
        </w:tc>
        <w:tc>
          <w:tcPr>
            <w:tcW w:w="3827" w:type="dxa"/>
          </w:tcPr>
          <w:p w14:paraId="5A419495"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20EE0E1B"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_6409</w:t>
            </w:r>
          </w:p>
        </w:tc>
      </w:tr>
      <w:tr w:rsidR="00C424AF" w:rsidRPr="00A65ED8" w14:paraId="3B3C6665" w14:textId="64C820D4" w:rsidTr="00C424AF">
        <w:trPr>
          <w:gridAfter w:val="1"/>
          <w:wAfter w:w="1281" w:type="dxa"/>
          <w:trHeight w:val="240"/>
        </w:trPr>
        <w:tc>
          <w:tcPr>
            <w:tcW w:w="2831" w:type="dxa"/>
          </w:tcPr>
          <w:p w14:paraId="7C9D6278" w14:textId="77777777" w:rsidR="00C424AF" w:rsidRPr="00A65ED8" w:rsidRDefault="00C424AF" w:rsidP="000F7D0B">
            <w:pPr>
              <w:tabs>
                <w:tab w:val="left" w:pos="1525"/>
              </w:tabs>
              <w:spacing w:after="120" w:line="240" w:lineRule="auto"/>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UAS-GC3Ai</w:t>
            </w:r>
          </w:p>
        </w:tc>
        <w:tc>
          <w:tcPr>
            <w:tcW w:w="3827" w:type="dxa"/>
          </w:tcPr>
          <w:p w14:paraId="3CD78E87" w14:textId="77777777" w:rsidR="00C424AF" w:rsidRPr="00A65ED8" w:rsidRDefault="00C424AF" w:rsidP="000F7D0B">
            <w:pPr>
              <w:spacing w:after="120" w:line="240" w:lineRule="auto"/>
              <w:rPr>
                <w:rFonts w:ascii="Arial" w:eastAsia="Arial" w:hAnsi="Arial" w:cs="Arial"/>
                <w:color w:val="000000" w:themeColor="text1"/>
                <w:sz w:val="20"/>
                <w:szCs w:val="20"/>
              </w:rPr>
            </w:pPr>
            <w:r w:rsidRPr="00A65ED8">
              <w:rPr>
                <w:rFonts w:ascii="Arial" w:eastAsia="Arial" w:hAnsi="Arial" w:cs="Arial"/>
                <w:color w:val="000000" w:themeColor="text1"/>
                <w:sz w:val="20"/>
                <w:szCs w:val="20"/>
              </w:rPr>
              <w:fldChar w:fldCharType="begin" w:fldLock="1"/>
            </w:r>
            <w:r w:rsidRPr="00A65ED8">
              <w:rPr>
                <w:rFonts w:ascii="Arial" w:eastAsia="Arial" w:hAnsi="Arial" w:cs="Arial"/>
                <w:color w:val="000000" w:themeColor="text1"/>
                <w:sz w:val="20"/>
                <w:szCs w:val="20"/>
              </w:rPr>
              <w:instrText>ADDIN CSL_CITATION {"citationItems":[{"id":"ITEM-1","itemData":{"DOI":"10.1242/dev.149807","ISSN":"1477-9129","abstract":"Far from being passive, apoptotic cells influence their environment. For instance, they promote tissue folding, myoblast fusion and modulate tumor growth. Understanding the role of apoptotic cells necessitates their efficient tracking within living tissues, a task which is currently challenging. In order to easily spot apoptotic cells in developing Drosophila tissues, we generated a series of fly lines expressing different fluorescent sensors of caspase activity. We show that three of these reporters (GFP, Cerulean and Venus derived molecules) are detected specifically in apoptotic cells and throughout the whole process of programmed cell death. These reporters allow the specific visualization of apoptotic cells directly within living tissues, without any post-acquisition processing. They overcome the limitations of other apoptosis detection methods developed so far and notably, they can be combined with any kind of fluorophore.","author":[{"dropping-particle":"","family":"Schott","given":"Sonia","non-dropping-particle":"","parse-names":false,"suffix":""},{"dropping-particle":"","family":"Ambrosini","given":"Arnaud","non-dropping-particle":"","parse-names":false,"suffix":""},{"dropping-particle":"","family":"Barbaste","given":"Audrey","non-dropping-particle":"","parse-names":false,"suffix":""},{"dropping-particle":"","family":"Benassayag","given":"Corinne","non-dropping-particle":"","parse-names":false,"suffix":""},{"dropping-particle":"","family":"Gracia","given":"Mélanie","non-dropping-particle":"","parse-names":false,"suffix":""},{"dropping-particle":"","family":"Proag","given":"Amsha","non-dropping-particle":"","parse-names":false,"suffix":""},{"dropping-particle":"","family":"Rayer","given":"Mégane","non-dropping-particle":"","parse-names":false,"suffix":""},{"dropping-particle":"","family":"Monier","given":"Bruno","non-dropping-particle":"","parse-names":false,"suffix":""},{"dropping-particle":"","family":"Suzanne","given":"Magali","non-dropping-particle":"","parse-names":false,"suffix":""}],"container-title":"Development","id":"ITEM-1","issue":"20","issued":{"date-parts":[["2017","1","1"]]},"page":"3840-3846","title":"A fluorescent toolkit for spatiotemporal tracking of apoptotic cells in living Drosophila tissues","type":"article-journal","volume":"144"},"uris":["http://www.mendeley.com/documents/?uuid=255ab6fb-18c4-4354-affd-8cca6288c2b4"]}],"mendeley":{"formattedCitation":"(Schott et al. 2017)","plainTextFormattedCitation":"(Schott et al. 2017)","previouslyFormattedCitation":"(Schott et al. 2017)"},"properties":{"noteIndex":0},"schema":"https://github.com/citation-style-language/schema/raw/master/csl-citation.json"}</w:instrText>
            </w:r>
            <w:r w:rsidRPr="00A65ED8">
              <w:rPr>
                <w:rFonts w:ascii="Arial" w:eastAsia="Arial" w:hAnsi="Arial" w:cs="Arial"/>
                <w:color w:val="000000" w:themeColor="text1"/>
                <w:sz w:val="20"/>
                <w:szCs w:val="20"/>
              </w:rPr>
              <w:fldChar w:fldCharType="separate"/>
            </w:r>
            <w:r w:rsidRPr="00A65ED8">
              <w:rPr>
                <w:rFonts w:ascii="Arial" w:eastAsia="Arial" w:hAnsi="Arial" w:cs="Arial"/>
                <w:noProof/>
                <w:color w:val="000000" w:themeColor="text1"/>
                <w:sz w:val="20"/>
                <w:szCs w:val="20"/>
              </w:rPr>
              <w:t>(Schott et al. 2017)</w:t>
            </w:r>
            <w:r w:rsidRPr="00A65ED8">
              <w:rPr>
                <w:rFonts w:ascii="Arial" w:eastAsia="Arial" w:hAnsi="Arial" w:cs="Arial"/>
                <w:color w:val="000000" w:themeColor="text1"/>
                <w:sz w:val="20"/>
                <w:szCs w:val="20"/>
              </w:rPr>
              <w:fldChar w:fldCharType="end"/>
            </w:r>
          </w:p>
        </w:tc>
        <w:tc>
          <w:tcPr>
            <w:tcW w:w="2268" w:type="dxa"/>
          </w:tcPr>
          <w:p w14:paraId="3483B17A" w14:textId="77777777" w:rsidR="00C424AF" w:rsidRPr="00A65ED8" w:rsidRDefault="00C424AF" w:rsidP="000F7D0B">
            <w:pPr>
              <w:spacing w:after="120" w:line="240" w:lineRule="auto"/>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761265E8" w14:textId="50039F2B" w:rsidTr="00C424AF">
        <w:trPr>
          <w:gridAfter w:val="1"/>
          <w:wAfter w:w="1281" w:type="dxa"/>
          <w:trHeight w:val="240"/>
        </w:trPr>
        <w:tc>
          <w:tcPr>
            <w:tcW w:w="2831" w:type="dxa"/>
          </w:tcPr>
          <w:p w14:paraId="1730F8B3" w14:textId="77777777" w:rsidR="00C424AF" w:rsidRPr="00A65ED8" w:rsidRDefault="00C424AF" w:rsidP="000F7D0B">
            <w:pPr>
              <w:tabs>
                <w:tab w:val="left" w:pos="1525"/>
              </w:tabs>
              <w:spacing w:after="120" w:line="240" w:lineRule="auto"/>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UAS-p35</w:t>
            </w:r>
          </w:p>
        </w:tc>
        <w:tc>
          <w:tcPr>
            <w:tcW w:w="3827" w:type="dxa"/>
          </w:tcPr>
          <w:p w14:paraId="4CC1B3DB" w14:textId="77777777" w:rsidR="00C424AF" w:rsidRPr="00A65ED8" w:rsidRDefault="00C424AF" w:rsidP="000F7D0B">
            <w:pPr>
              <w:spacing w:after="120" w:line="240" w:lineRule="auto"/>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3E1DC7AD" w14:textId="77777777" w:rsidR="00C424AF" w:rsidRPr="00A65ED8" w:rsidRDefault="00C424AF" w:rsidP="000F7D0B">
            <w:pPr>
              <w:spacing w:after="120" w:line="240" w:lineRule="auto"/>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_5072</w:t>
            </w:r>
          </w:p>
          <w:p w14:paraId="17822000" w14:textId="77777777" w:rsidR="00C424AF" w:rsidRPr="00A65ED8" w:rsidRDefault="00C424AF" w:rsidP="000F7D0B">
            <w:pPr>
              <w:spacing w:after="120" w:line="240" w:lineRule="auto"/>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_5073</w:t>
            </w:r>
          </w:p>
        </w:tc>
      </w:tr>
      <w:tr w:rsidR="00C424AF" w:rsidRPr="00A65ED8" w14:paraId="5FAF8012" w14:textId="0CCEE7D1" w:rsidTr="00C424AF">
        <w:trPr>
          <w:gridAfter w:val="1"/>
          <w:wAfter w:w="1281" w:type="dxa"/>
          <w:trHeight w:val="240"/>
        </w:trPr>
        <w:tc>
          <w:tcPr>
            <w:tcW w:w="2831" w:type="dxa"/>
          </w:tcPr>
          <w:p w14:paraId="3ADC612E"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wor</w:t>
            </w:r>
            <w:proofErr w:type="spellEnd"/>
          </w:p>
        </w:tc>
        <w:tc>
          <w:tcPr>
            <w:tcW w:w="3827" w:type="dxa"/>
          </w:tcPr>
          <w:p w14:paraId="3388EAC4"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26A33EDE" w14:textId="77777777" w:rsidR="00C424AF" w:rsidRPr="00A65ED8" w:rsidRDefault="00C424AF" w:rsidP="000F7D0B">
            <w:pPr>
              <w:spacing w:after="120" w:line="240" w:lineRule="auto"/>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_83305</w:t>
            </w:r>
          </w:p>
        </w:tc>
      </w:tr>
      <w:tr w:rsidR="00C424AF" w:rsidRPr="00A65ED8" w14:paraId="5AB1E65C" w14:textId="3E34F6F0" w:rsidTr="00C424AF">
        <w:trPr>
          <w:gridAfter w:val="1"/>
          <w:wAfter w:w="1281" w:type="dxa"/>
          <w:trHeight w:val="240"/>
        </w:trPr>
        <w:tc>
          <w:tcPr>
            <w:tcW w:w="2831" w:type="dxa"/>
          </w:tcPr>
          <w:p w14:paraId="6AD11FEF"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Myc</w:t>
            </w:r>
            <w:proofErr w:type="spellEnd"/>
          </w:p>
        </w:tc>
        <w:tc>
          <w:tcPr>
            <w:tcW w:w="3827" w:type="dxa"/>
          </w:tcPr>
          <w:p w14:paraId="73C2F527"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1943D793" w14:textId="77777777" w:rsidR="00C424AF" w:rsidRPr="00A65ED8" w:rsidRDefault="00C424AF" w:rsidP="000F7D0B">
            <w:pPr>
              <w:rPr>
                <w:rFonts w:ascii="Arial" w:eastAsia="Arial" w:hAnsi="Arial" w:cs="Arial"/>
                <w:color w:val="000000" w:themeColor="text1"/>
                <w:sz w:val="20"/>
                <w:szCs w:val="20"/>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_9674</w:t>
            </w:r>
          </w:p>
        </w:tc>
      </w:tr>
      <w:tr w:rsidR="00C424AF" w:rsidRPr="00A65ED8" w14:paraId="2F6D6771" w14:textId="763F6612" w:rsidTr="00C424AF">
        <w:trPr>
          <w:gridAfter w:val="1"/>
          <w:wAfter w:w="1281" w:type="dxa"/>
          <w:trHeight w:val="240"/>
        </w:trPr>
        <w:tc>
          <w:tcPr>
            <w:tcW w:w="2831" w:type="dxa"/>
          </w:tcPr>
          <w:p w14:paraId="75DF4DF5" w14:textId="77777777" w:rsidR="00C424AF" w:rsidRPr="00A65ED8" w:rsidRDefault="00C424AF" w:rsidP="000F7D0B">
            <w:pPr>
              <w:tabs>
                <w:tab w:val="left" w:pos="1525"/>
              </w:tabs>
              <w:ind w:right="-235"/>
              <w:rPr>
                <w:rFonts w:ascii="Arial" w:eastAsia="Arial" w:hAnsi="Arial" w:cs="Arial"/>
                <w:i/>
                <w:color w:val="000000" w:themeColor="text1"/>
                <w:sz w:val="20"/>
                <w:szCs w:val="20"/>
                <w:highlight w:val="yellow"/>
              </w:rPr>
            </w:pPr>
            <w:r w:rsidRPr="00A65ED8">
              <w:rPr>
                <w:rFonts w:ascii="Arial" w:eastAsia="Arial" w:hAnsi="Arial" w:cs="Arial"/>
                <w:i/>
                <w:color w:val="000000" w:themeColor="text1"/>
                <w:sz w:val="20"/>
                <w:szCs w:val="20"/>
              </w:rPr>
              <w:t>UAS-p53</w:t>
            </w:r>
            <w:r w:rsidRPr="00A65ED8">
              <w:rPr>
                <w:rFonts w:ascii="Arial" w:eastAsia="Arial" w:hAnsi="Arial" w:cs="Arial"/>
                <w:i/>
                <w:color w:val="000000" w:themeColor="text1"/>
                <w:sz w:val="20"/>
                <w:szCs w:val="20"/>
                <w:vertAlign w:val="superscript"/>
              </w:rPr>
              <w:t>Ct</w:t>
            </w:r>
            <w:r w:rsidRPr="00A65ED8">
              <w:rPr>
                <w:rFonts w:ascii="Arial" w:eastAsia="Arial" w:hAnsi="Arial" w:cs="Arial"/>
                <w:i/>
                <w:color w:val="000000" w:themeColor="text1"/>
                <w:sz w:val="20"/>
                <w:szCs w:val="20"/>
              </w:rPr>
              <w:t xml:space="preserve"> </w:t>
            </w:r>
            <w:r w:rsidRPr="00A65ED8">
              <w:rPr>
                <w:rFonts w:ascii="Arial" w:eastAsia="Arial" w:hAnsi="Arial" w:cs="Arial"/>
                <w:color w:val="000000" w:themeColor="text1"/>
                <w:sz w:val="20"/>
                <w:szCs w:val="20"/>
              </w:rPr>
              <w:t>(DN)</w:t>
            </w:r>
          </w:p>
        </w:tc>
        <w:tc>
          <w:tcPr>
            <w:tcW w:w="3827" w:type="dxa"/>
          </w:tcPr>
          <w:p w14:paraId="12BE977C" w14:textId="77777777" w:rsidR="00C424AF" w:rsidRPr="00A65ED8" w:rsidRDefault="00C424AF" w:rsidP="000F7D0B">
            <w:pPr>
              <w:ind w:right="-235"/>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Bloomington Drosophila Stock Center</w:t>
            </w:r>
          </w:p>
        </w:tc>
        <w:tc>
          <w:tcPr>
            <w:tcW w:w="2268" w:type="dxa"/>
          </w:tcPr>
          <w:p w14:paraId="34C61DAE" w14:textId="77777777" w:rsidR="00C424AF" w:rsidRPr="00A65ED8" w:rsidRDefault="00C424AF" w:rsidP="000F7D0B">
            <w:pPr>
              <w:ind w:right="-235"/>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_6583</w:t>
            </w:r>
          </w:p>
        </w:tc>
      </w:tr>
      <w:tr w:rsidR="00C424AF" w:rsidRPr="00A65ED8" w14:paraId="56CCDD5B" w14:textId="6CFB86D2" w:rsidTr="00C424AF">
        <w:trPr>
          <w:gridAfter w:val="1"/>
          <w:wAfter w:w="1281" w:type="dxa"/>
          <w:trHeight w:val="240"/>
        </w:trPr>
        <w:tc>
          <w:tcPr>
            <w:tcW w:w="2831" w:type="dxa"/>
            <w:tcBorders>
              <w:bottom w:val="single" w:sz="4" w:space="0" w:color="000000"/>
            </w:tcBorders>
          </w:tcPr>
          <w:p w14:paraId="13261B9E"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UAS-p53</w:t>
            </w:r>
            <w:r w:rsidRPr="00A65ED8">
              <w:rPr>
                <w:rFonts w:ascii="Arial" w:eastAsia="Arial" w:hAnsi="Arial" w:cs="Arial"/>
                <w:i/>
                <w:color w:val="000000" w:themeColor="text1"/>
                <w:sz w:val="20"/>
                <w:szCs w:val="20"/>
                <w:vertAlign w:val="superscript"/>
              </w:rPr>
              <w:t>RNAi</w:t>
            </w:r>
          </w:p>
        </w:tc>
        <w:tc>
          <w:tcPr>
            <w:tcW w:w="3827" w:type="dxa"/>
            <w:tcBorders>
              <w:bottom w:val="single" w:sz="4" w:space="0" w:color="000000"/>
            </w:tcBorders>
          </w:tcPr>
          <w:p w14:paraId="37FE2D67"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Borders>
              <w:bottom w:val="single" w:sz="4" w:space="0" w:color="000000"/>
            </w:tcBorders>
          </w:tcPr>
          <w:p w14:paraId="2D209A51"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VDRC ID_38235</w:t>
            </w:r>
          </w:p>
        </w:tc>
      </w:tr>
      <w:tr w:rsidR="00C424AF" w:rsidRPr="00A65ED8" w14:paraId="2C3EF006" w14:textId="579040DD" w:rsidTr="00C424AF">
        <w:trPr>
          <w:gridAfter w:val="1"/>
          <w:wAfter w:w="1281" w:type="dxa"/>
          <w:trHeight w:val="240"/>
        </w:trPr>
        <w:tc>
          <w:tcPr>
            <w:tcW w:w="2831" w:type="dxa"/>
            <w:tcBorders>
              <w:bottom w:val="single" w:sz="4" w:space="0" w:color="000000"/>
            </w:tcBorders>
          </w:tcPr>
          <w:p w14:paraId="0C54D44A" w14:textId="77777777" w:rsidR="00C424AF" w:rsidRPr="00A65ED8" w:rsidRDefault="00C424AF" w:rsidP="000F7D0B">
            <w:pPr>
              <w:tabs>
                <w:tab w:val="left" w:pos="1525"/>
              </w:tabs>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 xml:space="preserve">hid-EGFP.5’F-WT </w:t>
            </w:r>
            <w:r w:rsidRPr="00A65ED8">
              <w:rPr>
                <w:rFonts w:ascii="Arial" w:eastAsia="Arial" w:hAnsi="Arial" w:cs="Arial"/>
                <w:color w:val="000000" w:themeColor="text1"/>
                <w:sz w:val="20"/>
                <w:szCs w:val="20"/>
              </w:rPr>
              <w:t>(</w:t>
            </w:r>
            <w:r w:rsidRPr="00A65ED8">
              <w:rPr>
                <w:rFonts w:ascii="Arial" w:eastAsia="Arial" w:hAnsi="Arial" w:cs="Arial"/>
                <w:i/>
                <w:color w:val="000000" w:themeColor="text1"/>
                <w:sz w:val="20"/>
                <w:szCs w:val="20"/>
              </w:rPr>
              <w:t xml:space="preserve">p53 </w:t>
            </w:r>
            <w:r w:rsidRPr="00A65ED8">
              <w:rPr>
                <w:rFonts w:ascii="Arial" w:eastAsia="Arial" w:hAnsi="Arial" w:cs="Arial"/>
                <w:color w:val="000000" w:themeColor="text1"/>
                <w:sz w:val="20"/>
                <w:szCs w:val="20"/>
              </w:rPr>
              <w:t>sensor)</w:t>
            </w:r>
          </w:p>
        </w:tc>
        <w:tc>
          <w:tcPr>
            <w:tcW w:w="3827" w:type="dxa"/>
            <w:tcBorders>
              <w:bottom w:val="single" w:sz="4" w:space="0" w:color="000000"/>
            </w:tcBorders>
          </w:tcPr>
          <w:p w14:paraId="2D60C166"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Borders>
              <w:bottom w:val="single" w:sz="4" w:space="0" w:color="000000"/>
            </w:tcBorders>
          </w:tcPr>
          <w:p w14:paraId="73E82777" w14:textId="77777777" w:rsidR="00C424AF" w:rsidRPr="00A65ED8" w:rsidRDefault="00C424AF" w:rsidP="000F7D0B">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BDSC_50750</w:t>
            </w:r>
          </w:p>
        </w:tc>
      </w:tr>
      <w:tr w:rsidR="00C424AF" w:rsidRPr="00A65ED8" w14:paraId="1AB81483" w14:textId="10BAB7E6" w:rsidTr="00C424AF">
        <w:trPr>
          <w:gridAfter w:val="1"/>
          <w:wAfter w:w="1281" w:type="dxa"/>
          <w:trHeight w:val="240"/>
        </w:trPr>
        <w:tc>
          <w:tcPr>
            <w:tcW w:w="2831" w:type="dxa"/>
          </w:tcPr>
          <w:p w14:paraId="058AF053"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redStinger</w:t>
            </w:r>
            <w:proofErr w:type="spellEnd"/>
            <w:r w:rsidRPr="00A65ED8">
              <w:rPr>
                <w:rFonts w:ascii="Arial" w:eastAsia="Arial" w:hAnsi="Arial" w:cs="Arial"/>
                <w:i/>
                <w:color w:val="000000" w:themeColor="text1"/>
                <w:sz w:val="20"/>
                <w:szCs w:val="20"/>
              </w:rPr>
              <w:t>, UAS-</w:t>
            </w:r>
            <w:proofErr w:type="spellStart"/>
            <w:r w:rsidRPr="00A65ED8">
              <w:rPr>
                <w:rFonts w:ascii="Arial" w:eastAsia="Arial" w:hAnsi="Arial" w:cs="Arial"/>
                <w:i/>
                <w:color w:val="000000" w:themeColor="text1"/>
                <w:sz w:val="20"/>
                <w:szCs w:val="20"/>
              </w:rPr>
              <w:t>Flp</w:t>
            </w:r>
            <w:proofErr w:type="spellEnd"/>
            <w:r w:rsidRPr="00A65ED8">
              <w:rPr>
                <w:rFonts w:ascii="Arial" w:eastAsia="Arial" w:hAnsi="Arial" w:cs="Arial"/>
                <w:i/>
                <w:color w:val="000000" w:themeColor="text1"/>
                <w:sz w:val="20"/>
                <w:szCs w:val="20"/>
              </w:rPr>
              <w:t>, ubi</w:t>
            </w:r>
            <w:r w:rsidRPr="00A65ED8">
              <w:rPr>
                <w:rFonts w:ascii="Arial" w:eastAsia="Arial" w:hAnsi="Arial" w:cs="Arial"/>
                <w:i/>
                <w:color w:val="000000" w:themeColor="text1"/>
                <w:sz w:val="20"/>
                <w:szCs w:val="20"/>
                <w:vertAlign w:val="superscript"/>
              </w:rPr>
              <w:t>p63</w:t>
            </w:r>
            <w:r w:rsidRPr="00A65ED8">
              <w:rPr>
                <w:rFonts w:ascii="Arial" w:eastAsia="Arial" w:hAnsi="Arial" w:cs="Arial"/>
                <w:i/>
                <w:color w:val="000000" w:themeColor="text1"/>
                <w:sz w:val="20"/>
                <w:szCs w:val="20"/>
              </w:rPr>
              <w:t>&gt; Stop&gt; EGFP (GTRACE)</w:t>
            </w:r>
          </w:p>
        </w:tc>
        <w:tc>
          <w:tcPr>
            <w:tcW w:w="3827" w:type="dxa"/>
          </w:tcPr>
          <w:p w14:paraId="3E3240F9"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28F3595D"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BDSC_28280</w:t>
            </w:r>
          </w:p>
        </w:tc>
      </w:tr>
      <w:tr w:rsidR="00C424AF" w:rsidRPr="00A65ED8" w14:paraId="2A261C83" w14:textId="6CF02DB8" w:rsidTr="00C424AF">
        <w:trPr>
          <w:gridAfter w:val="1"/>
          <w:wAfter w:w="1281" w:type="dxa"/>
          <w:trHeight w:val="240"/>
        </w:trPr>
        <w:tc>
          <w:tcPr>
            <w:tcW w:w="2831" w:type="dxa"/>
          </w:tcPr>
          <w:p w14:paraId="22F7A342"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Rheb</w:t>
            </w:r>
            <w:r w:rsidRPr="00A65ED8">
              <w:rPr>
                <w:rFonts w:ascii="Arial" w:eastAsia="Arial" w:hAnsi="Arial" w:cs="Arial"/>
                <w:i/>
                <w:color w:val="000000" w:themeColor="text1"/>
                <w:sz w:val="20"/>
                <w:szCs w:val="20"/>
                <w:vertAlign w:val="superscript"/>
              </w:rPr>
              <w:t>RNAi</w:t>
            </w:r>
            <w:proofErr w:type="spellEnd"/>
            <w:r w:rsidRPr="00A65ED8">
              <w:rPr>
                <w:rFonts w:ascii="Arial" w:eastAsia="Arial" w:hAnsi="Arial" w:cs="Arial"/>
                <w:i/>
                <w:color w:val="000000" w:themeColor="text1"/>
                <w:sz w:val="20"/>
                <w:szCs w:val="20"/>
                <w:vertAlign w:val="superscript"/>
              </w:rPr>
              <w:t xml:space="preserve"> </w:t>
            </w:r>
          </w:p>
        </w:tc>
        <w:tc>
          <w:tcPr>
            <w:tcW w:w="3827" w:type="dxa"/>
          </w:tcPr>
          <w:p w14:paraId="113EE143"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3454895A"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BDSC_33966</w:t>
            </w:r>
          </w:p>
        </w:tc>
      </w:tr>
      <w:tr w:rsidR="00C424AF" w:rsidRPr="00A65ED8" w14:paraId="424FD858" w14:textId="5B3CC895" w:rsidTr="00C424AF">
        <w:trPr>
          <w:gridAfter w:val="1"/>
          <w:wAfter w:w="1281" w:type="dxa"/>
          <w:trHeight w:val="240"/>
        </w:trPr>
        <w:tc>
          <w:tcPr>
            <w:tcW w:w="2831" w:type="dxa"/>
          </w:tcPr>
          <w:p w14:paraId="132086C3" w14:textId="77777777" w:rsidR="00C424AF" w:rsidRPr="00A65ED8" w:rsidRDefault="00C424AF" w:rsidP="000F7D0B">
            <w:pPr>
              <w:tabs>
                <w:tab w:val="left" w:pos="1525"/>
              </w:tabs>
              <w:ind w:right="-235"/>
              <w:rPr>
                <w:rFonts w:ascii="Arial" w:eastAsia="Arial" w:hAnsi="Arial" w:cs="Arial"/>
                <w:i/>
                <w:color w:val="000000" w:themeColor="text1"/>
                <w:sz w:val="20"/>
                <w:szCs w:val="20"/>
                <w:highlight w:val="yellow"/>
              </w:rPr>
            </w:pPr>
            <w:proofErr w:type="spellStart"/>
            <w:r w:rsidRPr="00A65ED8">
              <w:rPr>
                <w:rFonts w:ascii="Arial" w:eastAsia="Arial" w:hAnsi="Arial" w:cs="Arial"/>
                <w:i/>
                <w:color w:val="000000" w:themeColor="text1"/>
                <w:sz w:val="20"/>
                <w:szCs w:val="20"/>
              </w:rPr>
              <w:t>mTor</w:t>
            </w:r>
            <w:r w:rsidRPr="00A65ED8">
              <w:rPr>
                <w:rFonts w:ascii="Arial" w:eastAsia="Arial" w:hAnsi="Arial" w:cs="Arial"/>
                <w:i/>
                <w:color w:val="000000" w:themeColor="text1"/>
                <w:sz w:val="20"/>
                <w:szCs w:val="20"/>
                <w:vertAlign w:val="superscript"/>
              </w:rPr>
              <w:t>ΔP</w:t>
            </w:r>
            <w:proofErr w:type="spellEnd"/>
          </w:p>
        </w:tc>
        <w:tc>
          <w:tcPr>
            <w:tcW w:w="3827" w:type="dxa"/>
          </w:tcPr>
          <w:p w14:paraId="61DEB104" w14:textId="77777777" w:rsidR="00C424AF" w:rsidRPr="00A65ED8" w:rsidRDefault="00C424AF" w:rsidP="000F7D0B">
            <w:pPr>
              <w:ind w:right="-235"/>
              <w:rPr>
                <w:rFonts w:ascii="Arial" w:eastAsia="Arial" w:hAnsi="Arial" w:cs="Arial"/>
                <w:color w:val="000000" w:themeColor="text1"/>
                <w:sz w:val="20"/>
                <w:szCs w:val="20"/>
                <w:highlight w:val="yellow"/>
              </w:rPr>
            </w:pPr>
            <w:r w:rsidRPr="00A65ED8">
              <w:rPr>
                <w:rFonts w:ascii="Arial" w:eastAsia="Arial" w:hAnsi="Arial" w:cs="Arial"/>
                <w:color w:val="000000" w:themeColor="text1"/>
                <w:sz w:val="20"/>
                <w:szCs w:val="20"/>
              </w:rPr>
              <w:t>Bloomington Drosophila Stock Center</w:t>
            </w:r>
          </w:p>
        </w:tc>
        <w:tc>
          <w:tcPr>
            <w:tcW w:w="2268" w:type="dxa"/>
          </w:tcPr>
          <w:p w14:paraId="3739DFEA" w14:textId="77777777" w:rsidR="00C424AF" w:rsidRPr="00A65ED8" w:rsidRDefault="00C424AF" w:rsidP="000F7D0B">
            <w:pPr>
              <w:ind w:right="-235"/>
              <w:rPr>
                <w:rFonts w:ascii="Arial" w:eastAsia="Arial" w:hAnsi="Arial" w:cs="Arial"/>
                <w:color w:val="000000" w:themeColor="text1"/>
                <w:sz w:val="20"/>
                <w:szCs w:val="20"/>
                <w:highlight w:val="yellow"/>
              </w:rPr>
            </w:pPr>
            <w:proofErr w:type="gramStart"/>
            <w:r w:rsidRPr="00A65ED8">
              <w:rPr>
                <w:rFonts w:ascii="Arial" w:eastAsia="Arial" w:hAnsi="Arial" w:cs="Arial"/>
                <w:color w:val="000000" w:themeColor="text1"/>
                <w:sz w:val="20"/>
                <w:szCs w:val="20"/>
              </w:rPr>
              <w:t>RRID:BDSC</w:t>
            </w:r>
            <w:proofErr w:type="gramEnd"/>
            <w:r w:rsidRPr="00A65ED8">
              <w:rPr>
                <w:rFonts w:ascii="Arial" w:eastAsia="Arial" w:hAnsi="Arial" w:cs="Arial"/>
                <w:color w:val="000000" w:themeColor="text1"/>
                <w:sz w:val="20"/>
                <w:szCs w:val="20"/>
              </w:rPr>
              <w:t>_7014</w:t>
            </w:r>
          </w:p>
        </w:tc>
      </w:tr>
      <w:tr w:rsidR="00C424AF" w:rsidRPr="00A65ED8" w14:paraId="7D965907" w14:textId="7C728C47" w:rsidTr="00C424AF">
        <w:trPr>
          <w:gridAfter w:val="1"/>
          <w:wAfter w:w="1281" w:type="dxa"/>
          <w:trHeight w:val="240"/>
        </w:trPr>
        <w:tc>
          <w:tcPr>
            <w:tcW w:w="2831" w:type="dxa"/>
          </w:tcPr>
          <w:p w14:paraId="0C2B74A0"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 xml:space="preserve">UAS- </w:t>
            </w:r>
            <w:proofErr w:type="spellStart"/>
            <w:r w:rsidRPr="00A65ED8">
              <w:rPr>
                <w:rFonts w:ascii="Arial" w:eastAsia="Arial" w:hAnsi="Arial" w:cs="Arial"/>
                <w:i/>
                <w:color w:val="000000" w:themeColor="text1"/>
                <w:sz w:val="20"/>
                <w:szCs w:val="20"/>
              </w:rPr>
              <w:t>Sxl</w:t>
            </w:r>
            <w:r w:rsidRPr="00A65ED8">
              <w:rPr>
                <w:rFonts w:ascii="Arial" w:eastAsia="Arial" w:hAnsi="Arial" w:cs="Arial"/>
                <w:i/>
                <w:color w:val="000000" w:themeColor="text1"/>
                <w:sz w:val="20"/>
                <w:szCs w:val="20"/>
                <w:vertAlign w:val="superscript"/>
              </w:rPr>
              <w:t>RNAi</w:t>
            </w:r>
            <w:proofErr w:type="spellEnd"/>
          </w:p>
        </w:tc>
        <w:tc>
          <w:tcPr>
            <w:tcW w:w="3827" w:type="dxa"/>
          </w:tcPr>
          <w:p w14:paraId="7A25CAA1"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16DB7EA6"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BDSC_38195</w:t>
            </w:r>
          </w:p>
        </w:tc>
      </w:tr>
      <w:tr w:rsidR="00C424AF" w:rsidRPr="00A65ED8" w14:paraId="40EAA94A" w14:textId="5E1E2190" w:rsidTr="00C424AF">
        <w:trPr>
          <w:gridAfter w:val="1"/>
          <w:wAfter w:w="1281" w:type="dxa"/>
          <w:trHeight w:val="240"/>
        </w:trPr>
        <w:tc>
          <w:tcPr>
            <w:tcW w:w="2831" w:type="dxa"/>
          </w:tcPr>
          <w:p w14:paraId="0BE260A0"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lastRenderedPageBreak/>
              <w:t>UAS-msl2</w:t>
            </w:r>
            <w:r w:rsidRPr="00A65ED8">
              <w:rPr>
                <w:rFonts w:ascii="Arial" w:eastAsia="Arial" w:hAnsi="Arial" w:cs="Arial"/>
                <w:i/>
                <w:color w:val="000000" w:themeColor="text1"/>
                <w:sz w:val="20"/>
                <w:szCs w:val="20"/>
                <w:vertAlign w:val="superscript"/>
              </w:rPr>
              <w:t>RNAi</w:t>
            </w:r>
          </w:p>
        </w:tc>
        <w:tc>
          <w:tcPr>
            <w:tcW w:w="3827" w:type="dxa"/>
          </w:tcPr>
          <w:p w14:paraId="06A19001"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Vienna Drosophila Resource Center</w:t>
            </w:r>
          </w:p>
        </w:tc>
        <w:tc>
          <w:tcPr>
            <w:tcW w:w="2268" w:type="dxa"/>
          </w:tcPr>
          <w:p w14:paraId="7F1E1A7A"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VDRC ID_29356</w:t>
            </w:r>
          </w:p>
        </w:tc>
      </w:tr>
      <w:tr w:rsidR="00C424AF" w:rsidRPr="00A65ED8" w14:paraId="438D516E" w14:textId="77215ACA" w:rsidTr="00C424AF">
        <w:trPr>
          <w:gridAfter w:val="1"/>
          <w:wAfter w:w="1281" w:type="dxa"/>
          <w:trHeight w:val="240"/>
        </w:trPr>
        <w:tc>
          <w:tcPr>
            <w:tcW w:w="2831" w:type="dxa"/>
          </w:tcPr>
          <w:p w14:paraId="056D562D"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UAS-</w:t>
            </w:r>
            <w:proofErr w:type="spellStart"/>
            <w:r w:rsidRPr="00A65ED8">
              <w:rPr>
                <w:rFonts w:ascii="Arial" w:eastAsia="Arial" w:hAnsi="Arial" w:cs="Arial"/>
                <w:i/>
                <w:color w:val="000000" w:themeColor="text1"/>
                <w:sz w:val="20"/>
                <w:szCs w:val="20"/>
              </w:rPr>
              <w:t>pros</w:t>
            </w:r>
            <w:r w:rsidRPr="00A65ED8">
              <w:rPr>
                <w:rFonts w:ascii="Arial" w:eastAsia="Arial" w:hAnsi="Arial" w:cs="Arial"/>
                <w:i/>
                <w:color w:val="000000" w:themeColor="text1"/>
                <w:sz w:val="20"/>
                <w:szCs w:val="20"/>
                <w:vertAlign w:val="superscript"/>
              </w:rPr>
              <w:t>RNAi</w:t>
            </w:r>
            <w:proofErr w:type="spellEnd"/>
          </w:p>
        </w:tc>
        <w:tc>
          <w:tcPr>
            <w:tcW w:w="3827" w:type="dxa"/>
          </w:tcPr>
          <w:p w14:paraId="4E8FAB1A"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78A3EB78"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BDSC_26745</w:t>
            </w:r>
          </w:p>
        </w:tc>
      </w:tr>
      <w:tr w:rsidR="00C424AF" w:rsidRPr="00F07557" w14:paraId="4FD2FA86" w14:textId="6B168777" w:rsidTr="00C424AF">
        <w:trPr>
          <w:gridAfter w:val="1"/>
          <w:wAfter w:w="1281" w:type="dxa"/>
          <w:trHeight w:val="240"/>
        </w:trPr>
        <w:tc>
          <w:tcPr>
            <w:tcW w:w="2831" w:type="dxa"/>
          </w:tcPr>
          <w:p w14:paraId="1F79C619" w14:textId="77777777" w:rsidR="00C424AF" w:rsidRPr="00881C20" w:rsidRDefault="00C424AF" w:rsidP="000F7D0B">
            <w:pPr>
              <w:tabs>
                <w:tab w:val="left" w:pos="1525"/>
              </w:tabs>
              <w:ind w:right="-235"/>
              <w:rPr>
                <w:rFonts w:ascii="Arial" w:eastAsia="Arial" w:hAnsi="Arial" w:cs="Arial"/>
                <w:i/>
                <w:color w:val="000000" w:themeColor="text1"/>
                <w:sz w:val="20"/>
                <w:szCs w:val="20"/>
              </w:rPr>
            </w:pPr>
            <w:r w:rsidRPr="00881C20">
              <w:rPr>
                <w:rFonts w:ascii="Arial" w:eastAsia="Arial" w:hAnsi="Arial" w:cs="Arial"/>
                <w:i/>
                <w:color w:val="000000" w:themeColor="text1"/>
                <w:sz w:val="20"/>
                <w:szCs w:val="20"/>
              </w:rPr>
              <w:t>His2Av-EGFP</w:t>
            </w:r>
          </w:p>
        </w:tc>
        <w:tc>
          <w:tcPr>
            <w:tcW w:w="3827" w:type="dxa"/>
          </w:tcPr>
          <w:p w14:paraId="1DB17E75" w14:textId="77777777" w:rsidR="00C424AF" w:rsidRPr="00881C20" w:rsidRDefault="00C424AF" w:rsidP="000F7D0B">
            <w:pPr>
              <w:ind w:right="-235"/>
              <w:rPr>
                <w:rFonts w:ascii="Arial" w:eastAsia="Arial" w:hAnsi="Arial" w:cs="Arial"/>
                <w:color w:val="000000" w:themeColor="text1"/>
                <w:sz w:val="20"/>
                <w:szCs w:val="20"/>
              </w:rPr>
            </w:pPr>
            <w:r w:rsidRPr="00881C20">
              <w:rPr>
                <w:rFonts w:ascii="Arial" w:eastAsia="Arial" w:hAnsi="Arial" w:cs="Arial"/>
                <w:color w:val="000000" w:themeColor="text1"/>
                <w:sz w:val="20"/>
                <w:szCs w:val="20"/>
              </w:rPr>
              <w:t>Bloomington Drosophila Stock Center</w:t>
            </w:r>
          </w:p>
        </w:tc>
        <w:tc>
          <w:tcPr>
            <w:tcW w:w="2268" w:type="dxa"/>
          </w:tcPr>
          <w:p w14:paraId="3D4D0C05" w14:textId="77777777" w:rsidR="00C424AF" w:rsidRPr="00881C20" w:rsidRDefault="00C424AF" w:rsidP="000F7D0B">
            <w:pPr>
              <w:ind w:right="-235"/>
              <w:rPr>
                <w:rFonts w:ascii="Arial" w:eastAsia="Arial" w:hAnsi="Arial" w:cs="Arial"/>
                <w:color w:val="000000" w:themeColor="text1"/>
                <w:sz w:val="20"/>
                <w:szCs w:val="20"/>
              </w:rPr>
            </w:pPr>
            <w:r w:rsidRPr="00881C20">
              <w:rPr>
                <w:rFonts w:ascii="Arial" w:eastAsia="Arial" w:hAnsi="Arial" w:cs="Arial"/>
                <w:color w:val="000000" w:themeColor="text1"/>
                <w:sz w:val="20"/>
                <w:szCs w:val="20"/>
              </w:rPr>
              <w:t>N/A</w:t>
            </w:r>
          </w:p>
        </w:tc>
      </w:tr>
      <w:tr w:rsidR="00C424AF" w:rsidRPr="00F07557" w14:paraId="2441E395" w14:textId="225C41A0" w:rsidTr="00C424AF">
        <w:trPr>
          <w:gridAfter w:val="1"/>
          <w:wAfter w:w="1281" w:type="dxa"/>
          <w:trHeight w:val="240"/>
        </w:trPr>
        <w:tc>
          <w:tcPr>
            <w:tcW w:w="2831" w:type="dxa"/>
          </w:tcPr>
          <w:p w14:paraId="6BE1D74B" w14:textId="77777777" w:rsidR="00C424AF" w:rsidRPr="00881C20" w:rsidRDefault="00C424AF" w:rsidP="000F7D0B">
            <w:pPr>
              <w:tabs>
                <w:tab w:val="left" w:pos="1525"/>
              </w:tabs>
              <w:ind w:right="-235"/>
              <w:rPr>
                <w:rFonts w:ascii="Arial" w:eastAsia="Arial" w:hAnsi="Arial" w:cs="Arial"/>
                <w:i/>
                <w:color w:val="000000" w:themeColor="text1"/>
                <w:sz w:val="20"/>
                <w:szCs w:val="20"/>
                <w:highlight w:val="yellow"/>
              </w:rPr>
            </w:pPr>
            <w:proofErr w:type="spellStart"/>
            <w:r w:rsidRPr="00881C20">
              <w:rPr>
                <w:rFonts w:ascii="Arial" w:eastAsia="Arial" w:hAnsi="Arial" w:cs="Arial"/>
                <w:i/>
                <w:color w:val="000000" w:themeColor="text1"/>
                <w:sz w:val="20"/>
                <w:szCs w:val="20"/>
              </w:rPr>
              <w:t>OregonR</w:t>
            </w:r>
            <w:proofErr w:type="spellEnd"/>
          </w:p>
        </w:tc>
        <w:tc>
          <w:tcPr>
            <w:tcW w:w="3827" w:type="dxa"/>
          </w:tcPr>
          <w:p w14:paraId="520D58AC" w14:textId="77777777" w:rsidR="00C424AF" w:rsidRPr="00881C20" w:rsidRDefault="00C424AF" w:rsidP="000F7D0B">
            <w:pPr>
              <w:ind w:right="-235"/>
              <w:rPr>
                <w:rFonts w:ascii="Arial" w:eastAsia="Arial" w:hAnsi="Arial" w:cs="Arial"/>
                <w:color w:val="000000" w:themeColor="text1"/>
                <w:sz w:val="20"/>
                <w:szCs w:val="20"/>
                <w:highlight w:val="yellow"/>
              </w:rPr>
            </w:pPr>
            <w:r w:rsidRPr="00881C20">
              <w:rPr>
                <w:rFonts w:ascii="Arial" w:eastAsia="Arial" w:hAnsi="Arial" w:cs="Arial"/>
                <w:color w:val="000000" w:themeColor="text1"/>
                <w:sz w:val="20"/>
                <w:szCs w:val="20"/>
              </w:rPr>
              <w:t>Bloomington Drosophila Stock Center</w:t>
            </w:r>
          </w:p>
        </w:tc>
        <w:tc>
          <w:tcPr>
            <w:tcW w:w="2268" w:type="dxa"/>
          </w:tcPr>
          <w:p w14:paraId="650FA536" w14:textId="77777777" w:rsidR="00C424AF" w:rsidRPr="00F95ED6" w:rsidRDefault="00C424AF" w:rsidP="000F7D0B">
            <w:pPr>
              <w:ind w:right="-235"/>
              <w:rPr>
                <w:rFonts w:ascii="Arial" w:eastAsia="Arial" w:hAnsi="Arial" w:cs="Arial"/>
                <w:color w:val="FF0000"/>
                <w:sz w:val="20"/>
                <w:szCs w:val="20"/>
              </w:rPr>
            </w:pPr>
            <w:r>
              <w:rPr>
                <w:rFonts w:ascii="Arial" w:eastAsia="Arial" w:hAnsi="Arial" w:cs="Arial"/>
                <w:color w:val="000000" w:themeColor="text1"/>
                <w:sz w:val="20"/>
                <w:szCs w:val="20"/>
              </w:rPr>
              <w:t>RRID: BDSC_5</w:t>
            </w:r>
          </w:p>
        </w:tc>
      </w:tr>
      <w:tr w:rsidR="00C424AF" w:rsidRPr="00A65ED8" w14:paraId="20C7E1C1" w14:textId="71339D03" w:rsidTr="00C424AF">
        <w:trPr>
          <w:gridAfter w:val="1"/>
          <w:wAfter w:w="1281" w:type="dxa"/>
          <w:trHeight w:val="240"/>
        </w:trPr>
        <w:tc>
          <w:tcPr>
            <w:tcW w:w="2831" w:type="dxa"/>
          </w:tcPr>
          <w:p w14:paraId="0EC4923D"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Pr>
                <w:rFonts w:ascii="Arial" w:eastAsia="Arial" w:hAnsi="Arial" w:cs="Arial"/>
                <w:i/>
                <w:color w:val="000000" w:themeColor="text1"/>
                <w:sz w:val="20"/>
                <w:szCs w:val="20"/>
              </w:rPr>
              <w:t>GFP FRT18A</w:t>
            </w:r>
          </w:p>
        </w:tc>
        <w:tc>
          <w:tcPr>
            <w:tcW w:w="3827" w:type="dxa"/>
          </w:tcPr>
          <w:p w14:paraId="262AF019"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5849C2ED"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BDSC_5245</w:t>
            </w:r>
          </w:p>
        </w:tc>
      </w:tr>
      <w:tr w:rsidR="00C424AF" w:rsidRPr="00A65ED8" w14:paraId="25AB5EFA" w14:textId="05AD191E" w:rsidTr="00C424AF">
        <w:trPr>
          <w:gridAfter w:val="1"/>
          <w:wAfter w:w="1281" w:type="dxa"/>
          <w:trHeight w:val="240"/>
        </w:trPr>
        <w:tc>
          <w:tcPr>
            <w:tcW w:w="2831" w:type="dxa"/>
          </w:tcPr>
          <w:p w14:paraId="2F2C72EB"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FM6/</w:t>
            </w:r>
            <w:proofErr w:type="gramStart"/>
            <w:r w:rsidRPr="00A65ED8">
              <w:rPr>
                <w:rFonts w:ascii="Arial" w:eastAsia="Arial" w:hAnsi="Arial" w:cs="Arial"/>
                <w:i/>
                <w:color w:val="000000" w:themeColor="text1"/>
                <w:sz w:val="20"/>
                <w:szCs w:val="20"/>
              </w:rPr>
              <w:t>C(1)DX</w:t>
            </w:r>
            <w:proofErr w:type="gramEnd"/>
            <w:r w:rsidRPr="00A65ED8">
              <w:rPr>
                <w:rFonts w:ascii="Arial" w:eastAsia="Arial" w:hAnsi="Arial" w:cs="Arial"/>
                <w:i/>
                <w:color w:val="000000" w:themeColor="text1"/>
                <w:sz w:val="20"/>
                <w:szCs w:val="20"/>
              </w:rPr>
              <w:t>, y</w:t>
            </w:r>
          </w:p>
        </w:tc>
        <w:tc>
          <w:tcPr>
            <w:tcW w:w="3827" w:type="dxa"/>
          </w:tcPr>
          <w:p w14:paraId="574177FD"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Bloomington Drosophila Stock Center</w:t>
            </w:r>
          </w:p>
        </w:tc>
        <w:tc>
          <w:tcPr>
            <w:tcW w:w="2268" w:type="dxa"/>
          </w:tcPr>
          <w:p w14:paraId="05A4FDDB"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BDSC_784</w:t>
            </w:r>
          </w:p>
        </w:tc>
      </w:tr>
      <w:tr w:rsidR="00C424AF" w:rsidRPr="00A65ED8" w14:paraId="43E5A9E1" w14:textId="61BDD37A" w:rsidTr="00C424AF">
        <w:trPr>
          <w:gridAfter w:val="1"/>
          <w:wAfter w:w="1281" w:type="dxa"/>
          <w:trHeight w:val="240"/>
        </w:trPr>
        <w:tc>
          <w:tcPr>
            <w:tcW w:w="2831" w:type="dxa"/>
          </w:tcPr>
          <w:p w14:paraId="3A675AF0" w14:textId="77777777" w:rsidR="00C424AF" w:rsidRPr="00A65ED8" w:rsidRDefault="00C424AF" w:rsidP="000F7D0B">
            <w:pPr>
              <w:tabs>
                <w:tab w:val="left" w:pos="1525"/>
              </w:tabs>
              <w:ind w:right="-235"/>
              <w:rPr>
                <w:rFonts w:ascii="Arial" w:eastAsia="Arial" w:hAnsi="Arial" w:cs="Arial"/>
                <w:i/>
                <w:color w:val="000000" w:themeColor="text1"/>
                <w:sz w:val="20"/>
                <w:szCs w:val="20"/>
              </w:rPr>
            </w:pPr>
            <w:r w:rsidRPr="00A65ED8">
              <w:rPr>
                <w:rFonts w:ascii="Arial" w:eastAsia="Arial" w:hAnsi="Arial" w:cs="Arial"/>
                <w:i/>
                <w:color w:val="000000" w:themeColor="text1"/>
                <w:sz w:val="20"/>
                <w:szCs w:val="20"/>
              </w:rPr>
              <w:t>C(2</w:t>
            </w:r>
            <w:proofErr w:type="gramStart"/>
            <w:r w:rsidRPr="00A65ED8">
              <w:rPr>
                <w:rFonts w:ascii="Arial" w:eastAsia="Arial" w:hAnsi="Arial" w:cs="Arial"/>
                <w:i/>
                <w:color w:val="000000" w:themeColor="text1"/>
                <w:sz w:val="20"/>
                <w:szCs w:val="20"/>
              </w:rPr>
              <w:t>L)SH</w:t>
            </w:r>
            <w:proofErr w:type="gramEnd"/>
            <w:r w:rsidRPr="00A65ED8">
              <w:rPr>
                <w:rFonts w:ascii="Arial" w:eastAsia="Arial" w:hAnsi="Arial" w:cs="Arial"/>
                <w:i/>
                <w:color w:val="000000" w:themeColor="text1"/>
                <w:sz w:val="20"/>
                <w:szCs w:val="20"/>
              </w:rPr>
              <w:t>1</w:t>
            </w:r>
          </w:p>
        </w:tc>
        <w:tc>
          <w:tcPr>
            <w:tcW w:w="3827" w:type="dxa"/>
          </w:tcPr>
          <w:p w14:paraId="2A1872EB"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Kyoto Drosophila Stock Center</w:t>
            </w:r>
          </w:p>
        </w:tc>
        <w:tc>
          <w:tcPr>
            <w:tcW w:w="2268" w:type="dxa"/>
          </w:tcPr>
          <w:p w14:paraId="06FD7106" w14:textId="77777777" w:rsidR="00C424AF" w:rsidRPr="00A65ED8" w:rsidRDefault="00C424AF" w:rsidP="000F7D0B">
            <w:pPr>
              <w:ind w:right="-235"/>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 DGGR_101863</w:t>
            </w:r>
          </w:p>
        </w:tc>
      </w:tr>
      <w:tr w:rsidR="00C424AF" w:rsidRPr="00A65ED8" w14:paraId="7AE322B8" w14:textId="53181047" w:rsidTr="00C424AF">
        <w:trPr>
          <w:gridAfter w:val="1"/>
          <w:wAfter w:w="1281" w:type="dxa"/>
          <w:trHeight w:val="240"/>
        </w:trPr>
        <w:tc>
          <w:tcPr>
            <w:tcW w:w="2831" w:type="dxa"/>
          </w:tcPr>
          <w:p w14:paraId="5CB2E724" w14:textId="77777777" w:rsidR="00C424AF" w:rsidRPr="004C6742" w:rsidRDefault="00C424AF" w:rsidP="000F7D0B">
            <w:pPr>
              <w:tabs>
                <w:tab w:val="left" w:pos="1525"/>
              </w:tabs>
              <w:ind w:right="-235"/>
              <w:rPr>
                <w:rFonts w:ascii="Arial" w:eastAsia="Arial" w:hAnsi="Arial" w:cs="Arial"/>
                <w:i/>
                <w:color w:val="000000" w:themeColor="text1"/>
                <w:sz w:val="20"/>
                <w:szCs w:val="20"/>
              </w:rPr>
            </w:pPr>
            <w:r w:rsidRPr="004C6742">
              <w:rPr>
                <w:rFonts w:ascii="Arial" w:eastAsia="Arial" w:hAnsi="Arial" w:cs="Arial"/>
                <w:i/>
                <w:color w:val="000000" w:themeColor="text1"/>
                <w:sz w:val="20"/>
                <w:szCs w:val="20"/>
              </w:rPr>
              <w:t>UAS-GFP.E2f1, UASp-mRFP1.CycB (FUCCI)</w:t>
            </w:r>
          </w:p>
        </w:tc>
        <w:tc>
          <w:tcPr>
            <w:tcW w:w="3827" w:type="dxa"/>
          </w:tcPr>
          <w:p w14:paraId="565A3814" w14:textId="77777777" w:rsidR="00C424AF" w:rsidRPr="004C6742" w:rsidRDefault="00C424AF" w:rsidP="000F7D0B">
            <w:pPr>
              <w:ind w:right="-235"/>
              <w:rPr>
                <w:rFonts w:ascii="Arial" w:eastAsia="Arial" w:hAnsi="Arial" w:cs="Arial"/>
                <w:color w:val="000000" w:themeColor="text1"/>
                <w:sz w:val="20"/>
                <w:szCs w:val="20"/>
              </w:rPr>
            </w:pPr>
            <w:r w:rsidRPr="004C6742">
              <w:rPr>
                <w:rFonts w:ascii="Arial" w:eastAsia="Arial" w:hAnsi="Arial" w:cs="Arial"/>
                <w:color w:val="000000" w:themeColor="text1"/>
                <w:sz w:val="20"/>
                <w:szCs w:val="20"/>
              </w:rPr>
              <w:t>Bloomington Drosophila Stock Center</w:t>
            </w:r>
          </w:p>
        </w:tc>
        <w:tc>
          <w:tcPr>
            <w:tcW w:w="2268" w:type="dxa"/>
          </w:tcPr>
          <w:p w14:paraId="5E263599" w14:textId="77777777" w:rsidR="00C424AF" w:rsidRPr="004C6742" w:rsidRDefault="00C424AF" w:rsidP="004F2D96">
            <w:pPr>
              <w:ind w:right="-235"/>
              <w:rPr>
                <w:rFonts w:ascii="Arial" w:eastAsia="Arial" w:hAnsi="Arial" w:cs="Arial"/>
                <w:color w:val="000000" w:themeColor="text1"/>
                <w:sz w:val="20"/>
                <w:szCs w:val="20"/>
              </w:rPr>
            </w:pPr>
            <w:r w:rsidRPr="004C6742">
              <w:rPr>
                <w:rFonts w:ascii="Arial" w:eastAsia="Arial" w:hAnsi="Arial" w:cs="Arial"/>
                <w:color w:val="000000" w:themeColor="text1"/>
                <w:sz w:val="20"/>
                <w:szCs w:val="20"/>
              </w:rPr>
              <w:t>RRID: BDSC_55121</w:t>
            </w:r>
          </w:p>
        </w:tc>
      </w:tr>
      <w:tr w:rsidR="00C424AF" w:rsidRPr="00A65ED8" w14:paraId="34623726" w14:textId="60C417DB" w:rsidTr="00C424AF">
        <w:trPr>
          <w:gridAfter w:val="1"/>
          <w:wAfter w:w="1281" w:type="dxa"/>
          <w:trHeight w:val="240"/>
        </w:trPr>
        <w:tc>
          <w:tcPr>
            <w:tcW w:w="2831" w:type="dxa"/>
          </w:tcPr>
          <w:p w14:paraId="76B7DB83" w14:textId="77777777" w:rsidR="00C424AF" w:rsidRPr="004C6742" w:rsidRDefault="00C424AF" w:rsidP="004F2D96">
            <w:pPr>
              <w:tabs>
                <w:tab w:val="left" w:pos="1525"/>
              </w:tabs>
              <w:ind w:right="-235"/>
              <w:rPr>
                <w:rFonts w:ascii="Arial" w:eastAsia="Arial" w:hAnsi="Arial" w:cs="Arial"/>
                <w:i/>
                <w:color w:val="000000" w:themeColor="text1"/>
                <w:sz w:val="20"/>
                <w:szCs w:val="20"/>
              </w:rPr>
            </w:pPr>
            <w:r w:rsidRPr="004C6742">
              <w:rPr>
                <w:rFonts w:ascii="Arial" w:eastAsia="Arial" w:hAnsi="Arial" w:cs="Arial"/>
                <w:i/>
                <w:color w:val="000000" w:themeColor="text1"/>
                <w:sz w:val="20"/>
                <w:szCs w:val="20"/>
              </w:rPr>
              <w:t>Tub-GAL80ts</w:t>
            </w:r>
          </w:p>
        </w:tc>
        <w:tc>
          <w:tcPr>
            <w:tcW w:w="3827" w:type="dxa"/>
          </w:tcPr>
          <w:p w14:paraId="066D155F" w14:textId="77777777" w:rsidR="00C424AF" w:rsidRPr="004C6742" w:rsidRDefault="00C424AF" w:rsidP="004F2D96">
            <w:pPr>
              <w:ind w:right="-235"/>
              <w:rPr>
                <w:rFonts w:ascii="Arial" w:eastAsia="Arial" w:hAnsi="Arial" w:cs="Arial"/>
                <w:color w:val="000000" w:themeColor="text1"/>
                <w:sz w:val="20"/>
                <w:szCs w:val="20"/>
              </w:rPr>
            </w:pPr>
            <w:r w:rsidRPr="004C6742">
              <w:rPr>
                <w:rFonts w:ascii="Arial" w:eastAsia="Arial" w:hAnsi="Arial" w:cs="Arial"/>
                <w:color w:val="000000" w:themeColor="text1"/>
                <w:sz w:val="20"/>
                <w:szCs w:val="20"/>
              </w:rPr>
              <w:t>Bloomington Drosophila Stock Center</w:t>
            </w:r>
          </w:p>
        </w:tc>
        <w:tc>
          <w:tcPr>
            <w:tcW w:w="2268" w:type="dxa"/>
          </w:tcPr>
          <w:p w14:paraId="21D99CD4" w14:textId="77777777" w:rsidR="00C424AF" w:rsidRPr="004C6742" w:rsidRDefault="00C424AF" w:rsidP="004F2D96">
            <w:pPr>
              <w:ind w:right="-235"/>
              <w:rPr>
                <w:rFonts w:ascii="Arial" w:eastAsia="Arial" w:hAnsi="Arial" w:cs="Arial"/>
                <w:color w:val="000000" w:themeColor="text1"/>
                <w:sz w:val="20"/>
                <w:szCs w:val="20"/>
              </w:rPr>
            </w:pPr>
            <w:r w:rsidRPr="004C6742">
              <w:rPr>
                <w:rFonts w:ascii="Arial" w:eastAsia="Arial" w:hAnsi="Arial" w:cs="Arial"/>
                <w:color w:val="000000" w:themeColor="text1"/>
                <w:sz w:val="20"/>
                <w:szCs w:val="20"/>
              </w:rPr>
              <w:t>RRID: BDSC_7018</w:t>
            </w:r>
          </w:p>
        </w:tc>
      </w:tr>
      <w:tr w:rsidR="00C424AF" w:rsidRPr="00A65ED8" w14:paraId="5E533894" w14:textId="45E131B2" w:rsidTr="00C424AF">
        <w:trPr>
          <w:gridAfter w:val="1"/>
          <w:wAfter w:w="1281" w:type="dxa"/>
          <w:trHeight w:val="240"/>
        </w:trPr>
        <w:tc>
          <w:tcPr>
            <w:tcW w:w="8926" w:type="dxa"/>
            <w:gridSpan w:val="3"/>
            <w:tcBorders>
              <w:left w:val="single" w:sz="12" w:space="0" w:color="000000"/>
              <w:right w:val="single" w:sz="12" w:space="0" w:color="000000"/>
            </w:tcBorders>
          </w:tcPr>
          <w:p w14:paraId="36EA873E" w14:textId="77777777" w:rsidR="00C424AF" w:rsidRPr="00A65ED8" w:rsidRDefault="00C424AF" w:rsidP="004F2D96">
            <w:pPr>
              <w:rPr>
                <w:rFonts w:ascii="Arial" w:eastAsia="Arial" w:hAnsi="Arial" w:cs="Arial"/>
                <w:color w:val="000000" w:themeColor="text1"/>
                <w:sz w:val="20"/>
                <w:szCs w:val="20"/>
                <w:highlight w:val="yellow"/>
              </w:rPr>
            </w:pPr>
            <w:r w:rsidRPr="00A65ED8">
              <w:rPr>
                <w:rFonts w:ascii="Arial" w:eastAsia="Arial" w:hAnsi="Arial" w:cs="Arial"/>
                <w:b/>
                <w:color w:val="000000" w:themeColor="text1"/>
                <w:sz w:val="20"/>
                <w:szCs w:val="20"/>
              </w:rPr>
              <w:t>Software and Algorithms</w:t>
            </w:r>
          </w:p>
        </w:tc>
      </w:tr>
      <w:tr w:rsidR="00C424AF" w:rsidRPr="00A65ED8" w14:paraId="1BB3DF16" w14:textId="78FDAE43" w:rsidTr="00C424AF">
        <w:trPr>
          <w:gridAfter w:val="1"/>
          <w:wAfter w:w="1281" w:type="dxa"/>
          <w:trHeight w:val="240"/>
        </w:trPr>
        <w:tc>
          <w:tcPr>
            <w:tcW w:w="2831" w:type="dxa"/>
            <w:tcBorders>
              <w:top w:val="single" w:sz="12" w:space="0" w:color="000000"/>
            </w:tcBorders>
          </w:tcPr>
          <w:p w14:paraId="39AE648D" w14:textId="77777777" w:rsidR="00C424AF" w:rsidRPr="00A65ED8" w:rsidRDefault="00C424AF" w:rsidP="004F2D96">
            <w:pPr>
              <w:tabs>
                <w:tab w:val="left" w:pos="1525"/>
              </w:tabs>
              <w:rPr>
                <w:rFonts w:ascii="Arial" w:eastAsia="Arial" w:hAnsi="Arial" w:cs="Arial"/>
                <w:i/>
                <w:color w:val="000000" w:themeColor="text1"/>
                <w:sz w:val="20"/>
                <w:szCs w:val="20"/>
              </w:rPr>
            </w:pPr>
            <w:r w:rsidRPr="00A65ED8">
              <w:rPr>
                <w:rFonts w:ascii="Arial" w:eastAsia="Arial" w:hAnsi="Arial" w:cs="Arial"/>
                <w:color w:val="000000" w:themeColor="text1"/>
                <w:sz w:val="20"/>
                <w:szCs w:val="20"/>
              </w:rPr>
              <w:t>Fiji</w:t>
            </w:r>
          </w:p>
        </w:tc>
        <w:tc>
          <w:tcPr>
            <w:tcW w:w="3827" w:type="dxa"/>
            <w:tcBorders>
              <w:top w:val="single" w:sz="12" w:space="0" w:color="000000"/>
            </w:tcBorders>
          </w:tcPr>
          <w:p w14:paraId="72544671"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Fiji</w:t>
            </w:r>
          </w:p>
        </w:tc>
        <w:tc>
          <w:tcPr>
            <w:tcW w:w="2268" w:type="dxa"/>
            <w:tcBorders>
              <w:top w:val="single" w:sz="12" w:space="0" w:color="000000"/>
            </w:tcBorders>
          </w:tcPr>
          <w:p w14:paraId="261F595C"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https://fiji.sc/</w:t>
            </w:r>
          </w:p>
        </w:tc>
      </w:tr>
      <w:tr w:rsidR="00C424AF" w:rsidRPr="00A65ED8" w14:paraId="65EA466A" w14:textId="696042FA" w:rsidTr="00C424AF">
        <w:trPr>
          <w:gridAfter w:val="1"/>
          <w:wAfter w:w="1281" w:type="dxa"/>
          <w:trHeight w:val="240"/>
        </w:trPr>
        <w:tc>
          <w:tcPr>
            <w:tcW w:w="2831" w:type="dxa"/>
          </w:tcPr>
          <w:p w14:paraId="5E821F77" w14:textId="77777777" w:rsidR="00C424AF" w:rsidRPr="00A65ED8" w:rsidRDefault="00C424AF" w:rsidP="004F2D96">
            <w:pPr>
              <w:tabs>
                <w:tab w:val="left" w:pos="1525"/>
              </w:tabs>
              <w:rPr>
                <w:rFonts w:ascii="Arial" w:eastAsia="Arial" w:hAnsi="Arial" w:cs="Arial"/>
                <w:i/>
                <w:color w:val="000000" w:themeColor="text1"/>
                <w:sz w:val="20"/>
                <w:szCs w:val="20"/>
              </w:rPr>
            </w:pPr>
            <w:r w:rsidRPr="00A65ED8">
              <w:rPr>
                <w:rFonts w:ascii="Arial" w:eastAsia="Arial" w:hAnsi="Arial" w:cs="Arial"/>
                <w:color w:val="000000" w:themeColor="text1"/>
                <w:sz w:val="20"/>
                <w:szCs w:val="20"/>
              </w:rPr>
              <w:t xml:space="preserve">Excel </w:t>
            </w:r>
          </w:p>
        </w:tc>
        <w:tc>
          <w:tcPr>
            <w:tcW w:w="3827" w:type="dxa"/>
          </w:tcPr>
          <w:p w14:paraId="40FDF537"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Microsoft Excel 2016</w:t>
            </w:r>
          </w:p>
        </w:tc>
        <w:tc>
          <w:tcPr>
            <w:tcW w:w="2268" w:type="dxa"/>
          </w:tcPr>
          <w:p w14:paraId="69B528C7"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N/A</w:t>
            </w:r>
          </w:p>
        </w:tc>
      </w:tr>
      <w:tr w:rsidR="00C424AF" w:rsidRPr="00A65ED8" w14:paraId="260FD27E" w14:textId="1579D702" w:rsidTr="00C424AF">
        <w:trPr>
          <w:gridAfter w:val="1"/>
          <w:wAfter w:w="1281" w:type="dxa"/>
          <w:trHeight w:val="240"/>
        </w:trPr>
        <w:tc>
          <w:tcPr>
            <w:tcW w:w="2831" w:type="dxa"/>
          </w:tcPr>
          <w:p w14:paraId="679C2E77" w14:textId="77777777" w:rsidR="00C424AF" w:rsidRPr="00A65ED8" w:rsidRDefault="00C424AF" w:rsidP="004F2D96">
            <w:pPr>
              <w:tabs>
                <w:tab w:val="left" w:pos="1525"/>
              </w:tabs>
              <w:rPr>
                <w:rFonts w:ascii="Arial" w:eastAsia="Arial" w:hAnsi="Arial" w:cs="Arial"/>
                <w:i/>
                <w:color w:val="000000" w:themeColor="text1"/>
                <w:sz w:val="20"/>
                <w:szCs w:val="20"/>
              </w:rPr>
            </w:pPr>
            <w:r w:rsidRPr="00A65ED8">
              <w:rPr>
                <w:rFonts w:ascii="Arial" w:eastAsia="Arial" w:hAnsi="Arial" w:cs="Arial"/>
                <w:color w:val="000000" w:themeColor="text1"/>
                <w:sz w:val="20"/>
                <w:szCs w:val="20"/>
              </w:rPr>
              <w:t>GraphPad Prism 10 Project</w:t>
            </w:r>
          </w:p>
        </w:tc>
        <w:tc>
          <w:tcPr>
            <w:tcW w:w="3827" w:type="dxa"/>
          </w:tcPr>
          <w:p w14:paraId="6DAF82E3"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GraphPad</w:t>
            </w:r>
          </w:p>
        </w:tc>
        <w:tc>
          <w:tcPr>
            <w:tcW w:w="2268" w:type="dxa"/>
          </w:tcPr>
          <w:p w14:paraId="013D41BE"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RRID:SCR_002798</w:t>
            </w:r>
          </w:p>
        </w:tc>
      </w:tr>
      <w:tr w:rsidR="00C424AF" w:rsidRPr="00A65ED8" w14:paraId="37E932A1" w14:textId="26F11D63" w:rsidTr="00C424AF">
        <w:trPr>
          <w:gridAfter w:val="1"/>
          <w:wAfter w:w="1281" w:type="dxa"/>
          <w:trHeight w:val="240"/>
        </w:trPr>
        <w:tc>
          <w:tcPr>
            <w:tcW w:w="2831" w:type="dxa"/>
          </w:tcPr>
          <w:p w14:paraId="480AF5A7" w14:textId="77777777" w:rsidR="00C424AF" w:rsidRPr="00A65ED8" w:rsidRDefault="00C424AF" w:rsidP="004F2D96">
            <w:pPr>
              <w:tabs>
                <w:tab w:val="left" w:pos="1525"/>
              </w:tabs>
              <w:rPr>
                <w:rFonts w:ascii="Arial" w:eastAsia="Arial" w:hAnsi="Arial" w:cs="Arial"/>
                <w:color w:val="000000" w:themeColor="text1"/>
                <w:sz w:val="20"/>
                <w:szCs w:val="20"/>
              </w:rPr>
            </w:pPr>
            <w:r w:rsidRPr="00A65ED8">
              <w:rPr>
                <w:rFonts w:ascii="Arial" w:eastAsia="Arial" w:hAnsi="Arial" w:cs="Arial"/>
                <w:color w:val="000000" w:themeColor="text1"/>
                <w:sz w:val="20"/>
                <w:szCs w:val="20"/>
              </w:rPr>
              <w:t>IMARIS software</w:t>
            </w:r>
          </w:p>
        </w:tc>
        <w:tc>
          <w:tcPr>
            <w:tcW w:w="3827" w:type="dxa"/>
          </w:tcPr>
          <w:p w14:paraId="677EF0C1" w14:textId="77777777" w:rsidR="00C424AF" w:rsidRPr="00A65ED8" w:rsidRDefault="00C424AF" w:rsidP="004F2D96">
            <w:pPr>
              <w:rPr>
                <w:rFonts w:ascii="Arial" w:eastAsia="Arial" w:hAnsi="Arial" w:cs="Arial"/>
                <w:color w:val="000000" w:themeColor="text1"/>
                <w:sz w:val="20"/>
                <w:szCs w:val="20"/>
              </w:rPr>
            </w:pPr>
            <w:proofErr w:type="spellStart"/>
            <w:r w:rsidRPr="00A65ED8">
              <w:rPr>
                <w:rFonts w:ascii="Arial" w:eastAsia="Arial" w:hAnsi="Arial" w:cs="Arial"/>
                <w:color w:val="000000" w:themeColor="text1"/>
                <w:sz w:val="20"/>
                <w:szCs w:val="20"/>
              </w:rPr>
              <w:t>Imaris</w:t>
            </w:r>
            <w:proofErr w:type="spellEnd"/>
          </w:p>
        </w:tc>
        <w:tc>
          <w:tcPr>
            <w:tcW w:w="2268" w:type="dxa"/>
          </w:tcPr>
          <w:p w14:paraId="0BE6FF9F"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RRID:SCR_007370</w:t>
            </w:r>
          </w:p>
        </w:tc>
      </w:tr>
      <w:tr w:rsidR="00C424AF" w:rsidRPr="00A65ED8" w14:paraId="1A2C8ED4" w14:textId="63D316F5" w:rsidTr="00C424AF">
        <w:trPr>
          <w:gridAfter w:val="1"/>
          <w:wAfter w:w="1281" w:type="dxa"/>
          <w:trHeight w:val="240"/>
        </w:trPr>
        <w:tc>
          <w:tcPr>
            <w:tcW w:w="2831" w:type="dxa"/>
          </w:tcPr>
          <w:p w14:paraId="0848295A" w14:textId="77777777" w:rsidR="00C424AF" w:rsidRPr="00A65ED8" w:rsidRDefault="00C424AF" w:rsidP="004F2D96">
            <w:pPr>
              <w:tabs>
                <w:tab w:val="left" w:pos="1525"/>
              </w:tabs>
              <w:rPr>
                <w:rFonts w:ascii="Arial" w:eastAsia="Arial" w:hAnsi="Arial" w:cs="Arial"/>
                <w:color w:val="000000" w:themeColor="text1"/>
                <w:sz w:val="20"/>
                <w:szCs w:val="20"/>
              </w:rPr>
            </w:pPr>
            <w:proofErr w:type="spellStart"/>
            <w:r w:rsidRPr="00A65ED8">
              <w:rPr>
                <w:rFonts w:ascii="Arial" w:eastAsia="Arial" w:hAnsi="Arial" w:cs="Arial"/>
                <w:color w:val="000000" w:themeColor="text1"/>
                <w:sz w:val="20"/>
                <w:szCs w:val="20"/>
              </w:rPr>
              <w:t>Biorender</w:t>
            </w:r>
            <w:proofErr w:type="spellEnd"/>
          </w:p>
        </w:tc>
        <w:tc>
          <w:tcPr>
            <w:tcW w:w="3827" w:type="dxa"/>
          </w:tcPr>
          <w:p w14:paraId="53671386" w14:textId="77777777" w:rsidR="00C424AF" w:rsidRPr="00A65ED8" w:rsidRDefault="00C424AF" w:rsidP="004F2D96">
            <w:pPr>
              <w:rPr>
                <w:rFonts w:ascii="Arial" w:eastAsia="Arial" w:hAnsi="Arial" w:cs="Arial"/>
                <w:color w:val="000000" w:themeColor="text1"/>
                <w:sz w:val="20"/>
                <w:szCs w:val="20"/>
              </w:rPr>
            </w:pPr>
            <w:proofErr w:type="spellStart"/>
            <w:r w:rsidRPr="00A65ED8">
              <w:rPr>
                <w:rFonts w:ascii="Arial" w:eastAsia="Arial" w:hAnsi="Arial" w:cs="Arial"/>
                <w:color w:val="000000" w:themeColor="text1"/>
                <w:sz w:val="20"/>
                <w:szCs w:val="20"/>
              </w:rPr>
              <w:t>Biorender</w:t>
            </w:r>
            <w:proofErr w:type="spellEnd"/>
          </w:p>
        </w:tc>
        <w:tc>
          <w:tcPr>
            <w:tcW w:w="2268" w:type="dxa"/>
          </w:tcPr>
          <w:p w14:paraId="3464CD81" w14:textId="77777777" w:rsidR="00C424AF" w:rsidRPr="00A65ED8" w:rsidRDefault="00C424AF" w:rsidP="004F2D96">
            <w:pPr>
              <w:rPr>
                <w:rFonts w:ascii="Arial" w:eastAsia="Arial" w:hAnsi="Arial" w:cs="Arial"/>
                <w:color w:val="000000" w:themeColor="text1"/>
                <w:sz w:val="20"/>
                <w:szCs w:val="20"/>
              </w:rPr>
            </w:pPr>
            <w:r w:rsidRPr="00A65ED8">
              <w:rPr>
                <w:rFonts w:ascii="Arial" w:eastAsia="Arial" w:hAnsi="Arial" w:cs="Arial"/>
                <w:color w:val="000000" w:themeColor="text1"/>
                <w:sz w:val="20"/>
                <w:szCs w:val="20"/>
              </w:rPr>
              <w:t>https://www.biorender.com/</w:t>
            </w:r>
          </w:p>
        </w:tc>
      </w:tr>
    </w:tbl>
    <w:p w14:paraId="3A702100" w14:textId="77777777" w:rsidR="007167EA" w:rsidRPr="001A3453" w:rsidRDefault="007167EA" w:rsidP="007167EA">
      <w:pPr>
        <w:tabs>
          <w:tab w:val="left" w:pos="8647"/>
        </w:tabs>
        <w:spacing w:line="240" w:lineRule="auto"/>
        <w:ind w:right="45"/>
        <w:jc w:val="both"/>
        <w:rPr>
          <w:rFonts w:ascii="Arial" w:eastAsia="Arial" w:hAnsi="Arial" w:cs="Arial"/>
          <w:b/>
          <w:i/>
          <w:sz w:val="20"/>
          <w:szCs w:val="20"/>
          <w:highlight w:val="yellow"/>
        </w:rPr>
      </w:pPr>
    </w:p>
    <w:p w14:paraId="7AAEC980" w14:textId="77777777" w:rsidR="00BE671B" w:rsidRPr="00BE671B" w:rsidRDefault="00BE671B" w:rsidP="00BE671B">
      <w:pPr>
        <w:widowControl w:val="0"/>
        <w:autoSpaceDE w:val="0"/>
        <w:autoSpaceDN w:val="0"/>
        <w:adjustRightInd w:val="0"/>
        <w:spacing w:line="240" w:lineRule="auto"/>
        <w:ind w:left="480" w:hanging="480"/>
        <w:rPr>
          <w:noProof/>
          <w:szCs w:val="24"/>
        </w:rPr>
      </w:pPr>
      <w:r>
        <w:fldChar w:fldCharType="begin" w:fldLock="1"/>
      </w:r>
      <w:r>
        <w:instrText xml:space="preserve">ADDIN Mendeley Bibliography CSL_BIBLIOGRAPHY </w:instrText>
      </w:r>
      <w:r>
        <w:fldChar w:fldCharType="separate"/>
      </w:r>
      <w:r w:rsidRPr="00BE671B">
        <w:rPr>
          <w:noProof/>
          <w:szCs w:val="24"/>
        </w:rPr>
        <w:t xml:space="preserve">Hegedűs, Krisztina, Szabolcs Takáts, Attila Boda, András Jipa, Péter Nagy, Kata Varga, Attila L Kovács, and Gábor Juhász. 2016. “The Ccz1-Mon1-Rab7 Module and Rab5 Control Distinct Steps of Autophagy.” </w:t>
      </w:r>
      <w:r w:rsidRPr="00BE671B">
        <w:rPr>
          <w:i/>
          <w:iCs/>
          <w:noProof/>
          <w:szCs w:val="24"/>
        </w:rPr>
        <w:t>Molecular Biology of the Cell</w:t>
      </w:r>
      <w:r w:rsidRPr="00BE671B">
        <w:rPr>
          <w:noProof/>
          <w:szCs w:val="24"/>
        </w:rPr>
        <w:t xml:space="preserve"> 27 (20): 3132–42. https://doi.org/10.1091/mbc.E16-03-0205.</w:t>
      </w:r>
    </w:p>
    <w:p w14:paraId="1E751ECD" w14:textId="77777777" w:rsidR="00BE671B" w:rsidRPr="00BE671B" w:rsidRDefault="00BE671B" w:rsidP="00BE671B">
      <w:pPr>
        <w:widowControl w:val="0"/>
        <w:autoSpaceDE w:val="0"/>
        <w:autoSpaceDN w:val="0"/>
        <w:adjustRightInd w:val="0"/>
        <w:spacing w:line="240" w:lineRule="auto"/>
        <w:ind w:left="480" w:hanging="480"/>
        <w:rPr>
          <w:noProof/>
          <w:szCs w:val="24"/>
        </w:rPr>
      </w:pPr>
      <w:r w:rsidRPr="00595B6E">
        <w:rPr>
          <w:noProof/>
          <w:szCs w:val="24"/>
          <w:lang w:val="es-ES"/>
        </w:rPr>
        <w:t xml:space="preserve">Herranz, H., L. Pérez, F.A. Martín, M. Milán, L Perez, F A Martin, and M Milan. </w:t>
      </w:r>
      <w:r w:rsidRPr="00BE671B">
        <w:rPr>
          <w:noProof/>
          <w:szCs w:val="24"/>
        </w:rPr>
        <w:t xml:space="preserve">2008. “A Wingless and Notch Double-Repression Mechanism Regulates G1-S Transition in the Drosophila Wing.” </w:t>
      </w:r>
      <w:r w:rsidRPr="00BE671B">
        <w:rPr>
          <w:i/>
          <w:iCs/>
          <w:noProof/>
          <w:szCs w:val="24"/>
        </w:rPr>
        <w:t>Embo J</w:t>
      </w:r>
      <w:r w:rsidRPr="00BE671B">
        <w:rPr>
          <w:noProof/>
          <w:szCs w:val="24"/>
        </w:rPr>
        <w:t xml:space="preserve"> 27 (11): 1633–45. https://doi.org/10.1038/emboj.2008.84.</w:t>
      </w:r>
    </w:p>
    <w:p w14:paraId="0E2B5626" w14:textId="77777777" w:rsidR="00BE671B" w:rsidRPr="00BE671B" w:rsidRDefault="00BE671B" w:rsidP="00BE671B">
      <w:pPr>
        <w:widowControl w:val="0"/>
        <w:autoSpaceDE w:val="0"/>
        <w:autoSpaceDN w:val="0"/>
        <w:adjustRightInd w:val="0"/>
        <w:spacing w:line="240" w:lineRule="auto"/>
        <w:ind w:left="480" w:hanging="480"/>
        <w:rPr>
          <w:noProof/>
          <w:szCs w:val="24"/>
        </w:rPr>
      </w:pPr>
      <w:r w:rsidRPr="00BE671B">
        <w:rPr>
          <w:noProof/>
          <w:szCs w:val="24"/>
        </w:rPr>
        <w:t xml:space="preserve">Lee, Juliette J., Alvaro Sanchez-Martinez, Aitor Martinez Zarate, Cristiane Benincá, Ugo Mayor, Michael J. Clague, and Alexander J. Whitworth. 2018. “Basal Mitophagy Is Widespread in Drosophila but Minimally Affected by Loss of Pink1 or Parkin.” </w:t>
      </w:r>
      <w:r w:rsidRPr="00BE671B">
        <w:rPr>
          <w:i/>
          <w:iCs/>
          <w:noProof/>
          <w:szCs w:val="24"/>
        </w:rPr>
        <w:t>Journal of Cell Biology</w:t>
      </w:r>
      <w:r w:rsidRPr="00BE671B">
        <w:rPr>
          <w:noProof/>
          <w:szCs w:val="24"/>
        </w:rPr>
        <w:t xml:space="preserve"> 217 (5): 1613–22. https://doi.org/10.1083/jcb.201801044.</w:t>
      </w:r>
    </w:p>
    <w:p w14:paraId="2F94A1B5" w14:textId="77777777" w:rsidR="00BE671B" w:rsidRPr="00BE671B" w:rsidRDefault="00BE671B" w:rsidP="00BE671B">
      <w:pPr>
        <w:widowControl w:val="0"/>
        <w:autoSpaceDE w:val="0"/>
        <w:autoSpaceDN w:val="0"/>
        <w:adjustRightInd w:val="0"/>
        <w:spacing w:line="240" w:lineRule="auto"/>
        <w:ind w:left="480" w:hanging="480"/>
        <w:rPr>
          <w:noProof/>
          <w:szCs w:val="24"/>
        </w:rPr>
      </w:pPr>
      <w:r w:rsidRPr="00BE671B">
        <w:rPr>
          <w:noProof/>
          <w:szCs w:val="24"/>
        </w:rPr>
        <w:t xml:space="preserve">Owusu-Ansah, Edward, Wei Song, and Norbert Perrimon. 2013. “Muscle Mitohormesis Promotes Longevity via Systemic Repression of Insulin Signaling.” </w:t>
      </w:r>
      <w:r w:rsidRPr="00BE671B">
        <w:rPr>
          <w:i/>
          <w:iCs/>
          <w:noProof/>
          <w:szCs w:val="24"/>
        </w:rPr>
        <w:t>Cell</w:t>
      </w:r>
      <w:r w:rsidRPr="00BE671B">
        <w:rPr>
          <w:noProof/>
          <w:szCs w:val="24"/>
        </w:rPr>
        <w:t xml:space="preserve"> 155 (3): 699–712. https://doi.org/10.1016/j.cell.2013.09.021.</w:t>
      </w:r>
    </w:p>
    <w:p w14:paraId="740C758B" w14:textId="77777777" w:rsidR="00BE671B" w:rsidRPr="00BE671B" w:rsidRDefault="00BE671B" w:rsidP="00BE671B">
      <w:pPr>
        <w:widowControl w:val="0"/>
        <w:autoSpaceDE w:val="0"/>
        <w:autoSpaceDN w:val="0"/>
        <w:adjustRightInd w:val="0"/>
        <w:spacing w:line="240" w:lineRule="auto"/>
        <w:ind w:left="480" w:hanging="480"/>
        <w:rPr>
          <w:noProof/>
          <w:szCs w:val="24"/>
        </w:rPr>
      </w:pPr>
      <w:r w:rsidRPr="00BE671B">
        <w:rPr>
          <w:noProof/>
          <w:szCs w:val="24"/>
        </w:rPr>
        <w:t xml:space="preserve">Pandey, Udai Bhan, Zhiping Nie, Yakup Batlevi, Brett A. McCray, Gillian P. Ritson, Natalia B. Nedelsky, Stephanie L. Schwartz, et al. 2007. “HDAC6 Rescues Neurodegeneration and Provides an Essential Link between Autophagy and the UPS.” </w:t>
      </w:r>
      <w:r w:rsidRPr="00BE671B">
        <w:rPr>
          <w:i/>
          <w:iCs/>
          <w:noProof/>
          <w:szCs w:val="24"/>
        </w:rPr>
        <w:t>Nature</w:t>
      </w:r>
      <w:r w:rsidRPr="00BE671B">
        <w:rPr>
          <w:noProof/>
          <w:szCs w:val="24"/>
        </w:rPr>
        <w:t xml:space="preserve"> 447 (7146): 859–63. https://doi.org/10.1038/nature05853.</w:t>
      </w:r>
    </w:p>
    <w:p w14:paraId="1D0638B4" w14:textId="77777777" w:rsidR="00BE671B" w:rsidRPr="00BE671B" w:rsidRDefault="00BE671B" w:rsidP="00BE671B">
      <w:pPr>
        <w:widowControl w:val="0"/>
        <w:autoSpaceDE w:val="0"/>
        <w:autoSpaceDN w:val="0"/>
        <w:adjustRightInd w:val="0"/>
        <w:spacing w:line="240" w:lineRule="auto"/>
        <w:ind w:left="480" w:hanging="480"/>
        <w:rPr>
          <w:noProof/>
        </w:rPr>
      </w:pPr>
      <w:r w:rsidRPr="00BE671B">
        <w:rPr>
          <w:noProof/>
          <w:szCs w:val="24"/>
        </w:rPr>
        <w:t xml:space="preserve">Schott, Sonia, Arnaud Ambrosini, Audrey Barbaste, Corinne Benassayag, Mélanie Gracia, Amsha Proag, </w:t>
      </w:r>
      <w:r w:rsidRPr="00BE671B">
        <w:rPr>
          <w:noProof/>
          <w:szCs w:val="24"/>
        </w:rPr>
        <w:lastRenderedPageBreak/>
        <w:t xml:space="preserve">Mégane Rayer, Bruno Monier, and Magali Suzanne. 2017. “A Fluorescent Toolkit for Spatiotemporal Tracking of Apoptotic Cells in Living Drosophila Tissues.” </w:t>
      </w:r>
      <w:r w:rsidRPr="00BE671B">
        <w:rPr>
          <w:i/>
          <w:iCs/>
          <w:noProof/>
          <w:szCs w:val="24"/>
        </w:rPr>
        <w:t>Development</w:t>
      </w:r>
      <w:r w:rsidRPr="00BE671B">
        <w:rPr>
          <w:noProof/>
          <w:szCs w:val="24"/>
        </w:rPr>
        <w:t xml:space="preserve"> 144 (20): 3840–46. https://doi.org/10.1242/dev.149807.</w:t>
      </w:r>
    </w:p>
    <w:p w14:paraId="12BA17C0" w14:textId="77777777" w:rsidR="007167EA" w:rsidRDefault="00BE671B">
      <w:r>
        <w:fldChar w:fldCharType="end"/>
      </w:r>
    </w:p>
    <w:sectPr w:rsidR="007167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7EA"/>
    <w:rsid w:val="001248C3"/>
    <w:rsid w:val="00164484"/>
    <w:rsid w:val="00174AA6"/>
    <w:rsid w:val="00185737"/>
    <w:rsid w:val="001E4A29"/>
    <w:rsid w:val="003F1BFA"/>
    <w:rsid w:val="004776AD"/>
    <w:rsid w:val="004C6742"/>
    <w:rsid w:val="004E65ED"/>
    <w:rsid w:val="004F2D96"/>
    <w:rsid w:val="00505502"/>
    <w:rsid w:val="0052493D"/>
    <w:rsid w:val="00537A01"/>
    <w:rsid w:val="00595B6E"/>
    <w:rsid w:val="007167EA"/>
    <w:rsid w:val="00881680"/>
    <w:rsid w:val="008F1293"/>
    <w:rsid w:val="00946E42"/>
    <w:rsid w:val="009617EF"/>
    <w:rsid w:val="00BE671B"/>
    <w:rsid w:val="00C424AF"/>
    <w:rsid w:val="00E22F46"/>
    <w:rsid w:val="00EF5A8F"/>
    <w:rsid w:val="00F8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B9AEE"/>
  <w15:chartTrackingRefBased/>
  <w15:docId w15:val="{EE101EE1-6B4B-4832-9813-C4F7207DC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7EA"/>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6343">
      <w:bodyDiv w:val="1"/>
      <w:marLeft w:val="0"/>
      <w:marRight w:val="0"/>
      <w:marTop w:val="0"/>
      <w:marBottom w:val="0"/>
      <w:divBdr>
        <w:top w:val="none" w:sz="0" w:space="0" w:color="auto"/>
        <w:left w:val="none" w:sz="0" w:space="0" w:color="auto"/>
        <w:bottom w:val="none" w:sz="0" w:space="0" w:color="auto"/>
        <w:right w:val="none" w:sz="0" w:space="0" w:color="auto"/>
      </w:divBdr>
    </w:div>
    <w:div w:id="125640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C91A5-C122-4FCA-B065-F705FADED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4061</Words>
  <Characters>23148</Characters>
  <Application>Microsoft Office Word</Application>
  <DocSecurity>0</DocSecurity>
  <Lines>192</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cp:revision>
  <dcterms:created xsi:type="dcterms:W3CDTF">2026-01-19T17:40:00Z</dcterms:created>
  <dcterms:modified xsi:type="dcterms:W3CDTF">2026-01-19T17:40:00Z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c9f88daf-52fb-319b-8665-79003dff7404</vt:lpwstr>
  </property>
  <property fmtid="{D5CDD505-2E9C-101B-9397-08002B2CF9AE}" pid="4" name="Mendeley Citation Style_1">
    <vt:lpwstr>http://www.zotero.org/styles/chicago-author-date</vt:lpwstr>
  </property>
</Properties>
</file>