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98938" w14:textId="659D60A2" w:rsidR="00886916" w:rsidRPr="00664B0A" w:rsidRDefault="00886916" w:rsidP="007A2A03">
      <w:pPr>
        <w:pStyle w:val="Lgende"/>
        <w:keepNext/>
        <w:rPr>
          <w:rFonts w:ascii="Times New Roman" w:hAnsi="Times New Roman" w:cs="Times New Roman"/>
          <w:sz w:val="22"/>
          <w:szCs w:val="22"/>
        </w:rPr>
      </w:pPr>
    </w:p>
    <w:tbl>
      <w:tblPr>
        <w:tblW w:w="14220" w:type="dxa"/>
        <w:tblCellMar>
          <w:top w:w="15" w:type="dxa"/>
          <w:left w:w="70" w:type="dxa"/>
          <w:right w:w="70" w:type="dxa"/>
        </w:tblCellMar>
        <w:tblLook w:val="04A0" w:firstRow="1" w:lastRow="0" w:firstColumn="1" w:lastColumn="0" w:noHBand="0" w:noVBand="1"/>
      </w:tblPr>
      <w:tblGrid>
        <w:gridCol w:w="923"/>
        <w:gridCol w:w="2753"/>
        <w:gridCol w:w="1843"/>
        <w:gridCol w:w="1275"/>
        <w:gridCol w:w="2127"/>
        <w:gridCol w:w="4110"/>
        <w:gridCol w:w="1189"/>
      </w:tblGrid>
      <w:tr w:rsidR="00A832FA" w:rsidRPr="00A832FA" w14:paraId="317C55D0" w14:textId="77777777" w:rsidTr="00A832FA">
        <w:trPr>
          <w:gridAfter w:val="1"/>
          <w:wAfter w:w="1189" w:type="dxa"/>
          <w:trHeight w:val="300"/>
        </w:trPr>
        <w:tc>
          <w:tcPr>
            <w:tcW w:w="92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AAED10E" w14:textId="4C4EFFF2" w:rsidR="00A832FA" w:rsidRPr="00A832FA" w:rsidRDefault="00A832FA" w:rsidP="00A832FA">
            <w:pPr>
              <w:spacing w:after="0" w:line="240" w:lineRule="auto"/>
              <w:jc w:val="center"/>
              <w:rPr>
                <w:rFonts w:ascii="Calibri" w:eastAsia="Times New Roman" w:hAnsi="Calibri" w:cs="Calibri"/>
                <w:b/>
                <w:bCs/>
                <w:color w:val="000000"/>
                <w:kern w:val="0"/>
                <w:sz w:val="18"/>
                <w:szCs w:val="18"/>
                <w:lang w:val="fr-FR" w:eastAsia="fr-FR"/>
                <w14:ligatures w14:val="none"/>
              </w:rPr>
            </w:pPr>
            <w:bookmarkStart w:id="0" w:name="_Hlk213409343"/>
            <w:r w:rsidRPr="00A832FA">
              <w:rPr>
                <w:rFonts w:ascii="Calibri" w:eastAsia="Times New Roman" w:hAnsi="Calibri" w:cs="Calibri"/>
                <w:b/>
                <w:bCs/>
                <w:color w:val="000000"/>
                <w:kern w:val="0"/>
                <w:sz w:val="18"/>
                <w:szCs w:val="18"/>
                <w:lang w:val="en-US" w:eastAsia="fr-FR"/>
                <w14:ligatures w14:val="none"/>
              </w:rPr>
              <w:t> </w:t>
            </w:r>
            <w:r>
              <w:rPr>
                <w:rFonts w:ascii="Calibri" w:eastAsia="Times New Roman" w:hAnsi="Calibri" w:cs="Calibri"/>
                <w:b/>
                <w:bCs/>
                <w:color w:val="000000"/>
                <w:kern w:val="0"/>
                <w:sz w:val="18"/>
                <w:szCs w:val="18"/>
                <w:lang w:val="en-US" w:eastAsia="fr-FR"/>
                <w14:ligatures w14:val="none"/>
              </w:rPr>
              <w:t>N</w:t>
            </w:r>
          </w:p>
        </w:tc>
        <w:tc>
          <w:tcPr>
            <w:tcW w:w="2753" w:type="dxa"/>
            <w:tcBorders>
              <w:top w:val="single" w:sz="8" w:space="0" w:color="auto"/>
              <w:left w:val="nil"/>
              <w:bottom w:val="single" w:sz="8" w:space="0" w:color="auto"/>
              <w:right w:val="single" w:sz="8" w:space="0" w:color="auto"/>
            </w:tcBorders>
            <w:shd w:val="clear" w:color="auto" w:fill="auto"/>
            <w:vAlign w:val="center"/>
            <w:hideMark/>
          </w:tcPr>
          <w:p w14:paraId="6F96CF97" w14:textId="77777777" w:rsidR="00A832FA" w:rsidRPr="00A832FA" w:rsidRDefault="00A832FA" w:rsidP="00A832FA">
            <w:pPr>
              <w:spacing w:after="0" w:line="240" w:lineRule="auto"/>
              <w:jc w:val="center"/>
              <w:rPr>
                <w:rFonts w:ascii="Calibri" w:eastAsia="Times New Roman" w:hAnsi="Calibri" w:cs="Calibri"/>
                <w:b/>
                <w:bCs/>
                <w:color w:val="000000"/>
                <w:kern w:val="0"/>
                <w:sz w:val="18"/>
                <w:szCs w:val="18"/>
                <w:lang w:val="fr-FR" w:eastAsia="fr-FR"/>
                <w14:ligatures w14:val="none"/>
              </w:rPr>
            </w:pPr>
            <w:r w:rsidRPr="00A832FA">
              <w:rPr>
                <w:rFonts w:ascii="Calibri" w:eastAsia="Times New Roman" w:hAnsi="Calibri" w:cs="Calibri"/>
                <w:b/>
                <w:bCs/>
                <w:color w:val="000000"/>
                <w:kern w:val="0"/>
                <w:sz w:val="18"/>
                <w:szCs w:val="18"/>
                <w:lang w:val="en-US" w:eastAsia="fr-FR"/>
                <w14:ligatures w14:val="none"/>
              </w:rPr>
              <w:t>Reference</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07A6B4F7" w14:textId="77777777" w:rsidR="00A832FA" w:rsidRPr="00A832FA" w:rsidRDefault="00A832FA" w:rsidP="00A832FA">
            <w:pPr>
              <w:spacing w:after="0" w:line="240" w:lineRule="auto"/>
              <w:jc w:val="center"/>
              <w:rPr>
                <w:rFonts w:ascii="Calibri" w:eastAsia="Times New Roman" w:hAnsi="Calibri" w:cs="Calibri"/>
                <w:b/>
                <w:bCs/>
                <w:color w:val="000000"/>
                <w:kern w:val="0"/>
                <w:sz w:val="18"/>
                <w:szCs w:val="18"/>
                <w:lang w:val="fr-FR" w:eastAsia="fr-FR"/>
                <w14:ligatures w14:val="none"/>
              </w:rPr>
            </w:pPr>
            <w:r w:rsidRPr="00A832FA">
              <w:rPr>
                <w:rFonts w:ascii="Calibri" w:eastAsia="Times New Roman" w:hAnsi="Calibri" w:cs="Calibri"/>
                <w:b/>
                <w:bCs/>
                <w:color w:val="000000"/>
                <w:kern w:val="0"/>
                <w:sz w:val="18"/>
                <w:szCs w:val="18"/>
                <w:lang w:val="en-US" w:eastAsia="fr-FR"/>
                <w14:ligatures w14:val="none"/>
              </w:rPr>
              <w:t>Geographic Focus</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21792ACB" w14:textId="77777777" w:rsidR="00A832FA" w:rsidRPr="00A832FA" w:rsidRDefault="00A832FA" w:rsidP="00A832FA">
            <w:pPr>
              <w:spacing w:after="0" w:line="240" w:lineRule="auto"/>
              <w:jc w:val="center"/>
              <w:rPr>
                <w:rFonts w:ascii="Calibri" w:eastAsia="Times New Roman" w:hAnsi="Calibri" w:cs="Calibri"/>
                <w:b/>
                <w:bCs/>
                <w:color w:val="000000"/>
                <w:kern w:val="0"/>
                <w:sz w:val="18"/>
                <w:szCs w:val="18"/>
                <w:lang w:val="fr-FR" w:eastAsia="fr-FR"/>
                <w14:ligatures w14:val="none"/>
              </w:rPr>
            </w:pPr>
            <w:r w:rsidRPr="00A832FA">
              <w:rPr>
                <w:rFonts w:ascii="Calibri" w:eastAsia="Times New Roman" w:hAnsi="Calibri" w:cs="Calibri"/>
                <w:b/>
                <w:bCs/>
                <w:color w:val="000000"/>
                <w:kern w:val="0"/>
                <w:sz w:val="18"/>
                <w:szCs w:val="18"/>
                <w:lang w:val="en-US" w:eastAsia="fr-FR"/>
                <w14:ligatures w14:val="none"/>
              </w:rPr>
              <w:t>Length of Study</w:t>
            </w:r>
          </w:p>
        </w:tc>
        <w:tc>
          <w:tcPr>
            <w:tcW w:w="2127" w:type="dxa"/>
            <w:tcBorders>
              <w:top w:val="single" w:sz="8" w:space="0" w:color="auto"/>
              <w:left w:val="nil"/>
              <w:bottom w:val="single" w:sz="8" w:space="0" w:color="auto"/>
              <w:right w:val="single" w:sz="8" w:space="0" w:color="auto"/>
            </w:tcBorders>
            <w:shd w:val="clear" w:color="auto" w:fill="auto"/>
            <w:vAlign w:val="center"/>
            <w:hideMark/>
          </w:tcPr>
          <w:p w14:paraId="406B7707" w14:textId="77777777" w:rsidR="00A832FA" w:rsidRPr="00A832FA" w:rsidRDefault="00A832FA" w:rsidP="00A832FA">
            <w:pPr>
              <w:spacing w:after="0" w:line="240" w:lineRule="auto"/>
              <w:jc w:val="center"/>
              <w:rPr>
                <w:rFonts w:ascii="Calibri" w:eastAsia="Times New Roman" w:hAnsi="Calibri" w:cs="Calibri"/>
                <w:b/>
                <w:bCs/>
                <w:color w:val="000000"/>
                <w:kern w:val="0"/>
                <w:sz w:val="18"/>
                <w:szCs w:val="18"/>
                <w:lang w:val="fr-FR" w:eastAsia="fr-FR"/>
                <w14:ligatures w14:val="none"/>
              </w:rPr>
            </w:pPr>
            <w:r w:rsidRPr="00A832FA">
              <w:rPr>
                <w:rFonts w:ascii="Calibri" w:eastAsia="Times New Roman" w:hAnsi="Calibri" w:cs="Calibri"/>
                <w:b/>
                <w:bCs/>
                <w:color w:val="000000"/>
                <w:kern w:val="0"/>
                <w:sz w:val="18"/>
                <w:szCs w:val="18"/>
                <w:lang w:val="en-US" w:eastAsia="fr-FR"/>
                <w14:ligatures w14:val="none"/>
              </w:rPr>
              <w:t>Species Examined</w:t>
            </w:r>
          </w:p>
        </w:tc>
        <w:tc>
          <w:tcPr>
            <w:tcW w:w="4110" w:type="dxa"/>
            <w:tcBorders>
              <w:top w:val="single" w:sz="8" w:space="0" w:color="auto"/>
              <w:left w:val="nil"/>
              <w:bottom w:val="single" w:sz="8" w:space="0" w:color="auto"/>
              <w:right w:val="single" w:sz="8" w:space="0" w:color="auto"/>
            </w:tcBorders>
            <w:shd w:val="clear" w:color="auto" w:fill="auto"/>
            <w:vAlign w:val="center"/>
            <w:hideMark/>
          </w:tcPr>
          <w:p w14:paraId="75C213BE" w14:textId="77777777" w:rsidR="00A832FA" w:rsidRPr="00A832FA" w:rsidRDefault="00A832FA" w:rsidP="00A832FA">
            <w:pPr>
              <w:spacing w:after="0" w:line="240" w:lineRule="auto"/>
              <w:jc w:val="center"/>
              <w:rPr>
                <w:rFonts w:ascii="Calibri" w:eastAsia="Times New Roman" w:hAnsi="Calibri" w:cs="Calibri"/>
                <w:b/>
                <w:bCs/>
                <w:color w:val="000000"/>
                <w:kern w:val="0"/>
                <w:sz w:val="18"/>
                <w:szCs w:val="18"/>
                <w:lang w:val="fr-FR" w:eastAsia="fr-FR"/>
                <w14:ligatures w14:val="none"/>
              </w:rPr>
            </w:pPr>
            <w:r w:rsidRPr="00A832FA">
              <w:rPr>
                <w:rFonts w:ascii="Calibri" w:eastAsia="Times New Roman" w:hAnsi="Calibri" w:cs="Calibri"/>
                <w:b/>
                <w:bCs/>
                <w:color w:val="000000"/>
                <w:kern w:val="0"/>
                <w:sz w:val="18"/>
                <w:szCs w:val="18"/>
                <w:lang w:val="en-US" w:eastAsia="fr-FR"/>
                <w14:ligatures w14:val="none"/>
              </w:rPr>
              <w:t>Bathymetric shift</w:t>
            </w:r>
          </w:p>
        </w:tc>
      </w:tr>
      <w:tr w:rsidR="00A832FA" w:rsidRPr="00A832FA" w14:paraId="705313DA" w14:textId="77777777" w:rsidTr="00A832FA">
        <w:trPr>
          <w:gridAfter w:val="1"/>
          <w:wAfter w:w="1189" w:type="dxa"/>
          <w:trHeight w:val="1200"/>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09F4D4B9"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8" w:space="0" w:color="auto"/>
              <w:right w:val="single" w:sz="8" w:space="0" w:color="auto"/>
            </w:tcBorders>
            <w:shd w:val="clear" w:color="auto" w:fill="auto"/>
            <w:vAlign w:val="center"/>
            <w:hideMark/>
          </w:tcPr>
          <w:p w14:paraId="10916D9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Atkinson, D. B., Rose, G. A., Murphy, E. F. &amp; Bishop, C. A. Distribution changes and abundance of northern cod (Gadus morhua), 1981–1993. 54, (1997).</w:t>
            </w:r>
          </w:p>
        </w:tc>
        <w:tc>
          <w:tcPr>
            <w:tcW w:w="1843" w:type="dxa"/>
            <w:tcBorders>
              <w:top w:val="nil"/>
              <w:left w:val="nil"/>
              <w:bottom w:val="single" w:sz="8" w:space="0" w:color="auto"/>
              <w:right w:val="single" w:sz="8" w:space="0" w:color="auto"/>
            </w:tcBorders>
            <w:shd w:val="clear" w:color="auto" w:fill="auto"/>
            <w:vAlign w:val="center"/>
            <w:hideMark/>
          </w:tcPr>
          <w:p w14:paraId="3626E08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Newfoundland, NAFO divisions 2J, 3K, and 3L</w:t>
            </w:r>
          </w:p>
        </w:tc>
        <w:tc>
          <w:tcPr>
            <w:tcW w:w="1275" w:type="dxa"/>
            <w:tcBorders>
              <w:top w:val="nil"/>
              <w:left w:val="nil"/>
              <w:bottom w:val="single" w:sz="8" w:space="0" w:color="auto"/>
              <w:right w:val="single" w:sz="8" w:space="0" w:color="auto"/>
            </w:tcBorders>
            <w:shd w:val="clear" w:color="auto" w:fill="auto"/>
            <w:vAlign w:val="center"/>
            <w:hideMark/>
          </w:tcPr>
          <w:p w14:paraId="0C8143C3"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1981–1993</w:t>
            </w:r>
          </w:p>
        </w:tc>
        <w:tc>
          <w:tcPr>
            <w:tcW w:w="2127" w:type="dxa"/>
            <w:tcBorders>
              <w:top w:val="nil"/>
              <w:left w:val="nil"/>
              <w:bottom w:val="single" w:sz="8" w:space="0" w:color="auto"/>
              <w:right w:val="single" w:sz="8" w:space="0" w:color="auto"/>
            </w:tcBorders>
            <w:shd w:val="clear" w:color="auto" w:fill="auto"/>
            <w:vAlign w:val="center"/>
            <w:hideMark/>
          </w:tcPr>
          <w:p w14:paraId="56114EB4"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Northern cod (</w:t>
            </w:r>
            <w:r w:rsidRPr="00A832FA">
              <w:rPr>
                <w:rFonts w:ascii="Calibri" w:eastAsia="Times New Roman" w:hAnsi="Calibri" w:cs="Calibri"/>
                <w:i/>
                <w:iCs/>
                <w:color w:val="000000"/>
                <w:kern w:val="0"/>
                <w:sz w:val="18"/>
                <w:szCs w:val="18"/>
                <w:lang w:val="en-US" w:eastAsia="fr-FR"/>
                <w14:ligatures w14:val="none"/>
              </w:rPr>
              <w:t>Gadus morhua</w:t>
            </w:r>
            <w:r w:rsidRPr="00A832FA">
              <w:rPr>
                <w:rFonts w:ascii="Calibri" w:eastAsia="Times New Roman" w:hAnsi="Calibri" w:cs="Calibri"/>
                <w:color w:val="000000"/>
                <w:kern w:val="0"/>
                <w:sz w:val="18"/>
                <w:szCs w:val="18"/>
                <w:lang w:val="en-US" w:eastAsia="fr-FR"/>
                <w14:ligatures w14:val="none"/>
              </w:rPr>
              <w:t>)</w:t>
            </w:r>
          </w:p>
        </w:tc>
        <w:tc>
          <w:tcPr>
            <w:tcW w:w="4110" w:type="dxa"/>
            <w:tcBorders>
              <w:top w:val="nil"/>
              <w:left w:val="nil"/>
              <w:bottom w:val="single" w:sz="8" w:space="0" w:color="auto"/>
              <w:right w:val="single" w:sz="8" w:space="0" w:color="auto"/>
            </w:tcBorders>
            <w:shd w:val="clear" w:color="000000" w:fill="FFE699"/>
            <w:vAlign w:val="center"/>
            <w:hideMark/>
          </w:tcPr>
          <w:p w14:paraId="71053870"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Cod shifted into deeper waters after 1987, correlating with stock decline and colder temperatures. The depth shift was part of a general offshore movement to deeper waters.</w:t>
            </w:r>
          </w:p>
        </w:tc>
      </w:tr>
      <w:tr w:rsidR="00A832FA" w:rsidRPr="00A832FA" w14:paraId="5B022097" w14:textId="77777777" w:rsidTr="00A832FA">
        <w:trPr>
          <w:gridAfter w:val="1"/>
          <w:wAfter w:w="1189" w:type="dxa"/>
          <w:trHeight w:val="1200"/>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3E2D7314"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2.</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8" w:space="0" w:color="auto"/>
              <w:right w:val="single" w:sz="8" w:space="0" w:color="auto"/>
            </w:tcBorders>
            <w:shd w:val="clear" w:color="auto" w:fill="auto"/>
            <w:vAlign w:val="center"/>
            <w:hideMark/>
          </w:tcPr>
          <w:p w14:paraId="70A49ADB"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Cheung, W. W. L., Watson, R. &amp; Pauly, D. Signature of ocean warming in global fisheries catch. </w:t>
            </w:r>
            <w:r w:rsidRPr="00A832FA">
              <w:rPr>
                <w:rFonts w:ascii="Calibri" w:eastAsia="Times New Roman" w:hAnsi="Calibri" w:cs="Calibri"/>
                <w:i/>
                <w:iCs/>
                <w:color w:val="000000"/>
                <w:kern w:val="0"/>
                <w:sz w:val="18"/>
                <w:szCs w:val="18"/>
                <w:lang w:eastAsia="fr-FR"/>
                <w14:ligatures w14:val="none"/>
              </w:rPr>
              <w:t>Nature</w:t>
            </w:r>
            <w:r w:rsidRPr="00A832FA">
              <w:rPr>
                <w:rFonts w:ascii="Calibri" w:eastAsia="Times New Roman" w:hAnsi="Calibri" w:cs="Calibri"/>
                <w:color w:val="000000"/>
                <w:kern w:val="0"/>
                <w:sz w:val="18"/>
                <w:szCs w:val="18"/>
                <w:lang w:eastAsia="fr-FR"/>
                <w14:ligatures w14:val="none"/>
              </w:rPr>
              <w:t xml:space="preserve"> 497, 365–368 (2013).</w:t>
            </w:r>
          </w:p>
        </w:tc>
        <w:tc>
          <w:tcPr>
            <w:tcW w:w="1843" w:type="dxa"/>
            <w:tcBorders>
              <w:top w:val="nil"/>
              <w:left w:val="nil"/>
              <w:bottom w:val="single" w:sz="8" w:space="0" w:color="auto"/>
              <w:right w:val="single" w:sz="8" w:space="0" w:color="auto"/>
            </w:tcBorders>
            <w:shd w:val="clear" w:color="auto" w:fill="auto"/>
            <w:vAlign w:val="center"/>
            <w:hideMark/>
          </w:tcPr>
          <w:p w14:paraId="75D5C68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Global; 52 large marine ecosystems, including tropical, temperate, and polar regions.</w:t>
            </w:r>
          </w:p>
        </w:tc>
        <w:tc>
          <w:tcPr>
            <w:tcW w:w="1275" w:type="dxa"/>
            <w:tcBorders>
              <w:top w:val="nil"/>
              <w:left w:val="nil"/>
              <w:bottom w:val="single" w:sz="8" w:space="0" w:color="auto"/>
              <w:right w:val="single" w:sz="8" w:space="0" w:color="auto"/>
            </w:tcBorders>
            <w:shd w:val="clear" w:color="auto" w:fill="auto"/>
            <w:vAlign w:val="center"/>
            <w:hideMark/>
          </w:tcPr>
          <w:p w14:paraId="252E3CBB"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1970–2006</w:t>
            </w:r>
          </w:p>
        </w:tc>
        <w:tc>
          <w:tcPr>
            <w:tcW w:w="2127" w:type="dxa"/>
            <w:tcBorders>
              <w:top w:val="nil"/>
              <w:left w:val="nil"/>
              <w:bottom w:val="single" w:sz="8" w:space="0" w:color="auto"/>
              <w:right w:val="single" w:sz="8" w:space="0" w:color="auto"/>
            </w:tcBorders>
            <w:shd w:val="clear" w:color="auto" w:fill="auto"/>
            <w:vAlign w:val="center"/>
            <w:hideMark/>
          </w:tcPr>
          <w:p w14:paraId="79DC8601"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Marine fish and invertebrates (990 species)</w:t>
            </w:r>
          </w:p>
        </w:tc>
        <w:tc>
          <w:tcPr>
            <w:tcW w:w="4110" w:type="dxa"/>
            <w:tcBorders>
              <w:top w:val="nil"/>
              <w:left w:val="nil"/>
              <w:bottom w:val="single" w:sz="8" w:space="0" w:color="auto"/>
              <w:right w:val="single" w:sz="8" w:space="0" w:color="auto"/>
            </w:tcBorders>
            <w:shd w:val="clear" w:color="000000" w:fill="FFE699"/>
            <w:vAlign w:val="center"/>
            <w:hideMark/>
          </w:tcPr>
          <w:p w14:paraId="1C0DDDC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Species shift to deeper waters as oceans warm, especially in non-tropical regions. The rate of depth shift is not explicitly given but is inferred through the increasing MTC.</w:t>
            </w:r>
          </w:p>
        </w:tc>
      </w:tr>
      <w:tr w:rsidR="00A832FA" w:rsidRPr="00A832FA" w14:paraId="04E365F8" w14:textId="77777777" w:rsidTr="00A832FA">
        <w:trPr>
          <w:gridAfter w:val="1"/>
          <w:wAfter w:w="1189" w:type="dxa"/>
          <w:trHeight w:val="1584"/>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7BA92003"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3.</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8" w:space="0" w:color="auto"/>
              <w:right w:val="single" w:sz="8" w:space="0" w:color="auto"/>
            </w:tcBorders>
            <w:shd w:val="clear" w:color="auto" w:fill="auto"/>
            <w:vAlign w:val="center"/>
            <w:hideMark/>
          </w:tcPr>
          <w:p w14:paraId="223E072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Dulvy, N. K. </w:t>
            </w:r>
            <w:r w:rsidRPr="00A832FA">
              <w:rPr>
                <w:rFonts w:ascii="Calibri" w:eastAsia="Times New Roman" w:hAnsi="Calibri" w:cs="Calibri"/>
                <w:i/>
                <w:iCs/>
                <w:color w:val="000000"/>
                <w:kern w:val="0"/>
                <w:sz w:val="18"/>
                <w:szCs w:val="18"/>
                <w:lang w:eastAsia="fr-FR"/>
                <w14:ligatures w14:val="none"/>
              </w:rPr>
              <w:t>et al.</w:t>
            </w:r>
            <w:r w:rsidRPr="00A832FA">
              <w:rPr>
                <w:rFonts w:ascii="Calibri" w:eastAsia="Times New Roman" w:hAnsi="Calibri" w:cs="Calibri"/>
                <w:color w:val="000000"/>
                <w:kern w:val="0"/>
                <w:sz w:val="18"/>
                <w:szCs w:val="18"/>
                <w:lang w:eastAsia="fr-FR"/>
                <w14:ligatures w14:val="none"/>
              </w:rPr>
              <w:t xml:space="preserve"> Climate change and deepening of the North Sea fish assemblage: a biotic indicator of warming seas. </w:t>
            </w:r>
            <w:r w:rsidRPr="00A832FA">
              <w:rPr>
                <w:rFonts w:ascii="Calibri" w:eastAsia="Times New Roman" w:hAnsi="Calibri" w:cs="Calibri"/>
                <w:i/>
                <w:iCs/>
                <w:color w:val="000000"/>
                <w:kern w:val="0"/>
                <w:sz w:val="18"/>
                <w:szCs w:val="18"/>
                <w:lang w:eastAsia="fr-FR"/>
                <w14:ligatures w14:val="none"/>
              </w:rPr>
              <w:t>Journal of Applied Ecology</w:t>
            </w:r>
            <w:r w:rsidRPr="00A832FA">
              <w:rPr>
                <w:rFonts w:ascii="Calibri" w:eastAsia="Times New Roman" w:hAnsi="Calibri" w:cs="Calibri"/>
                <w:color w:val="000000"/>
                <w:kern w:val="0"/>
                <w:sz w:val="18"/>
                <w:szCs w:val="18"/>
                <w:lang w:eastAsia="fr-FR"/>
                <w14:ligatures w14:val="none"/>
              </w:rPr>
              <w:t xml:space="preserve"> 45, 1029–1039 (2008).</w:t>
            </w:r>
          </w:p>
        </w:tc>
        <w:tc>
          <w:tcPr>
            <w:tcW w:w="1843" w:type="dxa"/>
            <w:tcBorders>
              <w:top w:val="nil"/>
              <w:left w:val="nil"/>
              <w:bottom w:val="single" w:sz="8" w:space="0" w:color="auto"/>
              <w:right w:val="single" w:sz="8" w:space="0" w:color="auto"/>
            </w:tcBorders>
            <w:shd w:val="clear" w:color="auto" w:fill="auto"/>
            <w:vAlign w:val="center"/>
            <w:hideMark/>
          </w:tcPr>
          <w:p w14:paraId="40A54AF2"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 Sea</w:t>
            </w:r>
          </w:p>
        </w:tc>
        <w:tc>
          <w:tcPr>
            <w:tcW w:w="1275" w:type="dxa"/>
            <w:tcBorders>
              <w:top w:val="nil"/>
              <w:left w:val="nil"/>
              <w:bottom w:val="single" w:sz="8" w:space="0" w:color="auto"/>
              <w:right w:val="single" w:sz="8" w:space="0" w:color="auto"/>
            </w:tcBorders>
            <w:shd w:val="clear" w:color="auto" w:fill="auto"/>
            <w:vAlign w:val="center"/>
            <w:hideMark/>
          </w:tcPr>
          <w:p w14:paraId="2038EF5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1980–2004</w:t>
            </w:r>
          </w:p>
        </w:tc>
        <w:tc>
          <w:tcPr>
            <w:tcW w:w="2127" w:type="dxa"/>
            <w:tcBorders>
              <w:top w:val="nil"/>
              <w:left w:val="nil"/>
              <w:bottom w:val="single" w:sz="8" w:space="0" w:color="auto"/>
              <w:right w:val="single" w:sz="8" w:space="0" w:color="auto"/>
            </w:tcBorders>
            <w:shd w:val="clear" w:color="auto" w:fill="auto"/>
            <w:vAlign w:val="center"/>
            <w:hideMark/>
          </w:tcPr>
          <w:p w14:paraId="4342DD1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28 species of demersal fish</w:t>
            </w:r>
          </w:p>
        </w:tc>
        <w:tc>
          <w:tcPr>
            <w:tcW w:w="4110" w:type="dxa"/>
            <w:tcBorders>
              <w:top w:val="nil"/>
              <w:left w:val="nil"/>
              <w:bottom w:val="single" w:sz="8" w:space="0" w:color="auto"/>
              <w:right w:val="single" w:sz="8" w:space="0" w:color="auto"/>
            </w:tcBorders>
            <w:shd w:val="clear" w:color="000000" w:fill="FFE699"/>
            <w:vAlign w:val="center"/>
            <w:hideMark/>
          </w:tcPr>
          <w:p w14:paraId="7729425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The study found a significant deepening of fish assemblages at an average rate of ~3.6 meters per decade. Coldwater species deepened more rapidly (up to 14 m/decade), while warmwater species, such as sole and bib, showed shallowing trends (up to 7.6 m/decade).</w:t>
            </w:r>
          </w:p>
        </w:tc>
      </w:tr>
      <w:tr w:rsidR="00A832FA" w:rsidRPr="00A832FA" w14:paraId="641AB9E6" w14:textId="77777777" w:rsidTr="00A832FA">
        <w:trPr>
          <w:gridAfter w:val="1"/>
          <w:wAfter w:w="1189" w:type="dxa"/>
          <w:trHeight w:val="1356"/>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22CB8488"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4.</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8" w:space="0" w:color="auto"/>
              <w:right w:val="single" w:sz="8" w:space="0" w:color="auto"/>
            </w:tcBorders>
            <w:shd w:val="clear" w:color="auto" w:fill="auto"/>
            <w:vAlign w:val="center"/>
            <w:hideMark/>
          </w:tcPr>
          <w:p w14:paraId="74A81A0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Hollowed, A. B. &amp; Sundby, S. Change is coming to the northern oceans. </w:t>
            </w:r>
            <w:r w:rsidRPr="00A832FA">
              <w:rPr>
                <w:rFonts w:ascii="Calibri" w:eastAsia="Times New Roman" w:hAnsi="Calibri" w:cs="Calibri"/>
                <w:i/>
                <w:iCs/>
                <w:color w:val="000000"/>
                <w:kern w:val="0"/>
                <w:sz w:val="18"/>
                <w:szCs w:val="18"/>
                <w:lang w:eastAsia="fr-FR"/>
                <w14:ligatures w14:val="none"/>
              </w:rPr>
              <w:t>Science</w:t>
            </w:r>
            <w:r w:rsidRPr="00A832FA">
              <w:rPr>
                <w:rFonts w:ascii="Calibri" w:eastAsia="Times New Roman" w:hAnsi="Calibri" w:cs="Calibri"/>
                <w:color w:val="000000"/>
                <w:kern w:val="0"/>
                <w:sz w:val="18"/>
                <w:szCs w:val="18"/>
                <w:lang w:eastAsia="fr-FR"/>
                <w14:ligatures w14:val="none"/>
              </w:rPr>
              <w:t xml:space="preserve"> 344, 1084–1085 (2014).</w:t>
            </w:r>
          </w:p>
        </w:tc>
        <w:tc>
          <w:tcPr>
            <w:tcW w:w="1843" w:type="dxa"/>
            <w:tcBorders>
              <w:top w:val="nil"/>
              <w:left w:val="nil"/>
              <w:bottom w:val="single" w:sz="8" w:space="0" w:color="auto"/>
              <w:right w:val="single" w:sz="8" w:space="0" w:color="auto"/>
            </w:tcBorders>
            <w:shd w:val="clear" w:color="auto" w:fill="auto"/>
            <w:vAlign w:val="center"/>
            <w:hideMark/>
          </w:tcPr>
          <w:p w14:paraId="6FFBDA2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 Pacific and North Atlantic Oceans, particularly the Barents Sea and Bering Sea</w:t>
            </w:r>
          </w:p>
        </w:tc>
        <w:tc>
          <w:tcPr>
            <w:tcW w:w="1275" w:type="dxa"/>
            <w:tcBorders>
              <w:top w:val="nil"/>
              <w:left w:val="nil"/>
              <w:bottom w:val="single" w:sz="8" w:space="0" w:color="auto"/>
              <w:right w:val="single" w:sz="8" w:space="0" w:color="auto"/>
            </w:tcBorders>
            <w:shd w:val="clear" w:color="auto" w:fill="auto"/>
            <w:vAlign w:val="center"/>
            <w:hideMark/>
          </w:tcPr>
          <w:p w14:paraId="2BED195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Early 20th century to 2013</w:t>
            </w:r>
          </w:p>
        </w:tc>
        <w:tc>
          <w:tcPr>
            <w:tcW w:w="2127" w:type="dxa"/>
            <w:tcBorders>
              <w:top w:val="nil"/>
              <w:left w:val="nil"/>
              <w:bottom w:val="single" w:sz="8" w:space="0" w:color="auto"/>
              <w:right w:val="single" w:sz="8" w:space="0" w:color="auto"/>
            </w:tcBorders>
            <w:shd w:val="clear" w:color="auto" w:fill="auto"/>
            <w:vAlign w:val="center"/>
            <w:hideMark/>
          </w:tcPr>
          <w:p w14:paraId="41F29665"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Northeast Arctic cod (</w:t>
            </w:r>
            <w:r w:rsidRPr="00A832FA">
              <w:rPr>
                <w:rFonts w:ascii="Calibri" w:eastAsia="Times New Roman" w:hAnsi="Calibri" w:cs="Calibri"/>
                <w:i/>
                <w:iCs/>
                <w:color w:val="000000"/>
                <w:kern w:val="0"/>
                <w:sz w:val="18"/>
                <w:szCs w:val="18"/>
                <w:lang w:val="en-US" w:eastAsia="fr-FR"/>
                <w14:ligatures w14:val="none"/>
              </w:rPr>
              <w:t>Gadus morhua</w:t>
            </w:r>
            <w:r w:rsidRPr="00A832FA">
              <w:rPr>
                <w:rFonts w:ascii="Calibri" w:eastAsia="Times New Roman" w:hAnsi="Calibri" w:cs="Calibri"/>
                <w:color w:val="000000"/>
                <w:kern w:val="0"/>
                <w:sz w:val="18"/>
                <w:szCs w:val="18"/>
                <w:lang w:val="en-US" w:eastAsia="fr-FR"/>
                <w14:ligatures w14:val="none"/>
              </w:rPr>
              <w:t>), Bering Sea pollock (</w:t>
            </w:r>
            <w:r w:rsidRPr="00A832FA">
              <w:rPr>
                <w:rFonts w:ascii="Calibri" w:eastAsia="Times New Roman" w:hAnsi="Calibri" w:cs="Calibri"/>
                <w:i/>
                <w:iCs/>
                <w:color w:val="000000"/>
                <w:kern w:val="0"/>
                <w:sz w:val="18"/>
                <w:szCs w:val="18"/>
                <w:lang w:val="en-US" w:eastAsia="fr-FR"/>
                <w14:ligatures w14:val="none"/>
              </w:rPr>
              <w:t>Gadus chalcogrammus</w:t>
            </w:r>
            <w:r w:rsidRPr="00A832FA">
              <w:rPr>
                <w:rFonts w:ascii="Calibri" w:eastAsia="Times New Roman" w:hAnsi="Calibri" w:cs="Calibri"/>
                <w:color w:val="000000"/>
                <w:kern w:val="0"/>
                <w:sz w:val="18"/>
                <w:szCs w:val="18"/>
                <w:lang w:val="en-US" w:eastAsia="fr-FR"/>
                <w14:ligatures w14:val="none"/>
              </w:rPr>
              <w:t>)</w:t>
            </w:r>
          </w:p>
        </w:tc>
        <w:tc>
          <w:tcPr>
            <w:tcW w:w="4110" w:type="dxa"/>
            <w:tcBorders>
              <w:top w:val="nil"/>
              <w:left w:val="nil"/>
              <w:bottom w:val="single" w:sz="8" w:space="0" w:color="auto"/>
              <w:right w:val="single" w:sz="8" w:space="0" w:color="auto"/>
            </w:tcBorders>
            <w:shd w:val="clear" w:color="000000" w:fill="FFE699"/>
            <w:vAlign w:val="center"/>
            <w:hideMark/>
          </w:tcPr>
          <w:p w14:paraId="12806E7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Cod stocks were observed to move into deeper waters as temperatures increased, particularly during warm phases. Pollock distribution was also influenced by cold bottom waters in the Bering Sea, but less is noted about depth shifts.</w:t>
            </w:r>
          </w:p>
        </w:tc>
      </w:tr>
      <w:tr w:rsidR="00A832FA" w:rsidRPr="00A832FA" w14:paraId="3DB6E5E0" w14:textId="77777777" w:rsidTr="00A832FA">
        <w:trPr>
          <w:gridAfter w:val="1"/>
          <w:wAfter w:w="1189" w:type="dxa"/>
          <w:trHeight w:val="1680"/>
        </w:trPr>
        <w:tc>
          <w:tcPr>
            <w:tcW w:w="923" w:type="dxa"/>
            <w:tcBorders>
              <w:top w:val="nil"/>
              <w:left w:val="single" w:sz="8" w:space="0" w:color="auto"/>
              <w:bottom w:val="single" w:sz="4" w:space="0" w:color="auto"/>
              <w:right w:val="single" w:sz="8" w:space="0" w:color="auto"/>
            </w:tcBorders>
            <w:shd w:val="clear" w:color="auto" w:fill="auto"/>
            <w:vAlign w:val="center"/>
            <w:hideMark/>
          </w:tcPr>
          <w:p w14:paraId="705A9141"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5.</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4" w:space="0" w:color="auto"/>
              <w:right w:val="single" w:sz="8" w:space="0" w:color="auto"/>
            </w:tcBorders>
            <w:shd w:val="clear" w:color="auto" w:fill="auto"/>
            <w:vAlign w:val="center"/>
            <w:hideMark/>
          </w:tcPr>
          <w:p w14:paraId="5D836F9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ICES. Report of the Working Group on Fish Distribution Shifts (WKFISHDISH). (2016)</w:t>
            </w:r>
          </w:p>
        </w:tc>
        <w:tc>
          <w:tcPr>
            <w:tcW w:w="1843" w:type="dxa"/>
            <w:tcBorders>
              <w:top w:val="nil"/>
              <w:left w:val="nil"/>
              <w:bottom w:val="single" w:sz="4" w:space="0" w:color="auto"/>
              <w:right w:val="single" w:sz="8" w:space="0" w:color="auto"/>
            </w:tcBorders>
            <w:shd w:val="clear" w:color="auto" w:fill="auto"/>
            <w:vAlign w:val="center"/>
            <w:hideMark/>
          </w:tcPr>
          <w:p w14:paraId="165D9D66"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Northeast Atlantic (various ICES regions, including the North Sea, Bay of Biscay, Celtic Sea, and Barents Sea)</w:t>
            </w:r>
          </w:p>
        </w:tc>
        <w:tc>
          <w:tcPr>
            <w:tcW w:w="1275" w:type="dxa"/>
            <w:tcBorders>
              <w:top w:val="nil"/>
              <w:left w:val="nil"/>
              <w:bottom w:val="single" w:sz="4" w:space="0" w:color="auto"/>
              <w:right w:val="single" w:sz="8" w:space="0" w:color="auto"/>
            </w:tcBorders>
            <w:shd w:val="clear" w:color="auto" w:fill="auto"/>
            <w:vAlign w:val="center"/>
            <w:hideMark/>
          </w:tcPr>
          <w:p w14:paraId="206C10D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1970s–2016</w:t>
            </w:r>
          </w:p>
        </w:tc>
        <w:tc>
          <w:tcPr>
            <w:tcW w:w="2127" w:type="dxa"/>
            <w:tcBorders>
              <w:top w:val="nil"/>
              <w:left w:val="nil"/>
              <w:bottom w:val="single" w:sz="4" w:space="0" w:color="auto"/>
              <w:right w:val="single" w:sz="8" w:space="0" w:color="auto"/>
            </w:tcBorders>
            <w:shd w:val="clear" w:color="auto" w:fill="auto"/>
            <w:vAlign w:val="center"/>
            <w:hideMark/>
          </w:tcPr>
          <w:p w14:paraId="6CCF108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 species, including cod, anchovy, blue whiting, mackerel, haddock, herring</w:t>
            </w:r>
          </w:p>
        </w:tc>
        <w:tc>
          <w:tcPr>
            <w:tcW w:w="4110" w:type="dxa"/>
            <w:tcBorders>
              <w:top w:val="nil"/>
              <w:left w:val="nil"/>
              <w:bottom w:val="single" w:sz="4" w:space="0" w:color="auto"/>
              <w:right w:val="single" w:sz="8" w:space="0" w:color="auto"/>
            </w:tcBorders>
            <w:shd w:val="clear" w:color="000000" w:fill="FFE699"/>
            <w:vAlign w:val="center"/>
            <w:hideMark/>
          </w:tcPr>
          <w:p w14:paraId="5EBAC225"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Some species showed significant deepening, particularly as a response to temperature increases. Cod and haddock were observed to shift deeper in certain regions. However, species like plaice and sole showed limited depth shifts, primarily influenced by density-dependent habitat use.</w:t>
            </w:r>
          </w:p>
        </w:tc>
      </w:tr>
      <w:tr w:rsidR="00A832FA" w:rsidRPr="00A832FA" w14:paraId="40819170" w14:textId="77777777" w:rsidTr="00A832FA">
        <w:trPr>
          <w:gridAfter w:val="1"/>
          <w:wAfter w:w="1189" w:type="dxa"/>
          <w:trHeight w:val="1596"/>
        </w:trPr>
        <w:tc>
          <w:tcPr>
            <w:tcW w:w="9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C9D9373"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lastRenderedPageBreak/>
              <w:t>6.</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single" w:sz="4" w:space="0" w:color="auto"/>
              <w:left w:val="nil"/>
              <w:bottom w:val="single" w:sz="8" w:space="0" w:color="auto"/>
              <w:right w:val="single" w:sz="8" w:space="0" w:color="auto"/>
            </w:tcBorders>
            <w:shd w:val="clear" w:color="auto" w:fill="auto"/>
            <w:vAlign w:val="center"/>
            <w:hideMark/>
          </w:tcPr>
          <w:p w14:paraId="342E6AC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Keller, A. A., Bradburn, M. J. &amp; Simon, V. H. Shifts in condition and distribution of eastern North Pacific flatfish along the U.S. west coast (2003–2010). </w:t>
            </w:r>
            <w:r w:rsidRPr="00A832FA">
              <w:rPr>
                <w:rFonts w:ascii="Calibri" w:eastAsia="Times New Roman" w:hAnsi="Calibri" w:cs="Calibri"/>
                <w:i/>
                <w:iCs/>
                <w:color w:val="000000"/>
                <w:kern w:val="0"/>
                <w:sz w:val="18"/>
                <w:szCs w:val="18"/>
                <w:lang w:eastAsia="fr-FR"/>
                <w14:ligatures w14:val="none"/>
              </w:rPr>
              <w:t>Deep Sea Research Part I: Oceanographic Research Papers</w:t>
            </w:r>
            <w:r w:rsidRPr="00A832FA">
              <w:rPr>
                <w:rFonts w:ascii="Calibri" w:eastAsia="Times New Roman" w:hAnsi="Calibri" w:cs="Calibri"/>
                <w:color w:val="000000"/>
                <w:kern w:val="0"/>
                <w:sz w:val="18"/>
                <w:szCs w:val="18"/>
                <w:lang w:eastAsia="fr-FR"/>
                <w14:ligatures w14:val="none"/>
              </w:rPr>
              <w:t xml:space="preserve"> 77, 23–35 (2013).</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73C369D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U.S. West Coast, California Current System</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2AC098F4"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2003–2010</w:t>
            </w:r>
          </w:p>
        </w:tc>
        <w:tc>
          <w:tcPr>
            <w:tcW w:w="2127" w:type="dxa"/>
            <w:tcBorders>
              <w:top w:val="single" w:sz="4" w:space="0" w:color="auto"/>
              <w:left w:val="nil"/>
              <w:bottom w:val="single" w:sz="8" w:space="0" w:color="auto"/>
              <w:right w:val="single" w:sz="8" w:space="0" w:color="auto"/>
            </w:tcBorders>
            <w:shd w:val="clear" w:color="auto" w:fill="auto"/>
            <w:vAlign w:val="center"/>
            <w:hideMark/>
          </w:tcPr>
          <w:p w14:paraId="39B88A81"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10 flatfish species, including arrowtooth flounder, Dover sole, Pacific sanddab</w:t>
            </w:r>
          </w:p>
        </w:tc>
        <w:tc>
          <w:tcPr>
            <w:tcW w:w="4110" w:type="dxa"/>
            <w:tcBorders>
              <w:top w:val="single" w:sz="4" w:space="0" w:color="auto"/>
              <w:left w:val="nil"/>
              <w:bottom w:val="single" w:sz="8" w:space="0" w:color="auto"/>
              <w:right w:val="single" w:sz="8" w:space="0" w:color="auto"/>
            </w:tcBorders>
            <w:shd w:val="clear" w:color="000000" w:fill="FFE699"/>
            <w:vAlign w:val="center"/>
            <w:hideMark/>
          </w:tcPr>
          <w:p w14:paraId="77A643B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80% of species showed significant depth shifts. Species like Dover sole, arrowtooth flounder, and rex sole moved into deeper waters during cooler phases. Curlfin sole and Pacific sanddab also shifted deeper, with curlfin sole showing a southward and offshore shift.</w:t>
            </w:r>
          </w:p>
        </w:tc>
      </w:tr>
      <w:tr w:rsidR="00A832FA" w:rsidRPr="00A832FA" w14:paraId="3D29AE8A" w14:textId="77777777" w:rsidTr="00A832FA">
        <w:trPr>
          <w:gridAfter w:val="1"/>
          <w:wAfter w:w="1189" w:type="dxa"/>
          <w:trHeight w:val="1656"/>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45B53F31"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7.</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8" w:space="0" w:color="auto"/>
              <w:right w:val="single" w:sz="8" w:space="0" w:color="auto"/>
            </w:tcBorders>
            <w:shd w:val="clear" w:color="auto" w:fill="auto"/>
            <w:vAlign w:val="center"/>
            <w:hideMark/>
          </w:tcPr>
          <w:p w14:paraId="55461BE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Le Luherne, E., Pawlowski, L. &amp; Robert, M. Northeast Atlantic species distribution shifts over the last two decades. </w:t>
            </w:r>
            <w:r w:rsidRPr="00A832FA">
              <w:rPr>
                <w:rFonts w:ascii="Calibri" w:eastAsia="Times New Roman" w:hAnsi="Calibri" w:cs="Calibri"/>
                <w:i/>
                <w:iCs/>
                <w:color w:val="000000"/>
                <w:kern w:val="0"/>
                <w:sz w:val="18"/>
                <w:szCs w:val="18"/>
                <w:lang w:eastAsia="fr-FR"/>
                <w14:ligatures w14:val="none"/>
              </w:rPr>
              <w:t>Global Change Biology</w:t>
            </w:r>
            <w:r w:rsidRPr="00A832FA">
              <w:rPr>
                <w:rFonts w:ascii="Calibri" w:eastAsia="Times New Roman" w:hAnsi="Calibri" w:cs="Calibri"/>
                <w:color w:val="000000"/>
                <w:kern w:val="0"/>
                <w:sz w:val="18"/>
                <w:szCs w:val="18"/>
                <w:lang w:eastAsia="fr-FR"/>
                <w14:ligatures w14:val="none"/>
              </w:rPr>
              <w:t xml:space="preserve"> 30, e17383 (2024).</w:t>
            </w:r>
          </w:p>
        </w:tc>
        <w:tc>
          <w:tcPr>
            <w:tcW w:w="1843" w:type="dxa"/>
            <w:tcBorders>
              <w:top w:val="nil"/>
              <w:left w:val="nil"/>
              <w:bottom w:val="single" w:sz="8" w:space="0" w:color="auto"/>
              <w:right w:val="single" w:sz="8" w:space="0" w:color="auto"/>
            </w:tcBorders>
            <w:shd w:val="clear" w:color="auto" w:fill="auto"/>
            <w:vAlign w:val="center"/>
            <w:hideMark/>
          </w:tcPr>
          <w:p w14:paraId="7DA97CB4"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Celtic-Biscay Shelf, Bay of Biscay, and Celtic Sea</w:t>
            </w:r>
          </w:p>
        </w:tc>
        <w:tc>
          <w:tcPr>
            <w:tcW w:w="1275" w:type="dxa"/>
            <w:tcBorders>
              <w:top w:val="nil"/>
              <w:left w:val="nil"/>
              <w:bottom w:val="single" w:sz="8" w:space="0" w:color="auto"/>
              <w:right w:val="single" w:sz="8" w:space="0" w:color="auto"/>
            </w:tcBorders>
            <w:shd w:val="clear" w:color="auto" w:fill="auto"/>
            <w:vAlign w:val="center"/>
            <w:hideMark/>
          </w:tcPr>
          <w:p w14:paraId="6A21F50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1997–2020</w:t>
            </w:r>
          </w:p>
        </w:tc>
        <w:tc>
          <w:tcPr>
            <w:tcW w:w="2127" w:type="dxa"/>
            <w:tcBorders>
              <w:top w:val="nil"/>
              <w:left w:val="nil"/>
              <w:bottom w:val="single" w:sz="8" w:space="0" w:color="auto"/>
              <w:right w:val="single" w:sz="8" w:space="0" w:color="auto"/>
            </w:tcBorders>
            <w:shd w:val="clear" w:color="auto" w:fill="auto"/>
            <w:vAlign w:val="center"/>
            <w:hideMark/>
          </w:tcPr>
          <w:p w14:paraId="33C2269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93 taxa, including fish (65 Actinopteri), cephalopods (11), and bivalves (2)</w:t>
            </w:r>
          </w:p>
        </w:tc>
        <w:tc>
          <w:tcPr>
            <w:tcW w:w="4110" w:type="dxa"/>
            <w:tcBorders>
              <w:top w:val="nil"/>
              <w:left w:val="nil"/>
              <w:bottom w:val="single" w:sz="8" w:space="0" w:color="auto"/>
              <w:right w:val="single" w:sz="8" w:space="0" w:color="auto"/>
            </w:tcBorders>
            <w:shd w:val="clear" w:color="000000" w:fill="FFE699"/>
            <w:vAlign w:val="center"/>
            <w:hideMark/>
          </w:tcPr>
          <w:p w14:paraId="3A507F1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56% of taxa shifted, with significant depth shifts observed, mostly showing deepening (mean rate: 16.5 m/decade). Some species shifted closer to the surface, particularly boreal species. Depth shifts varied by taxa and region, with deeper movements observed in the Bay of Biscay populations.</w:t>
            </w:r>
          </w:p>
        </w:tc>
      </w:tr>
      <w:tr w:rsidR="00A832FA" w:rsidRPr="00A832FA" w14:paraId="3EA5A0FB" w14:textId="77777777" w:rsidTr="00A832FA">
        <w:trPr>
          <w:gridAfter w:val="1"/>
          <w:wAfter w:w="1189" w:type="dxa"/>
          <w:trHeight w:val="1872"/>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0319BBA7"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8.</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8" w:space="0" w:color="auto"/>
              <w:right w:val="single" w:sz="8" w:space="0" w:color="auto"/>
            </w:tcBorders>
            <w:shd w:val="clear" w:color="auto" w:fill="auto"/>
            <w:vAlign w:val="center"/>
            <w:hideMark/>
          </w:tcPr>
          <w:p w14:paraId="0D40AF24"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Nye, J., Link, J., Hare, J. &amp; Overholtz, W. Changing spatial distribution of fish stocks in relation to climate and population size on the Northeast United States continental shelf. </w:t>
            </w:r>
            <w:r w:rsidRPr="00A832FA">
              <w:rPr>
                <w:rFonts w:ascii="Calibri" w:eastAsia="Times New Roman" w:hAnsi="Calibri" w:cs="Calibri"/>
                <w:i/>
                <w:iCs/>
                <w:color w:val="000000"/>
                <w:kern w:val="0"/>
                <w:sz w:val="18"/>
                <w:szCs w:val="18"/>
                <w:lang w:eastAsia="fr-FR"/>
                <w14:ligatures w14:val="none"/>
              </w:rPr>
              <w:t>Mar. Ecol. Prog. Ser.</w:t>
            </w:r>
            <w:r w:rsidRPr="00A832FA">
              <w:rPr>
                <w:rFonts w:ascii="Calibri" w:eastAsia="Times New Roman" w:hAnsi="Calibri" w:cs="Calibri"/>
                <w:color w:val="000000"/>
                <w:kern w:val="0"/>
                <w:sz w:val="18"/>
                <w:szCs w:val="18"/>
                <w:lang w:eastAsia="fr-FR"/>
                <w14:ligatures w14:val="none"/>
              </w:rPr>
              <w:t xml:space="preserve"> 393, 111–129 (2009).</w:t>
            </w:r>
          </w:p>
        </w:tc>
        <w:tc>
          <w:tcPr>
            <w:tcW w:w="1843" w:type="dxa"/>
            <w:tcBorders>
              <w:top w:val="nil"/>
              <w:left w:val="nil"/>
              <w:bottom w:val="single" w:sz="8" w:space="0" w:color="auto"/>
              <w:right w:val="single" w:sz="8" w:space="0" w:color="auto"/>
            </w:tcBorders>
            <w:shd w:val="clear" w:color="auto" w:fill="auto"/>
            <w:vAlign w:val="center"/>
            <w:hideMark/>
          </w:tcPr>
          <w:p w14:paraId="058BB7C6"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Northeast U.S. Continental Shelf (from Gulf of Maine to Mid-Atlantic Bight)</w:t>
            </w:r>
          </w:p>
        </w:tc>
        <w:tc>
          <w:tcPr>
            <w:tcW w:w="1275" w:type="dxa"/>
            <w:tcBorders>
              <w:top w:val="nil"/>
              <w:left w:val="nil"/>
              <w:bottom w:val="single" w:sz="8" w:space="0" w:color="auto"/>
              <w:right w:val="single" w:sz="8" w:space="0" w:color="auto"/>
            </w:tcBorders>
            <w:shd w:val="clear" w:color="auto" w:fill="auto"/>
            <w:vAlign w:val="center"/>
            <w:hideMark/>
          </w:tcPr>
          <w:p w14:paraId="5C15DA2B"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1968–2007</w:t>
            </w:r>
          </w:p>
        </w:tc>
        <w:tc>
          <w:tcPr>
            <w:tcW w:w="2127" w:type="dxa"/>
            <w:tcBorders>
              <w:top w:val="nil"/>
              <w:left w:val="nil"/>
              <w:bottom w:val="single" w:sz="8" w:space="0" w:color="auto"/>
              <w:right w:val="single" w:sz="8" w:space="0" w:color="auto"/>
            </w:tcBorders>
            <w:shd w:val="clear" w:color="auto" w:fill="auto"/>
            <w:vAlign w:val="center"/>
            <w:hideMark/>
          </w:tcPr>
          <w:p w14:paraId="4D5F9DDB"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36 fish stocks, including Atlantic cod, silver hake, yellowtail flounder, and haddock</w:t>
            </w:r>
          </w:p>
        </w:tc>
        <w:tc>
          <w:tcPr>
            <w:tcW w:w="4110" w:type="dxa"/>
            <w:tcBorders>
              <w:top w:val="nil"/>
              <w:left w:val="nil"/>
              <w:bottom w:val="single" w:sz="8" w:space="0" w:color="auto"/>
              <w:right w:val="single" w:sz="8" w:space="0" w:color="auto"/>
            </w:tcBorders>
            <w:shd w:val="clear" w:color="000000" w:fill="FFE699"/>
            <w:vAlign w:val="center"/>
            <w:hideMark/>
          </w:tcPr>
          <w:p w14:paraId="6837C5A1"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17 species showed significant depth shifts, with 8 species also shifting poleward. Examples include haddock and Atlantic cod, which moved into deeper waters, particularly in the Gulf of Maine. Average deepening across species of 7 m/decade.</w:t>
            </w:r>
          </w:p>
        </w:tc>
      </w:tr>
      <w:tr w:rsidR="00A832FA" w:rsidRPr="00A832FA" w14:paraId="7B776CCF" w14:textId="77777777" w:rsidTr="00A832FA">
        <w:trPr>
          <w:gridAfter w:val="1"/>
          <w:wAfter w:w="1189" w:type="dxa"/>
          <w:trHeight w:val="1728"/>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731DA1CF"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9.</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8" w:space="0" w:color="auto"/>
              <w:right w:val="single" w:sz="8" w:space="0" w:color="auto"/>
            </w:tcBorders>
            <w:shd w:val="clear" w:color="auto" w:fill="auto"/>
            <w:vAlign w:val="center"/>
            <w:hideMark/>
          </w:tcPr>
          <w:p w14:paraId="52D5803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Panzeri, D. </w:t>
            </w:r>
            <w:r w:rsidRPr="00A832FA">
              <w:rPr>
                <w:rFonts w:ascii="Calibri" w:eastAsia="Times New Roman" w:hAnsi="Calibri" w:cs="Calibri"/>
                <w:i/>
                <w:iCs/>
                <w:color w:val="000000"/>
                <w:kern w:val="0"/>
                <w:sz w:val="18"/>
                <w:szCs w:val="18"/>
                <w:lang w:eastAsia="fr-FR"/>
                <w14:ligatures w14:val="none"/>
              </w:rPr>
              <w:t>et al.</w:t>
            </w:r>
            <w:r w:rsidRPr="00A832FA">
              <w:rPr>
                <w:rFonts w:ascii="Calibri" w:eastAsia="Times New Roman" w:hAnsi="Calibri" w:cs="Calibri"/>
                <w:color w:val="000000"/>
                <w:kern w:val="0"/>
                <w:sz w:val="18"/>
                <w:szCs w:val="18"/>
                <w:lang w:eastAsia="fr-FR"/>
                <w14:ligatures w14:val="none"/>
              </w:rPr>
              <w:t xml:space="preserve"> Future distribution of demersal species in a warming Mediterranean sub-basin. </w:t>
            </w:r>
            <w:r w:rsidRPr="00A832FA">
              <w:rPr>
                <w:rFonts w:ascii="Calibri" w:eastAsia="Times New Roman" w:hAnsi="Calibri" w:cs="Calibri"/>
                <w:i/>
                <w:iCs/>
                <w:color w:val="000000"/>
                <w:kern w:val="0"/>
                <w:sz w:val="18"/>
                <w:szCs w:val="18"/>
                <w:lang w:eastAsia="fr-FR"/>
                <w14:ligatures w14:val="none"/>
              </w:rPr>
              <w:t>Front. Mar. Sci.</w:t>
            </w:r>
            <w:r w:rsidRPr="00A832FA">
              <w:rPr>
                <w:rFonts w:ascii="Calibri" w:eastAsia="Times New Roman" w:hAnsi="Calibri" w:cs="Calibri"/>
                <w:color w:val="000000"/>
                <w:kern w:val="0"/>
                <w:sz w:val="18"/>
                <w:szCs w:val="18"/>
                <w:lang w:eastAsia="fr-FR"/>
                <w14:ligatures w14:val="none"/>
              </w:rPr>
              <w:t xml:space="preserve"> 11, 1308325 (2024).</w:t>
            </w:r>
          </w:p>
        </w:tc>
        <w:tc>
          <w:tcPr>
            <w:tcW w:w="1843" w:type="dxa"/>
            <w:tcBorders>
              <w:top w:val="nil"/>
              <w:left w:val="nil"/>
              <w:bottom w:val="single" w:sz="8" w:space="0" w:color="auto"/>
              <w:right w:val="single" w:sz="8" w:space="0" w:color="auto"/>
            </w:tcBorders>
            <w:shd w:val="clear" w:color="auto" w:fill="auto"/>
            <w:vAlign w:val="center"/>
            <w:hideMark/>
          </w:tcPr>
          <w:p w14:paraId="63A51EF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Adriatic and Western Ionian Seas (Mediterranean sub-basins)</w:t>
            </w:r>
          </w:p>
        </w:tc>
        <w:tc>
          <w:tcPr>
            <w:tcW w:w="1275" w:type="dxa"/>
            <w:tcBorders>
              <w:top w:val="nil"/>
              <w:left w:val="nil"/>
              <w:bottom w:val="single" w:sz="8" w:space="0" w:color="auto"/>
              <w:right w:val="single" w:sz="8" w:space="0" w:color="auto"/>
            </w:tcBorders>
            <w:shd w:val="clear" w:color="auto" w:fill="auto"/>
            <w:vAlign w:val="center"/>
            <w:hideMark/>
          </w:tcPr>
          <w:p w14:paraId="50A2BBA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1999-2018 (observational) with projections to 2035 and 2050</w:t>
            </w:r>
          </w:p>
        </w:tc>
        <w:tc>
          <w:tcPr>
            <w:tcW w:w="2127" w:type="dxa"/>
            <w:tcBorders>
              <w:top w:val="nil"/>
              <w:left w:val="nil"/>
              <w:bottom w:val="single" w:sz="8" w:space="0" w:color="auto"/>
              <w:right w:val="single" w:sz="8" w:space="0" w:color="auto"/>
            </w:tcBorders>
            <w:shd w:val="clear" w:color="auto" w:fill="auto"/>
            <w:vAlign w:val="center"/>
            <w:hideMark/>
          </w:tcPr>
          <w:p w14:paraId="0E05FD84"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Nine demersal species</w:t>
            </w:r>
          </w:p>
        </w:tc>
        <w:tc>
          <w:tcPr>
            <w:tcW w:w="4110" w:type="dxa"/>
            <w:tcBorders>
              <w:top w:val="nil"/>
              <w:left w:val="nil"/>
              <w:bottom w:val="single" w:sz="8" w:space="0" w:color="auto"/>
              <w:right w:val="single" w:sz="8" w:space="0" w:color="auto"/>
            </w:tcBorders>
            <w:shd w:val="clear" w:color="000000" w:fill="FFE699"/>
            <w:vAlign w:val="center"/>
            <w:hideMark/>
          </w:tcPr>
          <w:p w14:paraId="16DB707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Significant deepening trends were observed, especially for European hake and red mullet, which move deeper as temperatures increase. Depth shifts for these species are driven by biogeochemical changes in the water column, with deepening projected to continue into 2050.</w:t>
            </w:r>
          </w:p>
        </w:tc>
      </w:tr>
      <w:tr w:rsidR="00A832FA" w:rsidRPr="00A832FA" w14:paraId="0A38C8F2" w14:textId="77777777" w:rsidTr="00A832FA">
        <w:trPr>
          <w:gridAfter w:val="1"/>
          <w:wAfter w:w="1189" w:type="dxa"/>
          <w:trHeight w:val="1200"/>
        </w:trPr>
        <w:tc>
          <w:tcPr>
            <w:tcW w:w="923" w:type="dxa"/>
            <w:tcBorders>
              <w:top w:val="nil"/>
              <w:left w:val="single" w:sz="8" w:space="0" w:color="auto"/>
              <w:bottom w:val="single" w:sz="4" w:space="0" w:color="auto"/>
              <w:right w:val="single" w:sz="8" w:space="0" w:color="auto"/>
            </w:tcBorders>
            <w:shd w:val="clear" w:color="auto" w:fill="auto"/>
            <w:vAlign w:val="center"/>
            <w:hideMark/>
          </w:tcPr>
          <w:p w14:paraId="2F9635A4"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10.</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nil"/>
              <w:left w:val="nil"/>
              <w:bottom w:val="single" w:sz="4" w:space="0" w:color="auto"/>
              <w:right w:val="single" w:sz="8" w:space="0" w:color="auto"/>
            </w:tcBorders>
            <w:shd w:val="clear" w:color="auto" w:fill="auto"/>
            <w:vAlign w:val="center"/>
            <w:hideMark/>
          </w:tcPr>
          <w:p w14:paraId="3094928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Perry, A. L., Low, P. J., Ellis, J. R. &amp; Reynolds, J. D. Climate Change and Distribution Shifts in Marine Fishes. </w:t>
            </w:r>
            <w:r w:rsidRPr="00A832FA">
              <w:rPr>
                <w:rFonts w:ascii="Calibri" w:eastAsia="Times New Roman" w:hAnsi="Calibri" w:cs="Calibri"/>
                <w:i/>
                <w:iCs/>
                <w:color w:val="000000"/>
                <w:kern w:val="0"/>
                <w:sz w:val="18"/>
                <w:szCs w:val="18"/>
                <w:lang w:eastAsia="fr-FR"/>
                <w14:ligatures w14:val="none"/>
              </w:rPr>
              <w:t>Science</w:t>
            </w:r>
            <w:r w:rsidRPr="00A832FA">
              <w:rPr>
                <w:rFonts w:ascii="Calibri" w:eastAsia="Times New Roman" w:hAnsi="Calibri" w:cs="Calibri"/>
                <w:color w:val="000000"/>
                <w:kern w:val="0"/>
                <w:sz w:val="18"/>
                <w:szCs w:val="18"/>
                <w:lang w:eastAsia="fr-FR"/>
                <w14:ligatures w14:val="none"/>
              </w:rPr>
              <w:t xml:space="preserve"> 308, 1912–1915 (2005).</w:t>
            </w:r>
          </w:p>
        </w:tc>
        <w:tc>
          <w:tcPr>
            <w:tcW w:w="1843" w:type="dxa"/>
            <w:tcBorders>
              <w:top w:val="nil"/>
              <w:left w:val="nil"/>
              <w:bottom w:val="single" w:sz="4" w:space="0" w:color="auto"/>
              <w:right w:val="single" w:sz="8" w:space="0" w:color="auto"/>
            </w:tcBorders>
            <w:shd w:val="clear" w:color="auto" w:fill="auto"/>
            <w:vAlign w:val="center"/>
            <w:hideMark/>
          </w:tcPr>
          <w:p w14:paraId="4EC6C0A7"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North Sea</w:t>
            </w:r>
          </w:p>
        </w:tc>
        <w:tc>
          <w:tcPr>
            <w:tcW w:w="1275" w:type="dxa"/>
            <w:tcBorders>
              <w:top w:val="nil"/>
              <w:left w:val="nil"/>
              <w:bottom w:val="single" w:sz="4" w:space="0" w:color="auto"/>
              <w:right w:val="single" w:sz="8" w:space="0" w:color="auto"/>
            </w:tcBorders>
            <w:shd w:val="clear" w:color="auto" w:fill="auto"/>
            <w:vAlign w:val="center"/>
            <w:hideMark/>
          </w:tcPr>
          <w:p w14:paraId="39D99E8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1978-2001</w:t>
            </w:r>
          </w:p>
        </w:tc>
        <w:tc>
          <w:tcPr>
            <w:tcW w:w="2127" w:type="dxa"/>
            <w:tcBorders>
              <w:top w:val="nil"/>
              <w:left w:val="nil"/>
              <w:bottom w:val="single" w:sz="4" w:space="0" w:color="auto"/>
              <w:right w:val="single" w:sz="8" w:space="0" w:color="auto"/>
            </w:tcBorders>
            <w:shd w:val="clear" w:color="auto" w:fill="auto"/>
            <w:vAlign w:val="center"/>
            <w:hideMark/>
          </w:tcPr>
          <w:p w14:paraId="6CA4B042"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36 species of demersal fishes.</w:t>
            </w:r>
          </w:p>
        </w:tc>
        <w:tc>
          <w:tcPr>
            <w:tcW w:w="4110" w:type="dxa"/>
            <w:tcBorders>
              <w:top w:val="nil"/>
              <w:left w:val="nil"/>
              <w:bottom w:val="single" w:sz="4" w:space="0" w:color="auto"/>
              <w:right w:val="single" w:sz="8" w:space="0" w:color="auto"/>
            </w:tcBorders>
            <w:shd w:val="clear" w:color="000000" w:fill="FFE699"/>
            <w:vAlign w:val="center"/>
            <w:hideMark/>
          </w:tcPr>
          <w:p w14:paraId="050ACBC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Most species showed evidence of deepening. </w:t>
            </w:r>
          </w:p>
        </w:tc>
      </w:tr>
      <w:tr w:rsidR="00A832FA" w:rsidRPr="00A832FA" w14:paraId="354A28EC" w14:textId="77777777" w:rsidTr="00A832FA">
        <w:trPr>
          <w:gridAfter w:val="1"/>
          <w:wAfter w:w="1189" w:type="dxa"/>
          <w:trHeight w:val="2088"/>
        </w:trPr>
        <w:tc>
          <w:tcPr>
            <w:tcW w:w="9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F81A71C"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lastRenderedPageBreak/>
              <w:t>11.</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tcBorders>
              <w:top w:val="single" w:sz="4" w:space="0" w:color="auto"/>
              <w:left w:val="nil"/>
              <w:bottom w:val="single" w:sz="8" w:space="0" w:color="auto"/>
              <w:right w:val="single" w:sz="8" w:space="0" w:color="auto"/>
            </w:tcBorders>
            <w:shd w:val="clear" w:color="auto" w:fill="auto"/>
            <w:vAlign w:val="center"/>
            <w:hideMark/>
          </w:tcPr>
          <w:p w14:paraId="6BF4A3A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Walsh, H. J., Richardson, D. E., Marancik, K. E. &amp; Hare, J. A. Long-Term Changes in the Distributions of Larval and Adult Fish in the Northeast U.S. Shelf Ecosystem. </w:t>
            </w:r>
            <w:r w:rsidRPr="00A832FA">
              <w:rPr>
                <w:rFonts w:ascii="Calibri" w:eastAsia="Times New Roman" w:hAnsi="Calibri" w:cs="Calibri"/>
                <w:i/>
                <w:iCs/>
                <w:color w:val="000000"/>
                <w:kern w:val="0"/>
                <w:sz w:val="18"/>
                <w:szCs w:val="18"/>
                <w:lang w:eastAsia="fr-FR"/>
                <w14:ligatures w14:val="none"/>
              </w:rPr>
              <w:t>PLoS ONE</w:t>
            </w:r>
            <w:r w:rsidRPr="00A832FA">
              <w:rPr>
                <w:rFonts w:ascii="Calibri" w:eastAsia="Times New Roman" w:hAnsi="Calibri" w:cs="Calibri"/>
                <w:color w:val="000000"/>
                <w:kern w:val="0"/>
                <w:sz w:val="18"/>
                <w:szCs w:val="18"/>
                <w:lang w:eastAsia="fr-FR"/>
                <w14:ligatures w14:val="none"/>
              </w:rPr>
              <w:t xml:space="preserve"> 10, e0137382 (2015).</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23382121"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Northeast U.S. Shelf Ecosystem</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3B5BBD70"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1977-1987 and 1999-2008</w:t>
            </w:r>
          </w:p>
        </w:tc>
        <w:tc>
          <w:tcPr>
            <w:tcW w:w="2127" w:type="dxa"/>
            <w:tcBorders>
              <w:top w:val="single" w:sz="4" w:space="0" w:color="auto"/>
              <w:left w:val="nil"/>
              <w:bottom w:val="single" w:sz="8" w:space="0" w:color="auto"/>
              <w:right w:val="single" w:sz="8" w:space="0" w:color="auto"/>
            </w:tcBorders>
            <w:shd w:val="clear" w:color="auto" w:fill="auto"/>
            <w:vAlign w:val="center"/>
            <w:hideMark/>
          </w:tcPr>
          <w:p w14:paraId="497F525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58 taxa of larval and adult fish including Atlantic cod, haddock, red hake, yellowtail flounder</w:t>
            </w:r>
          </w:p>
        </w:tc>
        <w:tc>
          <w:tcPr>
            <w:tcW w:w="4110" w:type="dxa"/>
            <w:tcBorders>
              <w:top w:val="single" w:sz="4" w:space="0" w:color="auto"/>
              <w:left w:val="nil"/>
              <w:bottom w:val="single" w:sz="8" w:space="0" w:color="auto"/>
              <w:right w:val="single" w:sz="8" w:space="0" w:color="auto"/>
            </w:tcBorders>
            <w:shd w:val="clear" w:color="000000" w:fill="FFE699"/>
            <w:vAlign w:val="center"/>
            <w:hideMark/>
          </w:tcPr>
          <w:p w14:paraId="3486DFF2"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43% of larval species exhibited depth shifts. Larval Atlantic cod shifted deeper, particularly on Georges Bank. About 75% of adult species shifted deeper, with red hake and yellowtail flounder showing notable movement into deeper waters. Pollock also shifted deeper in both spring and fall. Rates of depth shifts varied by species and region.</w:t>
            </w:r>
          </w:p>
        </w:tc>
      </w:tr>
      <w:tr w:rsidR="00A832FA" w:rsidRPr="00A832FA" w14:paraId="658EBB98" w14:textId="77777777" w:rsidTr="00A832FA">
        <w:trPr>
          <w:gridAfter w:val="1"/>
          <w:wAfter w:w="1189" w:type="dxa"/>
          <w:trHeight w:val="720"/>
        </w:trPr>
        <w:tc>
          <w:tcPr>
            <w:tcW w:w="923" w:type="dxa"/>
            <w:vMerge w:val="restart"/>
            <w:tcBorders>
              <w:top w:val="nil"/>
              <w:left w:val="single" w:sz="8" w:space="0" w:color="auto"/>
              <w:bottom w:val="single" w:sz="8" w:space="0" w:color="000000"/>
              <w:right w:val="single" w:sz="8" w:space="0" w:color="auto"/>
            </w:tcBorders>
            <w:shd w:val="clear" w:color="auto" w:fill="auto"/>
            <w:vAlign w:val="center"/>
            <w:hideMark/>
          </w:tcPr>
          <w:p w14:paraId="7910AFAF"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12.</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vMerge w:val="restart"/>
            <w:tcBorders>
              <w:top w:val="nil"/>
              <w:left w:val="single" w:sz="8" w:space="0" w:color="auto"/>
              <w:bottom w:val="single" w:sz="8" w:space="0" w:color="000000"/>
              <w:right w:val="single" w:sz="8" w:space="0" w:color="auto"/>
            </w:tcBorders>
            <w:shd w:val="clear" w:color="auto" w:fill="auto"/>
            <w:vAlign w:val="center"/>
            <w:hideMark/>
          </w:tcPr>
          <w:p w14:paraId="1030D77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Palacios-Abrantes, J. </w:t>
            </w:r>
            <w:r w:rsidRPr="00A832FA">
              <w:rPr>
                <w:rFonts w:ascii="Calibri" w:eastAsia="Times New Roman" w:hAnsi="Calibri" w:cs="Calibri"/>
                <w:i/>
                <w:iCs/>
                <w:color w:val="000000"/>
                <w:kern w:val="0"/>
                <w:sz w:val="18"/>
                <w:szCs w:val="18"/>
                <w:lang w:eastAsia="fr-FR"/>
                <w14:ligatures w14:val="none"/>
              </w:rPr>
              <w:t>et al.</w:t>
            </w:r>
            <w:r w:rsidRPr="00A832FA">
              <w:rPr>
                <w:rFonts w:ascii="Calibri" w:eastAsia="Times New Roman" w:hAnsi="Calibri" w:cs="Calibri"/>
                <w:color w:val="000000"/>
                <w:kern w:val="0"/>
                <w:sz w:val="18"/>
                <w:szCs w:val="18"/>
                <w:lang w:eastAsia="fr-FR"/>
                <w14:ligatures w14:val="none"/>
              </w:rPr>
              <w:t xml:space="preserve"> Quantifying fish range shifts across poorly defined management boundaries. </w:t>
            </w:r>
            <w:r w:rsidRPr="00A832FA">
              <w:rPr>
                <w:rFonts w:ascii="Calibri" w:eastAsia="Times New Roman" w:hAnsi="Calibri" w:cs="Calibri"/>
                <w:i/>
                <w:iCs/>
                <w:color w:val="000000"/>
                <w:kern w:val="0"/>
                <w:sz w:val="18"/>
                <w:szCs w:val="18"/>
                <w:lang w:eastAsia="fr-FR"/>
                <w14:ligatures w14:val="none"/>
              </w:rPr>
              <w:t>PLoS ONE</w:t>
            </w:r>
            <w:r w:rsidRPr="00A832FA">
              <w:rPr>
                <w:rFonts w:ascii="Calibri" w:eastAsia="Times New Roman" w:hAnsi="Calibri" w:cs="Calibri"/>
                <w:color w:val="000000"/>
                <w:kern w:val="0"/>
                <w:sz w:val="18"/>
                <w:szCs w:val="18"/>
                <w:lang w:eastAsia="fr-FR"/>
                <w14:ligatures w14:val="none"/>
              </w:rPr>
              <w:t xml:space="preserve"> 18, e0279025 (2023).</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3CC7CD9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U.S. Northeast Atlantic Coast</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14:paraId="5828263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1951-2019</w:t>
            </w:r>
          </w:p>
        </w:tc>
        <w:tc>
          <w:tcPr>
            <w:tcW w:w="2127" w:type="dxa"/>
            <w:vMerge w:val="restart"/>
            <w:tcBorders>
              <w:top w:val="nil"/>
              <w:left w:val="single" w:sz="8" w:space="0" w:color="auto"/>
              <w:bottom w:val="single" w:sz="8" w:space="0" w:color="000000"/>
              <w:right w:val="single" w:sz="8" w:space="0" w:color="auto"/>
            </w:tcBorders>
            <w:shd w:val="clear" w:color="auto" w:fill="auto"/>
            <w:vAlign w:val="center"/>
            <w:hideMark/>
          </w:tcPr>
          <w:p w14:paraId="174F5444"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Black sea bass, summer flounder, scup</w:t>
            </w:r>
          </w:p>
        </w:tc>
        <w:tc>
          <w:tcPr>
            <w:tcW w:w="411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9607C55"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Black sea bass showed minimal depth shifts, expanding longitudinally (eastward), while scup exhibited both latitudinal and depth shifts.</w:t>
            </w:r>
          </w:p>
        </w:tc>
      </w:tr>
      <w:tr w:rsidR="00A832FA" w:rsidRPr="00A832FA" w14:paraId="750932CD" w14:textId="77777777" w:rsidTr="00A832FA">
        <w:trPr>
          <w:trHeight w:val="864"/>
        </w:trPr>
        <w:tc>
          <w:tcPr>
            <w:tcW w:w="923" w:type="dxa"/>
            <w:vMerge/>
            <w:tcBorders>
              <w:top w:val="nil"/>
              <w:left w:val="single" w:sz="8" w:space="0" w:color="auto"/>
              <w:bottom w:val="single" w:sz="8" w:space="0" w:color="000000"/>
              <w:right w:val="single" w:sz="8" w:space="0" w:color="auto"/>
            </w:tcBorders>
            <w:vAlign w:val="center"/>
            <w:hideMark/>
          </w:tcPr>
          <w:p w14:paraId="2FBF9395"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753" w:type="dxa"/>
            <w:vMerge/>
            <w:tcBorders>
              <w:top w:val="nil"/>
              <w:left w:val="single" w:sz="8" w:space="0" w:color="auto"/>
              <w:bottom w:val="single" w:sz="8" w:space="0" w:color="000000"/>
              <w:right w:val="single" w:sz="8" w:space="0" w:color="auto"/>
            </w:tcBorders>
            <w:vAlign w:val="center"/>
            <w:hideMark/>
          </w:tcPr>
          <w:p w14:paraId="638D7B0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843" w:type="dxa"/>
            <w:vMerge/>
            <w:tcBorders>
              <w:top w:val="nil"/>
              <w:left w:val="single" w:sz="8" w:space="0" w:color="auto"/>
              <w:bottom w:val="single" w:sz="8" w:space="0" w:color="000000"/>
              <w:right w:val="single" w:sz="8" w:space="0" w:color="auto"/>
            </w:tcBorders>
            <w:vAlign w:val="center"/>
            <w:hideMark/>
          </w:tcPr>
          <w:p w14:paraId="45B62C83"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275" w:type="dxa"/>
            <w:vMerge/>
            <w:tcBorders>
              <w:top w:val="nil"/>
              <w:left w:val="single" w:sz="8" w:space="0" w:color="auto"/>
              <w:bottom w:val="single" w:sz="8" w:space="0" w:color="000000"/>
              <w:right w:val="single" w:sz="8" w:space="0" w:color="auto"/>
            </w:tcBorders>
            <w:vAlign w:val="center"/>
            <w:hideMark/>
          </w:tcPr>
          <w:p w14:paraId="78D67D6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127" w:type="dxa"/>
            <w:vMerge/>
            <w:tcBorders>
              <w:top w:val="nil"/>
              <w:left w:val="single" w:sz="8" w:space="0" w:color="auto"/>
              <w:bottom w:val="single" w:sz="8" w:space="0" w:color="000000"/>
              <w:right w:val="single" w:sz="8" w:space="0" w:color="auto"/>
            </w:tcBorders>
            <w:vAlign w:val="center"/>
            <w:hideMark/>
          </w:tcPr>
          <w:p w14:paraId="57967E4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4110" w:type="dxa"/>
            <w:vMerge/>
            <w:tcBorders>
              <w:top w:val="nil"/>
              <w:left w:val="single" w:sz="8" w:space="0" w:color="auto"/>
              <w:bottom w:val="single" w:sz="8" w:space="0" w:color="000000"/>
              <w:right w:val="single" w:sz="8" w:space="0" w:color="auto"/>
            </w:tcBorders>
            <w:vAlign w:val="center"/>
            <w:hideMark/>
          </w:tcPr>
          <w:p w14:paraId="43779FA5"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189" w:type="dxa"/>
            <w:tcBorders>
              <w:top w:val="nil"/>
              <w:left w:val="nil"/>
              <w:bottom w:val="nil"/>
              <w:right w:val="nil"/>
            </w:tcBorders>
            <w:shd w:val="clear" w:color="auto" w:fill="auto"/>
            <w:noWrap/>
            <w:vAlign w:val="bottom"/>
            <w:hideMark/>
          </w:tcPr>
          <w:p w14:paraId="5F3450B6"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r>
      <w:tr w:rsidR="00A832FA" w:rsidRPr="00A832FA" w14:paraId="0D49BC0C" w14:textId="77777777" w:rsidTr="00A832FA">
        <w:trPr>
          <w:trHeight w:val="1200"/>
        </w:trPr>
        <w:tc>
          <w:tcPr>
            <w:tcW w:w="923" w:type="dxa"/>
            <w:vMerge w:val="restart"/>
            <w:tcBorders>
              <w:top w:val="nil"/>
              <w:left w:val="single" w:sz="8" w:space="0" w:color="auto"/>
              <w:bottom w:val="single" w:sz="8" w:space="0" w:color="000000"/>
              <w:right w:val="single" w:sz="8" w:space="0" w:color="auto"/>
            </w:tcBorders>
            <w:shd w:val="clear" w:color="auto" w:fill="auto"/>
            <w:vAlign w:val="center"/>
            <w:hideMark/>
          </w:tcPr>
          <w:p w14:paraId="7CEED6C2"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13.</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vMerge w:val="restart"/>
            <w:tcBorders>
              <w:top w:val="nil"/>
              <w:left w:val="single" w:sz="8" w:space="0" w:color="auto"/>
              <w:bottom w:val="single" w:sz="8" w:space="0" w:color="000000"/>
              <w:right w:val="single" w:sz="8" w:space="0" w:color="auto"/>
            </w:tcBorders>
            <w:shd w:val="clear" w:color="auto" w:fill="auto"/>
            <w:vAlign w:val="center"/>
            <w:hideMark/>
          </w:tcPr>
          <w:p w14:paraId="71B1CD14"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Morita, K., Fukuwaka, M., Tanimata, N. &amp; Yamamura, O. Size-dependent thermal preferences in a pelagic fish. </w:t>
            </w:r>
            <w:r w:rsidRPr="00A832FA">
              <w:rPr>
                <w:rFonts w:ascii="Calibri" w:eastAsia="Times New Roman" w:hAnsi="Calibri" w:cs="Calibri"/>
                <w:i/>
                <w:iCs/>
                <w:color w:val="000000"/>
                <w:kern w:val="0"/>
                <w:sz w:val="18"/>
                <w:szCs w:val="18"/>
                <w:lang w:eastAsia="fr-FR"/>
                <w14:ligatures w14:val="none"/>
              </w:rPr>
              <w:t>Oikos</w:t>
            </w:r>
            <w:r w:rsidRPr="00A832FA">
              <w:rPr>
                <w:rFonts w:ascii="Calibri" w:eastAsia="Times New Roman" w:hAnsi="Calibri" w:cs="Calibri"/>
                <w:color w:val="000000"/>
                <w:kern w:val="0"/>
                <w:sz w:val="18"/>
                <w:szCs w:val="18"/>
                <w:lang w:eastAsia="fr-FR"/>
                <w14:ligatures w14:val="none"/>
              </w:rPr>
              <w:t xml:space="preserve"> 119, 1265–1272 (2010).</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4D157B2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North Pacific Ocean (41°–49°N)</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14:paraId="4C22E0A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April – May 2006</w:t>
            </w:r>
          </w:p>
        </w:tc>
        <w:tc>
          <w:tcPr>
            <w:tcW w:w="2127" w:type="dxa"/>
            <w:vMerge w:val="restart"/>
            <w:tcBorders>
              <w:top w:val="nil"/>
              <w:left w:val="single" w:sz="8" w:space="0" w:color="auto"/>
              <w:bottom w:val="single" w:sz="8" w:space="0" w:color="000000"/>
              <w:right w:val="single" w:sz="8" w:space="0" w:color="auto"/>
            </w:tcBorders>
            <w:shd w:val="clear" w:color="auto" w:fill="auto"/>
            <w:vAlign w:val="center"/>
            <w:hideMark/>
          </w:tcPr>
          <w:p w14:paraId="71127F06"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Pacific salmon (</w:t>
            </w:r>
            <w:r w:rsidRPr="00A832FA">
              <w:rPr>
                <w:rFonts w:ascii="Calibri" w:eastAsia="Times New Roman" w:hAnsi="Calibri" w:cs="Calibri"/>
                <w:i/>
                <w:iCs/>
                <w:color w:val="000000"/>
                <w:kern w:val="0"/>
                <w:sz w:val="18"/>
                <w:szCs w:val="18"/>
                <w:lang w:val="en-US" w:eastAsia="fr-FR"/>
                <w14:ligatures w14:val="none"/>
              </w:rPr>
              <w:t>Oncorhynchus</w:t>
            </w:r>
            <w:r w:rsidRPr="00A832FA">
              <w:rPr>
                <w:rFonts w:ascii="Calibri" w:eastAsia="Times New Roman" w:hAnsi="Calibri" w:cs="Calibri"/>
                <w:color w:val="000000"/>
                <w:kern w:val="0"/>
                <w:sz w:val="18"/>
                <w:szCs w:val="18"/>
                <w:lang w:val="en-US" w:eastAsia="fr-FR"/>
                <w14:ligatures w14:val="none"/>
              </w:rPr>
              <w:t xml:space="preserve"> spp.)</w:t>
            </w:r>
          </w:p>
        </w:tc>
        <w:tc>
          <w:tcPr>
            <w:tcW w:w="411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DA00722"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Larger salmon were found to inhabit deeper, cooler waters. An ontogenetic shift in temperature preference was observed, with larger individuals selecting colder areas as they grew. The shift was consistent with body size, as smaller fish preferred warmer, shallower waters.</w:t>
            </w:r>
          </w:p>
        </w:tc>
        <w:tc>
          <w:tcPr>
            <w:tcW w:w="1189" w:type="dxa"/>
            <w:vAlign w:val="center"/>
            <w:hideMark/>
          </w:tcPr>
          <w:p w14:paraId="2F3E8A3B" w14:textId="77777777" w:rsidR="00A832FA" w:rsidRPr="00A832FA" w:rsidRDefault="00A832FA" w:rsidP="00A832FA">
            <w:pPr>
              <w:spacing w:after="0" w:line="240" w:lineRule="auto"/>
              <w:rPr>
                <w:rFonts w:ascii="Times New Roman" w:eastAsia="Times New Roman" w:hAnsi="Times New Roman" w:cs="Times New Roman"/>
                <w:kern w:val="0"/>
                <w:sz w:val="20"/>
                <w:szCs w:val="20"/>
                <w:lang w:val="fr-FR" w:eastAsia="fr-FR"/>
                <w14:ligatures w14:val="none"/>
              </w:rPr>
            </w:pPr>
          </w:p>
        </w:tc>
      </w:tr>
      <w:tr w:rsidR="00A832FA" w:rsidRPr="00A832FA" w14:paraId="00936E46" w14:textId="77777777" w:rsidTr="00A832FA">
        <w:trPr>
          <w:trHeight w:val="456"/>
        </w:trPr>
        <w:tc>
          <w:tcPr>
            <w:tcW w:w="923" w:type="dxa"/>
            <w:vMerge/>
            <w:tcBorders>
              <w:top w:val="nil"/>
              <w:left w:val="single" w:sz="8" w:space="0" w:color="auto"/>
              <w:bottom w:val="single" w:sz="8" w:space="0" w:color="000000"/>
              <w:right w:val="single" w:sz="8" w:space="0" w:color="auto"/>
            </w:tcBorders>
            <w:vAlign w:val="center"/>
            <w:hideMark/>
          </w:tcPr>
          <w:p w14:paraId="60BFDE31"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753" w:type="dxa"/>
            <w:vMerge/>
            <w:tcBorders>
              <w:top w:val="nil"/>
              <w:left w:val="single" w:sz="8" w:space="0" w:color="auto"/>
              <w:bottom w:val="single" w:sz="8" w:space="0" w:color="000000"/>
              <w:right w:val="single" w:sz="8" w:space="0" w:color="auto"/>
            </w:tcBorders>
            <w:vAlign w:val="center"/>
            <w:hideMark/>
          </w:tcPr>
          <w:p w14:paraId="3BBBE2BB"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843" w:type="dxa"/>
            <w:vMerge/>
            <w:tcBorders>
              <w:top w:val="nil"/>
              <w:left w:val="single" w:sz="8" w:space="0" w:color="auto"/>
              <w:bottom w:val="single" w:sz="8" w:space="0" w:color="000000"/>
              <w:right w:val="single" w:sz="8" w:space="0" w:color="auto"/>
            </w:tcBorders>
            <w:vAlign w:val="center"/>
            <w:hideMark/>
          </w:tcPr>
          <w:p w14:paraId="31F5ED1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275" w:type="dxa"/>
            <w:vMerge/>
            <w:tcBorders>
              <w:top w:val="nil"/>
              <w:left w:val="single" w:sz="8" w:space="0" w:color="auto"/>
              <w:bottom w:val="single" w:sz="8" w:space="0" w:color="000000"/>
              <w:right w:val="single" w:sz="8" w:space="0" w:color="auto"/>
            </w:tcBorders>
            <w:vAlign w:val="center"/>
            <w:hideMark/>
          </w:tcPr>
          <w:p w14:paraId="42962875"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127" w:type="dxa"/>
            <w:vMerge/>
            <w:tcBorders>
              <w:top w:val="nil"/>
              <w:left w:val="single" w:sz="8" w:space="0" w:color="auto"/>
              <w:bottom w:val="single" w:sz="8" w:space="0" w:color="000000"/>
              <w:right w:val="single" w:sz="8" w:space="0" w:color="auto"/>
            </w:tcBorders>
            <w:vAlign w:val="center"/>
            <w:hideMark/>
          </w:tcPr>
          <w:p w14:paraId="159AEFD1"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4110" w:type="dxa"/>
            <w:vMerge/>
            <w:tcBorders>
              <w:top w:val="nil"/>
              <w:left w:val="single" w:sz="8" w:space="0" w:color="auto"/>
              <w:bottom w:val="single" w:sz="8" w:space="0" w:color="000000"/>
              <w:right w:val="single" w:sz="8" w:space="0" w:color="auto"/>
            </w:tcBorders>
            <w:vAlign w:val="center"/>
            <w:hideMark/>
          </w:tcPr>
          <w:p w14:paraId="73EEDA32"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189" w:type="dxa"/>
            <w:tcBorders>
              <w:top w:val="nil"/>
              <w:left w:val="nil"/>
              <w:bottom w:val="nil"/>
              <w:right w:val="nil"/>
            </w:tcBorders>
            <w:shd w:val="clear" w:color="auto" w:fill="auto"/>
            <w:noWrap/>
            <w:vAlign w:val="bottom"/>
            <w:hideMark/>
          </w:tcPr>
          <w:p w14:paraId="2D35B5F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r>
      <w:tr w:rsidR="00A832FA" w:rsidRPr="00A832FA" w14:paraId="02B6A849" w14:textId="77777777" w:rsidTr="00A832FA">
        <w:trPr>
          <w:trHeight w:val="1200"/>
        </w:trPr>
        <w:tc>
          <w:tcPr>
            <w:tcW w:w="923" w:type="dxa"/>
            <w:vMerge w:val="restart"/>
            <w:tcBorders>
              <w:top w:val="nil"/>
              <w:left w:val="single" w:sz="8" w:space="0" w:color="auto"/>
              <w:bottom w:val="single" w:sz="8" w:space="0" w:color="000000"/>
              <w:right w:val="single" w:sz="8" w:space="0" w:color="auto"/>
            </w:tcBorders>
            <w:shd w:val="clear" w:color="auto" w:fill="auto"/>
            <w:vAlign w:val="center"/>
            <w:hideMark/>
          </w:tcPr>
          <w:p w14:paraId="32FA3239"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14.</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vMerge w:val="restart"/>
            <w:tcBorders>
              <w:top w:val="nil"/>
              <w:left w:val="single" w:sz="8" w:space="0" w:color="auto"/>
              <w:bottom w:val="single" w:sz="8" w:space="0" w:color="000000"/>
              <w:right w:val="single" w:sz="8" w:space="0" w:color="auto"/>
            </w:tcBorders>
            <w:shd w:val="clear" w:color="auto" w:fill="auto"/>
            <w:vAlign w:val="center"/>
            <w:hideMark/>
          </w:tcPr>
          <w:p w14:paraId="4365706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Pinsky, M. L., Worm, B., Fogarty, M. J., Sarmiento, J. L. &amp; Levin, S. A. Marine Taxa Track Local Climate Velocities. </w:t>
            </w:r>
            <w:r w:rsidRPr="00A832FA">
              <w:rPr>
                <w:rFonts w:ascii="Calibri" w:eastAsia="Times New Roman" w:hAnsi="Calibri" w:cs="Calibri"/>
                <w:i/>
                <w:iCs/>
                <w:color w:val="000000"/>
                <w:kern w:val="0"/>
                <w:sz w:val="18"/>
                <w:szCs w:val="18"/>
                <w:lang w:eastAsia="fr-FR"/>
                <w14:ligatures w14:val="none"/>
              </w:rPr>
              <w:t>Science</w:t>
            </w:r>
            <w:r w:rsidRPr="00A832FA">
              <w:rPr>
                <w:rFonts w:ascii="Calibri" w:eastAsia="Times New Roman" w:hAnsi="Calibri" w:cs="Calibri"/>
                <w:color w:val="000000"/>
                <w:kern w:val="0"/>
                <w:sz w:val="18"/>
                <w:szCs w:val="18"/>
                <w:lang w:eastAsia="fr-FR"/>
                <w14:ligatures w14:val="none"/>
              </w:rPr>
              <w:t xml:space="preserve"> 341, 1239–1242 (2013).</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2596E206"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Coastal North America</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14:paraId="2869C8D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1968–2011</w:t>
            </w:r>
          </w:p>
        </w:tc>
        <w:tc>
          <w:tcPr>
            <w:tcW w:w="2127" w:type="dxa"/>
            <w:vMerge w:val="restart"/>
            <w:tcBorders>
              <w:top w:val="nil"/>
              <w:left w:val="single" w:sz="8" w:space="0" w:color="auto"/>
              <w:bottom w:val="single" w:sz="8" w:space="0" w:color="000000"/>
              <w:right w:val="single" w:sz="8" w:space="0" w:color="auto"/>
            </w:tcBorders>
            <w:shd w:val="clear" w:color="auto" w:fill="auto"/>
            <w:vAlign w:val="center"/>
            <w:hideMark/>
          </w:tcPr>
          <w:p w14:paraId="7D4B811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360 marine species (fish and invertebrates)</w:t>
            </w:r>
          </w:p>
        </w:tc>
        <w:tc>
          <w:tcPr>
            <w:tcW w:w="411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4A4B2D6"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58% of species shifted into shallower waters. The rate of depth shift correlated with surface temperatures but not bottom temperatures. Species tended to move shallower at rates consistent with the local climate velocity, though variation was observed across regions and species. Species in regions with faster climate velocities showed faster depth shifts.</w:t>
            </w:r>
          </w:p>
        </w:tc>
        <w:tc>
          <w:tcPr>
            <w:tcW w:w="1189" w:type="dxa"/>
            <w:vAlign w:val="center"/>
            <w:hideMark/>
          </w:tcPr>
          <w:p w14:paraId="4D6DA744" w14:textId="77777777" w:rsidR="00A832FA" w:rsidRPr="00A832FA" w:rsidRDefault="00A832FA" w:rsidP="00A832FA">
            <w:pPr>
              <w:spacing w:after="0" w:line="240" w:lineRule="auto"/>
              <w:rPr>
                <w:rFonts w:ascii="Times New Roman" w:eastAsia="Times New Roman" w:hAnsi="Times New Roman" w:cs="Times New Roman"/>
                <w:kern w:val="0"/>
                <w:sz w:val="20"/>
                <w:szCs w:val="20"/>
                <w:lang w:val="fr-FR" w:eastAsia="fr-FR"/>
                <w14:ligatures w14:val="none"/>
              </w:rPr>
            </w:pPr>
          </w:p>
        </w:tc>
      </w:tr>
      <w:tr w:rsidR="00A832FA" w:rsidRPr="00A832FA" w14:paraId="3C26E31B" w14:textId="77777777" w:rsidTr="00A832FA">
        <w:trPr>
          <w:trHeight w:val="828"/>
        </w:trPr>
        <w:tc>
          <w:tcPr>
            <w:tcW w:w="923" w:type="dxa"/>
            <w:vMerge/>
            <w:tcBorders>
              <w:top w:val="nil"/>
              <w:left w:val="single" w:sz="8" w:space="0" w:color="auto"/>
              <w:bottom w:val="single" w:sz="8" w:space="0" w:color="000000"/>
              <w:right w:val="single" w:sz="8" w:space="0" w:color="auto"/>
            </w:tcBorders>
            <w:vAlign w:val="center"/>
            <w:hideMark/>
          </w:tcPr>
          <w:p w14:paraId="34629E0F"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753" w:type="dxa"/>
            <w:vMerge/>
            <w:tcBorders>
              <w:top w:val="nil"/>
              <w:left w:val="single" w:sz="8" w:space="0" w:color="auto"/>
              <w:bottom w:val="single" w:sz="8" w:space="0" w:color="000000"/>
              <w:right w:val="single" w:sz="8" w:space="0" w:color="auto"/>
            </w:tcBorders>
            <w:vAlign w:val="center"/>
            <w:hideMark/>
          </w:tcPr>
          <w:p w14:paraId="46567F5E"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843" w:type="dxa"/>
            <w:vMerge/>
            <w:tcBorders>
              <w:top w:val="nil"/>
              <w:left w:val="single" w:sz="8" w:space="0" w:color="auto"/>
              <w:bottom w:val="single" w:sz="8" w:space="0" w:color="000000"/>
              <w:right w:val="single" w:sz="8" w:space="0" w:color="auto"/>
            </w:tcBorders>
            <w:vAlign w:val="center"/>
            <w:hideMark/>
          </w:tcPr>
          <w:p w14:paraId="7F61026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275" w:type="dxa"/>
            <w:vMerge/>
            <w:tcBorders>
              <w:top w:val="nil"/>
              <w:left w:val="single" w:sz="8" w:space="0" w:color="auto"/>
              <w:bottom w:val="single" w:sz="8" w:space="0" w:color="000000"/>
              <w:right w:val="single" w:sz="8" w:space="0" w:color="auto"/>
            </w:tcBorders>
            <w:vAlign w:val="center"/>
            <w:hideMark/>
          </w:tcPr>
          <w:p w14:paraId="47A7022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127" w:type="dxa"/>
            <w:vMerge/>
            <w:tcBorders>
              <w:top w:val="nil"/>
              <w:left w:val="single" w:sz="8" w:space="0" w:color="auto"/>
              <w:bottom w:val="single" w:sz="8" w:space="0" w:color="000000"/>
              <w:right w:val="single" w:sz="8" w:space="0" w:color="auto"/>
            </w:tcBorders>
            <w:vAlign w:val="center"/>
            <w:hideMark/>
          </w:tcPr>
          <w:p w14:paraId="6D0AD4C1"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4110" w:type="dxa"/>
            <w:vMerge/>
            <w:tcBorders>
              <w:top w:val="nil"/>
              <w:left w:val="single" w:sz="8" w:space="0" w:color="auto"/>
              <w:bottom w:val="single" w:sz="8" w:space="0" w:color="000000"/>
              <w:right w:val="single" w:sz="8" w:space="0" w:color="auto"/>
            </w:tcBorders>
            <w:vAlign w:val="center"/>
            <w:hideMark/>
          </w:tcPr>
          <w:p w14:paraId="5390E59A"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189" w:type="dxa"/>
            <w:tcBorders>
              <w:top w:val="nil"/>
              <w:left w:val="nil"/>
              <w:bottom w:val="nil"/>
              <w:right w:val="nil"/>
            </w:tcBorders>
            <w:shd w:val="clear" w:color="auto" w:fill="auto"/>
            <w:noWrap/>
            <w:vAlign w:val="bottom"/>
            <w:hideMark/>
          </w:tcPr>
          <w:p w14:paraId="78C51797"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r>
      <w:tr w:rsidR="00A832FA" w:rsidRPr="00A832FA" w14:paraId="7EBB6106" w14:textId="77777777" w:rsidTr="00A832FA">
        <w:trPr>
          <w:trHeight w:val="924"/>
        </w:trPr>
        <w:tc>
          <w:tcPr>
            <w:tcW w:w="923" w:type="dxa"/>
            <w:vMerge w:val="restart"/>
            <w:tcBorders>
              <w:top w:val="nil"/>
              <w:left w:val="single" w:sz="8" w:space="0" w:color="auto"/>
              <w:bottom w:val="single" w:sz="8" w:space="0" w:color="000000"/>
              <w:right w:val="single" w:sz="8" w:space="0" w:color="auto"/>
            </w:tcBorders>
            <w:shd w:val="clear" w:color="auto" w:fill="auto"/>
            <w:vAlign w:val="center"/>
            <w:hideMark/>
          </w:tcPr>
          <w:p w14:paraId="3AE36856" w14:textId="77777777" w:rsidR="00A832FA" w:rsidRPr="00A832FA" w:rsidRDefault="00A832FA" w:rsidP="00A832FA">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15.</w:t>
            </w:r>
            <w:r w:rsidRPr="00A832FA">
              <w:rPr>
                <w:rFonts w:ascii="Times New Roman" w:eastAsia="Times New Roman" w:hAnsi="Times New Roman" w:cs="Times New Roman"/>
                <w:color w:val="000000"/>
                <w:kern w:val="0"/>
                <w:sz w:val="14"/>
                <w:szCs w:val="14"/>
                <w:lang w:val="en-US" w:eastAsia="fr-FR"/>
                <w14:ligatures w14:val="none"/>
              </w:rPr>
              <w:t xml:space="preserve">    </w:t>
            </w:r>
            <w:r w:rsidRPr="00A832FA">
              <w:rPr>
                <w:rFonts w:ascii="Calibri" w:eastAsia="Times New Roman" w:hAnsi="Calibri" w:cs="Calibri"/>
                <w:color w:val="000000"/>
                <w:kern w:val="0"/>
                <w:sz w:val="18"/>
                <w:szCs w:val="18"/>
                <w:lang w:val="en-US" w:eastAsia="fr-FR"/>
                <w14:ligatures w14:val="none"/>
              </w:rPr>
              <w:t> </w:t>
            </w:r>
          </w:p>
        </w:tc>
        <w:tc>
          <w:tcPr>
            <w:tcW w:w="2753" w:type="dxa"/>
            <w:vMerge w:val="restart"/>
            <w:tcBorders>
              <w:top w:val="nil"/>
              <w:left w:val="single" w:sz="8" w:space="0" w:color="auto"/>
              <w:bottom w:val="single" w:sz="8" w:space="0" w:color="000000"/>
              <w:right w:val="single" w:sz="8" w:space="0" w:color="auto"/>
            </w:tcBorders>
            <w:shd w:val="clear" w:color="auto" w:fill="auto"/>
            <w:vAlign w:val="center"/>
            <w:hideMark/>
          </w:tcPr>
          <w:p w14:paraId="412689CD"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eastAsia="fr-FR"/>
                <w14:ligatures w14:val="none"/>
              </w:rPr>
              <w:t xml:space="preserve">Mueter, F. J. &amp; Litzow, M. A. Sea ice retreat alters the biogeography of the bering sea continental shelf. </w:t>
            </w:r>
            <w:r w:rsidRPr="00A832FA">
              <w:rPr>
                <w:rFonts w:ascii="Calibri" w:eastAsia="Times New Roman" w:hAnsi="Calibri" w:cs="Calibri"/>
                <w:i/>
                <w:iCs/>
                <w:color w:val="000000"/>
                <w:kern w:val="0"/>
                <w:sz w:val="18"/>
                <w:szCs w:val="18"/>
                <w:lang w:eastAsia="fr-FR"/>
                <w14:ligatures w14:val="none"/>
              </w:rPr>
              <w:t>Ecological Applications</w:t>
            </w:r>
            <w:r w:rsidRPr="00A832FA">
              <w:rPr>
                <w:rFonts w:ascii="Calibri" w:eastAsia="Times New Roman" w:hAnsi="Calibri" w:cs="Calibri"/>
                <w:color w:val="000000"/>
                <w:kern w:val="0"/>
                <w:sz w:val="18"/>
                <w:szCs w:val="18"/>
                <w:lang w:eastAsia="fr-FR"/>
                <w14:ligatures w14:val="none"/>
              </w:rPr>
              <w:t xml:space="preserve"> 18, 309–320 (2008).</w:t>
            </w:r>
          </w:p>
        </w:tc>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7E816026"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Southeastern Bering Sea</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14:paraId="44529A7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1982–2006</w:t>
            </w:r>
          </w:p>
        </w:tc>
        <w:tc>
          <w:tcPr>
            <w:tcW w:w="2127" w:type="dxa"/>
            <w:vMerge w:val="restart"/>
            <w:tcBorders>
              <w:top w:val="nil"/>
              <w:left w:val="single" w:sz="8" w:space="0" w:color="auto"/>
              <w:bottom w:val="single" w:sz="8" w:space="0" w:color="000000"/>
              <w:right w:val="single" w:sz="8" w:space="0" w:color="auto"/>
            </w:tcBorders>
            <w:shd w:val="clear" w:color="auto" w:fill="auto"/>
            <w:vAlign w:val="center"/>
            <w:hideMark/>
          </w:tcPr>
          <w:p w14:paraId="2FFCF9C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46 demersal fish and invertebrate species</w:t>
            </w:r>
          </w:p>
        </w:tc>
        <w:tc>
          <w:tcPr>
            <w:tcW w:w="4110" w:type="dxa"/>
            <w:vMerge w:val="restart"/>
            <w:tcBorders>
              <w:top w:val="nil"/>
              <w:left w:val="single" w:sz="8" w:space="0" w:color="auto"/>
              <w:bottom w:val="single" w:sz="8" w:space="0" w:color="000000"/>
              <w:right w:val="single" w:sz="8" w:space="0" w:color="auto"/>
            </w:tcBorders>
            <w:shd w:val="clear" w:color="000000" w:fill="83CAEB"/>
            <w:vAlign w:val="center"/>
            <w:hideMark/>
          </w:tcPr>
          <w:p w14:paraId="1707681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r w:rsidRPr="00A832FA">
              <w:rPr>
                <w:rFonts w:ascii="Calibri" w:eastAsia="Times New Roman" w:hAnsi="Calibri" w:cs="Calibri"/>
                <w:color w:val="000000"/>
                <w:kern w:val="0"/>
                <w:sz w:val="18"/>
                <w:szCs w:val="18"/>
                <w:lang w:val="en-US" w:eastAsia="fr-FR"/>
                <w14:ligatures w14:val="none"/>
              </w:rPr>
              <w:t>Some species showed depth shifts, but the study primarily focused on latitudinal shifts. Demersal taxa showed a shoaling trend, with average depth distributions becoming shallower over time.</w:t>
            </w:r>
          </w:p>
        </w:tc>
        <w:tc>
          <w:tcPr>
            <w:tcW w:w="1189" w:type="dxa"/>
            <w:vAlign w:val="center"/>
            <w:hideMark/>
          </w:tcPr>
          <w:p w14:paraId="12310C8E" w14:textId="77777777" w:rsidR="00A832FA" w:rsidRPr="00A832FA" w:rsidRDefault="00A832FA" w:rsidP="00A832FA">
            <w:pPr>
              <w:spacing w:after="0" w:line="240" w:lineRule="auto"/>
              <w:rPr>
                <w:rFonts w:ascii="Times New Roman" w:eastAsia="Times New Roman" w:hAnsi="Times New Roman" w:cs="Times New Roman"/>
                <w:kern w:val="0"/>
                <w:sz w:val="20"/>
                <w:szCs w:val="20"/>
                <w:lang w:val="fr-FR" w:eastAsia="fr-FR"/>
                <w14:ligatures w14:val="none"/>
              </w:rPr>
            </w:pPr>
          </w:p>
        </w:tc>
      </w:tr>
      <w:tr w:rsidR="00A832FA" w:rsidRPr="00A832FA" w14:paraId="53A06BA8" w14:textId="77777777" w:rsidTr="00A832FA">
        <w:trPr>
          <w:trHeight w:val="804"/>
        </w:trPr>
        <w:tc>
          <w:tcPr>
            <w:tcW w:w="923" w:type="dxa"/>
            <w:vMerge/>
            <w:tcBorders>
              <w:top w:val="nil"/>
              <w:left w:val="single" w:sz="8" w:space="0" w:color="auto"/>
              <w:bottom w:val="single" w:sz="8" w:space="0" w:color="000000"/>
              <w:right w:val="single" w:sz="8" w:space="0" w:color="auto"/>
            </w:tcBorders>
            <w:vAlign w:val="center"/>
            <w:hideMark/>
          </w:tcPr>
          <w:p w14:paraId="7586214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753" w:type="dxa"/>
            <w:vMerge/>
            <w:tcBorders>
              <w:top w:val="nil"/>
              <w:left w:val="single" w:sz="8" w:space="0" w:color="auto"/>
              <w:bottom w:val="single" w:sz="8" w:space="0" w:color="000000"/>
              <w:right w:val="single" w:sz="8" w:space="0" w:color="auto"/>
            </w:tcBorders>
            <w:vAlign w:val="center"/>
            <w:hideMark/>
          </w:tcPr>
          <w:p w14:paraId="35B7BBF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843" w:type="dxa"/>
            <w:vMerge/>
            <w:tcBorders>
              <w:top w:val="nil"/>
              <w:left w:val="single" w:sz="8" w:space="0" w:color="auto"/>
              <w:bottom w:val="single" w:sz="8" w:space="0" w:color="000000"/>
              <w:right w:val="single" w:sz="8" w:space="0" w:color="auto"/>
            </w:tcBorders>
            <w:vAlign w:val="center"/>
            <w:hideMark/>
          </w:tcPr>
          <w:p w14:paraId="64B2F9D3"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275" w:type="dxa"/>
            <w:vMerge/>
            <w:tcBorders>
              <w:top w:val="nil"/>
              <w:left w:val="single" w:sz="8" w:space="0" w:color="auto"/>
              <w:bottom w:val="single" w:sz="8" w:space="0" w:color="000000"/>
              <w:right w:val="single" w:sz="8" w:space="0" w:color="auto"/>
            </w:tcBorders>
            <w:vAlign w:val="center"/>
            <w:hideMark/>
          </w:tcPr>
          <w:p w14:paraId="41270099"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2127" w:type="dxa"/>
            <w:vMerge/>
            <w:tcBorders>
              <w:top w:val="nil"/>
              <w:left w:val="single" w:sz="8" w:space="0" w:color="auto"/>
              <w:bottom w:val="single" w:sz="8" w:space="0" w:color="000000"/>
              <w:right w:val="single" w:sz="8" w:space="0" w:color="auto"/>
            </w:tcBorders>
            <w:vAlign w:val="center"/>
            <w:hideMark/>
          </w:tcPr>
          <w:p w14:paraId="104ECB78"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4110" w:type="dxa"/>
            <w:vMerge/>
            <w:tcBorders>
              <w:top w:val="nil"/>
              <w:left w:val="single" w:sz="8" w:space="0" w:color="auto"/>
              <w:bottom w:val="single" w:sz="8" w:space="0" w:color="000000"/>
              <w:right w:val="single" w:sz="8" w:space="0" w:color="auto"/>
            </w:tcBorders>
            <w:vAlign w:val="center"/>
            <w:hideMark/>
          </w:tcPr>
          <w:p w14:paraId="39E084EC"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c>
          <w:tcPr>
            <w:tcW w:w="1189" w:type="dxa"/>
            <w:tcBorders>
              <w:top w:val="nil"/>
              <w:left w:val="nil"/>
              <w:bottom w:val="nil"/>
              <w:right w:val="nil"/>
            </w:tcBorders>
            <w:shd w:val="clear" w:color="auto" w:fill="auto"/>
            <w:noWrap/>
            <w:vAlign w:val="bottom"/>
            <w:hideMark/>
          </w:tcPr>
          <w:p w14:paraId="755832C3" w14:textId="77777777" w:rsidR="00A832FA" w:rsidRPr="00A832FA" w:rsidRDefault="00A832FA" w:rsidP="00A832FA">
            <w:pPr>
              <w:spacing w:after="0" w:line="240" w:lineRule="auto"/>
              <w:rPr>
                <w:rFonts w:ascii="Calibri" w:eastAsia="Times New Roman" w:hAnsi="Calibri" w:cs="Calibri"/>
                <w:color w:val="000000"/>
                <w:kern w:val="0"/>
                <w:sz w:val="18"/>
                <w:szCs w:val="18"/>
                <w:lang w:val="fr-FR" w:eastAsia="fr-FR"/>
                <w14:ligatures w14:val="none"/>
              </w:rPr>
            </w:pPr>
          </w:p>
        </w:tc>
      </w:tr>
      <w:bookmarkEnd w:id="0"/>
    </w:tbl>
    <w:p w14:paraId="42C6E480" w14:textId="77777777" w:rsidR="00930C06" w:rsidRDefault="00930C06"/>
    <w:sectPr w:rsidR="00930C06" w:rsidSect="001B75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97CBA"/>
    <w:multiLevelType w:val="hybridMultilevel"/>
    <w:tmpl w:val="61021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F37582"/>
    <w:multiLevelType w:val="hybridMultilevel"/>
    <w:tmpl w:val="9E221C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xMDI0trA0MLQ0MDJX0lEKTi0uzszPAykwqgUAqZBsIywAAAA="/>
  </w:docVars>
  <w:rsids>
    <w:rsidRoot w:val="004E1C5D"/>
    <w:rsid w:val="00065345"/>
    <w:rsid w:val="000E0A5B"/>
    <w:rsid w:val="00153AF3"/>
    <w:rsid w:val="001729CC"/>
    <w:rsid w:val="001B757B"/>
    <w:rsid w:val="001D2E18"/>
    <w:rsid w:val="00270C2C"/>
    <w:rsid w:val="00277555"/>
    <w:rsid w:val="002B607E"/>
    <w:rsid w:val="003006C8"/>
    <w:rsid w:val="003250BF"/>
    <w:rsid w:val="003B4B6F"/>
    <w:rsid w:val="00470B6E"/>
    <w:rsid w:val="004E1C5D"/>
    <w:rsid w:val="0054776E"/>
    <w:rsid w:val="00595B51"/>
    <w:rsid w:val="00664B0A"/>
    <w:rsid w:val="007A2A03"/>
    <w:rsid w:val="007A2FD9"/>
    <w:rsid w:val="007C1E46"/>
    <w:rsid w:val="008702C5"/>
    <w:rsid w:val="0088050C"/>
    <w:rsid w:val="00886916"/>
    <w:rsid w:val="00930C06"/>
    <w:rsid w:val="009444CD"/>
    <w:rsid w:val="00997A87"/>
    <w:rsid w:val="00A56020"/>
    <w:rsid w:val="00A832FA"/>
    <w:rsid w:val="00C91C7B"/>
    <w:rsid w:val="00C93AC8"/>
    <w:rsid w:val="00D530E1"/>
    <w:rsid w:val="00D545EF"/>
    <w:rsid w:val="00DC6F00"/>
    <w:rsid w:val="00E938E5"/>
    <w:rsid w:val="00EC2A34"/>
    <w:rsid w:val="00F24E6D"/>
    <w:rsid w:val="00F83603"/>
    <w:rsid w:val="00FB23AD"/>
    <w:rsid w:val="00FF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EAA5"/>
  <w15:chartTrackingRefBased/>
  <w15:docId w15:val="{FF60FE00-53A1-4834-9B87-9B57B667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Titre1">
    <w:name w:val="heading 1"/>
    <w:basedOn w:val="Normal"/>
    <w:next w:val="Normal"/>
    <w:link w:val="Titre1Car"/>
    <w:uiPriority w:val="9"/>
    <w:qFormat/>
    <w:rsid w:val="004E1C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E1C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E1C5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E1C5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E1C5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E1C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1C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1C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1C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1C5D"/>
    <w:rPr>
      <w:rFonts w:asciiTheme="majorHAnsi" w:eastAsiaTheme="majorEastAsia" w:hAnsiTheme="majorHAnsi" w:cstheme="majorBidi"/>
      <w:color w:val="0F4761" w:themeColor="accent1" w:themeShade="BF"/>
      <w:sz w:val="40"/>
      <w:szCs w:val="40"/>
      <w:lang w:val="en-CA"/>
    </w:rPr>
  </w:style>
  <w:style w:type="character" w:customStyle="1" w:styleId="Titre2Car">
    <w:name w:val="Titre 2 Car"/>
    <w:basedOn w:val="Policepardfaut"/>
    <w:link w:val="Titre2"/>
    <w:uiPriority w:val="9"/>
    <w:semiHidden/>
    <w:rsid w:val="004E1C5D"/>
    <w:rPr>
      <w:rFonts w:asciiTheme="majorHAnsi" w:eastAsiaTheme="majorEastAsia" w:hAnsiTheme="majorHAnsi" w:cstheme="majorBidi"/>
      <w:color w:val="0F4761" w:themeColor="accent1" w:themeShade="BF"/>
      <w:sz w:val="32"/>
      <w:szCs w:val="32"/>
      <w:lang w:val="en-CA"/>
    </w:rPr>
  </w:style>
  <w:style w:type="character" w:customStyle="1" w:styleId="Titre3Car">
    <w:name w:val="Titre 3 Car"/>
    <w:basedOn w:val="Policepardfaut"/>
    <w:link w:val="Titre3"/>
    <w:uiPriority w:val="9"/>
    <w:semiHidden/>
    <w:rsid w:val="004E1C5D"/>
    <w:rPr>
      <w:rFonts w:eastAsiaTheme="majorEastAsia" w:cstheme="majorBidi"/>
      <w:color w:val="0F4761" w:themeColor="accent1" w:themeShade="BF"/>
      <w:sz w:val="28"/>
      <w:szCs w:val="28"/>
      <w:lang w:val="en-CA"/>
    </w:rPr>
  </w:style>
  <w:style w:type="character" w:customStyle="1" w:styleId="Titre4Car">
    <w:name w:val="Titre 4 Car"/>
    <w:basedOn w:val="Policepardfaut"/>
    <w:link w:val="Titre4"/>
    <w:uiPriority w:val="9"/>
    <w:semiHidden/>
    <w:rsid w:val="004E1C5D"/>
    <w:rPr>
      <w:rFonts w:eastAsiaTheme="majorEastAsia" w:cstheme="majorBidi"/>
      <w:i/>
      <w:iCs/>
      <w:color w:val="0F4761" w:themeColor="accent1" w:themeShade="BF"/>
      <w:lang w:val="en-CA"/>
    </w:rPr>
  </w:style>
  <w:style w:type="character" w:customStyle="1" w:styleId="Titre5Car">
    <w:name w:val="Titre 5 Car"/>
    <w:basedOn w:val="Policepardfaut"/>
    <w:link w:val="Titre5"/>
    <w:uiPriority w:val="9"/>
    <w:semiHidden/>
    <w:rsid w:val="004E1C5D"/>
    <w:rPr>
      <w:rFonts w:eastAsiaTheme="majorEastAsia" w:cstheme="majorBidi"/>
      <w:color w:val="0F4761" w:themeColor="accent1" w:themeShade="BF"/>
      <w:lang w:val="en-CA"/>
    </w:rPr>
  </w:style>
  <w:style w:type="character" w:customStyle="1" w:styleId="Titre6Car">
    <w:name w:val="Titre 6 Car"/>
    <w:basedOn w:val="Policepardfaut"/>
    <w:link w:val="Titre6"/>
    <w:uiPriority w:val="9"/>
    <w:semiHidden/>
    <w:rsid w:val="004E1C5D"/>
    <w:rPr>
      <w:rFonts w:eastAsiaTheme="majorEastAsia" w:cstheme="majorBidi"/>
      <w:i/>
      <w:iCs/>
      <w:color w:val="595959" w:themeColor="text1" w:themeTint="A6"/>
      <w:lang w:val="en-CA"/>
    </w:rPr>
  </w:style>
  <w:style w:type="character" w:customStyle="1" w:styleId="Titre7Car">
    <w:name w:val="Titre 7 Car"/>
    <w:basedOn w:val="Policepardfaut"/>
    <w:link w:val="Titre7"/>
    <w:uiPriority w:val="9"/>
    <w:semiHidden/>
    <w:rsid w:val="004E1C5D"/>
    <w:rPr>
      <w:rFonts w:eastAsiaTheme="majorEastAsia" w:cstheme="majorBidi"/>
      <w:color w:val="595959" w:themeColor="text1" w:themeTint="A6"/>
      <w:lang w:val="en-CA"/>
    </w:rPr>
  </w:style>
  <w:style w:type="character" w:customStyle="1" w:styleId="Titre8Car">
    <w:name w:val="Titre 8 Car"/>
    <w:basedOn w:val="Policepardfaut"/>
    <w:link w:val="Titre8"/>
    <w:uiPriority w:val="9"/>
    <w:semiHidden/>
    <w:rsid w:val="004E1C5D"/>
    <w:rPr>
      <w:rFonts w:eastAsiaTheme="majorEastAsia" w:cstheme="majorBidi"/>
      <w:i/>
      <w:iCs/>
      <w:color w:val="272727" w:themeColor="text1" w:themeTint="D8"/>
      <w:lang w:val="en-CA"/>
    </w:rPr>
  </w:style>
  <w:style w:type="character" w:customStyle="1" w:styleId="Titre9Car">
    <w:name w:val="Titre 9 Car"/>
    <w:basedOn w:val="Policepardfaut"/>
    <w:link w:val="Titre9"/>
    <w:uiPriority w:val="9"/>
    <w:semiHidden/>
    <w:rsid w:val="004E1C5D"/>
    <w:rPr>
      <w:rFonts w:eastAsiaTheme="majorEastAsia" w:cstheme="majorBidi"/>
      <w:color w:val="272727" w:themeColor="text1" w:themeTint="D8"/>
      <w:lang w:val="en-CA"/>
    </w:rPr>
  </w:style>
  <w:style w:type="paragraph" w:styleId="Titre">
    <w:name w:val="Title"/>
    <w:basedOn w:val="Normal"/>
    <w:next w:val="Normal"/>
    <w:link w:val="TitreCar"/>
    <w:uiPriority w:val="10"/>
    <w:qFormat/>
    <w:rsid w:val="004E1C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E1C5D"/>
    <w:rPr>
      <w:rFonts w:asciiTheme="majorHAnsi" w:eastAsiaTheme="majorEastAsia" w:hAnsiTheme="majorHAnsi" w:cstheme="majorBidi"/>
      <w:spacing w:val="-10"/>
      <w:kern w:val="28"/>
      <w:sz w:val="56"/>
      <w:szCs w:val="56"/>
      <w:lang w:val="en-CA"/>
    </w:rPr>
  </w:style>
  <w:style w:type="paragraph" w:styleId="Sous-titre">
    <w:name w:val="Subtitle"/>
    <w:basedOn w:val="Normal"/>
    <w:next w:val="Normal"/>
    <w:link w:val="Sous-titreCar"/>
    <w:uiPriority w:val="11"/>
    <w:qFormat/>
    <w:rsid w:val="004E1C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E1C5D"/>
    <w:rPr>
      <w:rFonts w:eastAsiaTheme="majorEastAsia" w:cstheme="majorBidi"/>
      <w:color w:val="595959" w:themeColor="text1" w:themeTint="A6"/>
      <w:spacing w:val="15"/>
      <w:sz w:val="28"/>
      <w:szCs w:val="28"/>
      <w:lang w:val="en-CA"/>
    </w:rPr>
  </w:style>
  <w:style w:type="paragraph" w:styleId="Citation">
    <w:name w:val="Quote"/>
    <w:basedOn w:val="Normal"/>
    <w:next w:val="Normal"/>
    <w:link w:val="CitationCar"/>
    <w:uiPriority w:val="29"/>
    <w:qFormat/>
    <w:rsid w:val="004E1C5D"/>
    <w:pPr>
      <w:spacing w:before="160"/>
      <w:jc w:val="center"/>
    </w:pPr>
    <w:rPr>
      <w:i/>
      <w:iCs/>
      <w:color w:val="404040" w:themeColor="text1" w:themeTint="BF"/>
    </w:rPr>
  </w:style>
  <w:style w:type="character" w:customStyle="1" w:styleId="CitationCar">
    <w:name w:val="Citation Car"/>
    <w:basedOn w:val="Policepardfaut"/>
    <w:link w:val="Citation"/>
    <w:uiPriority w:val="29"/>
    <w:rsid w:val="004E1C5D"/>
    <w:rPr>
      <w:i/>
      <w:iCs/>
      <w:color w:val="404040" w:themeColor="text1" w:themeTint="BF"/>
      <w:lang w:val="en-CA"/>
    </w:rPr>
  </w:style>
  <w:style w:type="paragraph" w:styleId="Paragraphedeliste">
    <w:name w:val="List Paragraph"/>
    <w:basedOn w:val="Normal"/>
    <w:uiPriority w:val="34"/>
    <w:qFormat/>
    <w:rsid w:val="004E1C5D"/>
    <w:pPr>
      <w:ind w:left="720"/>
      <w:contextualSpacing/>
    </w:pPr>
  </w:style>
  <w:style w:type="character" w:styleId="Accentuationintense">
    <w:name w:val="Intense Emphasis"/>
    <w:basedOn w:val="Policepardfaut"/>
    <w:uiPriority w:val="21"/>
    <w:qFormat/>
    <w:rsid w:val="004E1C5D"/>
    <w:rPr>
      <w:i/>
      <w:iCs/>
      <w:color w:val="0F4761" w:themeColor="accent1" w:themeShade="BF"/>
    </w:rPr>
  </w:style>
  <w:style w:type="paragraph" w:styleId="Citationintense">
    <w:name w:val="Intense Quote"/>
    <w:basedOn w:val="Normal"/>
    <w:next w:val="Normal"/>
    <w:link w:val="CitationintenseCar"/>
    <w:uiPriority w:val="30"/>
    <w:qFormat/>
    <w:rsid w:val="004E1C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E1C5D"/>
    <w:rPr>
      <w:i/>
      <w:iCs/>
      <w:color w:val="0F4761" w:themeColor="accent1" w:themeShade="BF"/>
      <w:lang w:val="en-CA"/>
    </w:rPr>
  </w:style>
  <w:style w:type="character" w:styleId="Rfrenceintense">
    <w:name w:val="Intense Reference"/>
    <w:basedOn w:val="Policepardfaut"/>
    <w:uiPriority w:val="32"/>
    <w:qFormat/>
    <w:rsid w:val="004E1C5D"/>
    <w:rPr>
      <w:b/>
      <w:bCs/>
      <w:smallCaps/>
      <w:color w:val="0F4761" w:themeColor="accent1" w:themeShade="BF"/>
      <w:spacing w:val="5"/>
    </w:rPr>
  </w:style>
  <w:style w:type="table" w:styleId="Grilledutableau">
    <w:name w:val="Table Grid"/>
    <w:basedOn w:val="TableauNormal"/>
    <w:uiPriority w:val="39"/>
    <w:rsid w:val="001B7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886916"/>
    <w:pPr>
      <w:spacing w:after="200" w:line="240" w:lineRule="auto"/>
    </w:pPr>
    <w:rPr>
      <w:i/>
      <w:iCs/>
      <w:color w:val="0E2841" w:themeColor="text2"/>
      <w:sz w:val="18"/>
      <w:szCs w:val="18"/>
    </w:rPr>
  </w:style>
  <w:style w:type="character" w:styleId="lev">
    <w:name w:val="Strong"/>
    <w:basedOn w:val="Policepardfaut"/>
    <w:uiPriority w:val="22"/>
    <w:qFormat/>
    <w:rsid w:val="00997A87"/>
    <w:rPr>
      <w:b/>
      <w:bCs/>
    </w:rPr>
  </w:style>
  <w:style w:type="character" w:styleId="Accentuation">
    <w:name w:val="Emphasis"/>
    <w:basedOn w:val="Policepardfaut"/>
    <w:uiPriority w:val="20"/>
    <w:qFormat/>
    <w:rsid w:val="00997A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714415">
      <w:bodyDiv w:val="1"/>
      <w:marLeft w:val="0"/>
      <w:marRight w:val="0"/>
      <w:marTop w:val="0"/>
      <w:marBottom w:val="0"/>
      <w:divBdr>
        <w:top w:val="none" w:sz="0" w:space="0" w:color="auto"/>
        <w:left w:val="none" w:sz="0" w:space="0" w:color="auto"/>
        <w:bottom w:val="none" w:sz="0" w:space="0" w:color="auto"/>
        <w:right w:val="none" w:sz="0" w:space="0" w:color="auto"/>
      </w:divBdr>
    </w:div>
    <w:div w:id="898783226">
      <w:bodyDiv w:val="1"/>
      <w:marLeft w:val="0"/>
      <w:marRight w:val="0"/>
      <w:marTop w:val="0"/>
      <w:marBottom w:val="0"/>
      <w:divBdr>
        <w:top w:val="none" w:sz="0" w:space="0" w:color="auto"/>
        <w:left w:val="none" w:sz="0" w:space="0" w:color="auto"/>
        <w:bottom w:val="none" w:sz="0" w:space="0" w:color="auto"/>
        <w:right w:val="none" w:sz="0" w:space="0" w:color="auto"/>
      </w:divBdr>
    </w:div>
    <w:div w:id="1240402477">
      <w:bodyDiv w:val="1"/>
      <w:marLeft w:val="0"/>
      <w:marRight w:val="0"/>
      <w:marTop w:val="0"/>
      <w:marBottom w:val="0"/>
      <w:divBdr>
        <w:top w:val="none" w:sz="0" w:space="0" w:color="auto"/>
        <w:left w:val="none" w:sz="0" w:space="0" w:color="auto"/>
        <w:bottom w:val="none" w:sz="0" w:space="0" w:color="auto"/>
        <w:right w:val="none" w:sz="0" w:space="0" w:color="auto"/>
      </w:divBdr>
    </w:div>
    <w:div w:id="1315334386">
      <w:bodyDiv w:val="1"/>
      <w:marLeft w:val="0"/>
      <w:marRight w:val="0"/>
      <w:marTop w:val="0"/>
      <w:marBottom w:val="0"/>
      <w:divBdr>
        <w:top w:val="none" w:sz="0" w:space="0" w:color="auto"/>
        <w:left w:val="none" w:sz="0" w:space="0" w:color="auto"/>
        <w:bottom w:val="none" w:sz="0" w:space="0" w:color="auto"/>
        <w:right w:val="none" w:sz="0" w:space="0" w:color="auto"/>
      </w:divBdr>
    </w:div>
    <w:div w:id="1331788837">
      <w:bodyDiv w:val="1"/>
      <w:marLeft w:val="0"/>
      <w:marRight w:val="0"/>
      <w:marTop w:val="0"/>
      <w:marBottom w:val="0"/>
      <w:divBdr>
        <w:top w:val="none" w:sz="0" w:space="0" w:color="auto"/>
        <w:left w:val="none" w:sz="0" w:space="0" w:color="auto"/>
        <w:bottom w:val="none" w:sz="0" w:space="0" w:color="auto"/>
        <w:right w:val="none" w:sz="0" w:space="0" w:color="auto"/>
      </w:divBdr>
    </w:div>
    <w:div w:id="152798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EB49C-CE66-4F04-AD2B-07525F96A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4</Pages>
  <Words>1210</Words>
  <Characters>6660</Characters>
  <Application>Microsoft Office Word</Application>
  <DocSecurity>0</DocSecurity>
  <Lines>55</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Boyce</dc:creator>
  <cp:keywords/>
  <dc:description/>
  <cp:lastModifiedBy>AUBER Arnaud</cp:lastModifiedBy>
  <cp:revision>27</cp:revision>
  <dcterms:created xsi:type="dcterms:W3CDTF">2024-10-15T16:08:00Z</dcterms:created>
  <dcterms:modified xsi:type="dcterms:W3CDTF">2026-05-29T16:18:00Z</dcterms:modified>
</cp:coreProperties>
</file>