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F8E1B" w14:textId="213FB82A" w:rsidR="00426965" w:rsidRPr="008C4CAB" w:rsidRDefault="00426965" w:rsidP="00426965">
      <w:pPr>
        <w:spacing w:line="480" w:lineRule="auto"/>
        <w:jc w:val="center"/>
        <w:rPr>
          <w:rFonts w:ascii="Times New Roman" w:hAnsi="Times New Roman" w:cs="Times New Roman"/>
          <w:b/>
          <w:bCs/>
          <w:sz w:val="44"/>
          <w:szCs w:val="44"/>
          <w:lang w:val="en-US"/>
        </w:rPr>
      </w:pPr>
      <w:r w:rsidRPr="008C4CAB">
        <w:rPr>
          <w:rFonts w:ascii="Times New Roman" w:hAnsi="Times New Roman" w:cs="Times New Roman"/>
          <w:b/>
          <w:bCs/>
          <w:sz w:val="44"/>
          <w:szCs w:val="44"/>
          <w:lang w:val="en-US"/>
        </w:rPr>
        <w:t>Supplemental Information:</w:t>
      </w:r>
    </w:p>
    <w:p w14:paraId="2A69FE0F" w14:textId="604D5755" w:rsidR="00160A7C" w:rsidRPr="008C4CAB" w:rsidRDefault="00426965" w:rsidP="00AC46D0">
      <w:pPr>
        <w:spacing w:line="480" w:lineRule="auto"/>
        <w:jc w:val="center"/>
        <w:rPr>
          <w:rFonts w:ascii="Times New Roman" w:hAnsi="Times New Roman" w:cs="Times New Roman"/>
          <w:sz w:val="36"/>
          <w:szCs w:val="36"/>
          <w:lang w:val="en-US"/>
        </w:rPr>
      </w:pPr>
      <w:r w:rsidRPr="008C4CAB">
        <w:rPr>
          <w:rFonts w:ascii="Times New Roman" w:hAnsi="Times New Roman" w:cs="Times New Roman"/>
          <w:sz w:val="36"/>
          <w:szCs w:val="36"/>
          <w:lang w:val="en-US"/>
        </w:rPr>
        <w:t xml:space="preserve">Spatial Multi-Omics Identifies Early Synaptic Pruning and Context-Specific Dopaminergic Vulnerability in </w:t>
      </w:r>
      <w:proofErr w:type="spellStart"/>
      <w:r w:rsidRPr="008C4CAB">
        <w:rPr>
          <w:rFonts w:ascii="Times New Roman" w:hAnsi="Times New Roman" w:cs="Times New Roman"/>
          <w:sz w:val="36"/>
          <w:szCs w:val="36"/>
          <w:lang w:val="en-US"/>
        </w:rPr>
        <w:t>Synucleinopathies</w:t>
      </w:r>
      <w:proofErr w:type="spellEnd"/>
      <w:r w:rsidR="002F79C8" w:rsidRPr="008C4CAB">
        <w:rPr>
          <w:rFonts w:ascii="Times New Roman" w:hAnsi="Times New Roman" w:cs="Times New Roman"/>
          <w:sz w:val="36"/>
          <w:szCs w:val="36"/>
          <w:lang w:val="en-US"/>
        </w:rPr>
        <w:t>.</w:t>
      </w:r>
    </w:p>
    <w:p w14:paraId="3D67474A" w14:textId="77777777" w:rsidR="00160A7C" w:rsidRPr="008C4CAB" w:rsidRDefault="00160A7C" w:rsidP="00AC46D0">
      <w:pPr>
        <w:spacing w:line="480" w:lineRule="auto"/>
        <w:jc w:val="both"/>
        <w:rPr>
          <w:rFonts w:ascii="Times New Roman" w:hAnsi="Times New Roman" w:cs="Times New Roman"/>
          <w:b/>
          <w:bCs/>
          <w:iCs/>
          <w:sz w:val="28"/>
          <w:szCs w:val="28"/>
          <w:lang w:val="en-GB"/>
        </w:rPr>
      </w:pPr>
    </w:p>
    <w:p w14:paraId="0DECAE39" w14:textId="6497C25F" w:rsidR="00E36D67" w:rsidRPr="008C4CAB" w:rsidRDefault="00E36D67" w:rsidP="002F79C8">
      <w:pPr>
        <w:pStyle w:val="StandardWeb"/>
        <w:tabs>
          <w:tab w:val="left" w:pos="2880"/>
        </w:tabs>
        <w:spacing w:before="0" w:beforeAutospacing="0" w:after="0" w:afterAutospacing="0" w:line="480" w:lineRule="auto"/>
        <w:jc w:val="both"/>
        <w:rPr>
          <w:b/>
          <w:bCs/>
          <w:lang w:val="en-US"/>
        </w:rPr>
      </w:pPr>
      <w:r w:rsidRPr="008C4CAB">
        <w:rPr>
          <w:b/>
          <w:bCs/>
          <w:noProof/>
          <w:lang w:val="en-US"/>
          <w14:ligatures w14:val="standardContextual"/>
        </w:rPr>
        <w:drawing>
          <wp:inline distT="0" distB="0" distL="0" distR="0" wp14:anchorId="2D089CB7" wp14:editId="72BB9853">
            <wp:extent cx="5756910" cy="4694303"/>
            <wp:effectExtent l="0" t="0" r="0" b="5080"/>
            <wp:docPr id="18063657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65755" name="Grafik 1806365755"/>
                    <pic:cNvPicPr/>
                  </pic:nvPicPr>
                  <pic:blipFill rotWithShape="1">
                    <a:blip r:embed="rId8" cstate="print">
                      <a:extLst>
                        <a:ext uri="{28A0092B-C50C-407E-A947-70E740481C1C}">
                          <a14:useLocalDpi xmlns:a14="http://schemas.microsoft.com/office/drawing/2010/main" val="0"/>
                        </a:ext>
                      </a:extLst>
                    </a:blip>
                    <a:srcRect t="10932"/>
                    <a:stretch>
                      <a:fillRect/>
                    </a:stretch>
                  </pic:blipFill>
                  <pic:spPr bwMode="auto">
                    <a:xfrm>
                      <a:off x="0" y="0"/>
                      <a:ext cx="5756910" cy="4694303"/>
                    </a:xfrm>
                    <a:prstGeom prst="rect">
                      <a:avLst/>
                    </a:prstGeom>
                    <a:ln>
                      <a:noFill/>
                    </a:ln>
                    <a:extLst>
                      <a:ext uri="{53640926-AAD7-44D8-BBD7-CCE9431645EC}">
                        <a14:shadowObscured xmlns:a14="http://schemas.microsoft.com/office/drawing/2010/main"/>
                      </a:ext>
                    </a:extLst>
                  </pic:spPr>
                </pic:pic>
              </a:graphicData>
            </a:graphic>
          </wp:inline>
        </w:drawing>
      </w:r>
    </w:p>
    <w:p w14:paraId="199FBA57"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360472F9" w14:textId="52C2DD75" w:rsidR="005D6CE2" w:rsidRPr="008C4CAB" w:rsidRDefault="005D6CE2"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1: </w:t>
      </w:r>
      <w:proofErr w:type="gramStart"/>
      <w:r w:rsidR="00160A7C" w:rsidRPr="008C4CAB">
        <w:rPr>
          <w:lang w:val="en-US"/>
        </w:rPr>
        <w:t>a,</w:t>
      </w:r>
      <w:proofErr w:type="gramEnd"/>
      <w:r w:rsidR="00160A7C" w:rsidRPr="008C4CAB">
        <w:rPr>
          <w:lang w:val="en-US"/>
        </w:rPr>
        <w:t xml:space="preserve"> Bar graph showing the number of cases </w:t>
      </w:r>
      <w:proofErr w:type="spellStart"/>
      <w:r w:rsidR="00160A7C" w:rsidRPr="008C4CAB">
        <w:rPr>
          <w:lang w:val="en-US"/>
        </w:rPr>
        <w:t>analysed</w:t>
      </w:r>
      <w:proofErr w:type="spellEnd"/>
      <w:r w:rsidR="00160A7C" w:rsidRPr="008C4CAB">
        <w:rPr>
          <w:lang w:val="en-US"/>
        </w:rPr>
        <w:t xml:space="preserve"> per LB Braak stage. b, Bar graph showing donor age (years) across the five cohorts. c, Bar graph representing the distribution of male and female donors in each cohort. d, Bar graph depicting tissue fixation </w:t>
      </w:r>
      <w:r w:rsidR="00160A7C" w:rsidRPr="008C4CAB">
        <w:rPr>
          <w:lang w:val="en-US"/>
        </w:rPr>
        <w:lastRenderedPageBreak/>
        <w:t xml:space="preserve">time (days) across cohorts. e, Bar graph illustrating post-mortem interval (hours) across cohorts. Data in b, d, and </w:t>
      </w:r>
      <w:proofErr w:type="spellStart"/>
      <w:r w:rsidR="00160A7C" w:rsidRPr="008C4CAB">
        <w:rPr>
          <w:lang w:val="en-US"/>
        </w:rPr>
        <w:t>e</w:t>
      </w:r>
      <w:proofErr w:type="spellEnd"/>
      <w:r w:rsidR="00160A7C" w:rsidRPr="008C4CAB">
        <w:rPr>
          <w:lang w:val="en-US"/>
        </w:rPr>
        <w:t xml:space="preserve"> are presented as mean, and individual points represent biologically independent donor samples (Ctrl, n = 6; </w:t>
      </w:r>
      <w:proofErr w:type="spellStart"/>
      <w:r w:rsidR="00160A7C" w:rsidRPr="008C4CAB">
        <w:rPr>
          <w:lang w:val="en-US"/>
        </w:rPr>
        <w:t>iLBD</w:t>
      </w:r>
      <w:proofErr w:type="spellEnd"/>
      <w:r w:rsidR="00160A7C" w:rsidRPr="008C4CAB">
        <w:rPr>
          <w:lang w:val="en-US"/>
        </w:rPr>
        <w:t xml:space="preserve">, n = 7; PD, n = 9; AD, n = 5; AD+LBP, n = 5). Statistical significance in b, d, and </w:t>
      </w:r>
      <w:proofErr w:type="spellStart"/>
      <w:r w:rsidR="00160A7C" w:rsidRPr="008C4CAB">
        <w:rPr>
          <w:lang w:val="en-US"/>
        </w:rPr>
        <w:t>e</w:t>
      </w:r>
      <w:proofErr w:type="spellEnd"/>
      <w:r w:rsidR="00160A7C" w:rsidRPr="008C4CAB">
        <w:rPr>
          <w:lang w:val="en-US"/>
        </w:rPr>
        <w:t xml:space="preserve"> was assessed using Welch’s ANOVA. Sex distribution in c was assessed using Fisher’s exact test. Source data are provided as a Source Data file.</w:t>
      </w:r>
    </w:p>
    <w:p w14:paraId="4034652E" w14:textId="77777777" w:rsidR="004E67BB" w:rsidRPr="008C4CAB" w:rsidRDefault="004E67BB" w:rsidP="002F79C8">
      <w:pPr>
        <w:pStyle w:val="StandardWeb"/>
        <w:tabs>
          <w:tab w:val="left" w:pos="2880"/>
        </w:tabs>
        <w:spacing w:before="0" w:beforeAutospacing="0" w:after="0" w:afterAutospacing="0" w:line="480" w:lineRule="auto"/>
        <w:jc w:val="both"/>
        <w:rPr>
          <w:lang w:val="en-US"/>
        </w:rPr>
      </w:pPr>
    </w:p>
    <w:p w14:paraId="7809C48B" w14:textId="0C89525F" w:rsidR="004E67BB" w:rsidRPr="008C4CAB" w:rsidRDefault="002A5607" w:rsidP="002F79C8">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lastRenderedPageBreak/>
        <w:drawing>
          <wp:inline distT="0" distB="0" distL="0" distR="0" wp14:anchorId="0B29AC6E" wp14:editId="0CBE36DA">
            <wp:extent cx="5689600" cy="7137400"/>
            <wp:effectExtent l="0" t="0" r="0" b="0"/>
            <wp:docPr id="20108479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47972" name="Grafik 20108479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9600" cy="7137400"/>
                    </a:xfrm>
                    <a:prstGeom prst="rect">
                      <a:avLst/>
                    </a:prstGeom>
                  </pic:spPr>
                </pic:pic>
              </a:graphicData>
            </a:graphic>
          </wp:inline>
        </w:drawing>
      </w:r>
    </w:p>
    <w:p w14:paraId="4DA1AB76" w14:textId="77777777" w:rsidR="002A5607" w:rsidRPr="008C4CAB" w:rsidRDefault="002A5607" w:rsidP="002F79C8">
      <w:pPr>
        <w:spacing w:line="480" w:lineRule="auto"/>
        <w:jc w:val="both"/>
        <w:rPr>
          <w:rFonts w:ascii="Times New Roman" w:hAnsi="Times New Roman" w:cs="Times New Roman"/>
          <w:b/>
          <w:bCs/>
          <w:lang w:val="en-US"/>
        </w:rPr>
      </w:pPr>
    </w:p>
    <w:p w14:paraId="2E1B1A72" w14:textId="1A94CA13" w:rsidR="005D6CE2" w:rsidRPr="008C4CAB" w:rsidRDefault="005D6CE2" w:rsidP="002F79C8">
      <w:pPr>
        <w:spacing w:line="480" w:lineRule="auto"/>
        <w:jc w:val="both"/>
        <w:rPr>
          <w:rFonts w:ascii="Times New Roman" w:eastAsia="Times New Roman" w:hAnsi="Times New Roman" w:cs="Times New Roman"/>
          <w:kern w:val="0"/>
          <w:lang w:val="en-US" w:eastAsia="de-DE"/>
          <w14:ligatures w14:val="none"/>
        </w:rPr>
      </w:pPr>
      <w:r w:rsidRPr="008C4CAB">
        <w:rPr>
          <w:rFonts w:ascii="Times New Roman" w:hAnsi="Times New Roman" w:cs="Times New Roman"/>
          <w:b/>
          <w:bCs/>
          <w:lang w:val="en-US"/>
        </w:rPr>
        <w:t xml:space="preserve">Supplemental Figure 2: </w:t>
      </w:r>
      <w:r w:rsidRPr="008C4CAB">
        <w:rPr>
          <w:rFonts w:ascii="Times New Roman" w:eastAsia="Times New Roman" w:hAnsi="Times New Roman" w:cs="Times New Roman"/>
          <w:kern w:val="0"/>
          <w:lang w:val="en-US" w:eastAsia="de-DE"/>
          <w14:ligatures w14:val="none"/>
        </w:rPr>
        <w:t>Representative photomicrographs showing tyrosine hydroxylase (TH; green) and αSyn proximity ligation assay (αSyn-PLA) labeling in tissue sections from all five cohorts. αSyn-PLA signal was prominent in PD and AD+LBP, consistent with the presence of αSyn oligomers &gt;</w:t>
      </w:r>
      <w:r w:rsidR="00BC5EA9" w:rsidRPr="008C4CAB">
        <w:rPr>
          <w:rFonts w:ascii="Times New Roman" w:eastAsia="Times New Roman" w:hAnsi="Times New Roman" w:cs="Times New Roman"/>
          <w:kern w:val="0"/>
          <w:lang w:val="en-US" w:eastAsia="de-DE"/>
          <w14:ligatures w14:val="none"/>
        </w:rPr>
        <w:t xml:space="preserve"> </w:t>
      </w:r>
      <w:r w:rsidRPr="008C4CAB">
        <w:rPr>
          <w:rFonts w:ascii="Times New Roman" w:eastAsia="Times New Roman" w:hAnsi="Times New Roman" w:cs="Times New Roman"/>
          <w:kern w:val="0"/>
          <w:lang w:val="en-US" w:eastAsia="de-DE"/>
          <w14:ligatures w14:val="none"/>
        </w:rPr>
        <w:t>40 nm.</w:t>
      </w:r>
      <w:r w:rsidR="00BC5EA9" w:rsidRPr="008C4CAB">
        <w:rPr>
          <w:rFonts w:ascii="Times New Roman" w:eastAsia="Times New Roman" w:hAnsi="Times New Roman" w:cs="Times New Roman"/>
          <w:kern w:val="0"/>
          <w:lang w:val="en-US" w:eastAsia="de-DE"/>
          <w14:ligatures w14:val="none"/>
        </w:rPr>
        <w:t xml:space="preserve"> Scale bar = </w:t>
      </w:r>
      <w:r w:rsidR="002A5607" w:rsidRPr="008C4CAB">
        <w:rPr>
          <w:rFonts w:ascii="Times New Roman" w:eastAsia="Times New Roman" w:hAnsi="Times New Roman" w:cs="Times New Roman"/>
          <w:kern w:val="0"/>
          <w:lang w:val="en-US" w:eastAsia="de-DE"/>
          <w14:ligatures w14:val="none"/>
        </w:rPr>
        <w:t>5</w:t>
      </w:r>
      <w:r w:rsidR="00BC5EA9" w:rsidRPr="008C4CAB">
        <w:rPr>
          <w:rFonts w:ascii="Times New Roman" w:eastAsia="Times New Roman" w:hAnsi="Times New Roman" w:cs="Times New Roman"/>
          <w:kern w:val="0"/>
          <w:lang w:val="en-US" w:eastAsia="de-DE"/>
          <w14:ligatures w14:val="none"/>
        </w:rPr>
        <w:t xml:space="preserve">0 </w:t>
      </w:r>
      <w:r w:rsidR="00BC5EA9" w:rsidRPr="008C4CAB">
        <w:rPr>
          <w:rFonts w:ascii="Times New Roman" w:eastAsia="Times New Roman" w:hAnsi="Times New Roman" w:cs="Times New Roman"/>
          <w:kern w:val="0"/>
          <w:lang w:val="en-US" w:eastAsia="de-DE"/>
          <w14:ligatures w14:val="none"/>
        </w:rPr>
        <w:sym w:font="Symbol" w:char="F06D"/>
      </w:r>
      <w:r w:rsidR="00BC5EA9" w:rsidRPr="008C4CAB">
        <w:rPr>
          <w:rFonts w:ascii="Times New Roman" w:eastAsia="Times New Roman" w:hAnsi="Times New Roman" w:cs="Times New Roman"/>
          <w:kern w:val="0"/>
          <w:lang w:val="en-US" w:eastAsia="de-DE"/>
          <w14:ligatures w14:val="none"/>
        </w:rPr>
        <w:t>m.</w:t>
      </w:r>
    </w:p>
    <w:p w14:paraId="2A125170"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61C61519" w14:textId="42B09E85" w:rsidR="00E36D67" w:rsidRPr="008C4CAB" w:rsidRDefault="00E36D67" w:rsidP="002F79C8">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drawing>
          <wp:inline distT="0" distB="0" distL="0" distR="0" wp14:anchorId="71E67D75" wp14:editId="29193D8F">
            <wp:extent cx="5756910" cy="4609256"/>
            <wp:effectExtent l="0" t="0" r="0" b="1270"/>
            <wp:docPr id="19006432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43252" name="Grafik 1900643252"/>
                    <pic:cNvPicPr/>
                  </pic:nvPicPr>
                  <pic:blipFill rotWithShape="1">
                    <a:blip r:embed="rId10" cstate="print">
                      <a:extLst>
                        <a:ext uri="{28A0092B-C50C-407E-A947-70E740481C1C}">
                          <a14:useLocalDpi xmlns:a14="http://schemas.microsoft.com/office/drawing/2010/main" val="0"/>
                        </a:ext>
                      </a:extLst>
                    </a:blip>
                    <a:srcRect t="7071"/>
                    <a:stretch>
                      <a:fillRect/>
                    </a:stretch>
                  </pic:blipFill>
                  <pic:spPr bwMode="auto">
                    <a:xfrm>
                      <a:off x="0" y="0"/>
                      <a:ext cx="5756910" cy="4609256"/>
                    </a:xfrm>
                    <a:prstGeom prst="rect">
                      <a:avLst/>
                    </a:prstGeom>
                    <a:ln>
                      <a:noFill/>
                    </a:ln>
                    <a:extLst>
                      <a:ext uri="{53640926-AAD7-44D8-BBD7-CCE9431645EC}">
                        <a14:shadowObscured xmlns:a14="http://schemas.microsoft.com/office/drawing/2010/main"/>
                      </a:ext>
                    </a:extLst>
                  </pic:spPr>
                </pic:pic>
              </a:graphicData>
            </a:graphic>
          </wp:inline>
        </w:drawing>
      </w:r>
    </w:p>
    <w:p w14:paraId="01A7AF44" w14:textId="7F50328F" w:rsidR="005D6CE2" w:rsidRPr="008C4CAB" w:rsidRDefault="005D6CE2"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3: </w:t>
      </w:r>
      <w:r w:rsidR="002A5607" w:rsidRPr="008C4CAB">
        <w:rPr>
          <w:lang w:val="en-US"/>
        </w:rPr>
        <w:t xml:space="preserve">Correlation between mean seed amplification assay area under the curve (SAA–AUC), Braak stage, and the number of pigmented neurons per tissue section. Data points represent biologically independent donor samples and are color-coded by cohort: green, Ctrl; light blue, </w:t>
      </w:r>
      <w:proofErr w:type="spellStart"/>
      <w:r w:rsidR="002A5607" w:rsidRPr="008C4CAB">
        <w:rPr>
          <w:lang w:val="en-US"/>
        </w:rPr>
        <w:t>iLBD</w:t>
      </w:r>
      <w:proofErr w:type="spellEnd"/>
      <w:r w:rsidR="002A5607" w:rsidRPr="008C4CAB">
        <w:rPr>
          <w:lang w:val="en-US"/>
        </w:rPr>
        <w:t xml:space="preserve">; dark blue, PD; orange, AD; red, AD+LBP. Panels a–d show correlations for the entire dataset. Panels e and g show correlations between pigmented neurons per section and either SAA–AUC (e) or Braak stage (g) for the Ctrl, </w:t>
      </w:r>
      <w:proofErr w:type="spellStart"/>
      <w:r w:rsidR="002A5607" w:rsidRPr="008C4CAB">
        <w:rPr>
          <w:lang w:val="en-US"/>
        </w:rPr>
        <w:t>iLBD</w:t>
      </w:r>
      <w:proofErr w:type="spellEnd"/>
      <w:r w:rsidR="002A5607" w:rsidRPr="008C4CAB">
        <w:rPr>
          <w:lang w:val="en-US"/>
        </w:rPr>
        <w:t>, and PD groups. Panels f and h show the same analyses for the AD and AD+LBP groups. Pearson correlation analysis and coefficients of determination (R²) were calculated for panels b, d, e, and f. Spearman rank correlation analysis and correlation coefficients (r) were calculated for panels a, c, g, and h, and for all analyses involving non-parametric data (Braak stage). Source data are provided as a Source Data file.</w:t>
      </w:r>
    </w:p>
    <w:p w14:paraId="4CA833B1"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64B58862" w14:textId="6994F3B6" w:rsidR="004E67BB" w:rsidRPr="008C4CAB" w:rsidRDefault="00E36D67" w:rsidP="006D0782">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drawing>
          <wp:inline distT="0" distB="0" distL="0" distR="0" wp14:anchorId="1D60CE73" wp14:editId="1419492F">
            <wp:extent cx="5756910" cy="5431233"/>
            <wp:effectExtent l="0" t="0" r="0" b="4445"/>
            <wp:docPr id="55598375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83757" name="Grafik 555983757"/>
                    <pic:cNvPicPr/>
                  </pic:nvPicPr>
                  <pic:blipFill rotWithShape="1">
                    <a:blip r:embed="rId11" cstate="print">
                      <a:extLst>
                        <a:ext uri="{28A0092B-C50C-407E-A947-70E740481C1C}">
                          <a14:useLocalDpi xmlns:a14="http://schemas.microsoft.com/office/drawing/2010/main" val="0"/>
                        </a:ext>
                      </a:extLst>
                    </a:blip>
                    <a:srcRect t="5657"/>
                    <a:stretch>
                      <a:fillRect/>
                    </a:stretch>
                  </pic:blipFill>
                  <pic:spPr bwMode="auto">
                    <a:xfrm>
                      <a:off x="0" y="0"/>
                      <a:ext cx="5756910" cy="5431233"/>
                    </a:xfrm>
                    <a:prstGeom prst="rect">
                      <a:avLst/>
                    </a:prstGeom>
                    <a:ln>
                      <a:noFill/>
                    </a:ln>
                    <a:extLst>
                      <a:ext uri="{53640926-AAD7-44D8-BBD7-CCE9431645EC}">
                        <a14:shadowObscured xmlns:a14="http://schemas.microsoft.com/office/drawing/2010/main"/>
                      </a:ext>
                    </a:extLst>
                  </pic:spPr>
                </pic:pic>
              </a:graphicData>
            </a:graphic>
          </wp:inline>
        </w:drawing>
      </w:r>
    </w:p>
    <w:p w14:paraId="5E65CF48" w14:textId="2F69D893" w:rsidR="00E36D67" w:rsidRPr="008C4CAB" w:rsidRDefault="00BC5EA9" w:rsidP="002F79C8">
      <w:pPr>
        <w:pStyle w:val="StandardWeb"/>
        <w:spacing w:before="0" w:beforeAutospacing="0" w:after="0" w:afterAutospacing="0" w:line="480" w:lineRule="auto"/>
        <w:jc w:val="both"/>
        <w:rPr>
          <w:lang w:val="en-US"/>
        </w:rPr>
      </w:pPr>
      <w:r w:rsidRPr="008C4CAB">
        <w:rPr>
          <w:b/>
          <w:bCs/>
          <w:lang w:val="en-US"/>
        </w:rPr>
        <w:t xml:space="preserve">Supplemental Figure 4: </w:t>
      </w:r>
      <w:r w:rsidR="006D0782" w:rsidRPr="008C4CAB">
        <w:rPr>
          <w:lang w:val="en-US"/>
        </w:rPr>
        <w:t xml:space="preserve">Summary quality control metrics for all spatial transcriptomic samples, including number of spots under tissue, total reads, mean reads per spot, mean reads under tissue per spot, fraction of spots under tissue, number of valid barcodes, valid UMIs, sequencing saturation, Q30 bases in barcode, probe read and UMI, reads mapped to the probe set, reads mapped confidently to the probe set, fraction of reads in spots under tissue, median genes per spot, median UMI counts per spot, total genes detected, reads mapped confidently to the filtered probe set, number of genes, and number of genes detected with &gt;10 UMIs. Individual points represent biologically independent donor samples. Disease groups are indicated in the figure legend. </w:t>
      </w:r>
    </w:p>
    <w:p w14:paraId="42587269" w14:textId="5B903248" w:rsidR="00E36D67" w:rsidRPr="008C4CAB" w:rsidRDefault="00E36D67" w:rsidP="00E36D67">
      <w:pPr>
        <w:pStyle w:val="StandardWeb"/>
        <w:spacing w:before="0" w:beforeAutospacing="0" w:after="0" w:afterAutospacing="0" w:line="480" w:lineRule="auto"/>
        <w:jc w:val="center"/>
        <w:rPr>
          <w:lang w:val="en-US"/>
        </w:rPr>
      </w:pPr>
      <w:r w:rsidRPr="008C4CAB">
        <w:rPr>
          <w:noProof/>
          <w:lang w:val="en-US"/>
          <w14:ligatures w14:val="standardContextual"/>
        </w:rPr>
        <w:lastRenderedPageBreak/>
        <w:drawing>
          <wp:inline distT="0" distB="0" distL="0" distR="0" wp14:anchorId="45E5CB39" wp14:editId="534132B4">
            <wp:extent cx="5663533" cy="7884810"/>
            <wp:effectExtent l="0" t="0" r="1270" b="1905"/>
            <wp:docPr id="154937400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74007" name="Grafik 1549374007"/>
                    <pic:cNvPicPr/>
                  </pic:nvPicPr>
                  <pic:blipFill rotWithShape="1">
                    <a:blip r:embed="rId12" cstate="print">
                      <a:extLst>
                        <a:ext uri="{28A0092B-C50C-407E-A947-70E740481C1C}">
                          <a14:useLocalDpi xmlns:a14="http://schemas.microsoft.com/office/drawing/2010/main" val="0"/>
                        </a:ext>
                      </a:extLst>
                    </a:blip>
                    <a:srcRect l="15696" t="5484" r="16414"/>
                    <a:stretch>
                      <a:fillRect/>
                    </a:stretch>
                  </pic:blipFill>
                  <pic:spPr bwMode="auto">
                    <a:xfrm>
                      <a:off x="0" y="0"/>
                      <a:ext cx="5683191" cy="7912178"/>
                    </a:xfrm>
                    <a:prstGeom prst="rect">
                      <a:avLst/>
                    </a:prstGeom>
                    <a:ln>
                      <a:noFill/>
                    </a:ln>
                    <a:extLst>
                      <a:ext uri="{53640926-AAD7-44D8-BBD7-CCE9431645EC}">
                        <a14:shadowObscured xmlns:a14="http://schemas.microsoft.com/office/drawing/2010/main"/>
                      </a:ext>
                    </a:extLst>
                  </pic:spPr>
                </pic:pic>
              </a:graphicData>
            </a:graphic>
          </wp:inline>
        </w:drawing>
      </w:r>
    </w:p>
    <w:p w14:paraId="67F133B2" w14:textId="4AC3C91A" w:rsidR="004E67BB" w:rsidRPr="008C4CAB" w:rsidRDefault="006D0782" w:rsidP="00707B8D">
      <w:pPr>
        <w:pStyle w:val="StandardWeb"/>
        <w:tabs>
          <w:tab w:val="left" w:pos="2880"/>
        </w:tabs>
        <w:spacing w:line="480" w:lineRule="auto"/>
        <w:jc w:val="both"/>
        <w:rPr>
          <w:lang w:val="en-US"/>
        </w:rPr>
      </w:pPr>
      <w:r w:rsidRPr="008C4CAB">
        <w:rPr>
          <w:b/>
          <w:bCs/>
          <w:lang w:val="en-US"/>
        </w:rPr>
        <w:t xml:space="preserve">Supplemental Figure 5: </w:t>
      </w:r>
      <w:r w:rsidRPr="008C4CAB">
        <w:rPr>
          <w:lang w:val="en-US"/>
        </w:rPr>
        <w:t xml:space="preserve">a–e, Multidimensional scaling (MDS) analyses of spatial transcriptomic data colored by age, post-mortem interval (PMI), RNA quality (DV200), disease </w:t>
      </w:r>
      <w:r w:rsidRPr="008C4CAB">
        <w:rPr>
          <w:lang w:val="en-US"/>
        </w:rPr>
        <w:lastRenderedPageBreak/>
        <w:t xml:space="preserve">group, and </w:t>
      </w:r>
      <w:proofErr w:type="spellStart"/>
      <w:r w:rsidRPr="008C4CAB">
        <w:rPr>
          <w:lang w:val="en-US"/>
        </w:rPr>
        <w:t>Visium</w:t>
      </w:r>
      <w:proofErr w:type="spellEnd"/>
      <w:r w:rsidRPr="008C4CAB">
        <w:rPr>
          <w:lang w:val="en-US"/>
        </w:rPr>
        <w:t xml:space="preserve"> kit batch. Individual points represent biologically independent donor samples. A visible gradient along MDS2 was associated with PMI and </w:t>
      </w:r>
      <w:proofErr w:type="spellStart"/>
      <w:r w:rsidRPr="008C4CAB">
        <w:rPr>
          <w:lang w:val="en-US"/>
        </w:rPr>
        <w:t>Visium</w:t>
      </w:r>
      <w:proofErr w:type="spellEnd"/>
      <w:r w:rsidRPr="008C4CAB">
        <w:rPr>
          <w:lang w:val="en-US"/>
        </w:rPr>
        <w:t xml:space="preserve"> kit batch, consistent with partial confounding between these variables. No discrete clustering by disease group was observed.</w:t>
      </w:r>
    </w:p>
    <w:p w14:paraId="2AB78B22" w14:textId="77777777" w:rsidR="00AC46D0" w:rsidRPr="008C4CAB" w:rsidRDefault="00AC46D0" w:rsidP="00707B8D">
      <w:pPr>
        <w:pStyle w:val="StandardWeb"/>
        <w:tabs>
          <w:tab w:val="left" w:pos="2880"/>
        </w:tabs>
        <w:spacing w:line="480" w:lineRule="auto"/>
        <w:jc w:val="both"/>
        <w:rPr>
          <w:lang w:val="en-US"/>
        </w:rPr>
      </w:pPr>
    </w:p>
    <w:p w14:paraId="57D37DEA" w14:textId="77777777" w:rsidR="00AC46D0" w:rsidRPr="008C4CAB" w:rsidRDefault="00AC46D0" w:rsidP="00707B8D">
      <w:pPr>
        <w:pStyle w:val="StandardWeb"/>
        <w:tabs>
          <w:tab w:val="left" w:pos="2880"/>
        </w:tabs>
        <w:spacing w:line="480" w:lineRule="auto"/>
        <w:jc w:val="both"/>
        <w:rPr>
          <w:lang w:val="en-US"/>
        </w:rPr>
      </w:pPr>
    </w:p>
    <w:p w14:paraId="77FA2BB6" w14:textId="77777777" w:rsidR="00AC46D0" w:rsidRPr="008C4CAB" w:rsidRDefault="00AC46D0" w:rsidP="00707B8D">
      <w:pPr>
        <w:pStyle w:val="StandardWeb"/>
        <w:tabs>
          <w:tab w:val="left" w:pos="2880"/>
        </w:tabs>
        <w:spacing w:line="480" w:lineRule="auto"/>
        <w:jc w:val="both"/>
        <w:rPr>
          <w:lang w:val="en-US"/>
        </w:rPr>
      </w:pPr>
    </w:p>
    <w:p w14:paraId="6B2A050D" w14:textId="77777777" w:rsidR="00AC46D0" w:rsidRPr="008C4CAB" w:rsidRDefault="00AC46D0" w:rsidP="00707B8D">
      <w:pPr>
        <w:pStyle w:val="StandardWeb"/>
        <w:tabs>
          <w:tab w:val="left" w:pos="2880"/>
        </w:tabs>
        <w:spacing w:line="480" w:lineRule="auto"/>
        <w:jc w:val="both"/>
        <w:rPr>
          <w:lang w:val="en-US"/>
        </w:rPr>
      </w:pPr>
    </w:p>
    <w:p w14:paraId="0A3C63D0" w14:textId="77777777" w:rsidR="00AC46D0" w:rsidRPr="008C4CAB" w:rsidRDefault="00AC46D0" w:rsidP="00707B8D">
      <w:pPr>
        <w:pStyle w:val="StandardWeb"/>
        <w:tabs>
          <w:tab w:val="left" w:pos="2880"/>
        </w:tabs>
        <w:spacing w:line="480" w:lineRule="auto"/>
        <w:jc w:val="both"/>
        <w:rPr>
          <w:lang w:val="en-US"/>
        </w:rPr>
      </w:pPr>
    </w:p>
    <w:p w14:paraId="7AB2971E" w14:textId="77777777" w:rsidR="00AC46D0" w:rsidRPr="008C4CAB" w:rsidRDefault="00AC46D0" w:rsidP="00707B8D">
      <w:pPr>
        <w:pStyle w:val="StandardWeb"/>
        <w:tabs>
          <w:tab w:val="left" w:pos="2880"/>
        </w:tabs>
        <w:spacing w:line="480" w:lineRule="auto"/>
        <w:jc w:val="both"/>
        <w:rPr>
          <w:lang w:val="en-US"/>
        </w:rPr>
      </w:pPr>
    </w:p>
    <w:p w14:paraId="6166CFB6" w14:textId="77777777" w:rsidR="00AC46D0" w:rsidRPr="008C4CAB" w:rsidRDefault="00AC46D0" w:rsidP="00707B8D">
      <w:pPr>
        <w:pStyle w:val="StandardWeb"/>
        <w:tabs>
          <w:tab w:val="left" w:pos="2880"/>
        </w:tabs>
        <w:spacing w:line="480" w:lineRule="auto"/>
        <w:jc w:val="both"/>
        <w:rPr>
          <w:lang w:val="en-US"/>
        </w:rPr>
      </w:pPr>
    </w:p>
    <w:p w14:paraId="419953C4" w14:textId="77777777" w:rsidR="00AC46D0" w:rsidRPr="008C4CAB" w:rsidRDefault="00AC46D0" w:rsidP="00707B8D">
      <w:pPr>
        <w:pStyle w:val="StandardWeb"/>
        <w:tabs>
          <w:tab w:val="left" w:pos="2880"/>
        </w:tabs>
        <w:spacing w:line="480" w:lineRule="auto"/>
        <w:jc w:val="both"/>
        <w:rPr>
          <w:lang w:val="en-US"/>
        </w:rPr>
      </w:pPr>
    </w:p>
    <w:p w14:paraId="605322D8" w14:textId="77777777" w:rsidR="00AC46D0" w:rsidRPr="008C4CAB" w:rsidRDefault="00AC46D0" w:rsidP="00707B8D">
      <w:pPr>
        <w:pStyle w:val="StandardWeb"/>
        <w:tabs>
          <w:tab w:val="left" w:pos="2880"/>
        </w:tabs>
        <w:spacing w:line="480" w:lineRule="auto"/>
        <w:jc w:val="both"/>
        <w:rPr>
          <w:lang w:val="en-US"/>
        </w:rPr>
      </w:pPr>
    </w:p>
    <w:p w14:paraId="14322477" w14:textId="77777777" w:rsidR="00AC46D0" w:rsidRPr="008C4CAB" w:rsidRDefault="00AC46D0" w:rsidP="00707B8D">
      <w:pPr>
        <w:pStyle w:val="StandardWeb"/>
        <w:tabs>
          <w:tab w:val="left" w:pos="2880"/>
        </w:tabs>
        <w:spacing w:line="480" w:lineRule="auto"/>
        <w:jc w:val="both"/>
        <w:rPr>
          <w:lang w:val="en-US"/>
        </w:rPr>
      </w:pPr>
    </w:p>
    <w:p w14:paraId="388CE6FF" w14:textId="77777777" w:rsidR="00AC46D0" w:rsidRPr="008C4CAB" w:rsidRDefault="00AC46D0" w:rsidP="00707B8D">
      <w:pPr>
        <w:pStyle w:val="StandardWeb"/>
        <w:tabs>
          <w:tab w:val="left" w:pos="2880"/>
        </w:tabs>
        <w:spacing w:line="480" w:lineRule="auto"/>
        <w:jc w:val="both"/>
        <w:rPr>
          <w:lang w:val="en-US"/>
        </w:rPr>
      </w:pPr>
    </w:p>
    <w:p w14:paraId="6FBAC23C" w14:textId="420D1700" w:rsidR="00E36D67" w:rsidRPr="008C4CAB" w:rsidRDefault="00A126CF" w:rsidP="00E36D67">
      <w:pPr>
        <w:pStyle w:val="StandardWeb"/>
        <w:tabs>
          <w:tab w:val="left" w:pos="2880"/>
        </w:tabs>
        <w:spacing w:line="480" w:lineRule="auto"/>
        <w:jc w:val="center"/>
        <w:rPr>
          <w:lang w:val="en-US"/>
        </w:rPr>
      </w:pPr>
      <w:r w:rsidRPr="008C4CAB">
        <w:rPr>
          <w:noProof/>
          <w:lang w:val="en-US"/>
          <w14:ligatures w14:val="standardContextual"/>
        </w:rPr>
        <w:lastRenderedPageBreak/>
        <w:drawing>
          <wp:inline distT="0" distB="0" distL="0" distR="0" wp14:anchorId="0B3840C2" wp14:editId="0C9FAF2C">
            <wp:extent cx="5756910" cy="3365500"/>
            <wp:effectExtent l="0" t="0" r="0" b="0"/>
            <wp:docPr id="200720575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05757" name="Grafik 200720575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910" cy="3365500"/>
                    </a:xfrm>
                    <a:prstGeom prst="rect">
                      <a:avLst/>
                    </a:prstGeom>
                  </pic:spPr>
                </pic:pic>
              </a:graphicData>
            </a:graphic>
          </wp:inline>
        </w:drawing>
      </w:r>
    </w:p>
    <w:p w14:paraId="6DA4290E" w14:textId="4CAE7647" w:rsidR="00BC5EA9" w:rsidRPr="008C4CAB" w:rsidRDefault="00BC5EA9"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6: </w:t>
      </w:r>
      <w:r w:rsidR="00A126CF" w:rsidRPr="008C4CAB">
        <w:rPr>
          <w:lang w:val="en-US"/>
        </w:rPr>
        <w:t xml:space="preserve">Representative photomicrographs and corresponding bar graphs illustrating the abundance of TH and NPY in Ctrl, </w:t>
      </w:r>
      <w:proofErr w:type="spellStart"/>
      <w:r w:rsidR="00A126CF" w:rsidRPr="008C4CAB">
        <w:rPr>
          <w:lang w:val="en-US"/>
        </w:rPr>
        <w:t>iLBD</w:t>
      </w:r>
      <w:proofErr w:type="spellEnd"/>
      <w:r w:rsidR="00A126CF" w:rsidRPr="008C4CAB">
        <w:rPr>
          <w:lang w:val="en-US"/>
        </w:rPr>
        <w:t xml:space="preserve">, and PD cases. Data are presented as mean ± SEM, and individual points represent biologically independent donor samples (n = 5 per group). Statistical significance was assessed using ordinary one-way ANOVA followed by Dunnett’s multiple-comparison test. Scale bar, </w:t>
      </w:r>
      <w:r w:rsidR="006C3DB6" w:rsidRPr="008C4CAB">
        <w:rPr>
          <w:lang w:val="en-US"/>
        </w:rPr>
        <w:t xml:space="preserve">50 </w:t>
      </w:r>
      <w:r w:rsidR="00A126CF" w:rsidRPr="008C4CAB">
        <w:rPr>
          <w:lang w:val="en-US"/>
        </w:rPr>
        <w:t>µm. Source data are provided as a Source Data file.</w:t>
      </w:r>
    </w:p>
    <w:p w14:paraId="19836417"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7A23F672"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66F95DF0"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16A3B245"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0D99E05B" w14:textId="6B5AE839" w:rsidR="00BC5EA9" w:rsidRPr="008C4CAB" w:rsidRDefault="00E36D67" w:rsidP="002F79C8">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lastRenderedPageBreak/>
        <w:drawing>
          <wp:inline distT="0" distB="0" distL="0" distR="0" wp14:anchorId="198BB311" wp14:editId="3D5EAF89">
            <wp:extent cx="5606321" cy="5639421"/>
            <wp:effectExtent l="0" t="0" r="0" b="0"/>
            <wp:docPr id="3043305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30534" name="Grafik 304330534"/>
                    <pic:cNvPicPr/>
                  </pic:nvPicPr>
                  <pic:blipFill rotWithShape="1">
                    <a:blip r:embed="rId14" cstate="print">
                      <a:extLst>
                        <a:ext uri="{28A0092B-C50C-407E-A947-70E740481C1C}">
                          <a14:useLocalDpi xmlns:a14="http://schemas.microsoft.com/office/drawing/2010/main" val="0"/>
                        </a:ext>
                      </a:extLst>
                    </a:blip>
                    <a:srcRect l="5989" t="11311" r="4178" b="7408"/>
                    <a:stretch>
                      <a:fillRect/>
                    </a:stretch>
                  </pic:blipFill>
                  <pic:spPr bwMode="auto">
                    <a:xfrm>
                      <a:off x="0" y="0"/>
                      <a:ext cx="5613320" cy="5646462"/>
                    </a:xfrm>
                    <a:prstGeom prst="rect">
                      <a:avLst/>
                    </a:prstGeom>
                    <a:ln>
                      <a:noFill/>
                    </a:ln>
                    <a:extLst>
                      <a:ext uri="{53640926-AAD7-44D8-BBD7-CCE9431645EC}">
                        <a14:shadowObscured xmlns:a14="http://schemas.microsoft.com/office/drawing/2010/main"/>
                      </a:ext>
                    </a:extLst>
                  </pic:spPr>
                </pic:pic>
              </a:graphicData>
            </a:graphic>
          </wp:inline>
        </w:drawing>
      </w:r>
    </w:p>
    <w:p w14:paraId="41CEBF31" w14:textId="2873894B" w:rsidR="00E36D67" w:rsidRPr="008C4CAB" w:rsidRDefault="00A126CF"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7: </w:t>
      </w:r>
      <w:r w:rsidRPr="008C4CAB">
        <w:rPr>
          <w:lang w:val="en-US"/>
        </w:rPr>
        <w:t xml:space="preserve">Bar graph and accompanying table showing the number of differentially expressed genes (DEGs) between the indicated groups across the respective spatial gene clusters listed in the lower table (left). </w:t>
      </w:r>
      <w:proofErr w:type="spellStart"/>
      <w:r w:rsidRPr="008C4CAB">
        <w:rPr>
          <w:lang w:val="en-US"/>
        </w:rPr>
        <w:t>CerPed</w:t>
      </w:r>
      <w:proofErr w:type="spellEnd"/>
      <w:r w:rsidRPr="008C4CAB">
        <w:rPr>
          <w:lang w:val="en-US"/>
        </w:rPr>
        <w:t xml:space="preserve">, cerebral peduncle; Fibers, fiber tracts; </w:t>
      </w:r>
      <w:proofErr w:type="spellStart"/>
      <w:r w:rsidRPr="008C4CAB">
        <w:rPr>
          <w:lang w:val="en-US"/>
        </w:rPr>
        <w:t>SNpc</w:t>
      </w:r>
      <w:proofErr w:type="spellEnd"/>
      <w:r w:rsidRPr="008C4CAB">
        <w:rPr>
          <w:lang w:val="en-US"/>
        </w:rPr>
        <w:t xml:space="preserve">, substantia nigra pars compacta; </w:t>
      </w:r>
      <w:proofErr w:type="spellStart"/>
      <w:r w:rsidRPr="008C4CAB">
        <w:rPr>
          <w:lang w:val="en-US"/>
        </w:rPr>
        <w:t>SNpr</w:t>
      </w:r>
      <w:proofErr w:type="spellEnd"/>
      <w:r w:rsidRPr="008C4CAB">
        <w:rPr>
          <w:lang w:val="en-US"/>
        </w:rPr>
        <w:t xml:space="preserve">, substantia nigra pars reticulata; </w:t>
      </w:r>
      <w:proofErr w:type="spellStart"/>
      <w:r w:rsidRPr="008C4CAB">
        <w:rPr>
          <w:lang w:val="en-US"/>
        </w:rPr>
        <w:t>SNtrans</w:t>
      </w:r>
      <w:proofErr w:type="spellEnd"/>
      <w:r w:rsidRPr="008C4CAB">
        <w:rPr>
          <w:lang w:val="en-US"/>
        </w:rPr>
        <w:t xml:space="preserve">, substantia nigra transition zone. Red bars indicate upregulated genes, and green bars indicate downregulated genes. Differential expression analysis was performed as described in the Methods section. </w:t>
      </w:r>
    </w:p>
    <w:p w14:paraId="40600604"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599D17DF"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5A57897E"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67D51878"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4FBC2A86"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19638DC8" w14:textId="42DCA8E2" w:rsidR="005D6CE2" w:rsidRPr="008C4CAB" w:rsidRDefault="00E36D67" w:rsidP="002F79C8">
      <w:pPr>
        <w:pStyle w:val="StandardWeb"/>
        <w:tabs>
          <w:tab w:val="left" w:pos="2880"/>
        </w:tabs>
        <w:spacing w:before="0" w:beforeAutospacing="0" w:after="0" w:afterAutospacing="0" w:line="480" w:lineRule="auto"/>
        <w:jc w:val="both"/>
        <w:rPr>
          <w:b/>
          <w:bCs/>
          <w:lang w:val="en-US"/>
        </w:rPr>
      </w:pPr>
      <w:r w:rsidRPr="008C4CAB">
        <w:rPr>
          <w:noProof/>
          <w:lang w:val="en-US"/>
          <w14:ligatures w14:val="standardContextual"/>
        </w:rPr>
        <w:drawing>
          <wp:inline distT="0" distB="0" distL="0" distR="0" wp14:anchorId="624D0828" wp14:editId="671B0AB1">
            <wp:extent cx="4895850" cy="3790950"/>
            <wp:effectExtent l="0" t="0" r="6350" b="6350"/>
            <wp:docPr id="34514894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48942" name="Grafik 345148942"/>
                    <pic:cNvPicPr/>
                  </pic:nvPicPr>
                  <pic:blipFill rotWithShape="1">
                    <a:blip r:embed="rId15" cstate="print">
                      <a:extLst>
                        <a:ext uri="{28A0092B-C50C-407E-A947-70E740481C1C}">
                          <a14:useLocalDpi xmlns:a14="http://schemas.microsoft.com/office/drawing/2010/main" val="0"/>
                        </a:ext>
                      </a:extLst>
                    </a:blip>
                    <a:srcRect l="6286" t="9928" r="8671" b="11051"/>
                    <a:stretch>
                      <a:fillRect/>
                    </a:stretch>
                  </pic:blipFill>
                  <pic:spPr bwMode="auto">
                    <a:xfrm>
                      <a:off x="0" y="0"/>
                      <a:ext cx="4895850" cy="3790950"/>
                    </a:xfrm>
                    <a:prstGeom prst="rect">
                      <a:avLst/>
                    </a:prstGeom>
                    <a:ln>
                      <a:noFill/>
                    </a:ln>
                    <a:extLst>
                      <a:ext uri="{53640926-AAD7-44D8-BBD7-CCE9431645EC}">
                        <a14:shadowObscured xmlns:a14="http://schemas.microsoft.com/office/drawing/2010/main"/>
                      </a:ext>
                    </a:extLst>
                  </pic:spPr>
                </pic:pic>
              </a:graphicData>
            </a:graphic>
          </wp:inline>
        </w:drawing>
      </w:r>
    </w:p>
    <w:p w14:paraId="4CF847DD" w14:textId="494D0A2A" w:rsidR="00BC5EA9" w:rsidRPr="008C4CAB" w:rsidRDefault="00A126CF"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8: </w:t>
      </w:r>
      <w:proofErr w:type="gramStart"/>
      <w:r w:rsidRPr="008C4CAB">
        <w:rPr>
          <w:lang w:val="en-US"/>
        </w:rPr>
        <w:t>a,</w:t>
      </w:r>
      <w:proofErr w:type="gramEnd"/>
      <w:r w:rsidRPr="008C4CAB">
        <w:rPr>
          <w:lang w:val="en-US"/>
        </w:rPr>
        <w:t xml:space="preserve"> Bar graph showing the number of proteins detected by mass spectrometry (MS) in each cohort. b, Venn diagram showing the overlap of detected proteins between clusters and the number of proteins unique to each cluster. Source data are provided as a Source Data file.</w:t>
      </w:r>
    </w:p>
    <w:p w14:paraId="7AB8CA2D"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3C1DF9BD"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31A4158B"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3C7CDF10" w14:textId="60BEA6D4" w:rsidR="00E36D67" w:rsidRPr="008C4CAB" w:rsidRDefault="00E36D67" w:rsidP="002F79C8">
      <w:pPr>
        <w:pStyle w:val="StandardWeb"/>
        <w:tabs>
          <w:tab w:val="left" w:pos="2880"/>
        </w:tabs>
        <w:spacing w:before="0" w:beforeAutospacing="0" w:after="0" w:afterAutospacing="0" w:line="480" w:lineRule="auto"/>
        <w:jc w:val="both"/>
        <w:rPr>
          <w:lang w:val="en-US"/>
        </w:rPr>
      </w:pPr>
      <w:r w:rsidRPr="008C4CAB">
        <w:rPr>
          <w:b/>
          <w:bCs/>
          <w:noProof/>
          <w14:ligatures w14:val="standardContextual"/>
        </w:rPr>
        <w:lastRenderedPageBreak/>
        <w:drawing>
          <wp:inline distT="0" distB="0" distL="0" distR="0" wp14:anchorId="0D12F241" wp14:editId="215CE157">
            <wp:extent cx="5638800" cy="3413967"/>
            <wp:effectExtent l="0" t="0" r="0" b="2540"/>
            <wp:docPr id="9340119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1199" name="Grafik 93401199"/>
                    <pic:cNvPicPr/>
                  </pic:nvPicPr>
                  <pic:blipFill rotWithShape="1">
                    <a:blip r:embed="rId16">
                      <a:extLst>
                        <a:ext uri="{28A0092B-C50C-407E-A947-70E740481C1C}">
                          <a14:useLocalDpi xmlns:a14="http://schemas.microsoft.com/office/drawing/2010/main" val="0"/>
                        </a:ext>
                      </a:extLst>
                    </a:blip>
                    <a:srcRect t="21239"/>
                    <a:stretch>
                      <a:fillRect/>
                    </a:stretch>
                  </pic:blipFill>
                  <pic:spPr bwMode="auto">
                    <a:xfrm>
                      <a:off x="0" y="0"/>
                      <a:ext cx="5654231" cy="3423310"/>
                    </a:xfrm>
                    <a:prstGeom prst="rect">
                      <a:avLst/>
                    </a:prstGeom>
                    <a:ln>
                      <a:noFill/>
                    </a:ln>
                    <a:extLst>
                      <a:ext uri="{53640926-AAD7-44D8-BBD7-CCE9431645EC}">
                        <a14:shadowObscured xmlns:a14="http://schemas.microsoft.com/office/drawing/2010/main"/>
                      </a:ext>
                    </a:extLst>
                  </pic:spPr>
                </pic:pic>
              </a:graphicData>
            </a:graphic>
          </wp:inline>
        </w:drawing>
      </w:r>
    </w:p>
    <w:p w14:paraId="60C2A70E" w14:textId="42B76EC4" w:rsidR="00E36D67" w:rsidRPr="008C4CAB" w:rsidRDefault="00E36D67" w:rsidP="00E36D67">
      <w:pPr>
        <w:pStyle w:val="StandardWeb"/>
        <w:tabs>
          <w:tab w:val="left" w:pos="2880"/>
        </w:tabs>
        <w:spacing w:before="0" w:beforeAutospacing="0" w:after="0" w:afterAutospacing="0" w:line="480" w:lineRule="auto"/>
        <w:jc w:val="center"/>
        <w:rPr>
          <w:lang w:val="en-US"/>
        </w:rPr>
      </w:pPr>
    </w:p>
    <w:p w14:paraId="03510465" w14:textId="46873A89" w:rsidR="00BC5EA9" w:rsidRPr="008C4CAB" w:rsidRDefault="00A126CF" w:rsidP="002F79C8">
      <w:pPr>
        <w:pStyle w:val="StandardWeb"/>
        <w:spacing w:before="0" w:beforeAutospacing="0" w:after="0" w:afterAutospacing="0" w:line="480" w:lineRule="auto"/>
        <w:jc w:val="both"/>
        <w:rPr>
          <w:b/>
          <w:bCs/>
        </w:rPr>
      </w:pPr>
      <w:proofErr w:type="spellStart"/>
      <w:r w:rsidRPr="008C4CAB">
        <w:rPr>
          <w:b/>
          <w:bCs/>
        </w:rPr>
        <w:t>Supplemental</w:t>
      </w:r>
      <w:proofErr w:type="spellEnd"/>
      <w:r w:rsidRPr="008C4CAB">
        <w:rPr>
          <w:b/>
          <w:bCs/>
        </w:rPr>
        <w:t xml:space="preserve"> Figure 9: </w:t>
      </w:r>
      <w:r w:rsidRPr="008C4CAB">
        <w:t xml:space="preserve">Principal </w:t>
      </w:r>
      <w:proofErr w:type="spellStart"/>
      <w:r w:rsidRPr="008C4CAB">
        <w:t>component</w:t>
      </w:r>
      <w:proofErr w:type="spellEnd"/>
      <w:r w:rsidRPr="008C4CAB">
        <w:t xml:space="preserve"> </w:t>
      </w:r>
      <w:proofErr w:type="spellStart"/>
      <w:r w:rsidRPr="008C4CAB">
        <w:t>analysis</w:t>
      </w:r>
      <w:proofErr w:type="spellEnd"/>
      <w:r w:rsidRPr="008C4CAB">
        <w:t xml:space="preserve"> (PCA) </w:t>
      </w:r>
      <w:proofErr w:type="spellStart"/>
      <w:r w:rsidRPr="008C4CAB">
        <w:t>of</w:t>
      </w:r>
      <w:proofErr w:type="spellEnd"/>
      <w:r w:rsidRPr="008C4CAB">
        <w:t xml:space="preserve"> </w:t>
      </w:r>
      <w:proofErr w:type="spellStart"/>
      <w:r w:rsidRPr="008C4CAB">
        <w:t>spatial</w:t>
      </w:r>
      <w:proofErr w:type="spellEnd"/>
      <w:r w:rsidRPr="008C4CAB">
        <w:t xml:space="preserve"> </w:t>
      </w:r>
      <w:proofErr w:type="spellStart"/>
      <w:r w:rsidRPr="008C4CAB">
        <w:t>proteomic</w:t>
      </w:r>
      <w:proofErr w:type="spellEnd"/>
      <w:r w:rsidRPr="008C4CAB">
        <w:t xml:space="preserve"> </w:t>
      </w:r>
      <w:proofErr w:type="spellStart"/>
      <w:r w:rsidRPr="008C4CAB">
        <w:t>data</w:t>
      </w:r>
      <w:proofErr w:type="spellEnd"/>
      <w:r w:rsidRPr="008C4CAB">
        <w:t xml:space="preserve"> </w:t>
      </w:r>
      <w:proofErr w:type="spellStart"/>
      <w:r w:rsidRPr="008C4CAB">
        <w:t>demonstrating</w:t>
      </w:r>
      <w:proofErr w:type="spellEnd"/>
      <w:r w:rsidRPr="008C4CAB">
        <w:t xml:space="preserve"> </w:t>
      </w:r>
      <w:proofErr w:type="spellStart"/>
      <w:r w:rsidRPr="008C4CAB">
        <w:t>segregation</w:t>
      </w:r>
      <w:proofErr w:type="spellEnd"/>
      <w:r w:rsidRPr="008C4CAB">
        <w:t xml:space="preserve"> </w:t>
      </w:r>
      <w:proofErr w:type="spellStart"/>
      <w:r w:rsidRPr="008C4CAB">
        <w:t>of</w:t>
      </w:r>
      <w:proofErr w:type="spellEnd"/>
      <w:r w:rsidRPr="008C4CAB">
        <w:t xml:space="preserve"> </w:t>
      </w:r>
      <w:proofErr w:type="spellStart"/>
      <w:r w:rsidRPr="008C4CAB">
        <w:t>samples</w:t>
      </w:r>
      <w:proofErr w:type="spellEnd"/>
      <w:r w:rsidRPr="008C4CAB">
        <w:t xml:space="preserve"> </w:t>
      </w:r>
      <w:proofErr w:type="spellStart"/>
      <w:r w:rsidRPr="008C4CAB">
        <w:t>by</w:t>
      </w:r>
      <w:proofErr w:type="spellEnd"/>
      <w:r w:rsidRPr="008C4CAB">
        <w:t xml:space="preserve"> </w:t>
      </w:r>
      <w:proofErr w:type="spellStart"/>
      <w:r w:rsidRPr="008C4CAB">
        <w:t>anatomical</w:t>
      </w:r>
      <w:proofErr w:type="spellEnd"/>
      <w:r w:rsidRPr="008C4CAB">
        <w:t xml:space="preserve"> </w:t>
      </w:r>
      <w:proofErr w:type="spellStart"/>
      <w:r w:rsidRPr="008C4CAB">
        <w:t>compartment</w:t>
      </w:r>
      <w:proofErr w:type="spellEnd"/>
      <w:r w:rsidRPr="008C4CAB">
        <w:t xml:space="preserve">, </w:t>
      </w:r>
      <w:proofErr w:type="spellStart"/>
      <w:r w:rsidRPr="008C4CAB">
        <w:t>with</w:t>
      </w:r>
      <w:proofErr w:type="spellEnd"/>
      <w:r w:rsidRPr="008C4CAB">
        <w:t xml:space="preserve"> </w:t>
      </w:r>
      <w:proofErr w:type="spellStart"/>
      <w:r w:rsidRPr="008C4CAB">
        <w:t>substantia</w:t>
      </w:r>
      <w:proofErr w:type="spellEnd"/>
      <w:r w:rsidRPr="008C4CAB">
        <w:t xml:space="preserve"> </w:t>
      </w:r>
      <w:proofErr w:type="spellStart"/>
      <w:r w:rsidRPr="008C4CAB">
        <w:t>nigra</w:t>
      </w:r>
      <w:proofErr w:type="spellEnd"/>
      <w:r w:rsidRPr="008C4CAB">
        <w:t xml:space="preserve"> pars </w:t>
      </w:r>
      <w:proofErr w:type="spellStart"/>
      <w:r w:rsidRPr="008C4CAB">
        <w:t>compacta</w:t>
      </w:r>
      <w:proofErr w:type="spellEnd"/>
      <w:r w:rsidRPr="008C4CAB">
        <w:t xml:space="preserve"> (</w:t>
      </w:r>
      <w:proofErr w:type="spellStart"/>
      <w:r w:rsidRPr="008C4CAB">
        <w:t>yellow</w:t>
      </w:r>
      <w:proofErr w:type="spellEnd"/>
      <w:r w:rsidRPr="008C4CAB">
        <w:t xml:space="preserve">) </w:t>
      </w:r>
      <w:proofErr w:type="spellStart"/>
      <w:r w:rsidRPr="008C4CAB">
        <w:t>separated</w:t>
      </w:r>
      <w:proofErr w:type="spellEnd"/>
      <w:r w:rsidRPr="008C4CAB">
        <w:t xml:space="preserve"> </w:t>
      </w:r>
      <w:proofErr w:type="spellStart"/>
      <w:r w:rsidRPr="008C4CAB">
        <w:t>from</w:t>
      </w:r>
      <w:proofErr w:type="spellEnd"/>
      <w:r w:rsidRPr="008C4CAB">
        <w:t xml:space="preserve"> fiber-</w:t>
      </w:r>
      <w:proofErr w:type="spellStart"/>
      <w:r w:rsidRPr="008C4CAB">
        <w:t>rich</w:t>
      </w:r>
      <w:proofErr w:type="spellEnd"/>
      <w:r w:rsidRPr="008C4CAB">
        <w:t xml:space="preserve"> </w:t>
      </w:r>
      <w:proofErr w:type="spellStart"/>
      <w:r w:rsidRPr="008C4CAB">
        <w:t>regions</w:t>
      </w:r>
      <w:proofErr w:type="spellEnd"/>
      <w:r w:rsidRPr="008C4CAB">
        <w:t xml:space="preserve"> (</w:t>
      </w:r>
      <w:proofErr w:type="spellStart"/>
      <w:r w:rsidRPr="008C4CAB">
        <w:t>green</w:t>
      </w:r>
      <w:proofErr w:type="spellEnd"/>
      <w:r w:rsidRPr="008C4CAB">
        <w:t xml:space="preserve">). Individual </w:t>
      </w:r>
      <w:proofErr w:type="spellStart"/>
      <w:r w:rsidRPr="008C4CAB">
        <w:t>points</w:t>
      </w:r>
      <w:proofErr w:type="spellEnd"/>
      <w:r w:rsidRPr="008C4CAB">
        <w:t xml:space="preserve"> </w:t>
      </w:r>
      <w:proofErr w:type="spellStart"/>
      <w:r w:rsidRPr="008C4CAB">
        <w:t>represent</w:t>
      </w:r>
      <w:proofErr w:type="spellEnd"/>
      <w:r w:rsidRPr="008C4CAB">
        <w:t xml:space="preserve"> </w:t>
      </w:r>
      <w:proofErr w:type="spellStart"/>
      <w:r w:rsidRPr="008C4CAB">
        <w:t>biologically</w:t>
      </w:r>
      <w:proofErr w:type="spellEnd"/>
      <w:r w:rsidRPr="008C4CAB">
        <w:t xml:space="preserve"> </w:t>
      </w:r>
      <w:proofErr w:type="spellStart"/>
      <w:r w:rsidRPr="008C4CAB">
        <w:t>independent</w:t>
      </w:r>
      <w:proofErr w:type="spellEnd"/>
      <w:r w:rsidRPr="008C4CAB">
        <w:t xml:space="preserve"> </w:t>
      </w:r>
      <w:proofErr w:type="spellStart"/>
      <w:r w:rsidRPr="008C4CAB">
        <w:t>donor</w:t>
      </w:r>
      <w:proofErr w:type="spellEnd"/>
      <w:r w:rsidRPr="008C4CAB">
        <w:t xml:space="preserve"> </w:t>
      </w:r>
      <w:proofErr w:type="spellStart"/>
      <w:r w:rsidRPr="008C4CAB">
        <w:t>samples</w:t>
      </w:r>
      <w:proofErr w:type="spellEnd"/>
      <w:r w:rsidRPr="008C4CAB">
        <w:t xml:space="preserve">. </w:t>
      </w:r>
      <w:proofErr w:type="spellStart"/>
      <w:r w:rsidRPr="008C4CAB">
        <w:t>No</w:t>
      </w:r>
      <w:proofErr w:type="spellEnd"/>
      <w:r w:rsidRPr="008C4CAB">
        <w:t xml:space="preserve"> </w:t>
      </w:r>
      <w:proofErr w:type="spellStart"/>
      <w:r w:rsidRPr="008C4CAB">
        <w:t>segregation</w:t>
      </w:r>
      <w:proofErr w:type="spellEnd"/>
      <w:r w:rsidRPr="008C4CAB">
        <w:t xml:space="preserve"> </w:t>
      </w:r>
      <w:proofErr w:type="spellStart"/>
      <w:r w:rsidRPr="008C4CAB">
        <w:t>by</w:t>
      </w:r>
      <w:proofErr w:type="spellEnd"/>
      <w:r w:rsidRPr="008C4CAB">
        <w:t xml:space="preserve"> </w:t>
      </w:r>
      <w:proofErr w:type="spellStart"/>
      <w:r w:rsidRPr="008C4CAB">
        <w:t>brain</w:t>
      </w:r>
      <w:proofErr w:type="spellEnd"/>
      <w:r w:rsidRPr="008C4CAB">
        <w:t xml:space="preserve"> </w:t>
      </w:r>
      <w:proofErr w:type="spellStart"/>
      <w:r w:rsidRPr="008C4CAB">
        <w:t>bank</w:t>
      </w:r>
      <w:proofErr w:type="spellEnd"/>
      <w:r w:rsidRPr="008C4CAB">
        <w:t xml:space="preserve"> </w:t>
      </w:r>
      <w:proofErr w:type="spellStart"/>
      <w:r w:rsidRPr="008C4CAB">
        <w:t>or</w:t>
      </w:r>
      <w:proofErr w:type="spellEnd"/>
      <w:r w:rsidRPr="008C4CAB">
        <w:t xml:space="preserve"> </w:t>
      </w:r>
      <w:proofErr w:type="spellStart"/>
      <w:r w:rsidRPr="008C4CAB">
        <w:t>diagnostic</w:t>
      </w:r>
      <w:proofErr w:type="spellEnd"/>
      <w:r w:rsidRPr="008C4CAB">
        <w:t xml:space="preserve"> </w:t>
      </w:r>
      <w:proofErr w:type="spellStart"/>
      <w:r w:rsidRPr="008C4CAB">
        <w:t>group</w:t>
      </w:r>
      <w:proofErr w:type="spellEnd"/>
      <w:r w:rsidRPr="008C4CAB">
        <w:t xml:space="preserve"> was </w:t>
      </w:r>
      <w:proofErr w:type="spellStart"/>
      <w:r w:rsidRPr="008C4CAB">
        <w:t>observed</w:t>
      </w:r>
      <w:proofErr w:type="spellEnd"/>
      <w:r w:rsidRPr="008C4CAB">
        <w:t>.</w:t>
      </w:r>
      <w:r w:rsidRPr="008C4CAB">
        <w:rPr>
          <w:lang w:val="en-US"/>
        </w:rPr>
        <w:t xml:space="preserve"> Source data are provided as a Source Data file.</w:t>
      </w:r>
    </w:p>
    <w:p w14:paraId="7952A685" w14:textId="77777777" w:rsidR="00E36D67" w:rsidRPr="008C4CAB" w:rsidRDefault="00E36D67" w:rsidP="002F79C8">
      <w:pPr>
        <w:pStyle w:val="StandardWeb"/>
        <w:spacing w:before="0" w:beforeAutospacing="0" w:after="0" w:afterAutospacing="0" w:line="480" w:lineRule="auto"/>
        <w:jc w:val="both"/>
        <w:rPr>
          <w:b/>
          <w:bCs/>
        </w:rPr>
      </w:pPr>
    </w:p>
    <w:p w14:paraId="79FA4AC4" w14:textId="77777777" w:rsidR="00E36D67" w:rsidRPr="008C4CAB" w:rsidRDefault="00E36D67" w:rsidP="002F79C8">
      <w:pPr>
        <w:pStyle w:val="StandardWeb"/>
        <w:spacing w:before="0" w:beforeAutospacing="0" w:after="0" w:afterAutospacing="0" w:line="480" w:lineRule="auto"/>
        <w:jc w:val="both"/>
        <w:rPr>
          <w:b/>
          <w:bCs/>
        </w:rPr>
      </w:pPr>
    </w:p>
    <w:p w14:paraId="0850BE11" w14:textId="77777777" w:rsidR="00E36D67" w:rsidRPr="008C4CAB" w:rsidRDefault="00E36D67" w:rsidP="002F79C8">
      <w:pPr>
        <w:pStyle w:val="StandardWeb"/>
        <w:spacing w:before="0" w:beforeAutospacing="0" w:after="0" w:afterAutospacing="0" w:line="480" w:lineRule="auto"/>
        <w:jc w:val="both"/>
        <w:rPr>
          <w:b/>
          <w:bCs/>
        </w:rPr>
      </w:pPr>
    </w:p>
    <w:p w14:paraId="178CD6AA" w14:textId="77777777" w:rsidR="00E36D67" w:rsidRPr="008C4CAB" w:rsidRDefault="00E36D67" w:rsidP="002F79C8">
      <w:pPr>
        <w:pStyle w:val="StandardWeb"/>
        <w:spacing w:before="0" w:beforeAutospacing="0" w:after="0" w:afterAutospacing="0" w:line="480" w:lineRule="auto"/>
        <w:jc w:val="both"/>
        <w:rPr>
          <w:b/>
          <w:bCs/>
        </w:rPr>
      </w:pPr>
    </w:p>
    <w:p w14:paraId="4481CAFA" w14:textId="77777777" w:rsidR="00E36D67" w:rsidRPr="008C4CAB" w:rsidRDefault="00E36D67" w:rsidP="002F79C8">
      <w:pPr>
        <w:pStyle w:val="StandardWeb"/>
        <w:spacing w:before="0" w:beforeAutospacing="0" w:after="0" w:afterAutospacing="0" w:line="480" w:lineRule="auto"/>
        <w:jc w:val="both"/>
        <w:rPr>
          <w:b/>
          <w:bCs/>
        </w:rPr>
      </w:pPr>
    </w:p>
    <w:p w14:paraId="46D8293F" w14:textId="77777777" w:rsidR="00E36D67" w:rsidRPr="008C4CAB" w:rsidRDefault="00E36D67" w:rsidP="002F79C8">
      <w:pPr>
        <w:pStyle w:val="StandardWeb"/>
        <w:spacing w:before="0" w:beforeAutospacing="0" w:after="0" w:afterAutospacing="0" w:line="480" w:lineRule="auto"/>
        <w:jc w:val="both"/>
        <w:rPr>
          <w:b/>
          <w:bCs/>
        </w:rPr>
      </w:pPr>
    </w:p>
    <w:p w14:paraId="0F1DDA07" w14:textId="77777777" w:rsidR="00E36D67" w:rsidRPr="008C4CAB" w:rsidRDefault="00E36D67" w:rsidP="002F79C8">
      <w:pPr>
        <w:pStyle w:val="StandardWeb"/>
        <w:spacing w:before="0" w:beforeAutospacing="0" w:after="0" w:afterAutospacing="0" w:line="480" w:lineRule="auto"/>
        <w:jc w:val="both"/>
        <w:rPr>
          <w:b/>
          <w:bCs/>
        </w:rPr>
      </w:pPr>
    </w:p>
    <w:p w14:paraId="0AD41A20" w14:textId="77777777" w:rsidR="00E36D67" w:rsidRPr="008C4CAB" w:rsidRDefault="00E36D67" w:rsidP="002F79C8">
      <w:pPr>
        <w:pStyle w:val="StandardWeb"/>
        <w:spacing w:before="0" w:beforeAutospacing="0" w:after="0" w:afterAutospacing="0" w:line="480" w:lineRule="auto"/>
        <w:jc w:val="both"/>
        <w:rPr>
          <w:b/>
          <w:bCs/>
        </w:rPr>
      </w:pPr>
    </w:p>
    <w:p w14:paraId="6801A3F3" w14:textId="77777777" w:rsidR="00E36D67" w:rsidRPr="008C4CAB" w:rsidRDefault="00E36D67" w:rsidP="002F79C8">
      <w:pPr>
        <w:pStyle w:val="StandardWeb"/>
        <w:spacing w:before="0" w:beforeAutospacing="0" w:after="0" w:afterAutospacing="0" w:line="480" w:lineRule="auto"/>
        <w:jc w:val="both"/>
        <w:rPr>
          <w:b/>
          <w:bCs/>
        </w:rPr>
      </w:pPr>
    </w:p>
    <w:p w14:paraId="47FF876A" w14:textId="77777777" w:rsidR="00E36D67" w:rsidRPr="008C4CAB" w:rsidRDefault="00E36D67" w:rsidP="002F79C8">
      <w:pPr>
        <w:pStyle w:val="StandardWeb"/>
        <w:spacing w:before="0" w:beforeAutospacing="0" w:after="0" w:afterAutospacing="0" w:line="480" w:lineRule="auto"/>
        <w:jc w:val="both"/>
        <w:rPr>
          <w:b/>
          <w:bCs/>
        </w:rPr>
      </w:pPr>
    </w:p>
    <w:p w14:paraId="1E6E2223" w14:textId="6443005A" w:rsidR="00E36D67" w:rsidRPr="008C4CAB" w:rsidRDefault="00E36D67" w:rsidP="002F79C8">
      <w:pPr>
        <w:pStyle w:val="StandardWeb"/>
        <w:spacing w:before="0" w:beforeAutospacing="0" w:after="0" w:afterAutospacing="0" w:line="480" w:lineRule="auto"/>
        <w:jc w:val="both"/>
        <w:rPr>
          <w:b/>
          <w:bCs/>
        </w:rPr>
      </w:pPr>
      <w:r w:rsidRPr="008C4CAB">
        <w:rPr>
          <w:b/>
          <w:bCs/>
          <w:noProof/>
          <w14:ligatures w14:val="standardContextual"/>
        </w:rPr>
        <w:lastRenderedPageBreak/>
        <w:drawing>
          <wp:inline distT="0" distB="0" distL="0" distR="0" wp14:anchorId="797179AC" wp14:editId="7A108714">
            <wp:extent cx="5756910" cy="5505450"/>
            <wp:effectExtent l="0" t="0" r="0" b="6350"/>
            <wp:docPr id="78247596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75968" name="Grafik 782475968"/>
                    <pic:cNvPicPr/>
                  </pic:nvPicPr>
                  <pic:blipFill rotWithShape="1">
                    <a:blip r:embed="rId17" cstate="print">
                      <a:extLst>
                        <a:ext uri="{28A0092B-C50C-407E-A947-70E740481C1C}">
                          <a14:useLocalDpi xmlns:a14="http://schemas.microsoft.com/office/drawing/2010/main" val="0"/>
                        </a:ext>
                      </a:extLst>
                    </a:blip>
                    <a:srcRect t="8195" b="24145"/>
                    <a:stretch>
                      <a:fillRect/>
                    </a:stretch>
                  </pic:blipFill>
                  <pic:spPr bwMode="auto">
                    <a:xfrm>
                      <a:off x="0" y="0"/>
                      <a:ext cx="5756910" cy="5505450"/>
                    </a:xfrm>
                    <a:prstGeom prst="rect">
                      <a:avLst/>
                    </a:prstGeom>
                    <a:ln>
                      <a:noFill/>
                    </a:ln>
                    <a:extLst>
                      <a:ext uri="{53640926-AAD7-44D8-BBD7-CCE9431645EC}">
                        <a14:shadowObscured xmlns:a14="http://schemas.microsoft.com/office/drawing/2010/main"/>
                      </a:ext>
                    </a:extLst>
                  </pic:spPr>
                </pic:pic>
              </a:graphicData>
            </a:graphic>
          </wp:inline>
        </w:drawing>
      </w:r>
    </w:p>
    <w:p w14:paraId="1FCDF324" w14:textId="77777777" w:rsidR="00E36D67" w:rsidRPr="008C4CAB" w:rsidRDefault="00E36D67" w:rsidP="002F79C8">
      <w:pPr>
        <w:pStyle w:val="StandardWeb"/>
        <w:spacing w:before="0" w:beforeAutospacing="0" w:after="0" w:afterAutospacing="0" w:line="480" w:lineRule="auto"/>
        <w:jc w:val="both"/>
        <w:rPr>
          <w:b/>
          <w:bCs/>
        </w:rPr>
      </w:pPr>
    </w:p>
    <w:p w14:paraId="0DC06C46" w14:textId="6010CCDB" w:rsidR="005D6CE2" w:rsidRPr="008C4CAB" w:rsidRDefault="005D6CE2"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w:t>
      </w:r>
      <w:r w:rsidR="00BC5EA9" w:rsidRPr="008C4CAB">
        <w:rPr>
          <w:b/>
          <w:bCs/>
          <w:lang w:val="en-US"/>
        </w:rPr>
        <w:t>10</w:t>
      </w:r>
      <w:r w:rsidRPr="008C4CAB">
        <w:rPr>
          <w:b/>
          <w:bCs/>
          <w:lang w:val="en-US"/>
        </w:rPr>
        <w:t xml:space="preserve">: </w:t>
      </w:r>
      <w:r w:rsidR="00A126CF" w:rsidRPr="008C4CAB">
        <w:rPr>
          <w:lang w:val="en-US"/>
        </w:rPr>
        <w:t xml:space="preserve">a–f, Volcano plots showing the absence of significantly differentially expressed proteins (DEPs) in the </w:t>
      </w:r>
      <w:proofErr w:type="spellStart"/>
      <w:r w:rsidR="00A126CF" w:rsidRPr="008C4CAB">
        <w:rPr>
          <w:lang w:val="en-US"/>
        </w:rPr>
        <w:t>SNpc</w:t>
      </w:r>
      <w:proofErr w:type="spellEnd"/>
      <w:r w:rsidR="00A126CF" w:rsidRPr="008C4CAB">
        <w:rPr>
          <w:lang w:val="en-US"/>
        </w:rPr>
        <w:t xml:space="preserve"> cluster across the indicated comparisons. Differential expression analysis was performed as described in the Methods section. Source data are provided as a Source Data file.</w:t>
      </w:r>
    </w:p>
    <w:p w14:paraId="72F51588"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452953FE"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4841B47E"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335DCD6D"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4FFE95E3"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2647AFBB" w14:textId="6FB7F68B"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7BF473FD" w14:textId="00B7C90A" w:rsidR="00D37E0F" w:rsidRPr="008C4CAB" w:rsidRDefault="00D37E0F" w:rsidP="002F79C8">
      <w:pPr>
        <w:pStyle w:val="StandardWeb"/>
        <w:tabs>
          <w:tab w:val="left" w:pos="2880"/>
        </w:tabs>
        <w:spacing w:before="0" w:beforeAutospacing="0" w:after="0" w:afterAutospacing="0" w:line="480" w:lineRule="auto"/>
        <w:jc w:val="both"/>
        <w:rPr>
          <w:b/>
          <w:bCs/>
          <w:lang w:val="en-US"/>
        </w:rPr>
      </w:pPr>
      <w:r w:rsidRPr="008C4CAB">
        <w:rPr>
          <w:b/>
          <w:bCs/>
          <w:noProof/>
          <w:lang w:val="en-US"/>
          <w14:ligatures w14:val="standardContextual"/>
        </w:rPr>
        <w:drawing>
          <wp:inline distT="0" distB="0" distL="0" distR="0" wp14:anchorId="51F23BC0" wp14:editId="5FC9A58B">
            <wp:extent cx="5732980" cy="5024987"/>
            <wp:effectExtent l="0" t="0" r="0" b="4445"/>
            <wp:docPr id="21304311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31182" name="Grafik 2130431182"/>
                    <pic:cNvPicPr/>
                  </pic:nvPicPr>
                  <pic:blipFill rotWithShape="1">
                    <a:blip r:embed="rId18" cstate="print">
                      <a:extLst>
                        <a:ext uri="{28A0092B-C50C-407E-A947-70E740481C1C}">
                          <a14:useLocalDpi xmlns:a14="http://schemas.microsoft.com/office/drawing/2010/main" val="0"/>
                        </a:ext>
                      </a:extLst>
                    </a:blip>
                    <a:srcRect l="13615" t="6354" r="14562" b="4663"/>
                    <a:stretch>
                      <a:fillRect/>
                    </a:stretch>
                  </pic:blipFill>
                  <pic:spPr bwMode="auto">
                    <a:xfrm>
                      <a:off x="0" y="0"/>
                      <a:ext cx="5766409" cy="5054287"/>
                    </a:xfrm>
                    <a:prstGeom prst="rect">
                      <a:avLst/>
                    </a:prstGeom>
                    <a:ln>
                      <a:noFill/>
                    </a:ln>
                    <a:extLst>
                      <a:ext uri="{53640926-AAD7-44D8-BBD7-CCE9431645EC}">
                        <a14:shadowObscured xmlns:a14="http://schemas.microsoft.com/office/drawing/2010/main"/>
                      </a:ext>
                    </a:extLst>
                  </pic:spPr>
                </pic:pic>
              </a:graphicData>
            </a:graphic>
          </wp:inline>
        </w:drawing>
      </w:r>
    </w:p>
    <w:p w14:paraId="2A067440" w14:textId="204D860B" w:rsidR="005D6CE2" w:rsidRPr="008C4CAB" w:rsidRDefault="005D6CE2" w:rsidP="002F79C8">
      <w:pPr>
        <w:pStyle w:val="StandardWeb"/>
        <w:tabs>
          <w:tab w:val="left" w:pos="2880"/>
        </w:tabs>
        <w:spacing w:before="0" w:beforeAutospacing="0" w:after="0" w:afterAutospacing="0" w:line="480" w:lineRule="auto"/>
        <w:jc w:val="both"/>
        <w:rPr>
          <w:b/>
          <w:bCs/>
          <w:lang w:val="en-US"/>
        </w:rPr>
      </w:pPr>
      <w:r w:rsidRPr="008C4CAB">
        <w:rPr>
          <w:b/>
          <w:bCs/>
          <w:lang w:val="en-US"/>
        </w:rPr>
        <w:t xml:space="preserve">Supplemental Figure </w:t>
      </w:r>
      <w:r w:rsidR="00BC5EA9" w:rsidRPr="008C4CAB">
        <w:rPr>
          <w:b/>
          <w:bCs/>
          <w:lang w:val="en-US"/>
        </w:rPr>
        <w:t>11</w:t>
      </w:r>
      <w:r w:rsidRPr="008C4CAB">
        <w:rPr>
          <w:lang w:val="en-US"/>
        </w:rPr>
        <w:t xml:space="preserve">: </w:t>
      </w:r>
      <w:r w:rsidR="00701D9D" w:rsidRPr="008C4CAB">
        <w:rPr>
          <w:lang w:val="en-US"/>
        </w:rPr>
        <w:t xml:space="preserve">Effect sizes for the relationship between C1QC expression and surrounding deconvoluted cell types across spatially defined clusters (a, Substantia nigra pars reticulata; b, Substantia nigra pars compacta; c, Substantia nigra transition zone; d, Fibers; e, Cerebellar peduncles). The x-axis indicates the effect size derived from linear modeling. The strongest and most significant enrichment of C1QC expression was observed for microglia (MG_TSPO_VIM) across all clusters, whereas enrichment for inhibitory neurons (Inh_PAX5_VCAN) was specific to the </w:t>
      </w:r>
      <w:proofErr w:type="spellStart"/>
      <w:r w:rsidR="00701D9D" w:rsidRPr="008C4CAB">
        <w:rPr>
          <w:lang w:val="en-US"/>
        </w:rPr>
        <w:t>SNpc</w:t>
      </w:r>
      <w:proofErr w:type="spellEnd"/>
      <w:r w:rsidR="00701D9D" w:rsidRPr="008C4CAB">
        <w:rPr>
          <w:lang w:val="en-US"/>
        </w:rPr>
        <w:t xml:space="preserve"> cluster and showed the largest effect size within this region.</w:t>
      </w:r>
    </w:p>
    <w:p w14:paraId="54A68547" w14:textId="77777777" w:rsidR="005D6CE2" w:rsidRPr="008C4CAB" w:rsidRDefault="005D6CE2" w:rsidP="002F79C8">
      <w:pPr>
        <w:pStyle w:val="StandardWeb"/>
        <w:tabs>
          <w:tab w:val="left" w:pos="2880"/>
        </w:tabs>
        <w:spacing w:before="0" w:beforeAutospacing="0" w:after="0" w:afterAutospacing="0" w:line="480" w:lineRule="auto"/>
        <w:jc w:val="both"/>
        <w:rPr>
          <w:b/>
          <w:bCs/>
          <w:lang w:val="en-US"/>
        </w:rPr>
      </w:pPr>
    </w:p>
    <w:p w14:paraId="7B868781" w14:textId="77777777" w:rsidR="00E36D67" w:rsidRPr="008C4CAB" w:rsidRDefault="00E36D67" w:rsidP="002F79C8">
      <w:pPr>
        <w:pStyle w:val="StandardWeb"/>
        <w:tabs>
          <w:tab w:val="left" w:pos="2880"/>
        </w:tabs>
        <w:spacing w:before="0" w:beforeAutospacing="0" w:after="0" w:afterAutospacing="0" w:line="480" w:lineRule="auto"/>
        <w:jc w:val="both"/>
        <w:rPr>
          <w:b/>
          <w:bCs/>
          <w:lang w:val="en-US"/>
        </w:rPr>
      </w:pPr>
    </w:p>
    <w:p w14:paraId="07A7ED23" w14:textId="4024E7F0" w:rsidR="00E36D67" w:rsidRPr="008C4CAB" w:rsidRDefault="003706A8" w:rsidP="002F79C8">
      <w:pPr>
        <w:pStyle w:val="StandardWeb"/>
        <w:tabs>
          <w:tab w:val="left" w:pos="2880"/>
        </w:tabs>
        <w:spacing w:before="0" w:beforeAutospacing="0" w:after="0" w:afterAutospacing="0" w:line="480" w:lineRule="auto"/>
        <w:jc w:val="both"/>
        <w:rPr>
          <w:b/>
          <w:bCs/>
          <w:lang w:val="en-US"/>
        </w:rPr>
      </w:pPr>
      <w:r w:rsidRPr="008C4CAB">
        <w:rPr>
          <w:b/>
          <w:bCs/>
          <w:noProof/>
          <w:lang w:val="en-US"/>
          <w14:ligatures w14:val="standardContextual"/>
        </w:rPr>
        <w:lastRenderedPageBreak/>
        <w:drawing>
          <wp:inline distT="0" distB="0" distL="0" distR="0" wp14:anchorId="62E2B19C" wp14:editId="5B3BF93B">
            <wp:extent cx="5756910" cy="4479925"/>
            <wp:effectExtent l="0" t="0" r="0" b="3175"/>
            <wp:docPr id="8494913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91329" name="Grafik 8494913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6910" cy="4479925"/>
                    </a:xfrm>
                    <a:prstGeom prst="rect">
                      <a:avLst/>
                    </a:prstGeom>
                  </pic:spPr>
                </pic:pic>
              </a:graphicData>
            </a:graphic>
          </wp:inline>
        </w:drawing>
      </w:r>
    </w:p>
    <w:p w14:paraId="7C1BBF75" w14:textId="77777777" w:rsidR="003706A8" w:rsidRPr="008C4CAB" w:rsidRDefault="003706A8" w:rsidP="002F79C8">
      <w:pPr>
        <w:pStyle w:val="StandardWeb"/>
        <w:tabs>
          <w:tab w:val="left" w:pos="2880"/>
        </w:tabs>
        <w:spacing w:before="0" w:beforeAutospacing="0" w:after="0" w:afterAutospacing="0" w:line="480" w:lineRule="auto"/>
        <w:jc w:val="both"/>
        <w:rPr>
          <w:b/>
          <w:bCs/>
          <w:lang w:val="en-US"/>
        </w:rPr>
      </w:pPr>
    </w:p>
    <w:p w14:paraId="6D065B24" w14:textId="2F94D77E" w:rsidR="00E36D67" w:rsidRPr="008C4CAB" w:rsidRDefault="00481D38" w:rsidP="002F79C8">
      <w:pPr>
        <w:pStyle w:val="StandardWeb"/>
        <w:tabs>
          <w:tab w:val="left" w:pos="2880"/>
        </w:tabs>
        <w:spacing w:before="0" w:beforeAutospacing="0" w:after="0" w:afterAutospacing="0" w:line="480" w:lineRule="auto"/>
        <w:jc w:val="both"/>
        <w:rPr>
          <w:lang w:val="en-US"/>
        </w:rPr>
      </w:pPr>
      <w:r w:rsidRPr="008C4CAB">
        <w:rPr>
          <w:b/>
          <w:bCs/>
          <w:lang w:val="en-US"/>
        </w:rPr>
        <w:t xml:space="preserve">Supplemental Figure 12: </w:t>
      </w:r>
      <w:proofErr w:type="gramStart"/>
      <w:r w:rsidRPr="008C4CAB">
        <w:rPr>
          <w:lang w:val="en-US"/>
        </w:rPr>
        <w:t>a,</w:t>
      </w:r>
      <w:proofErr w:type="gramEnd"/>
      <w:r w:rsidRPr="008C4CAB">
        <w:rPr>
          <w:lang w:val="en-US"/>
        </w:rPr>
        <w:t xml:space="preserve"> Representative photomicrographs showing tyrosine hydroxylase (TH), C1QC, and phosphorylated Ser129–α-synuclein (pS129–αSyn) in animals injected with either preformed fibrils (PFFs) or PBS into the striatum, 3 months post-injection. Scale bar, 20 </w:t>
      </w:r>
      <w:proofErr w:type="spellStart"/>
      <w:r w:rsidRPr="008C4CAB">
        <w:rPr>
          <w:lang w:val="en-US"/>
        </w:rPr>
        <w:t>μm</w:t>
      </w:r>
      <w:proofErr w:type="spellEnd"/>
      <w:r w:rsidRPr="008C4CAB">
        <w:rPr>
          <w:lang w:val="en-US"/>
        </w:rPr>
        <w:t xml:space="preserve">. Third row: higher-magnification images. Scale bar, 2 </w:t>
      </w:r>
      <w:proofErr w:type="spellStart"/>
      <w:r w:rsidRPr="008C4CAB">
        <w:rPr>
          <w:lang w:val="en-US"/>
        </w:rPr>
        <w:t>μm</w:t>
      </w:r>
      <w:proofErr w:type="spellEnd"/>
      <w:r w:rsidRPr="008C4CAB">
        <w:rPr>
          <w:lang w:val="en-US"/>
        </w:rPr>
        <w:t>. b, Bar graphs showing the percentage of C1QC per cell (left) and the total C1QC area (right) in the striatum and substantia nigra pars compacta (</w:t>
      </w:r>
      <w:proofErr w:type="spellStart"/>
      <w:r w:rsidRPr="008C4CAB">
        <w:rPr>
          <w:lang w:val="en-US"/>
        </w:rPr>
        <w:t>SNpc</w:t>
      </w:r>
      <w:proofErr w:type="spellEnd"/>
      <w:r w:rsidRPr="008C4CAB">
        <w:rPr>
          <w:lang w:val="en-US"/>
        </w:rPr>
        <w:t xml:space="preserve">). c, Bar graph showing the percentage of C1QC per TH-positive neuron. d, Representative photomicrographs showing TH, C1QC, and pS129–αSyn in acute brain slices treated for 6 h with human αSyn </w:t>
      </w:r>
      <w:proofErr w:type="spellStart"/>
      <w:r w:rsidRPr="008C4CAB">
        <w:rPr>
          <w:lang w:val="en-US"/>
        </w:rPr>
        <w:t>amplificates</w:t>
      </w:r>
      <w:proofErr w:type="spellEnd"/>
      <w:r w:rsidRPr="008C4CAB">
        <w:rPr>
          <w:lang w:val="en-US"/>
        </w:rPr>
        <w:t xml:space="preserve"> derived from seed amplification assays (SAA) of clinical Lewy body pathology (LBP) cases. </w:t>
      </w:r>
      <w:r w:rsidR="003706A8" w:rsidRPr="008C4CAB">
        <w:rPr>
          <w:lang w:val="en-US"/>
        </w:rPr>
        <w:t xml:space="preserve">Scale bar, 20 </w:t>
      </w:r>
      <w:proofErr w:type="spellStart"/>
      <w:r w:rsidR="003706A8" w:rsidRPr="008C4CAB">
        <w:rPr>
          <w:lang w:val="en-US"/>
        </w:rPr>
        <w:t>μm</w:t>
      </w:r>
      <w:proofErr w:type="spellEnd"/>
      <w:r w:rsidR="003706A8" w:rsidRPr="008C4CAB">
        <w:rPr>
          <w:lang w:val="en-US"/>
        </w:rPr>
        <w:t xml:space="preserve"> </w:t>
      </w:r>
      <w:r w:rsidRPr="008C4CAB">
        <w:rPr>
          <w:lang w:val="en-US"/>
        </w:rPr>
        <w:t xml:space="preserve">e, Bar graphs showing the C1QC area (left) and the percentage of C1QC per TH-positive neuron (right). Data in b, c, and </w:t>
      </w:r>
      <w:proofErr w:type="spellStart"/>
      <w:r w:rsidRPr="008C4CAB">
        <w:rPr>
          <w:lang w:val="en-US"/>
        </w:rPr>
        <w:t>e</w:t>
      </w:r>
      <w:proofErr w:type="spellEnd"/>
      <w:r w:rsidRPr="008C4CAB">
        <w:rPr>
          <w:lang w:val="en-US"/>
        </w:rPr>
        <w:t xml:space="preserve"> are presented as mean ± SEM, and individual points represent biologically </w:t>
      </w:r>
      <w:r w:rsidRPr="008C4CAB">
        <w:rPr>
          <w:lang w:val="en-US"/>
        </w:rPr>
        <w:lastRenderedPageBreak/>
        <w:t>independent animals or tissue samples. Statistical significance was assessed using unpaired two-sided t-tests. Source data are provided as a Source Data file.</w:t>
      </w:r>
    </w:p>
    <w:p w14:paraId="171E8422"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41A19D7F"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2A81E6F2"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24F2F59E"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0DCF3771"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38B984A5"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06A62201"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178F6EA3"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73D4EC54"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74ABD66C"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675384C8"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1B7EB530"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155B7148"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07D59F1C"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71A5AB7D"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4A804DA0"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1C8D8DF8"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057B0BFC" w14:textId="77777777" w:rsidR="00AC46D0" w:rsidRPr="008C4CAB" w:rsidRDefault="00AC46D0" w:rsidP="002F79C8">
      <w:pPr>
        <w:pStyle w:val="StandardWeb"/>
        <w:tabs>
          <w:tab w:val="left" w:pos="2880"/>
        </w:tabs>
        <w:spacing w:before="0" w:beforeAutospacing="0" w:after="0" w:afterAutospacing="0" w:line="480" w:lineRule="auto"/>
        <w:jc w:val="both"/>
        <w:rPr>
          <w:lang w:val="en-US"/>
        </w:rPr>
      </w:pPr>
    </w:p>
    <w:p w14:paraId="61E646C9" w14:textId="77777777" w:rsidR="00481D38" w:rsidRPr="008C4CAB" w:rsidRDefault="00481D38" w:rsidP="002F79C8">
      <w:pPr>
        <w:pStyle w:val="StandardWeb"/>
        <w:tabs>
          <w:tab w:val="left" w:pos="2880"/>
        </w:tabs>
        <w:spacing w:before="0" w:beforeAutospacing="0" w:after="0" w:afterAutospacing="0" w:line="480" w:lineRule="auto"/>
        <w:jc w:val="both"/>
        <w:rPr>
          <w:lang w:val="en-US"/>
        </w:rPr>
      </w:pPr>
    </w:p>
    <w:p w14:paraId="0B714BDE" w14:textId="77777777" w:rsidR="00481D38" w:rsidRPr="008C4CAB" w:rsidRDefault="00481D38" w:rsidP="002F79C8">
      <w:pPr>
        <w:pStyle w:val="StandardWeb"/>
        <w:tabs>
          <w:tab w:val="left" w:pos="2880"/>
        </w:tabs>
        <w:spacing w:before="0" w:beforeAutospacing="0" w:after="0" w:afterAutospacing="0" w:line="480" w:lineRule="auto"/>
        <w:jc w:val="both"/>
        <w:rPr>
          <w:lang w:val="en-US"/>
        </w:rPr>
      </w:pPr>
    </w:p>
    <w:p w14:paraId="39651BCC" w14:textId="5AE68705" w:rsidR="001B5016" w:rsidRPr="008C4CAB" w:rsidRDefault="00481D38" w:rsidP="002F79C8">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lastRenderedPageBreak/>
        <w:drawing>
          <wp:inline distT="0" distB="0" distL="0" distR="0" wp14:anchorId="58D6AFAB" wp14:editId="6E4E2B3B">
            <wp:extent cx="5756910" cy="2431415"/>
            <wp:effectExtent l="0" t="0" r="0" b="0"/>
            <wp:docPr id="52282749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27498" name="Grafik 52282749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2431415"/>
                    </a:xfrm>
                    <a:prstGeom prst="rect">
                      <a:avLst/>
                    </a:prstGeom>
                  </pic:spPr>
                </pic:pic>
              </a:graphicData>
            </a:graphic>
          </wp:inline>
        </w:drawing>
      </w:r>
    </w:p>
    <w:p w14:paraId="5FC61F29" w14:textId="4EA34F96" w:rsidR="001B5016" w:rsidRPr="008C4CAB" w:rsidRDefault="001B5016" w:rsidP="002F79C8">
      <w:pPr>
        <w:pStyle w:val="StandardWeb"/>
        <w:tabs>
          <w:tab w:val="left" w:pos="2880"/>
        </w:tabs>
        <w:spacing w:before="0" w:beforeAutospacing="0" w:after="0" w:afterAutospacing="0" w:line="480" w:lineRule="auto"/>
        <w:jc w:val="both"/>
        <w:rPr>
          <w:lang w:val="en-AU"/>
        </w:rPr>
      </w:pPr>
      <w:r w:rsidRPr="008C4CAB">
        <w:rPr>
          <w:b/>
          <w:bCs/>
          <w:lang w:val="en-AU"/>
        </w:rPr>
        <w:t xml:space="preserve">Supplemental Figure </w:t>
      </w:r>
      <w:r w:rsidR="00BC5EA9" w:rsidRPr="008C4CAB">
        <w:rPr>
          <w:b/>
          <w:bCs/>
          <w:lang w:val="en-AU"/>
        </w:rPr>
        <w:t>13</w:t>
      </w:r>
      <w:r w:rsidRPr="008C4CAB">
        <w:rPr>
          <w:b/>
          <w:bCs/>
          <w:lang w:val="en-AU"/>
        </w:rPr>
        <w:t xml:space="preserve"> </w:t>
      </w:r>
      <w:proofErr w:type="spellStart"/>
      <w:proofErr w:type="gramStart"/>
      <w:r w:rsidR="00481D38" w:rsidRPr="008C4CAB">
        <w:rPr>
          <w:lang w:val="en-AU"/>
        </w:rPr>
        <w:t>a,b</w:t>
      </w:r>
      <w:proofErr w:type="spellEnd"/>
      <w:proofErr w:type="gramEnd"/>
      <w:r w:rsidR="00481D38" w:rsidRPr="008C4CAB">
        <w:rPr>
          <w:lang w:val="en-AU"/>
        </w:rPr>
        <w:t xml:space="preserve">, Representative photomicrographs and corresponding bar graphs depicting TH and C1QC expression in </w:t>
      </w:r>
      <w:proofErr w:type="spellStart"/>
      <w:r w:rsidR="00481D38" w:rsidRPr="008C4CAB">
        <w:rPr>
          <w:lang w:val="en-AU"/>
        </w:rPr>
        <w:t>SNpc</w:t>
      </w:r>
      <w:proofErr w:type="spellEnd"/>
      <w:r w:rsidR="00481D38" w:rsidRPr="008C4CAB">
        <w:rPr>
          <w:lang w:val="en-AU"/>
        </w:rPr>
        <w:t xml:space="preserve"> tissue sections from wild-type (WT) and αSyn transgenic (</w:t>
      </w:r>
      <w:proofErr w:type="spellStart"/>
      <w:r w:rsidR="00481D38" w:rsidRPr="008C4CAB">
        <w:rPr>
          <w:lang w:val="en-AU"/>
        </w:rPr>
        <w:t>Tg</w:t>
      </w:r>
      <w:proofErr w:type="spellEnd"/>
      <w:r w:rsidR="00481D38" w:rsidRPr="008C4CAB">
        <w:rPr>
          <w:lang w:val="en-AU"/>
        </w:rPr>
        <w:t xml:space="preserve">) mice. No significant difference in C1QC abundance was observed between the two groups. Data are presented as mean ± SEM, and individual points represent biologically independent animals. Statistical significance in panel b was assessed using unpaired two-sided t-tests. Scale bar, 50 </w:t>
      </w:r>
      <w:proofErr w:type="spellStart"/>
      <w:r w:rsidR="00481D38" w:rsidRPr="008C4CAB">
        <w:rPr>
          <w:lang w:val="en-AU"/>
        </w:rPr>
        <w:t>μm</w:t>
      </w:r>
      <w:proofErr w:type="spellEnd"/>
      <w:r w:rsidR="00481D38" w:rsidRPr="008C4CAB">
        <w:rPr>
          <w:lang w:val="en-AU"/>
        </w:rPr>
        <w:t>. Source data are provided as a Source Data file.</w:t>
      </w:r>
    </w:p>
    <w:p w14:paraId="13D15001" w14:textId="77777777" w:rsidR="005D6CE2" w:rsidRPr="008C4CAB" w:rsidRDefault="005D6CE2" w:rsidP="002F79C8">
      <w:pPr>
        <w:pStyle w:val="StandardWeb"/>
        <w:tabs>
          <w:tab w:val="left" w:pos="2880"/>
        </w:tabs>
        <w:spacing w:before="0" w:beforeAutospacing="0" w:after="0" w:afterAutospacing="0" w:line="480" w:lineRule="auto"/>
        <w:jc w:val="both"/>
        <w:rPr>
          <w:lang w:val="en-US"/>
        </w:rPr>
      </w:pPr>
    </w:p>
    <w:p w14:paraId="3E30A696"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4B44A9CA"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3EB72B05"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0208CEF3"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0EAE630E"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4337EF38"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7D2360D2" w14:textId="77777777" w:rsidR="00E36D67" w:rsidRPr="008C4CAB" w:rsidRDefault="00E36D67" w:rsidP="002F79C8">
      <w:pPr>
        <w:pStyle w:val="StandardWeb"/>
        <w:tabs>
          <w:tab w:val="left" w:pos="2880"/>
        </w:tabs>
        <w:spacing w:before="0" w:beforeAutospacing="0" w:after="0" w:afterAutospacing="0" w:line="480" w:lineRule="auto"/>
        <w:jc w:val="both"/>
        <w:rPr>
          <w:lang w:val="en-US"/>
        </w:rPr>
      </w:pPr>
    </w:p>
    <w:p w14:paraId="5311E353" w14:textId="2B0B00CA" w:rsidR="00E36D67" w:rsidRPr="008C4CAB" w:rsidRDefault="00E36D67" w:rsidP="002F79C8">
      <w:pPr>
        <w:pStyle w:val="StandardWeb"/>
        <w:tabs>
          <w:tab w:val="left" w:pos="2880"/>
        </w:tabs>
        <w:spacing w:before="0" w:beforeAutospacing="0" w:after="0" w:afterAutospacing="0" w:line="480" w:lineRule="auto"/>
        <w:jc w:val="both"/>
        <w:rPr>
          <w:lang w:val="en-US"/>
        </w:rPr>
      </w:pPr>
      <w:r w:rsidRPr="008C4CAB">
        <w:rPr>
          <w:noProof/>
          <w:lang w:val="en-US"/>
          <w14:ligatures w14:val="standardContextual"/>
        </w:rPr>
        <w:lastRenderedPageBreak/>
        <w:drawing>
          <wp:inline distT="0" distB="0" distL="0" distR="0" wp14:anchorId="00BABB86" wp14:editId="1B9586CF">
            <wp:extent cx="5238750" cy="7584440"/>
            <wp:effectExtent l="0" t="0" r="6350" b="0"/>
            <wp:docPr id="118999826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8261" name="Grafik 1189998261"/>
                    <pic:cNvPicPr/>
                  </pic:nvPicPr>
                  <pic:blipFill rotWithShape="1">
                    <a:blip r:embed="rId21" cstate="print">
                      <a:extLst>
                        <a:ext uri="{28A0092B-C50C-407E-A947-70E740481C1C}">
                          <a14:useLocalDpi xmlns:a14="http://schemas.microsoft.com/office/drawing/2010/main" val="0"/>
                        </a:ext>
                      </a:extLst>
                    </a:blip>
                    <a:srcRect t="6789" r="9000"/>
                    <a:stretch>
                      <a:fillRect/>
                    </a:stretch>
                  </pic:blipFill>
                  <pic:spPr bwMode="auto">
                    <a:xfrm>
                      <a:off x="0" y="0"/>
                      <a:ext cx="5238750" cy="7584440"/>
                    </a:xfrm>
                    <a:prstGeom prst="rect">
                      <a:avLst/>
                    </a:prstGeom>
                    <a:ln>
                      <a:noFill/>
                    </a:ln>
                    <a:extLst>
                      <a:ext uri="{53640926-AAD7-44D8-BBD7-CCE9431645EC}">
                        <a14:shadowObscured xmlns:a14="http://schemas.microsoft.com/office/drawing/2010/main"/>
                      </a:ext>
                    </a:extLst>
                  </pic:spPr>
                </pic:pic>
              </a:graphicData>
            </a:graphic>
          </wp:inline>
        </w:drawing>
      </w:r>
    </w:p>
    <w:p w14:paraId="370AD576" w14:textId="58C54A15" w:rsidR="00E36D67" w:rsidRPr="008C4CAB" w:rsidRDefault="00481D38" w:rsidP="002F79C8">
      <w:pPr>
        <w:pStyle w:val="StandardWeb"/>
        <w:tabs>
          <w:tab w:val="left" w:pos="2880"/>
        </w:tabs>
        <w:spacing w:before="0" w:beforeAutospacing="0" w:after="0" w:afterAutospacing="0" w:line="480" w:lineRule="auto"/>
        <w:jc w:val="both"/>
        <w:rPr>
          <w:lang w:val="en-AU"/>
        </w:rPr>
      </w:pPr>
      <w:r w:rsidRPr="008C4CAB">
        <w:rPr>
          <w:b/>
          <w:bCs/>
          <w:lang w:val="en-AU"/>
        </w:rPr>
        <w:t xml:space="preserve">Supplemental Figure 14: </w:t>
      </w:r>
      <w:proofErr w:type="gramStart"/>
      <w:r w:rsidRPr="008C4CAB">
        <w:rPr>
          <w:lang w:val="en-AU"/>
        </w:rPr>
        <w:t>a,</w:t>
      </w:r>
      <w:proofErr w:type="gramEnd"/>
      <w:r w:rsidRPr="008C4CAB">
        <w:rPr>
          <w:lang w:val="en-AU"/>
        </w:rPr>
        <w:t xml:space="preserve"> Representative photomicrographs of substantia nigra (SN) tissue sections from Ctrl, </w:t>
      </w:r>
      <w:proofErr w:type="spellStart"/>
      <w:r w:rsidRPr="008C4CAB">
        <w:rPr>
          <w:lang w:val="en-AU"/>
        </w:rPr>
        <w:t>iLBD</w:t>
      </w:r>
      <w:proofErr w:type="spellEnd"/>
      <w:r w:rsidRPr="008C4CAB">
        <w:rPr>
          <w:lang w:val="en-AU"/>
        </w:rPr>
        <w:t xml:space="preserve">, and PD cases showing IBA1, CD18, and DAPI staining. Scale bar, </w:t>
      </w:r>
      <w:r w:rsidR="006C3DB6" w:rsidRPr="008C4CAB">
        <w:rPr>
          <w:lang w:val="en-AU"/>
        </w:rPr>
        <w:t>10</w:t>
      </w:r>
      <w:r w:rsidRPr="008C4CAB">
        <w:rPr>
          <w:lang w:val="en-AU"/>
        </w:rPr>
        <w:t xml:space="preserve"> </w:t>
      </w:r>
      <w:proofErr w:type="spellStart"/>
      <w:r w:rsidRPr="008C4CAB">
        <w:rPr>
          <w:lang w:val="en-AU"/>
        </w:rPr>
        <w:t>μm</w:t>
      </w:r>
      <w:proofErr w:type="spellEnd"/>
      <w:r w:rsidRPr="008C4CAB">
        <w:rPr>
          <w:lang w:val="en-AU"/>
        </w:rPr>
        <w:t xml:space="preserve">. b, IMARIS reconstruction of </w:t>
      </w:r>
      <w:proofErr w:type="spellStart"/>
      <w:r w:rsidRPr="008C4CAB">
        <w:rPr>
          <w:lang w:val="en-AU"/>
        </w:rPr>
        <w:t>SNpc</w:t>
      </w:r>
      <w:proofErr w:type="spellEnd"/>
      <w:r w:rsidRPr="008C4CAB">
        <w:rPr>
          <w:lang w:val="en-AU"/>
        </w:rPr>
        <w:t xml:space="preserve"> tissue sections illustrating CD18/IBA1 double-positive signals (purple). </w:t>
      </w:r>
      <w:r w:rsidR="003706A8" w:rsidRPr="008C4CAB">
        <w:rPr>
          <w:lang w:val="en-AU"/>
        </w:rPr>
        <w:t xml:space="preserve">Scale bar, 10 </w:t>
      </w:r>
      <w:proofErr w:type="spellStart"/>
      <w:r w:rsidR="003706A8" w:rsidRPr="008C4CAB">
        <w:rPr>
          <w:lang w:val="en-AU"/>
        </w:rPr>
        <w:t>μm</w:t>
      </w:r>
      <w:proofErr w:type="spellEnd"/>
      <w:r w:rsidR="003706A8" w:rsidRPr="008C4CAB">
        <w:rPr>
          <w:lang w:val="en-AU"/>
        </w:rPr>
        <w:t xml:space="preserve"> </w:t>
      </w:r>
      <w:r w:rsidRPr="008C4CAB">
        <w:rPr>
          <w:lang w:val="en-AU"/>
        </w:rPr>
        <w:t xml:space="preserve">c, Quantification of CD18/IBA1 double-positive </w:t>
      </w:r>
      <w:r w:rsidRPr="008C4CAB">
        <w:rPr>
          <w:lang w:val="en-AU"/>
        </w:rPr>
        <w:lastRenderedPageBreak/>
        <w:t>fluorescence across groups. Data are presented as mean ± SEM, and individual points represent biologically independent donor samples (n = 5 per group). Statistical significance was assessed using ordinary one-way ANOVA followed by Dunnett’s multiple-comparison test. Source data are provided as a Source Data file.</w:t>
      </w:r>
    </w:p>
    <w:p w14:paraId="569075C7"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39E6EC01"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6295715B"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6EADFA91"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7A9F3BFC"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5F54AA9A"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00EAFAF5"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0BBC6267"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0ACD6DD5"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125855B3"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5EE61842" w14:textId="77777777" w:rsidR="00AC46D0" w:rsidRPr="008C4CAB" w:rsidRDefault="00AC46D0" w:rsidP="002F79C8">
      <w:pPr>
        <w:pStyle w:val="StandardWeb"/>
        <w:tabs>
          <w:tab w:val="left" w:pos="2880"/>
        </w:tabs>
        <w:spacing w:before="0" w:beforeAutospacing="0" w:after="0" w:afterAutospacing="0" w:line="480" w:lineRule="auto"/>
        <w:jc w:val="both"/>
        <w:rPr>
          <w:lang w:val="en-AU"/>
        </w:rPr>
      </w:pPr>
    </w:p>
    <w:p w14:paraId="202ABE94" w14:textId="77777777" w:rsidR="00AC46D0" w:rsidRPr="008C4CAB" w:rsidRDefault="00AC46D0" w:rsidP="002F79C8">
      <w:pPr>
        <w:pStyle w:val="StandardWeb"/>
        <w:tabs>
          <w:tab w:val="left" w:pos="2880"/>
        </w:tabs>
        <w:spacing w:before="0" w:beforeAutospacing="0" w:after="0" w:afterAutospacing="0" w:line="480" w:lineRule="auto"/>
        <w:jc w:val="both"/>
      </w:pPr>
    </w:p>
    <w:p w14:paraId="53FC9C15" w14:textId="77777777" w:rsidR="00AC46D0" w:rsidRPr="008C4CAB" w:rsidRDefault="00AC46D0" w:rsidP="002F79C8">
      <w:pPr>
        <w:pStyle w:val="StandardWeb"/>
        <w:tabs>
          <w:tab w:val="left" w:pos="2880"/>
        </w:tabs>
        <w:spacing w:before="0" w:beforeAutospacing="0" w:after="0" w:afterAutospacing="0" w:line="480" w:lineRule="auto"/>
        <w:jc w:val="both"/>
      </w:pPr>
    </w:p>
    <w:p w14:paraId="0657FDF6" w14:textId="445A4820" w:rsidR="00BC5EA9" w:rsidRPr="008C4CAB" w:rsidRDefault="00E36D67" w:rsidP="002F79C8">
      <w:pPr>
        <w:pStyle w:val="StandardWeb"/>
        <w:tabs>
          <w:tab w:val="left" w:pos="2880"/>
        </w:tabs>
        <w:spacing w:before="0" w:beforeAutospacing="0" w:after="0" w:afterAutospacing="0" w:line="480" w:lineRule="auto"/>
        <w:jc w:val="both"/>
      </w:pPr>
      <w:r w:rsidRPr="008C4CAB">
        <w:rPr>
          <w:noProof/>
          <w14:ligatures w14:val="standardContextual"/>
        </w:rPr>
        <w:lastRenderedPageBreak/>
        <w:drawing>
          <wp:inline distT="0" distB="0" distL="0" distR="0" wp14:anchorId="78897176" wp14:editId="5A7A2976">
            <wp:extent cx="5756910" cy="4508500"/>
            <wp:effectExtent l="0" t="0" r="0" b="0"/>
            <wp:docPr id="133233653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36530" name="Grafik 1332336530"/>
                    <pic:cNvPicPr/>
                  </pic:nvPicPr>
                  <pic:blipFill rotWithShape="1">
                    <a:blip r:embed="rId22" cstate="print">
                      <a:extLst>
                        <a:ext uri="{28A0092B-C50C-407E-A947-70E740481C1C}">
                          <a14:useLocalDpi xmlns:a14="http://schemas.microsoft.com/office/drawing/2010/main" val="0"/>
                        </a:ext>
                      </a:extLst>
                    </a:blip>
                    <a:srcRect t="14147"/>
                    <a:stretch>
                      <a:fillRect/>
                    </a:stretch>
                  </pic:blipFill>
                  <pic:spPr bwMode="auto">
                    <a:xfrm>
                      <a:off x="0" y="0"/>
                      <a:ext cx="5756910" cy="4508500"/>
                    </a:xfrm>
                    <a:prstGeom prst="rect">
                      <a:avLst/>
                    </a:prstGeom>
                    <a:ln>
                      <a:noFill/>
                    </a:ln>
                    <a:extLst>
                      <a:ext uri="{53640926-AAD7-44D8-BBD7-CCE9431645EC}">
                        <a14:shadowObscured xmlns:a14="http://schemas.microsoft.com/office/drawing/2010/main"/>
                      </a:ext>
                    </a:extLst>
                  </pic:spPr>
                </pic:pic>
              </a:graphicData>
            </a:graphic>
          </wp:inline>
        </w:drawing>
      </w:r>
    </w:p>
    <w:p w14:paraId="3F964ADF" w14:textId="3A52C18E" w:rsidR="00BC5EA9" w:rsidRDefault="00AC46D0" w:rsidP="005D6CE2">
      <w:pPr>
        <w:pStyle w:val="StandardWeb"/>
        <w:tabs>
          <w:tab w:val="left" w:pos="2880"/>
        </w:tabs>
        <w:spacing w:before="0" w:beforeAutospacing="0" w:after="0" w:afterAutospacing="0" w:line="480" w:lineRule="auto"/>
        <w:jc w:val="both"/>
        <w:rPr>
          <w:lang w:val="en-US"/>
        </w:rPr>
      </w:pPr>
      <w:r w:rsidRPr="008C4CAB">
        <w:rPr>
          <w:b/>
          <w:bCs/>
          <w:lang w:val="en-US"/>
        </w:rPr>
        <w:t>Supplemental Figure 15:</w:t>
      </w:r>
      <w:r w:rsidRPr="008C4CAB">
        <w:rPr>
          <w:lang w:val="en-US"/>
        </w:rPr>
        <w:t xml:space="preserve"> </w:t>
      </w:r>
      <w:proofErr w:type="spellStart"/>
      <w:proofErr w:type="gramStart"/>
      <w:r w:rsidRPr="008C4CAB">
        <w:rPr>
          <w:lang w:val="en-US"/>
        </w:rPr>
        <w:t>a,b</w:t>
      </w:r>
      <w:proofErr w:type="spellEnd"/>
      <w:proofErr w:type="gramEnd"/>
      <w:r w:rsidRPr="008C4CAB">
        <w:rPr>
          <w:lang w:val="en-US"/>
        </w:rPr>
        <w:t>, Representative photomicrographs and corresponding bar graphs from all five cohorts showing comparable binding of [18</w:t>
      </w:r>
      <w:proofErr w:type="gramStart"/>
      <w:r w:rsidRPr="008C4CAB">
        <w:rPr>
          <w:lang w:val="en-US"/>
        </w:rPr>
        <w:t>F]DPA</w:t>
      </w:r>
      <w:proofErr w:type="gramEnd"/>
      <w:r w:rsidRPr="008C4CAB">
        <w:rPr>
          <w:lang w:val="en-US"/>
        </w:rPr>
        <w:t xml:space="preserve">-714 across cohorts. </w:t>
      </w:r>
      <w:r w:rsidR="003706A8" w:rsidRPr="008C4CAB">
        <w:rPr>
          <w:lang w:val="en-AU"/>
        </w:rPr>
        <w:t xml:space="preserve">Scale bar, 4 mm. </w:t>
      </w:r>
      <w:r w:rsidRPr="008C4CAB">
        <w:rPr>
          <w:lang w:val="en-US"/>
        </w:rPr>
        <w:t>Data are presented as mean ± SEM, and individual points represent biologically independent donor samples. Statistical significance was assessed using ordinary one-way ANOVA followed by Dunnett’s multiple-comparison test. c, Graph showing no significant correlation between mean seed amplification assay area under the curve (SAA–AUC) and translocator protein (TSPO) signal. Coefficient of determination (R²) were used to assess correlation. Source data are provided as a Source Data file.</w:t>
      </w:r>
    </w:p>
    <w:p w14:paraId="6E7D2479" w14:textId="77777777" w:rsidR="00BC5EA9" w:rsidRPr="00C7188D" w:rsidRDefault="00BC5EA9" w:rsidP="005D6CE2">
      <w:pPr>
        <w:pStyle w:val="StandardWeb"/>
        <w:tabs>
          <w:tab w:val="left" w:pos="2880"/>
        </w:tabs>
        <w:spacing w:before="0" w:beforeAutospacing="0" w:after="0" w:afterAutospacing="0" w:line="480" w:lineRule="auto"/>
        <w:jc w:val="both"/>
        <w:rPr>
          <w:lang w:val="en-US"/>
        </w:rPr>
      </w:pPr>
    </w:p>
    <w:p w14:paraId="4C917131" w14:textId="45241BF9" w:rsidR="008C4F9B" w:rsidRDefault="008C4F9B"/>
    <w:sectPr w:rsidR="008C4F9B" w:rsidSect="004402EE">
      <w:footerReference w:type="even" r:id="rId23"/>
      <w:footerReference w:type="default" r:id="rId2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C4C3" w14:textId="77777777" w:rsidR="00E16401" w:rsidRDefault="00E16401" w:rsidP="004E67BB">
      <w:r>
        <w:separator/>
      </w:r>
    </w:p>
  </w:endnote>
  <w:endnote w:type="continuationSeparator" w:id="0">
    <w:p w14:paraId="4480BBAE" w14:textId="77777777" w:rsidR="00E16401" w:rsidRDefault="00E16401" w:rsidP="004E6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9859484"/>
      <w:docPartObj>
        <w:docPartGallery w:val="Page Numbers (Bottom of Page)"/>
        <w:docPartUnique/>
      </w:docPartObj>
    </w:sdtPr>
    <w:sdtContent>
      <w:p w14:paraId="4841D26E" w14:textId="527F5DC1" w:rsidR="004E67BB" w:rsidRDefault="004E67BB" w:rsidP="0058169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415DD85A" w14:textId="77777777" w:rsidR="004E67BB" w:rsidRDefault="004E67BB" w:rsidP="004E67B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29211617"/>
      <w:docPartObj>
        <w:docPartGallery w:val="Page Numbers (Bottom of Page)"/>
        <w:docPartUnique/>
      </w:docPartObj>
    </w:sdtPr>
    <w:sdtContent>
      <w:p w14:paraId="7907EFAF" w14:textId="16AE729F" w:rsidR="004E67BB" w:rsidRDefault="004E67BB" w:rsidP="0058169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16</w:t>
        </w:r>
        <w:r>
          <w:rPr>
            <w:rStyle w:val="Seitenzahl"/>
          </w:rPr>
          <w:fldChar w:fldCharType="end"/>
        </w:r>
      </w:p>
    </w:sdtContent>
  </w:sdt>
  <w:p w14:paraId="2B766B87" w14:textId="77777777" w:rsidR="004E67BB" w:rsidRDefault="004E67BB" w:rsidP="004E67BB">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804C9" w14:textId="77777777" w:rsidR="00E16401" w:rsidRDefault="00E16401" w:rsidP="004E67BB">
      <w:r>
        <w:separator/>
      </w:r>
    </w:p>
  </w:footnote>
  <w:footnote w:type="continuationSeparator" w:id="0">
    <w:p w14:paraId="08CE3E8F" w14:textId="77777777" w:rsidR="00E16401" w:rsidRDefault="00E16401" w:rsidP="004E6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F0A58"/>
    <w:multiLevelType w:val="hybridMultilevel"/>
    <w:tmpl w:val="833E724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9795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1A"/>
    <w:rsid w:val="00001818"/>
    <w:rsid w:val="00104AB0"/>
    <w:rsid w:val="00104D4C"/>
    <w:rsid w:val="001347C5"/>
    <w:rsid w:val="00160330"/>
    <w:rsid w:val="00160A7C"/>
    <w:rsid w:val="00173BCF"/>
    <w:rsid w:val="001A5C59"/>
    <w:rsid w:val="001B5016"/>
    <w:rsid w:val="001F3E96"/>
    <w:rsid w:val="002005CF"/>
    <w:rsid w:val="00225430"/>
    <w:rsid w:val="00225DDB"/>
    <w:rsid w:val="002401A7"/>
    <w:rsid w:val="00245346"/>
    <w:rsid w:val="00271A67"/>
    <w:rsid w:val="002A5607"/>
    <w:rsid w:val="002D4606"/>
    <w:rsid w:val="002F79C8"/>
    <w:rsid w:val="00300DA9"/>
    <w:rsid w:val="00323665"/>
    <w:rsid w:val="00341A7F"/>
    <w:rsid w:val="003706A8"/>
    <w:rsid w:val="0038379D"/>
    <w:rsid w:val="00384ADA"/>
    <w:rsid w:val="003A7F14"/>
    <w:rsid w:val="003D3C1C"/>
    <w:rsid w:val="00406CDE"/>
    <w:rsid w:val="00407761"/>
    <w:rsid w:val="00426965"/>
    <w:rsid w:val="004402EE"/>
    <w:rsid w:val="00481D38"/>
    <w:rsid w:val="00482410"/>
    <w:rsid w:val="00495EEC"/>
    <w:rsid w:val="004B1EAA"/>
    <w:rsid w:val="004E67BB"/>
    <w:rsid w:val="005655D0"/>
    <w:rsid w:val="005B404E"/>
    <w:rsid w:val="005D6CE2"/>
    <w:rsid w:val="00636F41"/>
    <w:rsid w:val="006C05D0"/>
    <w:rsid w:val="006C3DB6"/>
    <w:rsid w:val="006D0782"/>
    <w:rsid w:val="006D33B1"/>
    <w:rsid w:val="00701D9D"/>
    <w:rsid w:val="00707B8D"/>
    <w:rsid w:val="00854D18"/>
    <w:rsid w:val="008848A6"/>
    <w:rsid w:val="008C4CAB"/>
    <w:rsid w:val="008C4F9B"/>
    <w:rsid w:val="008F7659"/>
    <w:rsid w:val="00926597"/>
    <w:rsid w:val="00950A85"/>
    <w:rsid w:val="0097617E"/>
    <w:rsid w:val="00983405"/>
    <w:rsid w:val="009D7A15"/>
    <w:rsid w:val="009E23FC"/>
    <w:rsid w:val="00A126CF"/>
    <w:rsid w:val="00A15E5E"/>
    <w:rsid w:val="00AA4BB1"/>
    <w:rsid w:val="00AC446B"/>
    <w:rsid w:val="00AC46D0"/>
    <w:rsid w:val="00AD2962"/>
    <w:rsid w:val="00AE1464"/>
    <w:rsid w:val="00B30219"/>
    <w:rsid w:val="00B72A01"/>
    <w:rsid w:val="00BC5EA9"/>
    <w:rsid w:val="00C9481A"/>
    <w:rsid w:val="00CC7E92"/>
    <w:rsid w:val="00CF482A"/>
    <w:rsid w:val="00D30D8F"/>
    <w:rsid w:val="00D37E0F"/>
    <w:rsid w:val="00E16401"/>
    <w:rsid w:val="00E36D67"/>
    <w:rsid w:val="00E7205C"/>
    <w:rsid w:val="00EE44BA"/>
    <w:rsid w:val="00F150F7"/>
    <w:rsid w:val="00FD62E7"/>
    <w:rsid w:val="00FE0C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2F1A"/>
  <w15:chartTrackingRefBased/>
  <w15:docId w15:val="{DF020CF6-5DEC-364D-8051-68EEB10F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94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94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9481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9481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9481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9481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9481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9481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9481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48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948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948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948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948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948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948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948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9481A"/>
    <w:rPr>
      <w:rFonts w:eastAsiaTheme="majorEastAsia" w:cstheme="majorBidi"/>
      <w:color w:val="272727" w:themeColor="text1" w:themeTint="D8"/>
    </w:rPr>
  </w:style>
  <w:style w:type="paragraph" w:styleId="Titel">
    <w:name w:val="Title"/>
    <w:basedOn w:val="Standard"/>
    <w:next w:val="Standard"/>
    <w:link w:val="TitelZchn"/>
    <w:uiPriority w:val="10"/>
    <w:qFormat/>
    <w:rsid w:val="00C9481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48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9481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948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9481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9481A"/>
    <w:rPr>
      <w:i/>
      <w:iCs/>
      <w:color w:val="404040" w:themeColor="text1" w:themeTint="BF"/>
    </w:rPr>
  </w:style>
  <w:style w:type="paragraph" w:styleId="Listenabsatz">
    <w:name w:val="List Paragraph"/>
    <w:basedOn w:val="Standard"/>
    <w:uiPriority w:val="34"/>
    <w:qFormat/>
    <w:rsid w:val="00C9481A"/>
    <w:pPr>
      <w:ind w:left="720"/>
      <w:contextualSpacing/>
    </w:pPr>
  </w:style>
  <w:style w:type="character" w:styleId="IntensiveHervorhebung">
    <w:name w:val="Intense Emphasis"/>
    <w:basedOn w:val="Absatz-Standardschriftart"/>
    <w:uiPriority w:val="21"/>
    <w:qFormat/>
    <w:rsid w:val="00C9481A"/>
    <w:rPr>
      <w:i/>
      <w:iCs/>
      <w:color w:val="0F4761" w:themeColor="accent1" w:themeShade="BF"/>
    </w:rPr>
  </w:style>
  <w:style w:type="paragraph" w:styleId="IntensivesZitat">
    <w:name w:val="Intense Quote"/>
    <w:basedOn w:val="Standard"/>
    <w:next w:val="Standard"/>
    <w:link w:val="IntensivesZitatZchn"/>
    <w:uiPriority w:val="30"/>
    <w:qFormat/>
    <w:rsid w:val="00C94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9481A"/>
    <w:rPr>
      <w:i/>
      <w:iCs/>
      <w:color w:val="0F4761" w:themeColor="accent1" w:themeShade="BF"/>
    </w:rPr>
  </w:style>
  <w:style w:type="character" w:styleId="IntensiverVerweis">
    <w:name w:val="Intense Reference"/>
    <w:basedOn w:val="Absatz-Standardschriftart"/>
    <w:uiPriority w:val="32"/>
    <w:qFormat/>
    <w:rsid w:val="00C9481A"/>
    <w:rPr>
      <w:b/>
      <w:bCs/>
      <w:smallCaps/>
      <w:color w:val="0F4761" w:themeColor="accent1" w:themeShade="BF"/>
      <w:spacing w:val="5"/>
    </w:rPr>
  </w:style>
  <w:style w:type="character" w:styleId="Platzhaltertext">
    <w:name w:val="Placeholder Text"/>
    <w:basedOn w:val="Absatz-Standardschriftart"/>
    <w:uiPriority w:val="99"/>
    <w:rsid w:val="005655D0"/>
    <w:rPr>
      <w:color w:val="666666"/>
    </w:rPr>
  </w:style>
  <w:style w:type="paragraph" w:styleId="StandardWeb">
    <w:name w:val="Normal (Web)"/>
    <w:basedOn w:val="Standard"/>
    <w:uiPriority w:val="99"/>
    <w:unhideWhenUsed/>
    <w:rsid w:val="005655D0"/>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Literaturverzeichnis1">
    <w:name w:val="Literaturverzeichnis1"/>
    <w:basedOn w:val="Standard"/>
    <w:rsid w:val="005655D0"/>
    <w:pPr>
      <w:spacing w:before="100" w:beforeAutospacing="1" w:after="100" w:afterAutospacing="1"/>
    </w:pPr>
    <w:rPr>
      <w:rFonts w:ascii="Times New Roman" w:eastAsiaTheme="minorEastAsia" w:hAnsi="Times New Roman" w:cs="Times New Roman"/>
      <w:kern w:val="0"/>
      <w:lang w:eastAsia="de-DE"/>
      <w14:ligatures w14:val="none"/>
    </w:rPr>
  </w:style>
  <w:style w:type="paragraph" w:customStyle="1" w:styleId="Literaturverzeichnis2">
    <w:name w:val="Literaturverzeichnis2"/>
    <w:basedOn w:val="Standard"/>
    <w:rsid w:val="001B5016"/>
    <w:pPr>
      <w:spacing w:before="100" w:beforeAutospacing="1" w:after="100" w:afterAutospacing="1"/>
    </w:pPr>
    <w:rPr>
      <w:rFonts w:ascii="Times New Roman" w:eastAsiaTheme="minorEastAsia" w:hAnsi="Times New Roman" w:cs="Times New Roman"/>
      <w:kern w:val="0"/>
      <w:lang w:eastAsia="de-DE"/>
      <w14:ligatures w14:val="none"/>
    </w:rPr>
  </w:style>
  <w:style w:type="character" w:styleId="Fett">
    <w:name w:val="Strong"/>
    <w:basedOn w:val="Absatz-Standardschriftart"/>
    <w:uiPriority w:val="22"/>
    <w:qFormat/>
    <w:rsid w:val="00341A7F"/>
    <w:rPr>
      <w:b/>
      <w:bCs/>
    </w:rPr>
  </w:style>
  <w:style w:type="table" w:styleId="Tabellenraster">
    <w:name w:val="Table Grid"/>
    <w:basedOn w:val="NormaleTabelle"/>
    <w:uiPriority w:val="39"/>
    <w:rsid w:val="00341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4E67BB"/>
    <w:pPr>
      <w:tabs>
        <w:tab w:val="center" w:pos="4536"/>
        <w:tab w:val="right" w:pos="9072"/>
      </w:tabs>
    </w:pPr>
  </w:style>
  <w:style w:type="character" w:customStyle="1" w:styleId="FuzeileZchn">
    <w:name w:val="Fußzeile Zchn"/>
    <w:basedOn w:val="Absatz-Standardschriftart"/>
    <w:link w:val="Fuzeile"/>
    <w:uiPriority w:val="99"/>
    <w:rsid w:val="004E67BB"/>
  </w:style>
  <w:style w:type="character" w:styleId="Seitenzahl">
    <w:name w:val="page number"/>
    <w:basedOn w:val="Absatz-Standardschriftart"/>
    <w:uiPriority w:val="99"/>
    <w:semiHidden/>
    <w:unhideWhenUsed/>
    <w:rsid w:val="004E6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986289">
      <w:bodyDiv w:val="1"/>
      <w:marLeft w:val="0"/>
      <w:marRight w:val="0"/>
      <w:marTop w:val="0"/>
      <w:marBottom w:val="0"/>
      <w:divBdr>
        <w:top w:val="none" w:sz="0" w:space="0" w:color="auto"/>
        <w:left w:val="none" w:sz="0" w:space="0" w:color="auto"/>
        <w:bottom w:val="none" w:sz="0" w:space="0" w:color="auto"/>
        <w:right w:val="none" w:sz="0" w:space="0" w:color="auto"/>
      </w:divBdr>
    </w:div>
    <w:div w:id="213498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DDCDC7-C784-5645-8DDA-568442149A82}">
  <we:reference id="wa104380917" version="1.0.1.0" store="de-DE"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B0AEE-0170-6542-9D60-7213E0A4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1259</Words>
  <Characters>7935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Koeglsperger</dc:creator>
  <cp:keywords/>
  <dc:description/>
  <cp:lastModifiedBy>Thomas Köglsperger</cp:lastModifiedBy>
  <cp:revision>32</cp:revision>
  <dcterms:created xsi:type="dcterms:W3CDTF">2025-06-23T11:52:00Z</dcterms:created>
  <dcterms:modified xsi:type="dcterms:W3CDTF">2026-06-09T17:30:00Z</dcterms:modified>
</cp:coreProperties>
</file>