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F5157">
      <w:pPr>
        <w:pStyle w:val="2"/>
        <w:rPr>
          <w:sz w:val="24"/>
          <w:szCs w:val="24"/>
        </w:rPr>
      </w:pPr>
      <w:r>
        <w:rPr>
          <w:rFonts w:hint="eastAsia"/>
          <w:sz w:val="24"/>
          <w:szCs w:val="24"/>
        </w:rPr>
        <w:t>Supplemental information</w:t>
      </w:r>
    </w:p>
    <w:p w14:paraId="0380A0FB">
      <w:pPr>
        <w:pStyle w:val="2"/>
        <w:rPr>
          <w:rFonts w:hint="eastAsia" w:eastAsia="宋体"/>
          <w:sz w:val="24"/>
          <w:szCs w:val="24"/>
          <w:lang w:val="en-US" w:eastAsia="zh-CN"/>
        </w:rPr>
      </w:pPr>
      <w:r>
        <w:rPr>
          <w:rFonts w:hint="eastAsia" w:eastAsia="宋体"/>
          <w:sz w:val="24"/>
          <w:szCs w:val="24"/>
          <w:lang w:val="en-US" w:eastAsia="zh-CN"/>
        </w:rPr>
        <w:t>SATB1 lowers the T cell receptor signaling threshold for thymocytes positive selection via super-enhancer reprogramming</w:t>
      </w:r>
    </w:p>
    <w:p w14:paraId="6A0B4D30">
      <w:r>
        <w:t>Wei Xue</w:t>
      </w:r>
      <w:r>
        <w:rPr>
          <w:rFonts w:hint="eastAsia" w:ascii="Times New Roman Regular" w:hAnsi="Times New Roman Regular" w:cs="Times New Roman Regular" w:eastAsiaTheme="minorEastAsia"/>
          <w:vertAlign w:val="superscript"/>
        </w:rPr>
        <w:t>1</w:t>
      </w:r>
      <w:r>
        <w:t>,</w:t>
      </w:r>
      <w:r>
        <w:rPr>
          <w:rFonts w:hint="eastAsia"/>
        </w:rPr>
        <w:t xml:space="preserve"> Keyi Li</w:t>
      </w:r>
      <w:r>
        <w:rPr>
          <w:rFonts w:hint="eastAsia" w:ascii="Times New Roman Regular" w:hAnsi="Times New Roman Regular" w:cs="Times New Roman Regular" w:eastAsiaTheme="minorEastAsia"/>
          <w:vertAlign w:val="superscript"/>
        </w:rPr>
        <w:t>1</w:t>
      </w:r>
      <w:r>
        <w:rPr>
          <w:rFonts w:hint="eastAsia"/>
        </w:rPr>
        <w:t>, Junwei Luo</w:t>
      </w:r>
      <w:r>
        <w:rPr>
          <w:rFonts w:ascii="Times New Roman Regular" w:hAnsi="Times New Roman Regular" w:cs="Times New Roman Regular" w:eastAsiaTheme="minorEastAsia"/>
          <w:vertAlign w:val="superscript"/>
        </w:rPr>
        <w:t>2</w:t>
      </w:r>
      <w:r>
        <w:rPr>
          <w:rFonts w:hint="eastAsia"/>
        </w:rPr>
        <w:t>,</w:t>
      </w:r>
      <w:r>
        <w:rPr>
          <w:rFonts w:hint="eastAsia"/>
          <w:lang w:val="en-US" w:eastAsia="zh-CN"/>
        </w:rPr>
        <w:t xml:space="preserve"> </w:t>
      </w:r>
      <w:r>
        <w:rPr>
          <w:rFonts w:hint="eastAsia"/>
        </w:rPr>
        <w:t>Delong Feng</w:t>
      </w:r>
      <w:r>
        <w:rPr>
          <w:rFonts w:hint="eastAsia" w:ascii="Times New Roman Regular" w:hAnsi="Times New Roman Regular" w:cs="Times New Roman Regular" w:eastAsiaTheme="minorEastAsia"/>
          <w:vertAlign w:val="superscript"/>
        </w:rPr>
        <w:t>3</w:t>
      </w:r>
      <w:r>
        <w:rPr>
          <w:rFonts w:hint="eastAsia"/>
        </w:rPr>
        <w:t>,</w:t>
      </w:r>
      <w:r>
        <w:t xml:space="preserve"> </w:t>
      </w:r>
      <w:r>
        <w:rPr>
          <w:rFonts w:hint="eastAsia"/>
        </w:rPr>
        <w:t>Ranran Dai</w:t>
      </w:r>
      <w:r>
        <w:rPr>
          <w:rFonts w:hint="eastAsia" w:ascii="Times New Roman Regular" w:hAnsi="Times New Roman Regular" w:cs="Times New Roman Regular" w:eastAsiaTheme="minorEastAsia"/>
          <w:vertAlign w:val="superscript"/>
        </w:rPr>
        <w:t>4</w:t>
      </w:r>
      <w:r>
        <w:rPr>
          <w:rFonts w:hint="eastAsia"/>
        </w:rPr>
        <w:t xml:space="preserve">, </w:t>
      </w:r>
      <w:r>
        <w:rPr>
          <w:rFonts w:hint="eastAsia"/>
          <w:lang w:val="en-US" w:eastAsia="zh-CN"/>
        </w:rPr>
        <w:t>Yongchang Zhu</w:t>
      </w:r>
      <w:r>
        <w:rPr>
          <w:rFonts w:ascii="Times New Roman Regular" w:hAnsi="Times New Roman Regular" w:cs="Times New Roman Regular" w:eastAsiaTheme="minorEastAsia"/>
          <w:vertAlign w:val="superscript"/>
        </w:rPr>
        <w:t>2</w:t>
      </w:r>
      <w:r>
        <w:rPr>
          <w:rFonts w:hint="eastAsia"/>
          <w:lang w:val="en-US" w:eastAsia="zh-CN"/>
        </w:rPr>
        <w:t xml:space="preserve">, </w:t>
      </w:r>
      <w:r>
        <w:rPr>
          <w:rFonts w:hint="eastAsia"/>
        </w:rPr>
        <w:t>Yiting Yang</w:t>
      </w:r>
      <w:r>
        <w:rPr>
          <w:rFonts w:hint="eastAsia" w:ascii="Times New Roman Regular" w:hAnsi="Times New Roman Regular" w:cs="Times New Roman Regular" w:eastAsiaTheme="minorEastAsia"/>
          <w:vertAlign w:val="superscript"/>
        </w:rPr>
        <w:t>1</w:t>
      </w:r>
      <w:r>
        <w:rPr>
          <w:rFonts w:hint="eastAsia"/>
        </w:rPr>
        <w:t>, Litao Qin</w:t>
      </w:r>
      <w:r>
        <w:rPr>
          <w:rFonts w:hint="eastAsia" w:cs="Symbol"/>
          <w:vertAlign w:val="superscript"/>
        </w:rPr>
        <w:t>5</w:t>
      </w:r>
      <w:r>
        <w:rPr>
          <w:rFonts w:hint="eastAsia"/>
        </w:rPr>
        <w:t>, Yan Zhang</w:t>
      </w:r>
      <w:r>
        <w:rPr>
          <w:rFonts w:hint="eastAsia" w:ascii="Times New Roman Regular" w:hAnsi="Times New Roman Regular" w:cs="Times New Roman Regular" w:eastAsiaTheme="minorEastAsia"/>
          <w:vertAlign w:val="superscript"/>
        </w:rPr>
        <w:t>1</w:t>
      </w:r>
      <w:r>
        <w:t xml:space="preserve">, </w:t>
      </w:r>
      <w:r>
        <w:rPr>
          <w:rFonts w:hint="eastAsia"/>
        </w:rPr>
        <w:t>Jiarui Zhang</w:t>
      </w:r>
      <w:r>
        <w:rPr>
          <w:rFonts w:hint="eastAsia" w:ascii="Times New Roman Regular" w:hAnsi="Times New Roman Regular" w:cs="Times New Roman Regular" w:eastAsiaTheme="minorEastAsia"/>
          <w:vertAlign w:val="superscript"/>
        </w:rPr>
        <w:t>1</w:t>
      </w:r>
      <w:r>
        <w:rPr>
          <w:rFonts w:hint="eastAsia"/>
        </w:rPr>
        <w:t>,</w:t>
      </w:r>
      <w:r>
        <w:t xml:space="preserve"> Bo</w:t>
      </w:r>
      <w:r>
        <w:rPr>
          <w:rFonts w:hint="eastAsia"/>
        </w:rPr>
        <w:t xml:space="preserve"> Lei</w:t>
      </w:r>
      <w:r>
        <w:rPr>
          <w:rFonts w:hint="eastAsia" w:cs="Symbol"/>
          <w:vertAlign w:val="superscript"/>
        </w:rPr>
        <w:t>6</w:t>
      </w:r>
      <w:r>
        <w:rPr>
          <w:rFonts w:cs="Symbol"/>
          <w:vertAlign w:val="superscript"/>
        </w:rPr>
        <w:t xml:space="preserve"> </w:t>
      </w:r>
      <w:r>
        <w:rPr>
          <w:rFonts w:cs="Symbol"/>
          <w:vertAlign w:val="superscript"/>
          <w:lang w:bidi="ar"/>
        </w:rPr>
        <w:t>*</w:t>
      </w:r>
      <w:r>
        <w:t>, Bingtao Hao</w:t>
      </w:r>
      <w:r>
        <w:rPr>
          <w:rFonts w:ascii="Times New Roman Regular" w:hAnsi="Times New Roman Regular" w:cs="Times New Roman Regular" w:eastAsiaTheme="minorEastAsia"/>
          <w:vertAlign w:val="superscript"/>
        </w:rPr>
        <w:t xml:space="preserve">2, </w:t>
      </w:r>
      <w:r>
        <w:rPr>
          <w:rFonts w:hint="eastAsia" w:ascii="Times New Roman Regular" w:hAnsi="Times New Roman Regular" w:cs="Times New Roman Regular" w:eastAsiaTheme="minorEastAsia"/>
          <w:vertAlign w:val="superscript"/>
        </w:rPr>
        <w:t>6</w:t>
      </w:r>
      <w:r>
        <w:rPr>
          <w:rFonts w:ascii="Times New Roman Regular" w:hAnsi="Times New Roman Regular" w:cs="Times New Roman Regular" w:eastAsiaTheme="minorEastAsia"/>
          <w:vertAlign w:val="superscript"/>
        </w:rPr>
        <w:t>,</w:t>
      </w:r>
      <w:r>
        <w:rPr>
          <w:rFonts w:hint="eastAsia" w:ascii="Times New Roman Regular" w:hAnsi="Times New Roman Regular" w:cs="Times New Roman Regular" w:eastAsiaTheme="minorEastAsia"/>
          <w:vertAlign w:val="superscript"/>
        </w:rPr>
        <w:t xml:space="preserve"> 1</w:t>
      </w:r>
      <w:r>
        <w:rPr>
          <w:rFonts w:cs="Symbol"/>
          <w:vertAlign w:val="superscript"/>
          <w:lang w:bidi="ar"/>
        </w:rPr>
        <w:t xml:space="preserve"> *</w:t>
      </w:r>
    </w:p>
    <w:p w14:paraId="1396BC88">
      <w:pPr>
        <w:widowControl/>
        <w:spacing w:after="120"/>
        <w:jc w:val="left"/>
        <w:outlineLvl w:val="1"/>
        <w:rPr>
          <w:rFonts w:ascii="Times New Roman" w:hAnsi="Times New Roman" w:eastAsia="Times New Roman" w:cs="Times New Roman"/>
          <w:b/>
          <w:bCs/>
          <w:kern w:val="0"/>
          <w:szCs w:val="21"/>
          <w:lang w:val="zh-CN"/>
        </w:rPr>
        <w:sectPr>
          <w:pgSz w:w="11906" w:h="16838"/>
          <w:pgMar w:top="1440" w:right="1800" w:bottom="1440" w:left="1800" w:header="851" w:footer="992" w:gutter="0"/>
          <w:cols w:space="425" w:num="1"/>
          <w:docGrid w:type="lines" w:linePitch="312" w:charSpace="0"/>
        </w:sectPr>
      </w:pPr>
    </w:p>
    <w:p w14:paraId="59270D16">
      <w:pPr>
        <w:widowControl/>
        <w:spacing w:after="120"/>
        <w:jc w:val="left"/>
        <w:outlineLvl w:val="1"/>
        <w:rPr>
          <w:rFonts w:ascii="Times New Roman" w:hAnsi="Times New Roman" w:eastAsia="Times New Roman" w:cs="Times New Roman"/>
          <w:b/>
          <w:bCs/>
          <w:kern w:val="0"/>
          <w:szCs w:val="21"/>
          <w:lang w:val="zh-CN"/>
        </w:rPr>
      </w:pPr>
      <w:r>
        <w:rPr>
          <w:rFonts w:ascii="Times New Roman" w:hAnsi="Times New Roman" w:eastAsia="Times New Roman" w:cs="Times New Roman"/>
          <w:b/>
          <w:bCs/>
          <w:kern w:val="0"/>
          <w:szCs w:val="21"/>
          <w:lang w:val="zh-CN"/>
        </w:rPr>
        <w:drawing>
          <wp:inline distT="0" distB="0" distL="114300" distR="114300">
            <wp:extent cx="5270500" cy="4356735"/>
            <wp:effectExtent l="0" t="0" r="0" b="12065"/>
            <wp:docPr id="19" name="图片 19" descr="FigS1 Satb1-Ires-EGFP小鼠不影响胸腺发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S1 Satb1-Ires-EGFP小鼠不影响胸腺发育"/>
                    <pic:cNvPicPr>
                      <a:picLocks noChangeAspect="1"/>
                    </pic:cNvPicPr>
                  </pic:nvPicPr>
                  <pic:blipFill>
                    <a:blip r:embed="rId4"/>
                    <a:stretch>
                      <a:fillRect/>
                    </a:stretch>
                  </pic:blipFill>
                  <pic:spPr>
                    <a:xfrm>
                      <a:off x="0" y="0"/>
                      <a:ext cx="5270500" cy="4356735"/>
                    </a:xfrm>
                    <a:prstGeom prst="rect">
                      <a:avLst/>
                    </a:prstGeom>
                  </pic:spPr>
                </pic:pic>
              </a:graphicData>
            </a:graphic>
          </wp:inline>
        </w:drawing>
      </w:r>
      <w:r>
        <w:rPr>
          <w:rFonts w:ascii="Times New Roman" w:hAnsi="Times New Roman" w:eastAsia="Times New Roman" w:cs="Times New Roman"/>
          <w:b/>
          <w:bCs/>
          <w:kern w:val="0"/>
          <w:szCs w:val="21"/>
          <w:lang w:val="zh-CN"/>
        </w:rPr>
        <w:t>Figure S1. Satb1-IRES-eGFP reporter mice display normal thymic development</w:t>
      </w:r>
    </w:p>
    <w:p w14:paraId="4A2DDA69">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(a)</w:t>
      </w:r>
      <w:r>
        <w:rPr>
          <w:rFonts w:ascii="Times New Roman" w:hAnsi="Times New Roman" w:eastAsia="Times New Roman" w:cs="Times New Roman"/>
          <w:kern w:val="0"/>
          <w:szCs w:val="21"/>
          <w:lang w:val="zh-CN"/>
        </w:rPr>
        <w:t xml:space="preserve"> Immunoblot analysis of SATB1 protein expression in thymocytes from </w:t>
      </w:r>
      <w:r>
        <w:rPr>
          <w:rFonts w:ascii="Times New Roman" w:hAnsi="Times New Roman" w:eastAsia="Times New Roman" w:cs="Times New Roman"/>
          <w:i/>
          <w:iCs/>
          <w:kern w:val="0"/>
          <w:szCs w:val="21"/>
          <w:lang w:val="zh-CN"/>
        </w:rPr>
        <w:t>Satb1</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vertAlign w:val="superscript"/>
          <w:lang w:val="zh-CN"/>
        </w:rPr>
        <w:t>/</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lang w:val="zh-CN"/>
        </w:rPr>
        <w:t xml:space="preserve">,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w:t>
      </w:r>
      <w:r>
        <w:rPr>
          <w:rFonts w:ascii="Times New Roman" w:hAnsi="Times New Roman" w:eastAsia="Times New Roman" w:cs="Times New Roman"/>
          <w:kern w:val="0"/>
          <w:szCs w:val="21"/>
          <w:lang w:val="zh-CN"/>
        </w:rPr>
        <w:t xml:space="preserve">, and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eGFP/eGFP</w:t>
      </w:r>
      <w:r>
        <w:rPr>
          <w:rFonts w:ascii="Times New Roman" w:hAnsi="Times New Roman" w:eastAsia="Times New Roman" w:cs="Times New Roman"/>
          <w:kern w:val="0"/>
          <w:szCs w:val="21"/>
          <w:lang w:val="zh-CN"/>
        </w:rPr>
        <w:t xml:space="preserve"> mice. GAPDH was used as a loading control.</w:t>
      </w:r>
    </w:p>
    <w:p w14:paraId="5C20CAAE">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(b)</w:t>
      </w:r>
      <w:r>
        <w:rPr>
          <w:rFonts w:ascii="Times New Roman" w:hAnsi="Times New Roman" w:eastAsia="Times New Roman" w:cs="Times New Roman"/>
          <w:kern w:val="0"/>
          <w:szCs w:val="21"/>
          <w:lang w:val="zh-CN"/>
        </w:rPr>
        <w:t xml:space="preserve"> Thymus weight of </w:t>
      </w:r>
      <w:r>
        <w:rPr>
          <w:rFonts w:ascii="Times New Roman" w:hAnsi="Times New Roman" w:eastAsia="Times New Roman" w:cs="Times New Roman"/>
          <w:i/>
          <w:iCs/>
          <w:kern w:val="0"/>
          <w:szCs w:val="21"/>
          <w:lang w:val="zh-CN"/>
        </w:rPr>
        <w:t>Satb1</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vertAlign w:val="superscript"/>
          <w:lang w:val="zh-CN"/>
        </w:rPr>
        <w:t>/</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lang w:val="zh-CN"/>
        </w:rPr>
        <w:t xml:space="preserve">,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w:t>
      </w:r>
      <w:r>
        <w:rPr>
          <w:rFonts w:ascii="Times New Roman" w:hAnsi="Times New Roman" w:eastAsia="Times New Roman" w:cs="Times New Roman"/>
          <w:kern w:val="0"/>
          <w:szCs w:val="21"/>
          <w:lang w:val="zh-CN"/>
        </w:rPr>
        <w:t xml:space="preserve">, and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eGFP/eGFP</w:t>
      </w:r>
      <w:r>
        <w:rPr>
          <w:rFonts w:ascii="Times New Roman" w:hAnsi="Times New Roman" w:eastAsia="Times New Roman" w:cs="Times New Roman"/>
          <w:kern w:val="0"/>
          <w:szCs w:val="21"/>
          <w:lang w:val="zh-CN"/>
        </w:rPr>
        <w:t xml:space="preserve"> mice. Each dot represents one mouse; data are shown as mean ± s.d. Statistical significance was assessed by two-sided Student’s </w:t>
      </w:r>
      <w:r>
        <w:rPr>
          <w:rFonts w:ascii="Times New Roman" w:hAnsi="Times New Roman" w:eastAsia="Times New Roman" w:cs="Times New Roman"/>
          <w:i/>
          <w:iCs/>
          <w:kern w:val="0"/>
          <w:szCs w:val="21"/>
          <w:lang w:val="zh-CN"/>
        </w:rPr>
        <w:t>t</w:t>
      </w:r>
      <w:r>
        <w:rPr>
          <w:rFonts w:ascii="Times New Roman" w:hAnsi="Times New Roman" w:eastAsia="Times New Roman" w:cs="Times New Roman"/>
          <w:kern w:val="0"/>
          <w:szCs w:val="21"/>
          <w:lang w:val="zh-CN"/>
        </w:rPr>
        <w:t xml:space="preserve"> test.</w:t>
      </w:r>
    </w:p>
    <w:p w14:paraId="710C5B8F">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(c)</w:t>
      </w:r>
      <w:r>
        <w:rPr>
          <w:rFonts w:ascii="Times New Roman" w:hAnsi="Times New Roman" w:eastAsia="Times New Roman" w:cs="Times New Roman"/>
          <w:kern w:val="0"/>
          <w:szCs w:val="21"/>
          <w:lang w:val="zh-CN"/>
        </w:rPr>
        <w:t xml:space="preserve"> Representative flow cytometry plots showing CD4 and CD8 expression in thymocytes from </w:t>
      </w:r>
      <w:r>
        <w:rPr>
          <w:rFonts w:ascii="Times New Roman" w:hAnsi="Times New Roman" w:eastAsia="Times New Roman" w:cs="Times New Roman"/>
          <w:i/>
          <w:iCs/>
          <w:kern w:val="0"/>
          <w:szCs w:val="21"/>
          <w:lang w:val="zh-CN"/>
        </w:rPr>
        <w:t>Satb1</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vertAlign w:val="superscript"/>
          <w:lang w:val="zh-CN"/>
        </w:rPr>
        <w:t>/</w:t>
      </w:r>
      <w:r>
        <w:rPr>
          <w:rFonts w:hint="eastAsia" w:ascii="Times New Roman" w:hAnsi="Times New Roman" w:eastAsia="Times New Roman" w:cs="Times New Roman"/>
          <w:kern w:val="0"/>
          <w:szCs w:val="21"/>
          <w:vertAlign w:val="superscript"/>
          <w:lang w:val="zh-CN"/>
        </w:rPr>
        <w:t>+</w:t>
      </w:r>
      <w:r>
        <w:rPr>
          <w:rFonts w:ascii="Times New Roman" w:hAnsi="Times New Roman" w:eastAsia="Times New Roman" w:cs="Times New Roman"/>
          <w:kern w:val="0"/>
          <w:szCs w:val="21"/>
          <w:lang w:val="zh-CN"/>
        </w:rPr>
        <w:t xml:space="preserve">,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w:t>
      </w:r>
      <w:r>
        <w:rPr>
          <w:rFonts w:ascii="Times New Roman" w:hAnsi="Times New Roman" w:eastAsia="Times New Roman" w:cs="Times New Roman"/>
          <w:kern w:val="0"/>
          <w:szCs w:val="21"/>
          <w:lang w:val="zh-CN"/>
        </w:rPr>
        <w:t xml:space="preserve">, and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eGFP/eGFP</w:t>
      </w:r>
      <w:r>
        <w:rPr>
          <w:rFonts w:ascii="Times New Roman" w:hAnsi="Times New Roman" w:eastAsia="Times New Roman" w:cs="Times New Roman"/>
          <w:kern w:val="0"/>
          <w:szCs w:val="21"/>
          <w:lang w:val="zh-CN"/>
        </w:rPr>
        <w:t xml:space="preserve"> mice.</w:t>
      </w:r>
    </w:p>
    <w:p w14:paraId="022181CD">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(d)</w:t>
      </w:r>
      <w:r>
        <w:rPr>
          <w:rFonts w:ascii="Times New Roman" w:hAnsi="Times New Roman" w:eastAsia="Times New Roman" w:cs="Times New Roman"/>
          <w:kern w:val="0"/>
          <w:szCs w:val="21"/>
          <w:lang w:val="zh-CN"/>
        </w:rPr>
        <w:t xml:space="preserve"> Quantification of the frequencies of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and CD4⁻CD8⁺</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 xml:space="preserve">thymocyte subsets from (c). </w:t>
      </w:r>
      <w:r>
        <w:rPr>
          <w:rFonts w:hint="eastAsia" w:ascii="Times New Roman" w:hAnsi="Times New Roman" w:eastAsia="宋体" w:cs="Times New Roman"/>
          <w:kern w:val="0"/>
          <w:szCs w:val="21"/>
          <w:lang w:val="en-US" w:eastAsia="zh-CN"/>
        </w:rPr>
        <w:t>Every d</w:t>
      </w:r>
      <w:r>
        <w:rPr>
          <w:rFonts w:ascii="Times New Roman" w:hAnsi="Times New Roman" w:eastAsia="Times New Roman" w:cs="Times New Roman"/>
          <w:kern w:val="0"/>
          <w:szCs w:val="21"/>
          <w:lang w:val="zh-CN"/>
        </w:rPr>
        <w:t>ata are</w:t>
      </w:r>
      <w:r>
        <w:rPr>
          <w:rFonts w:hint="eastAsia" w:ascii="Times New Roman" w:hAnsi="Times New Roman" w:eastAsia="宋体" w:cs="Times New Roman"/>
          <w:kern w:val="0"/>
          <w:szCs w:val="21"/>
          <w:lang w:val="en-US" w:eastAsia="zh-CN"/>
        </w:rPr>
        <w:t xml:space="preserve"> three replications and</w:t>
      </w:r>
      <w:r>
        <w:rPr>
          <w:rFonts w:ascii="Times New Roman" w:hAnsi="Times New Roman" w:eastAsia="Times New Roman" w:cs="Times New Roman"/>
          <w:kern w:val="0"/>
          <w:szCs w:val="21"/>
          <w:lang w:val="zh-CN"/>
        </w:rPr>
        <w:t xml:space="preserve"> shown as mean ± s.d. </w:t>
      </w:r>
      <w:r>
        <w:rPr>
          <w:rFonts w:hint="eastAsia" w:ascii="Times New Roman" w:hAnsi="Times New Roman" w:eastAsia="宋体" w:cs="Times New Roman"/>
          <w:kern w:val="0"/>
          <w:szCs w:val="21"/>
          <w:lang w:val="en-US" w:eastAsia="zh-CN"/>
        </w:rPr>
        <w:t xml:space="preserve">P value </w:t>
      </w:r>
      <w:r>
        <w:rPr>
          <w:rFonts w:ascii="Times New Roman" w:hAnsi="Times New Roman" w:eastAsia="Times New Roman" w:cs="Times New Roman"/>
          <w:kern w:val="0"/>
          <w:szCs w:val="21"/>
          <w:lang w:val="zh-CN"/>
        </w:rPr>
        <w:t xml:space="preserve">was assessed by two-sided Student’s </w:t>
      </w:r>
      <w:r>
        <w:rPr>
          <w:rFonts w:ascii="Times New Roman" w:hAnsi="Times New Roman" w:eastAsia="Times New Roman" w:cs="Times New Roman"/>
          <w:i/>
          <w:iCs/>
          <w:kern w:val="0"/>
          <w:szCs w:val="21"/>
          <w:lang w:val="zh-CN"/>
        </w:rPr>
        <w:t>t</w:t>
      </w:r>
      <w:r>
        <w:rPr>
          <w:rFonts w:ascii="Times New Roman" w:hAnsi="Times New Roman" w:eastAsia="Times New Roman" w:cs="Times New Roman"/>
          <w:kern w:val="0"/>
          <w:szCs w:val="21"/>
          <w:lang w:val="zh-CN"/>
        </w:rPr>
        <w:t xml:space="preserve"> test.</w:t>
      </w:r>
    </w:p>
    <w:p w14:paraId="5A7D4AE5">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(e)</w:t>
      </w:r>
      <w:r>
        <w:rPr>
          <w:rFonts w:ascii="Times New Roman" w:hAnsi="Times New Roman" w:eastAsia="Times New Roman" w:cs="Times New Roman"/>
          <w:kern w:val="0"/>
          <w:szCs w:val="21"/>
          <w:lang w:val="zh-CN"/>
        </w:rPr>
        <w:t xml:space="preserve"> Representative histograms showing eGFP fluorescence intensity in thymocyte subsets from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w:t>
      </w:r>
      <w:r>
        <w:rPr>
          <w:rFonts w:hint="eastAsia" w:ascii="Times New Roman" w:hAnsi="Times New Roman" w:eastAsia="Times New Roman" w:cs="Times New Roman"/>
          <w:kern w:val="0"/>
          <w:szCs w:val="21"/>
          <w:lang w:val="zh-CN"/>
        </w:rPr>
        <w:t xml:space="preserve"> </w:t>
      </w:r>
      <w:r>
        <w:rPr>
          <w:rFonts w:ascii="Times New Roman" w:hAnsi="Times New Roman" w:eastAsia="Times New Roman" w:cs="Times New Roman"/>
          <w:kern w:val="0"/>
          <w:szCs w:val="21"/>
          <w:lang w:val="zh-CN"/>
        </w:rPr>
        <w:t>mice.</w:t>
      </w:r>
    </w:p>
    <w:p w14:paraId="13AF2098">
      <w:pPr>
        <w:widowControl/>
        <w:spacing w:after="120"/>
        <w:jc w:val="left"/>
        <w:rPr>
          <w:rFonts w:ascii="Times New Roman" w:hAnsi="Times New Roman" w:eastAsia="Times New Roman" w:cs="Times New Roman"/>
          <w:kern w:val="0"/>
          <w:szCs w:val="21"/>
          <w:lang w:val="zh-CN"/>
        </w:rPr>
      </w:pPr>
      <w:r>
        <w:rPr>
          <w:rFonts w:ascii="Times New Roman" w:hAnsi="Times New Roman" w:eastAsia="Times New Roman" w:cs="Times New Roman"/>
          <w:b/>
          <w:bCs/>
          <w:kern w:val="0"/>
          <w:szCs w:val="21"/>
          <w:lang w:val="zh-CN"/>
        </w:rPr>
        <w:t>(f)</w:t>
      </w:r>
      <w:r>
        <w:rPr>
          <w:rFonts w:ascii="Times New Roman" w:hAnsi="Times New Roman" w:eastAsia="Times New Roman" w:cs="Times New Roman"/>
          <w:kern w:val="0"/>
          <w:szCs w:val="21"/>
          <w:lang w:val="zh-CN"/>
        </w:rPr>
        <w:t xml:space="preserve"> Quantification of mean fluorescence intensity (MFI) of eGFP in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CD4⁺</w:t>
      </w:r>
      <w:r>
        <w:rPr>
          <w:rFonts w:hint="eastAsia" w:ascii="Times New Roman" w:hAnsi="Times New Roman" w:eastAsia="宋体" w:cs="Times New Roman"/>
          <w:kern w:val="0"/>
          <w:szCs w:val="21"/>
          <w:lang w:val="en-US" w:eastAsia="zh-CN"/>
        </w:rPr>
        <w:t xml:space="preserve"> </w:t>
      </w:r>
      <w:r>
        <w:rPr>
          <w:rFonts w:ascii="Times New Roman" w:hAnsi="Times New Roman" w:eastAsia="Times New Roman" w:cs="Times New Roman"/>
          <w:kern w:val="0"/>
          <w:szCs w:val="21"/>
          <w:lang w:val="zh-CN"/>
        </w:rPr>
        <w:t>CD8⁻, and CD4⁻CD8⁺</w:t>
      </w:r>
      <w:r>
        <w:rPr>
          <w:rFonts w:hint="eastAsia" w:ascii="Times New Roman" w:hAnsi="Times New Roman" w:eastAsia="宋体" w:cs="Times New Roman"/>
          <w:kern w:val="0"/>
          <w:szCs w:val="21"/>
          <w:vertAlign w:val="baseline"/>
          <w:lang w:val="en-US" w:eastAsia="zh-CN"/>
        </w:rPr>
        <w:t xml:space="preserve"> </w:t>
      </w:r>
      <w:r>
        <w:rPr>
          <w:rFonts w:ascii="Times New Roman" w:hAnsi="Times New Roman" w:eastAsia="Times New Roman" w:cs="Times New Roman"/>
          <w:kern w:val="0"/>
          <w:szCs w:val="21"/>
          <w:lang w:val="zh-CN"/>
        </w:rPr>
        <w:t xml:space="preserve">thymocyte subsets from </w:t>
      </w:r>
      <w:r>
        <w:rPr>
          <w:rFonts w:ascii="Times New Roman" w:hAnsi="Times New Roman" w:eastAsia="Times New Roman" w:cs="Times New Roman"/>
          <w:i/>
          <w:iCs/>
          <w:kern w:val="0"/>
          <w:szCs w:val="21"/>
          <w:lang w:val="zh-CN"/>
        </w:rPr>
        <w:t>Satb1</w:t>
      </w:r>
      <w:r>
        <w:rPr>
          <w:rFonts w:ascii="Times New Roman" w:hAnsi="Times New Roman" w:eastAsia="Times New Roman" w:cs="Times New Roman"/>
          <w:kern w:val="0"/>
          <w:szCs w:val="21"/>
          <w:vertAlign w:val="superscript"/>
          <w:lang w:val="zh-CN"/>
        </w:rPr>
        <w:t>eGFP/+</w:t>
      </w:r>
      <w:r>
        <w:rPr>
          <w:rFonts w:hint="eastAsia" w:ascii="Times New Roman" w:hAnsi="Times New Roman" w:eastAsia="Times New Roman" w:cs="Times New Roman"/>
          <w:i/>
          <w:iCs/>
          <w:kern w:val="0"/>
          <w:szCs w:val="21"/>
          <w:lang w:val="zh-CN"/>
        </w:rPr>
        <w:t xml:space="preserve"> </w:t>
      </w:r>
      <w:r>
        <w:rPr>
          <w:rFonts w:ascii="Times New Roman" w:hAnsi="Times New Roman" w:eastAsia="Times New Roman" w:cs="Times New Roman"/>
          <w:kern w:val="0"/>
          <w:szCs w:val="21"/>
          <w:lang w:val="zh-CN"/>
        </w:rPr>
        <w:t xml:space="preserve">mice. </w:t>
      </w:r>
      <w:r>
        <w:rPr>
          <w:rFonts w:hint="eastAsia" w:ascii="Times New Roman" w:hAnsi="Times New Roman" w:eastAsia="宋体" w:cs="Times New Roman"/>
          <w:kern w:val="0"/>
          <w:szCs w:val="21"/>
          <w:lang w:val="en-US" w:eastAsia="zh-CN"/>
        </w:rPr>
        <w:t>Every d</w:t>
      </w:r>
      <w:r>
        <w:rPr>
          <w:rFonts w:ascii="Times New Roman" w:hAnsi="Times New Roman" w:eastAsia="Times New Roman" w:cs="Times New Roman"/>
          <w:kern w:val="0"/>
          <w:szCs w:val="21"/>
          <w:lang w:val="zh-CN"/>
        </w:rPr>
        <w:t>ata are</w:t>
      </w:r>
      <w:r>
        <w:rPr>
          <w:rFonts w:hint="eastAsia" w:ascii="Times New Roman" w:hAnsi="Times New Roman" w:eastAsia="宋体" w:cs="Times New Roman"/>
          <w:kern w:val="0"/>
          <w:szCs w:val="21"/>
          <w:lang w:val="en-US" w:eastAsia="zh-CN"/>
        </w:rPr>
        <w:t xml:space="preserve"> four replications and</w:t>
      </w:r>
      <w:r>
        <w:rPr>
          <w:rFonts w:ascii="Times New Roman" w:hAnsi="Times New Roman" w:eastAsia="Times New Roman" w:cs="Times New Roman"/>
          <w:kern w:val="0"/>
          <w:szCs w:val="21"/>
          <w:lang w:val="zh-CN"/>
        </w:rPr>
        <w:t xml:space="preserve"> shown as mean ± s.d. </w:t>
      </w:r>
      <w:r>
        <w:rPr>
          <w:rFonts w:hint="eastAsia" w:ascii="Times New Roman" w:hAnsi="Times New Roman" w:eastAsia="宋体" w:cs="Times New Roman"/>
          <w:kern w:val="0"/>
          <w:szCs w:val="21"/>
          <w:lang w:val="en-US" w:eastAsia="zh-CN"/>
        </w:rPr>
        <w:t>P value</w:t>
      </w:r>
      <w:r>
        <w:rPr>
          <w:rFonts w:ascii="Times New Roman" w:hAnsi="Times New Roman" w:eastAsia="Times New Roman" w:cs="Times New Roman"/>
          <w:kern w:val="0"/>
          <w:szCs w:val="21"/>
          <w:lang w:val="zh-CN"/>
        </w:rPr>
        <w:t xml:space="preserve"> was assessed by two-sided Student’s </w:t>
      </w:r>
      <w:r>
        <w:rPr>
          <w:rFonts w:ascii="Times New Roman" w:hAnsi="Times New Roman" w:eastAsia="Times New Roman" w:cs="Times New Roman"/>
          <w:i/>
          <w:iCs/>
          <w:kern w:val="0"/>
          <w:szCs w:val="21"/>
          <w:lang w:val="zh-CN"/>
        </w:rPr>
        <w:t>t</w:t>
      </w:r>
      <w:r>
        <w:rPr>
          <w:rFonts w:ascii="Times New Roman" w:hAnsi="Times New Roman" w:eastAsia="Times New Roman" w:cs="Times New Roman"/>
          <w:kern w:val="0"/>
          <w:szCs w:val="21"/>
          <w:lang w:val="zh-CN"/>
        </w:rPr>
        <w:t xml:space="preserve"> test.</w:t>
      </w:r>
    </w:p>
    <w:p w14:paraId="0CAFED72">
      <w:r>
        <w:br w:type="page"/>
      </w:r>
    </w:p>
    <w:p w14:paraId="2F9468A0">
      <w:pPr>
        <w:pStyle w:val="2"/>
        <w:spacing w:before="0" w:beforeAutospacing="0" w:after="120" w:afterAutospacing="0"/>
        <w:rPr>
          <w:sz w:val="21"/>
          <w:szCs w:val="21"/>
        </w:rPr>
      </w:pPr>
      <w:r>
        <w:rPr>
          <w:rStyle w:val="8"/>
          <w:b/>
          <w:bCs/>
          <w:sz w:val="21"/>
          <w:szCs w:val="21"/>
        </w:rPr>
        <w:drawing>
          <wp:inline distT="0" distB="0" distL="114300" distR="114300">
            <wp:extent cx="5271135" cy="6085205"/>
            <wp:effectExtent l="0" t="0" r="12065" b="10795"/>
            <wp:docPr id="3" name="图片 3" descr="FigS2 阳性选择前后转录水平的改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 阳性选择前后转录水平的改变"/>
                    <pic:cNvPicPr>
                      <a:picLocks noChangeAspect="1"/>
                    </pic:cNvPicPr>
                  </pic:nvPicPr>
                  <pic:blipFill>
                    <a:blip r:embed="rId5"/>
                    <a:stretch>
                      <a:fillRect/>
                    </a:stretch>
                  </pic:blipFill>
                  <pic:spPr>
                    <a:xfrm>
                      <a:off x="0" y="0"/>
                      <a:ext cx="5271135" cy="6085205"/>
                    </a:xfrm>
                    <a:prstGeom prst="rect">
                      <a:avLst/>
                    </a:prstGeom>
                  </pic:spPr>
                </pic:pic>
              </a:graphicData>
            </a:graphic>
          </wp:inline>
        </w:drawing>
      </w:r>
      <w:r>
        <w:rPr>
          <w:rStyle w:val="8"/>
          <w:b/>
          <w:bCs/>
          <w:sz w:val="21"/>
          <w:szCs w:val="21"/>
        </w:rPr>
        <w:t>Figure S2. Transcriptional reprogramming during thymocyte positive selection</w:t>
      </w:r>
    </w:p>
    <w:p w14:paraId="6B7E9C90">
      <w:pPr>
        <w:pStyle w:val="4"/>
        <w:spacing w:before="0" w:beforeAutospacing="0" w:after="120" w:afterAutospacing="0"/>
        <w:rPr>
          <w:sz w:val="21"/>
          <w:szCs w:val="21"/>
        </w:rPr>
      </w:pPr>
      <w:r>
        <w:rPr>
          <w:rStyle w:val="8"/>
          <w:sz w:val="21"/>
          <w:szCs w:val="21"/>
        </w:rPr>
        <w:t>(a)</w:t>
      </w:r>
      <w:r>
        <w:rPr>
          <w:sz w:val="21"/>
          <w:szCs w:val="21"/>
        </w:rPr>
        <w:t xml:space="preserve"> Principal component analysis (PCA) of Smart-seq2 transcriptomes from sorted wild-type CD69⁻ DP and CD69⁺ DP thymocytes. Each dot represents one biological replicat</w:t>
      </w:r>
      <w:r>
        <w:rPr>
          <w:rFonts w:hint="eastAsia" w:eastAsia="宋体"/>
          <w:sz w:val="21"/>
          <w:szCs w:val="21"/>
          <w:lang w:val="en-US" w:eastAsia="zh-CN"/>
        </w:rPr>
        <w:t>ion</w:t>
      </w:r>
      <w:r>
        <w:rPr>
          <w:sz w:val="21"/>
          <w:szCs w:val="21"/>
        </w:rPr>
        <w:t>.</w:t>
      </w:r>
    </w:p>
    <w:p w14:paraId="7349235D">
      <w:pPr>
        <w:pStyle w:val="4"/>
        <w:spacing w:before="0" w:beforeAutospacing="0" w:after="120" w:afterAutospacing="0"/>
        <w:rPr>
          <w:sz w:val="21"/>
          <w:szCs w:val="21"/>
        </w:rPr>
      </w:pPr>
      <w:r>
        <w:rPr>
          <w:rStyle w:val="8"/>
          <w:sz w:val="21"/>
          <w:szCs w:val="21"/>
        </w:rPr>
        <w:t>(b)</w:t>
      </w:r>
      <w:r>
        <w:rPr>
          <w:sz w:val="21"/>
          <w:szCs w:val="21"/>
        </w:rPr>
        <w:t xml:space="preserve"> Volcano plot showing differentially expressed genes between wild-type CD69⁺ DP and CD69⁻ DP thymocytes. The x axis indicates log₂(fold change) and the y axis indicates </w:t>
      </w:r>
      <w:r>
        <w:rPr>
          <w:rFonts w:hint="eastAsia"/>
          <w:sz w:val="21"/>
          <w:szCs w:val="21"/>
        </w:rPr>
        <w:t>-</w:t>
      </w:r>
      <w:r>
        <w:rPr>
          <w:sz w:val="21"/>
          <w:szCs w:val="21"/>
        </w:rPr>
        <w:t>log₁₀(q value). Numbers of upregulated and downregulated genes are indicated.</w:t>
      </w:r>
    </w:p>
    <w:p w14:paraId="57DEABEE">
      <w:pPr>
        <w:pStyle w:val="4"/>
        <w:spacing w:before="0" w:beforeAutospacing="0" w:after="120" w:afterAutospacing="0"/>
        <w:rPr>
          <w:sz w:val="21"/>
          <w:szCs w:val="21"/>
        </w:rPr>
      </w:pPr>
      <w:r>
        <w:rPr>
          <w:rStyle w:val="8"/>
          <w:sz w:val="21"/>
          <w:szCs w:val="21"/>
        </w:rPr>
        <w:t>(c)</w:t>
      </w:r>
      <w:r>
        <w:rPr>
          <w:sz w:val="21"/>
          <w:szCs w:val="21"/>
        </w:rPr>
        <w:t xml:space="preserve"> Heatmap showing hierarchical clustering of differentially expressed genes across all biological replicates of CD69⁻ DP and CD69⁺ DP thymocytes.</w:t>
      </w:r>
    </w:p>
    <w:p w14:paraId="1476C120">
      <w:pPr>
        <w:pStyle w:val="4"/>
        <w:spacing w:before="0" w:beforeAutospacing="0" w:after="120" w:afterAutospacing="0"/>
        <w:rPr>
          <w:sz w:val="21"/>
          <w:szCs w:val="21"/>
        </w:rPr>
      </w:pPr>
      <w:r>
        <w:rPr>
          <w:rStyle w:val="8"/>
          <w:sz w:val="21"/>
          <w:szCs w:val="21"/>
        </w:rPr>
        <w:t>(d)</w:t>
      </w:r>
      <w:r>
        <w:rPr>
          <w:sz w:val="21"/>
          <w:szCs w:val="21"/>
        </w:rPr>
        <w:t xml:space="preserve"> Gene ontology (GO) enrichment analysis of biological processes associated with genes downregulated in CD69⁺ DP compared with CD69⁻ DP thymocytes.</w:t>
      </w:r>
    </w:p>
    <w:p w14:paraId="2ADB9F2D">
      <w:pPr>
        <w:pStyle w:val="4"/>
        <w:spacing w:before="0" w:beforeAutospacing="0" w:after="120" w:afterAutospacing="0"/>
        <w:rPr>
          <w:sz w:val="21"/>
          <w:szCs w:val="21"/>
        </w:rPr>
      </w:pPr>
      <w:r>
        <w:rPr>
          <w:rStyle w:val="8"/>
          <w:sz w:val="21"/>
          <w:szCs w:val="21"/>
        </w:rPr>
        <w:t>(e)</w:t>
      </w:r>
      <w:r>
        <w:rPr>
          <w:sz w:val="21"/>
          <w:szCs w:val="21"/>
        </w:rPr>
        <w:t xml:space="preserve"> Gene ontology (GO) enrichment analysis of biological processes associated with genes upregulated in CD69⁺ DP compared with CD69⁻ DP thymocytes.</w:t>
      </w:r>
    </w:p>
    <w:p w14:paraId="46763DD1">
      <w:pPr>
        <w:pStyle w:val="4"/>
        <w:spacing w:before="0" w:beforeAutospacing="0" w:after="120" w:afterAutospacing="0"/>
        <w:rPr>
          <w:sz w:val="21"/>
          <w:szCs w:val="21"/>
        </w:rPr>
      </w:pPr>
      <w:r>
        <w:rPr>
          <w:rStyle w:val="8"/>
          <w:sz w:val="21"/>
          <w:szCs w:val="21"/>
        </w:rPr>
        <w:t>(f)</w:t>
      </w:r>
      <w:r>
        <w:rPr>
          <w:sz w:val="21"/>
          <w:szCs w:val="21"/>
        </w:rPr>
        <w:t xml:space="preserve"> KEGG pathway enrichment analysis of genes downregulated in CD69⁺ DP compared with CD69⁻ DP thymocytes.</w:t>
      </w:r>
    </w:p>
    <w:p w14:paraId="412E44CE">
      <w:pPr>
        <w:pStyle w:val="4"/>
        <w:spacing w:before="0" w:beforeAutospacing="0" w:after="120" w:afterAutospacing="0"/>
        <w:rPr>
          <w:sz w:val="21"/>
          <w:szCs w:val="21"/>
        </w:rPr>
      </w:pPr>
      <w:r>
        <w:rPr>
          <w:rStyle w:val="8"/>
          <w:sz w:val="21"/>
          <w:szCs w:val="21"/>
        </w:rPr>
        <w:t>(g)</w:t>
      </w:r>
      <w:r>
        <w:rPr>
          <w:sz w:val="21"/>
          <w:szCs w:val="21"/>
        </w:rPr>
        <w:t xml:space="preserve"> KEGG pathway enrichment analysis of genes upregulated in CD69⁺ DP compared with CD69⁻ DP thymocytes.</w:t>
      </w:r>
    </w:p>
    <w:p w14:paraId="2712706C">
      <w:pPr>
        <w:pStyle w:val="4"/>
        <w:spacing w:before="0" w:beforeAutospacing="0" w:after="120" w:afterAutospacing="0"/>
        <w:rPr>
          <w:sz w:val="21"/>
          <w:szCs w:val="21"/>
        </w:rPr>
      </w:pPr>
      <w:r>
        <w:rPr>
          <w:rStyle w:val="8"/>
          <w:sz w:val="21"/>
          <w:szCs w:val="21"/>
        </w:rPr>
        <w:t>(h)</w:t>
      </w:r>
      <w:r>
        <w:rPr>
          <w:sz w:val="21"/>
          <w:szCs w:val="21"/>
        </w:rPr>
        <w:t xml:space="preserve"> GSEA showing enrichment of cytokine–cytokine receptor interaction, JAK-STAT signaling, and T cell receptor signaling pathways in CD69⁺ DP relative to CD69⁻ DP thymocytes.</w:t>
      </w:r>
    </w:p>
    <w:p w14:paraId="54E197D1">
      <w:r>
        <w:br w:type="page"/>
      </w:r>
    </w:p>
    <w:p w14:paraId="73C52A71">
      <w:pPr>
        <w:pStyle w:val="2"/>
        <w:spacing w:before="0" w:beforeAutospacing="0" w:after="120" w:afterAutospacing="0"/>
        <w:rPr>
          <w:sz w:val="21"/>
          <w:szCs w:val="21"/>
        </w:rPr>
      </w:pPr>
      <w:r>
        <w:rPr>
          <w:rStyle w:val="8"/>
          <w:b/>
          <w:bCs/>
          <w:sz w:val="21"/>
          <w:szCs w:val="21"/>
        </w:rPr>
        <w:drawing>
          <wp:inline distT="0" distB="0" distL="114300" distR="114300">
            <wp:extent cx="5271135" cy="4427220"/>
            <wp:effectExtent l="0" t="0" r="12065" b="5080"/>
            <wp:docPr id="4" name="图片 4" descr="FigS3 SATB1正向调控两发育阶段基因的表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3 SATB1正向调控两发育阶段基因的表达"/>
                    <pic:cNvPicPr>
                      <a:picLocks noChangeAspect="1"/>
                    </pic:cNvPicPr>
                  </pic:nvPicPr>
                  <pic:blipFill>
                    <a:blip r:embed="rId6"/>
                    <a:stretch>
                      <a:fillRect/>
                    </a:stretch>
                  </pic:blipFill>
                  <pic:spPr>
                    <a:xfrm>
                      <a:off x="0" y="0"/>
                      <a:ext cx="5271135" cy="4427220"/>
                    </a:xfrm>
                    <a:prstGeom prst="rect">
                      <a:avLst/>
                    </a:prstGeom>
                  </pic:spPr>
                </pic:pic>
              </a:graphicData>
            </a:graphic>
          </wp:inline>
        </w:drawing>
      </w:r>
      <w:r>
        <w:rPr>
          <w:rStyle w:val="8"/>
          <w:b/>
          <w:bCs/>
          <w:sz w:val="21"/>
          <w:szCs w:val="21"/>
        </w:rPr>
        <w:t>Figure S3. Genomic distribution and transcriptional association of SATB1 binding during positive selection</w:t>
      </w:r>
    </w:p>
    <w:p w14:paraId="6DFA2D6E">
      <w:pPr>
        <w:pStyle w:val="4"/>
        <w:spacing w:before="0" w:beforeAutospacing="0" w:after="120" w:afterAutospacing="0"/>
        <w:rPr>
          <w:sz w:val="21"/>
          <w:szCs w:val="21"/>
        </w:rPr>
      </w:pPr>
      <w:r>
        <w:rPr>
          <w:rStyle w:val="8"/>
          <w:sz w:val="21"/>
          <w:szCs w:val="21"/>
        </w:rPr>
        <w:t>(a)</w:t>
      </w:r>
      <w:r>
        <w:rPr>
          <w:sz w:val="21"/>
          <w:szCs w:val="21"/>
        </w:rPr>
        <w:t xml:space="preserve"> Pie charts showing the genomic distribution of SATB1 CUT&amp;Tag peaks in wild-type CD69⁻ DP and CD69⁺ DP thymocytes, categorized by promoter, untranslated regions, exonic, intronic, downstream, and distal intergenic regions.</w:t>
      </w:r>
    </w:p>
    <w:p w14:paraId="31ADC2E2">
      <w:pPr>
        <w:pStyle w:val="4"/>
        <w:spacing w:before="0" w:beforeAutospacing="0" w:after="120" w:afterAutospacing="0"/>
        <w:rPr>
          <w:sz w:val="21"/>
          <w:szCs w:val="21"/>
        </w:rPr>
      </w:pPr>
      <w:r>
        <w:rPr>
          <w:rStyle w:val="8"/>
          <w:sz w:val="21"/>
          <w:szCs w:val="21"/>
        </w:rPr>
        <w:t>(b)</w:t>
      </w:r>
      <w:r>
        <w:rPr>
          <w:sz w:val="21"/>
          <w:szCs w:val="21"/>
        </w:rPr>
        <w:t xml:space="preserve"> Heatmap showing pairwise correlation of SATB1 CUT&amp;Tag signal intensity across biological replicates of CD69⁻ DP and CD69⁺ DP thymocytes.</w:t>
      </w:r>
    </w:p>
    <w:p w14:paraId="721A1D8F">
      <w:pPr>
        <w:pStyle w:val="4"/>
        <w:spacing w:before="0" w:beforeAutospacing="0" w:after="120" w:afterAutospacing="0"/>
        <w:rPr>
          <w:sz w:val="21"/>
          <w:szCs w:val="21"/>
        </w:rPr>
      </w:pPr>
      <w:r>
        <w:rPr>
          <w:rStyle w:val="8"/>
          <w:sz w:val="21"/>
          <w:szCs w:val="21"/>
        </w:rPr>
        <w:t>(c)</w:t>
      </w:r>
      <w:r>
        <w:rPr>
          <w:sz w:val="21"/>
          <w:szCs w:val="21"/>
        </w:rPr>
        <w:t xml:space="preserve"> Average profiles and heatmaps of SATB1 CUT&amp;Tag signal centered on all SATB1 peaks in CD69⁻ DP (left) and CD69⁺ DP (right) thymocytes.</w:t>
      </w:r>
    </w:p>
    <w:p w14:paraId="6EECDF66">
      <w:pPr>
        <w:pStyle w:val="4"/>
        <w:spacing w:before="0" w:beforeAutospacing="0" w:after="120" w:afterAutospacing="0"/>
        <w:rPr>
          <w:sz w:val="21"/>
          <w:szCs w:val="21"/>
        </w:rPr>
      </w:pPr>
      <w:r>
        <w:rPr>
          <w:rStyle w:val="8"/>
          <w:sz w:val="21"/>
          <w:szCs w:val="21"/>
        </w:rPr>
        <w:t>(d)</w:t>
      </w:r>
      <w:r>
        <w:rPr>
          <w:sz w:val="21"/>
          <w:szCs w:val="21"/>
        </w:rPr>
        <w:t xml:space="preserve"> Heatmaps showing SATB1 CUT&amp;Tag signal at SATB1 peaks associated with genes that are downregulated, unchanged, or upregulated during the transition from CD69⁻ DP to CD69⁺ DP thymocytes.</w:t>
      </w:r>
    </w:p>
    <w:p w14:paraId="10432DD7">
      <w:pPr>
        <w:pStyle w:val="4"/>
        <w:spacing w:before="0" w:beforeAutospacing="0" w:after="120" w:afterAutospacing="0"/>
        <w:rPr>
          <w:sz w:val="21"/>
          <w:szCs w:val="21"/>
        </w:rPr>
      </w:pPr>
      <w:r>
        <w:rPr>
          <w:rStyle w:val="8"/>
          <w:sz w:val="21"/>
          <w:szCs w:val="21"/>
        </w:rPr>
        <w:t>(e)</w:t>
      </w:r>
      <w:r>
        <w:rPr>
          <w:sz w:val="21"/>
          <w:szCs w:val="21"/>
        </w:rPr>
        <w:t xml:space="preserve"> Heatmap showing expression of genes associated with SATB1 peaks across CD69⁻ DP and CD69⁺ DP thymocytes, with genes grouped based on differential expression patterns.</w:t>
      </w:r>
    </w:p>
    <w:p w14:paraId="7C42463A">
      <w:pPr>
        <w:pStyle w:val="4"/>
        <w:spacing w:before="0" w:beforeAutospacing="0" w:after="120" w:afterAutospacing="0"/>
        <w:rPr>
          <w:sz w:val="21"/>
          <w:szCs w:val="21"/>
        </w:rPr>
      </w:pPr>
      <w:r>
        <w:rPr>
          <w:rStyle w:val="8"/>
          <w:sz w:val="21"/>
          <w:szCs w:val="21"/>
        </w:rPr>
        <w:t>(f)</w:t>
      </w:r>
      <w:r>
        <w:rPr>
          <w:sz w:val="21"/>
          <w:szCs w:val="21"/>
        </w:rPr>
        <w:t xml:space="preserve"> Box plots showing relative expression changes of genes associated with SATB1 peaks that are downregulated, unchanged, or upregulated in CD69⁺ DP compared with CD69⁻ DP thymocytes. Box plots show median (center line), interquartile range (box), and 10th-90th percentiles (whiskers). Statistical significance was assessed by Kruskal-Wallis test followed by Dunn’s multiple comparisons test.</w:t>
      </w:r>
    </w:p>
    <w:p w14:paraId="228F02B7">
      <w:r>
        <w:br w:type="page"/>
      </w:r>
    </w:p>
    <w:p w14:paraId="485BA118">
      <w:pPr>
        <w:pStyle w:val="2"/>
        <w:spacing w:before="0" w:beforeAutospacing="0" w:after="120" w:afterAutospacing="0"/>
        <w:rPr>
          <w:sz w:val="21"/>
          <w:szCs w:val="21"/>
        </w:rPr>
      </w:pPr>
      <w:r>
        <w:rPr>
          <w:rStyle w:val="8"/>
          <w:b/>
          <w:bCs/>
          <w:sz w:val="21"/>
          <w:szCs w:val="21"/>
        </w:rPr>
        <w:drawing>
          <wp:inline distT="0" distB="0" distL="114300" distR="114300">
            <wp:extent cx="5269865" cy="6967855"/>
            <wp:effectExtent l="0" t="0" r="635" b="4445"/>
            <wp:docPr id="5" name="图片 5" descr="FigS4 两发育阶段HiC的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4 两发育阶段HiC的变化"/>
                    <pic:cNvPicPr>
                      <a:picLocks noChangeAspect="1"/>
                    </pic:cNvPicPr>
                  </pic:nvPicPr>
                  <pic:blipFill>
                    <a:blip r:embed="rId7"/>
                    <a:stretch>
                      <a:fillRect/>
                    </a:stretch>
                  </pic:blipFill>
                  <pic:spPr>
                    <a:xfrm>
                      <a:off x="0" y="0"/>
                      <a:ext cx="5269865" cy="6967855"/>
                    </a:xfrm>
                    <a:prstGeom prst="rect">
                      <a:avLst/>
                    </a:prstGeom>
                  </pic:spPr>
                </pic:pic>
              </a:graphicData>
            </a:graphic>
          </wp:inline>
        </w:drawing>
      </w:r>
      <w:r>
        <w:rPr>
          <w:rStyle w:val="8"/>
          <w:b/>
          <w:bCs/>
          <w:sz w:val="21"/>
          <w:szCs w:val="21"/>
        </w:rPr>
        <w:t>Figure S4. Global 3D genome organization is largely preserved during thymocyte positive selection</w:t>
      </w:r>
    </w:p>
    <w:p w14:paraId="7E3FF94C">
      <w:pPr>
        <w:pStyle w:val="4"/>
        <w:spacing w:before="0" w:beforeAutospacing="0" w:after="120" w:afterAutospacing="0"/>
        <w:rPr>
          <w:sz w:val="21"/>
          <w:szCs w:val="21"/>
        </w:rPr>
      </w:pPr>
      <w:r>
        <w:rPr>
          <w:rStyle w:val="8"/>
          <w:sz w:val="21"/>
          <w:szCs w:val="21"/>
        </w:rPr>
        <w:t>(a)</w:t>
      </w:r>
      <w:r>
        <w:rPr>
          <w:sz w:val="21"/>
          <w:szCs w:val="21"/>
        </w:rPr>
        <w:t xml:space="preserve"> Chromatin contact probability decay curves derived from Hi-C data of wild-type CD69⁻ DP and CD69⁺ DP thymocytes, plotted as a function of genomic distance.</w:t>
      </w:r>
    </w:p>
    <w:p w14:paraId="774BC1CE">
      <w:pPr>
        <w:pStyle w:val="4"/>
        <w:spacing w:before="0" w:beforeAutospacing="0" w:after="120" w:afterAutospacing="0"/>
        <w:rPr>
          <w:sz w:val="21"/>
          <w:szCs w:val="21"/>
        </w:rPr>
      </w:pPr>
      <w:r>
        <w:rPr>
          <w:rStyle w:val="8"/>
          <w:sz w:val="21"/>
          <w:szCs w:val="21"/>
        </w:rPr>
        <w:t>(b)</w:t>
      </w:r>
      <w:r>
        <w:rPr>
          <w:sz w:val="21"/>
          <w:szCs w:val="21"/>
        </w:rPr>
        <w:t xml:space="preserve"> Pie chart showing compartment status transitions between CD69⁻ DP and CD69⁺ DP thymocytes, including A-to-A, B-to-B (unchanged), A-to-B, and B-to-A compartments.</w:t>
      </w:r>
    </w:p>
    <w:p w14:paraId="3056FCF0">
      <w:pPr>
        <w:pStyle w:val="4"/>
        <w:spacing w:before="0" w:beforeAutospacing="0" w:after="120" w:afterAutospacing="0"/>
        <w:rPr>
          <w:sz w:val="21"/>
          <w:szCs w:val="21"/>
        </w:rPr>
      </w:pPr>
      <w:r>
        <w:rPr>
          <w:rStyle w:val="8"/>
          <w:sz w:val="21"/>
          <w:szCs w:val="21"/>
        </w:rPr>
        <w:t>(c)</w:t>
      </w:r>
      <w:r>
        <w:rPr>
          <w:sz w:val="21"/>
          <w:szCs w:val="21"/>
        </w:rPr>
        <w:t xml:space="preserve"> Aggregate Hi-C contact maps illustrating topologically associating domains (TADs) in wild-type CD69⁻ DP (top) and CD69⁺ DP (bottom) thymocytes.</w:t>
      </w:r>
    </w:p>
    <w:p w14:paraId="14325BD5">
      <w:pPr>
        <w:pStyle w:val="4"/>
        <w:spacing w:before="0" w:beforeAutospacing="0" w:after="120" w:afterAutospacing="0"/>
        <w:rPr>
          <w:sz w:val="21"/>
          <w:szCs w:val="21"/>
        </w:rPr>
      </w:pPr>
      <w:r>
        <w:rPr>
          <w:rStyle w:val="8"/>
          <w:sz w:val="21"/>
          <w:szCs w:val="21"/>
        </w:rPr>
        <w:t>(d)</w:t>
      </w:r>
      <w:r>
        <w:rPr>
          <w:sz w:val="21"/>
          <w:szCs w:val="21"/>
        </w:rPr>
        <w:t xml:space="preserve"> Quantification of TAD number (left) and TAD size (right) in CD69⁻ DP and CD69⁺ DP thymocytes. Box plots show median (center line), interquartile range (box), and 10th-90th percentiles (whiskers). Statistical significance was assessed by one-</w:t>
      </w:r>
      <w:r>
        <w:rPr>
          <w:rFonts w:hint="eastAsia" w:eastAsia="宋体"/>
          <w:sz w:val="21"/>
          <w:szCs w:val="21"/>
          <w:lang w:val="en-US" w:eastAsia="zh-CN"/>
        </w:rPr>
        <w:t>sid</w:t>
      </w:r>
      <w:r>
        <w:rPr>
          <w:sz w:val="21"/>
          <w:szCs w:val="21"/>
        </w:rPr>
        <w:t>ed Wilcoxon signed-rank test.</w:t>
      </w:r>
    </w:p>
    <w:p w14:paraId="6AF9A948">
      <w:pPr>
        <w:pStyle w:val="4"/>
        <w:spacing w:before="0" w:beforeAutospacing="0" w:after="120" w:afterAutospacing="0"/>
        <w:rPr>
          <w:sz w:val="21"/>
          <w:szCs w:val="21"/>
        </w:rPr>
      </w:pPr>
      <w:r>
        <w:rPr>
          <w:rStyle w:val="8"/>
          <w:sz w:val="21"/>
          <w:szCs w:val="21"/>
        </w:rPr>
        <w:t>(e)</w:t>
      </w:r>
      <w:r>
        <w:rPr>
          <w:sz w:val="21"/>
          <w:szCs w:val="21"/>
        </w:rPr>
        <w:t xml:space="preserve"> Venn diagram showing chromatin loop dynamics between CD69⁻ DP and CD69⁺ DP thymocytes, including loops that are lost, maintained, or gained during positive selection.</w:t>
      </w:r>
    </w:p>
    <w:p w14:paraId="06E02420">
      <w:pPr>
        <w:pStyle w:val="4"/>
        <w:spacing w:before="0" w:beforeAutospacing="0" w:after="120" w:afterAutospacing="0"/>
        <w:rPr>
          <w:sz w:val="21"/>
          <w:szCs w:val="21"/>
        </w:rPr>
      </w:pPr>
      <w:r>
        <w:rPr>
          <w:rStyle w:val="8"/>
          <w:sz w:val="21"/>
          <w:szCs w:val="21"/>
        </w:rPr>
        <w:t>(f)</w:t>
      </w:r>
      <w:r>
        <w:rPr>
          <w:sz w:val="21"/>
          <w:szCs w:val="21"/>
        </w:rPr>
        <w:t xml:space="preserve"> Proportion of chromatin loops classified as enhancer-promoter (EP), enhancer-enhancer (EE), promoter-promoter (PP), or other interactions in CD69⁻ DP and CD69⁺ DP thymocytes.</w:t>
      </w:r>
    </w:p>
    <w:p w14:paraId="5FD68191">
      <w:pPr>
        <w:pStyle w:val="4"/>
        <w:spacing w:before="0" w:beforeAutospacing="0" w:after="120" w:afterAutospacing="0"/>
        <w:rPr>
          <w:sz w:val="21"/>
          <w:szCs w:val="21"/>
        </w:rPr>
      </w:pPr>
      <w:r>
        <w:rPr>
          <w:rStyle w:val="8"/>
          <w:sz w:val="21"/>
          <w:szCs w:val="21"/>
        </w:rPr>
        <w:t>(g)</w:t>
      </w:r>
      <w:r>
        <w:rPr>
          <w:sz w:val="21"/>
          <w:szCs w:val="21"/>
        </w:rPr>
        <w:t xml:space="preserve"> Aggregate Hi-C contact maps of all chromatin loops classified as lost, maintained, or gained during the transition from CD69⁻ DP to CD69⁺ DP thymocytes.</w:t>
      </w:r>
    </w:p>
    <w:p w14:paraId="43357C61">
      <w:pPr>
        <w:pStyle w:val="4"/>
        <w:spacing w:before="0" w:beforeAutospacing="0" w:after="120" w:afterAutospacing="0"/>
        <w:rPr>
          <w:sz w:val="21"/>
          <w:szCs w:val="21"/>
        </w:rPr>
      </w:pPr>
      <w:r>
        <w:rPr>
          <w:rStyle w:val="8"/>
          <w:sz w:val="21"/>
          <w:szCs w:val="21"/>
        </w:rPr>
        <w:t>(h)</w:t>
      </w:r>
      <w:r>
        <w:rPr>
          <w:sz w:val="21"/>
          <w:szCs w:val="21"/>
        </w:rPr>
        <w:t xml:space="preserve"> Aggregate Hi-C contact maps of EP loops classified as lost, maintained, or gained during positive selection.</w:t>
      </w:r>
    </w:p>
    <w:p w14:paraId="75F173DF">
      <w:pPr>
        <w:pStyle w:val="4"/>
        <w:spacing w:before="0" w:beforeAutospacing="0" w:after="120" w:afterAutospacing="0"/>
        <w:rPr>
          <w:sz w:val="21"/>
          <w:szCs w:val="21"/>
        </w:rPr>
      </w:pPr>
      <w:r>
        <w:rPr>
          <w:rStyle w:val="8"/>
          <w:sz w:val="21"/>
          <w:szCs w:val="21"/>
        </w:rPr>
        <w:t>(i)</w:t>
      </w:r>
      <w:r>
        <w:rPr>
          <w:sz w:val="21"/>
          <w:szCs w:val="21"/>
        </w:rPr>
        <w:t xml:space="preserve"> </w:t>
      </w:r>
      <w:r>
        <w:rPr>
          <w:rFonts w:hint="eastAsia" w:eastAsia="宋体"/>
          <w:sz w:val="21"/>
          <w:szCs w:val="21"/>
          <w:lang w:val="en-US" w:eastAsia="zh-CN"/>
        </w:rPr>
        <w:t>C</w:t>
      </w:r>
      <w:r>
        <w:rPr>
          <w:sz w:val="21"/>
          <w:szCs w:val="21"/>
        </w:rPr>
        <w:t xml:space="preserve">orrelation analysis between changes in EP loop contact strength and changes in expression of associated genes between CD69⁺ DP and CD69⁻ DP thymocytes. </w:t>
      </w:r>
      <w:r>
        <w:rPr>
          <w:rFonts w:hint="eastAsia" w:eastAsia="宋体"/>
          <w:sz w:val="21"/>
          <w:szCs w:val="21"/>
          <w:lang w:val="en-US" w:eastAsia="zh-CN"/>
        </w:rPr>
        <w:t>Two tailed p</w:t>
      </w:r>
      <w:r>
        <w:rPr>
          <w:sz w:val="21"/>
          <w:szCs w:val="21"/>
        </w:rPr>
        <w:t>earson correlation coefficient and P value are indicated.</w:t>
      </w:r>
    </w:p>
    <w:p w14:paraId="4AF71BA9">
      <w:pPr>
        <w:pStyle w:val="4"/>
        <w:spacing w:before="0" w:beforeAutospacing="0" w:after="120" w:afterAutospacing="0"/>
        <w:rPr>
          <w:sz w:val="21"/>
          <w:szCs w:val="21"/>
        </w:rPr>
      </w:pPr>
      <w:r>
        <w:rPr>
          <w:rStyle w:val="8"/>
          <w:sz w:val="21"/>
          <w:szCs w:val="21"/>
        </w:rPr>
        <w:t>(j)</w:t>
      </w:r>
      <w:r>
        <w:rPr>
          <w:sz w:val="21"/>
          <w:szCs w:val="21"/>
        </w:rPr>
        <w:t xml:space="preserve"> Aggregate Hi-C contact maps of EP loops associated with SATB1-bound or non-SATB1-bound regions in CD69⁻ DP (top) and CD69⁺ DP (bottom) thymocytes.</w:t>
      </w:r>
    </w:p>
    <w:p w14:paraId="6899D134">
      <w:r>
        <w:br w:type="page"/>
      </w:r>
    </w:p>
    <w:p w14:paraId="35398DB1">
      <w:pPr>
        <w:pStyle w:val="2"/>
        <w:spacing w:before="0" w:beforeAutospacing="0" w:after="120" w:afterAutospacing="0"/>
        <w:rPr>
          <w:sz w:val="21"/>
          <w:szCs w:val="21"/>
        </w:rPr>
      </w:pPr>
      <w:r>
        <w:rPr>
          <w:rStyle w:val="8"/>
          <w:b/>
          <w:bCs/>
          <w:sz w:val="21"/>
          <w:szCs w:val="21"/>
        </w:rPr>
        <w:drawing>
          <wp:inline distT="0" distB="0" distL="114300" distR="114300">
            <wp:extent cx="5269230" cy="6793230"/>
            <wp:effectExtent l="0" t="0" r="1270" b="1270"/>
            <wp:docPr id="6" name="图片 6" descr="FigS5 两发育阶段表观修饰与基因表达相关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5 两发育阶段表观修饰与基因表达相关性"/>
                    <pic:cNvPicPr>
                      <a:picLocks noChangeAspect="1"/>
                    </pic:cNvPicPr>
                  </pic:nvPicPr>
                  <pic:blipFill>
                    <a:blip r:embed="rId8"/>
                    <a:stretch>
                      <a:fillRect/>
                    </a:stretch>
                  </pic:blipFill>
                  <pic:spPr>
                    <a:xfrm>
                      <a:off x="0" y="0"/>
                      <a:ext cx="5269230" cy="6793230"/>
                    </a:xfrm>
                    <a:prstGeom prst="rect">
                      <a:avLst/>
                    </a:prstGeom>
                  </pic:spPr>
                </pic:pic>
              </a:graphicData>
            </a:graphic>
          </wp:inline>
        </w:drawing>
      </w:r>
      <w:r>
        <w:rPr>
          <w:rStyle w:val="8"/>
          <w:b/>
          <w:bCs/>
          <w:sz w:val="21"/>
          <w:szCs w:val="21"/>
        </w:rPr>
        <w:t>Figure S5. Correlation between epigenetic features and transcriptional changes during positive selection</w:t>
      </w:r>
    </w:p>
    <w:p w14:paraId="7BFD97DD">
      <w:pPr>
        <w:pStyle w:val="4"/>
        <w:spacing w:before="0" w:beforeAutospacing="0" w:after="120" w:afterAutospacing="0"/>
        <w:rPr>
          <w:sz w:val="21"/>
          <w:szCs w:val="21"/>
        </w:rPr>
      </w:pPr>
      <w:r>
        <w:rPr>
          <w:rStyle w:val="8"/>
          <w:sz w:val="21"/>
          <w:szCs w:val="21"/>
        </w:rPr>
        <w:t>(a)</w:t>
      </w:r>
      <w:r>
        <w:rPr>
          <w:sz w:val="21"/>
          <w:szCs w:val="21"/>
        </w:rPr>
        <w:t xml:space="preserve"> Average signal profiles and heatmaps of ATAC-seq, H3K4me3, H3K27ac, CTCF, and RAD21 signals centered on promoter regions (±2 kb from transcription start sites) in wild-type CD69⁻ DP and CD69⁺ DP thymocytes.</w:t>
      </w:r>
    </w:p>
    <w:p w14:paraId="4AB7EDF3">
      <w:pPr>
        <w:pStyle w:val="4"/>
        <w:spacing w:before="0" w:beforeAutospacing="0" w:after="120" w:afterAutospacing="0"/>
        <w:rPr>
          <w:sz w:val="21"/>
          <w:szCs w:val="21"/>
        </w:rPr>
      </w:pPr>
      <w:r>
        <w:rPr>
          <w:rStyle w:val="8"/>
          <w:sz w:val="21"/>
          <w:szCs w:val="21"/>
        </w:rPr>
        <w:t>(b)</w:t>
      </w:r>
      <w:r>
        <w:rPr>
          <w:sz w:val="21"/>
          <w:szCs w:val="21"/>
        </w:rPr>
        <w:t xml:space="preserve"> Box plots showing relative changes in chromatin accessibility (ATAC-seq) and CUT&amp;Tag signal intensity (H3K4me3, H3K27ac, CTCF, and RAD21) at promoters of genes that are downregulated or upregulated in CD69⁺ DP compared with CD69⁻ DP thymocytes. Box plots show median (center line), interquartile range (box), and 10th-90th percentiles (whiskers). Statistical significance was assessed by Wilcoxon signed-rank test.</w:t>
      </w:r>
    </w:p>
    <w:p w14:paraId="0D305614">
      <w:pPr>
        <w:pStyle w:val="4"/>
        <w:spacing w:before="0" w:beforeAutospacing="0" w:after="120" w:afterAutospacing="0"/>
        <w:rPr>
          <w:sz w:val="21"/>
          <w:szCs w:val="21"/>
        </w:rPr>
      </w:pPr>
      <w:r>
        <w:rPr>
          <w:rStyle w:val="8"/>
          <w:sz w:val="21"/>
          <w:szCs w:val="21"/>
        </w:rPr>
        <w:t>(c)</w:t>
      </w:r>
      <w:r>
        <w:rPr>
          <w:sz w:val="21"/>
          <w:szCs w:val="21"/>
        </w:rPr>
        <w:t xml:space="preserve"> Scatter plots showing </w:t>
      </w:r>
      <w:r>
        <w:rPr>
          <w:rFonts w:hint="eastAsia" w:eastAsia="宋体"/>
          <w:sz w:val="21"/>
          <w:szCs w:val="21"/>
          <w:lang w:val="en-US" w:eastAsia="zh-CN"/>
        </w:rPr>
        <w:t xml:space="preserve">two-sides </w:t>
      </w:r>
      <w:r>
        <w:rPr>
          <w:sz w:val="21"/>
          <w:szCs w:val="21"/>
        </w:rPr>
        <w:t xml:space="preserve">correlations between changes in promoter-associated chromatin features and changes in gene expression during the CD69⁻ DP to CD69⁺ DP transition. </w:t>
      </w:r>
      <w:r>
        <w:rPr>
          <w:rFonts w:hint="eastAsia" w:eastAsia="宋体"/>
          <w:sz w:val="21"/>
          <w:szCs w:val="21"/>
          <w:lang w:val="en-US" w:eastAsia="zh-CN"/>
        </w:rPr>
        <w:t>Two tailed p</w:t>
      </w:r>
      <w:r>
        <w:rPr>
          <w:sz w:val="21"/>
          <w:szCs w:val="21"/>
        </w:rPr>
        <w:t>earson correlation coefficients and P values are indicated for each comparison.</w:t>
      </w:r>
    </w:p>
    <w:p w14:paraId="19524C75">
      <w:r>
        <w:br w:type="page"/>
      </w:r>
    </w:p>
    <w:p w14:paraId="7F08705D">
      <w:pPr>
        <w:pStyle w:val="2"/>
        <w:spacing w:before="0" w:beforeAutospacing="0" w:after="120" w:afterAutospacing="0"/>
        <w:rPr>
          <w:sz w:val="21"/>
          <w:szCs w:val="21"/>
        </w:rPr>
      </w:pPr>
      <w:r>
        <w:rPr>
          <w:rStyle w:val="8"/>
          <w:b/>
          <w:bCs/>
          <w:sz w:val="21"/>
          <w:szCs w:val="21"/>
        </w:rPr>
        <w:drawing>
          <wp:inline distT="0" distB="0" distL="114300" distR="114300">
            <wp:extent cx="5269230" cy="6793230"/>
            <wp:effectExtent l="0" t="0" r="1270" b="1270"/>
            <wp:docPr id="7" name="图片 7" descr="FigS6 超级增强子调控阳性选择相关基因的表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6 超级增强子调控阳性选择相关基因的表达"/>
                    <pic:cNvPicPr>
                      <a:picLocks noChangeAspect="1"/>
                    </pic:cNvPicPr>
                  </pic:nvPicPr>
                  <pic:blipFill>
                    <a:blip r:embed="rId9"/>
                    <a:stretch>
                      <a:fillRect/>
                    </a:stretch>
                  </pic:blipFill>
                  <pic:spPr>
                    <a:xfrm>
                      <a:off x="0" y="0"/>
                      <a:ext cx="5269230" cy="6793230"/>
                    </a:xfrm>
                    <a:prstGeom prst="rect">
                      <a:avLst/>
                    </a:prstGeom>
                  </pic:spPr>
                </pic:pic>
              </a:graphicData>
            </a:graphic>
          </wp:inline>
        </w:drawing>
      </w:r>
      <w:r>
        <w:rPr>
          <w:rStyle w:val="8"/>
          <w:b/>
          <w:bCs/>
          <w:sz w:val="21"/>
          <w:szCs w:val="21"/>
        </w:rPr>
        <w:t>Figure S6. Super-enhancers are associated with positive-selection-related gene expression programs</w:t>
      </w:r>
    </w:p>
    <w:p w14:paraId="01CB9AF9">
      <w:pPr>
        <w:pStyle w:val="4"/>
        <w:spacing w:before="0" w:beforeAutospacing="0" w:after="120" w:afterAutospacing="0"/>
        <w:rPr>
          <w:sz w:val="21"/>
          <w:szCs w:val="21"/>
        </w:rPr>
      </w:pPr>
      <w:r>
        <w:rPr>
          <w:rStyle w:val="8"/>
          <w:sz w:val="21"/>
          <w:szCs w:val="21"/>
        </w:rPr>
        <w:t>(a)</w:t>
      </w:r>
      <w:r>
        <w:rPr>
          <w:sz w:val="21"/>
          <w:szCs w:val="21"/>
        </w:rPr>
        <w:t xml:space="preserve"> KEGG pathway enrichment analysis of genes associated with SEs identified in wild-type CD69⁻ DP and CD69⁺ DP thymocytes. Dot size indicates gene ratio, and color denotes adjusted </w:t>
      </w:r>
      <w:r>
        <w:rPr>
          <w:rStyle w:val="9"/>
          <w:sz w:val="21"/>
          <w:szCs w:val="21"/>
        </w:rPr>
        <w:t>P</w:t>
      </w:r>
      <w:r>
        <w:rPr>
          <w:sz w:val="21"/>
          <w:szCs w:val="21"/>
        </w:rPr>
        <w:t xml:space="preserve"> value.</w:t>
      </w:r>
    </w:p>
    <w:p w14:paraId="7B04E73E">
      <w:pPr>
        <w:pStyle w:val="4"/>
        <w:spacing w:before="0" w:beforeAutospacing="0" w:after="120" w:afterAutospacing="0"/>
        <w:rPr>
          <w:sz w:val="21"/>
          <w:szCs w:val="21"/>
        </w:rPr>
      </w:pPr>
      <w:r>
        <w:rPr>
          <w:rStyle w:val="8"/>
          <w:sz w:val="21"/>
          <w:szCs w:val="21"/>
        </w:rPr>
        <w:t>(b)</w:t>
      </w:r>
      <w:r>
        <w:rPr>
          <w:sz w:val="21"/>
          <w:szCs w:val="21"/>
        </w:rPr>
        <w:t xml:space="preserve"> Average signal profiles of CTCF and RAD21 across super-enhancer regions (±2.5 kb from SE boundaries) in wild-type CD69⁻ DP and CD69⁺ DP thymocytes.</w:t>
      </w:r>
    </w:p>
    <w:p w14:paraId="06283CDA">
      <w:pPr>
        <w:pStyle w:val="4"/>
        <w:spacing w:before="0" w:beforeAutospacing="0" w:after="120" w:afterAutospacing="0"/>
        <w:rPr>
          <w:sz w:val="21"/>
          <w:szCs w:val="21"/>
        </w:rPr>
      </w:pPr>
      <w:r>
        <w:rPr>
          <w:rStyle w:val="8"/>
          <w:sz w:val="21"/>
          <w:szCs w:val="21"/>
        </w:rPr>
        <w:t>(c)</w:t>
      </w:r>
      <w:r>
        <w:rPr>
          <w:sz w:val="21"/>
          <w:szCs w:val="21"/>
        </w:rPr>
        <w:t xml:space="preserve"> Hi-C contact maps showing chromatin interactions across the </w:t>
      </w:r>
      <w:r>
        <w:rPr>
          <w:rStyle w:val="9"/>
          <w:sz w:val="21"/>
          <w:szCs w:val="21"/>
        </w:rPr>
        <w:t>Fli1-Ets1</w:t>
      </w:r>
      <w:r>
        <w:rPr>
          <w:sz w:val="21"/>
          <w:szCs w:val="21"/>
        </w:rPr>
        <w:t xml:space="preserve"> locus in CD69⁻ DP (top) and CD69⁺ DP (bottom) thymocytes. Genome browser tracks below display ATAC-seq, H3K4me3, H3K27ac, CTCF, RAD21, and SATB1 signals, highlighting a CD69⁺ DP–associated super-enhancer region.</w:t>
      </w:r>
    </w:p>
    <w:p w14:paraId="50B31CE2">
      <w:pPr>
        <w:pStyle w:val="4"/>
        <w:spacing w:before="0" w:beforeAutospacing="0" w:after="120" w:afterAutospacing="0"/>
        <w:rPr>
          <w:sz w:val="21"/>
          <w:szCs w:val="21"/>
        </w:rPr>
      </w:pPr>
      <w:r>
        <w:rPr>
          <w:rStyle w:val="8"/>
          <w:sz w:val="21"/>
          <w:szCs w:val="21"/>
        </w:rPr>
        <w:t>(d)</w:t>
      </w:r>
      <w:r>
        <w:rPr>
          <w:sz w:val="21"/>
          <w:szCs w:val="21"/>
        </w:rPr>
        <w:t xml:space="preserve"> Hi-C contact maps showing chromatin interactions across the </w:t>
      </w:r>
      <w:r>
        <w:rPr>
          <w:rStyle w:val="9"/>
          <w:sz w:val="21"/>
          <w:szCs w:val="21"/>
        </w:rPr>
        <w:t>Tox–Car8</w:t>
      </w:r>
      <w:r>
        <w:rPr>
          <w:sz w:val="21"/>
          <w:szCs w:val="21"/>
        </w:rPr>
        <w:t xml:space="preserve"> locus in CD69⁻ DP (top) and CD69⁺ DP (bottom) thymocytes. Genome browser tracks below display ATAC-seq, H3K4me3, H3K27ac, CTCF, RAD21, and SATB1 signals, highlighting a CD69⁺ DP–associated super-enhancer region.</w:t>
      </w:r>
    </w:p>
    <w:p w14:paraId="159B60E2">
      <w:r>
        <w:br w:type="page"/>
      </w:r>
    </w:p>
    <w:p w14:paraId="7021643F">
      <w:pPr>
        <w:pStyle w:val="2"/>
        <w:spacing w:before="0" w:beforeAutospacing="0" w:after="120" w:afterAutospacing="0"/>
        <w:rPr>
          <w:sz w:val="21"/>
          <w:szCs w:val="21"/>
        </w:rPr>
      </w:pPr>
      <w:r>
        <w:rPr>
          <w:rStyle w:val="8"/>
          <w:b/>
          <w:bCs/>
          <w:sz w:val="21"/>
          <w:szCs w:val="21"/>
        </w:rPr>
        <w:drawing>
          <wp:inline distT="0" distB="0" distL="114300" distR="114300">
            <wp:extent cx="5274310" cy="6466840"/>
            <wp:effectExtent l="0" t="0" r="8890" b="10160"/>
            <wp:docPr id="13" name="图片 13" descr="FigS7 CD4-Cre条件性敲除Satb1，也影响T细胞阳性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S7 CD4-Cre条件性敲除Satb1，也影响T细胞阳性选择"/>
                    <pic:cNvPicPr>
                      <a:picLocks noChangeAspect="1"/>
                    </pic:cNvPicPr>
                  </pic:nvPicPr>
                  <pic:blipFill>
                    <a:blip r:embed="rId10"/>
                    <a:stretch>
                      <a:fillRect/>
                    </a:stretch>
                  </pic:blipFill>
                  <pic:spPr>
                    <a:xfrm>
                      <a:off x="0" y="0"/>
                      <a:ext cx="5274310" cy="6466840"/>
                    </a:xfrm>
                    <a:prstGeom prst="rect">
                      <a:avLst/>
                    </a:prstGeom>
                  </pic:spPr>
                </pic:pic>
              </a:graphicData>
            </a:graphic>
          </wp:inline>
        </w:drawing>
      </w:r>
      <w:r>
        <w:rPr>
          <w:rStyle w:val="8"/>
          <w:b/>
          <w:bCs/>
          <w:sz w:val="21"/>
          <w:szCs w:val="21"/>
        </w:rPr>
        <w:t xml:space="preserve">Figure S7. Conditional deletion of </w:t>
      </w:r>
      <w:r>
        <w:rPr>
          <w:rStyle w:val="8"/>
          <w:b/>
          <w:bCs/>
          <w:i/>
          <w:iCs/>
          <w:sz w:val="21"/>
          <w:szCs w:val="21"/>
        </w:rPr>
        <w:t>Satb1</w:t>
      </w:r>
      <w:r>
        <w:rPr>
          <w:rStyle w:val="8"/>
          <w:b/>
          <w:bCs/>
          <w:sz w:val="21"/>
          <w:szCs w:val="21"/>
        </w:rPr>
        <w:t xml:space="preserve"> in DP thymocytes impairs positive selection</w:t>
      </w:r>
    </w:p>
    <w:p w14:paraId="611B3DBD">
      <w:pPr>
        <w:pStyle w:val="4"/>
        <w:spacing w:before="0" w:beforeAutospacing="0" w:after="120" w:afterAutospacing="0"/>
        <w:rPr>
          <w:rStyle w:val="8"/>
          <w:rFonts w:hint="default" w:eastAsia="宋体"/>
          <w:sz w:val="21"/>
          <w:szCs w:val="21"/>
          <w:lang w:val="en-US" w:eastAsia="zh-CN"/>
        </w:rPr>
      </w:pPr>
      <w:r>
        <w:rPr>
          <w:rStyle w:val="8"/>
          <w:sz w:val="21"/>
          <w:szCs w:val="21"/>
        </w:rPr>
        <w:t>(a)</w:t>
      </w:r>
      <w:r>
        <w:rPr>
          <w:rStyle w:val="8"/>
          <w:rFonts w:hint="eastAsia" w:eastAsia="宋体"/>
          <w:sz w:val="21"/>
          <w:szCs w:val="21"/>
          <w:lang w:val="en-US" w:eastAsia="zh-CN"/>
        </w:rPr>
        <w:t xml:space="preserve"> </w:t>
      </w:r>
      <w:r>
        <w:rPr>
          <w:sz w:val="21"/>
          <w:szCs w:val="21"/>
        </w:rPr>
        <w:t>Flow cytometry</w:t>
      </w:r>
      <w:r>
        <w:rPr>
          <w:rStyle w:val="8"/>
          <w:rFonts w:hint="eastAsia" w:eastAsia="宋体"/>
          <w:sz w:val="21"/>
          <w:szCs w:val="21"/>
          <w:lang w:val="en-US" w:eastAsia="zh-CN"/>
        </w:rPr>
        <w:t xml:space="preserve"> </w:t>
      </w:r>
      <w:r>
        <w:rPr>
          <w:rStyle w:val="8"/>
          <w:rFonts w:hint="eastAsia" w:eastAsia="宋体"/>
          <w:b w:val="0"/>
          <w:bCs w:val="0"/>
          <w:sz w:val="21"/>
          <w:szCs w:val="21"/>
          <w:lang w:val="en-US" w:eastAsia="zh-CN"/>
        </w:rPr>
        <w:t>gate strategy of CD69</w:t>
      </w:r>
      <w:r>
        <w:rPr>
          <w:rStyle w:val="8"/>
          <w:rFonts w:hint="eastAsia" w:eastAsia="宋体"/>
          <w:b w:val="0"/>
          <w:bCs w:val="0"/>
          <w:sz w:val="21"/>
          <w:szCs w:val="21"/>
          <w:vertAlign w:val="superscript"/>
          <w:lang w:val="en-US" w:eastAsia="zh-CN"/>
        </w:rPr>
        <w:t>+</w:t>
      </w:r>
      <w:r>
        <w:rPr>
          <w:rStyle w:val="8"/>
          <w:rFonts w:hint="eastAsia" w:eastAsia="宋体"/>
          <w:b w:val="0"/>
          <w:bCs w:val="0"/>
          <w:sz w:val="21"/>
          <w:szCs w:val="21"/>
          <w:lang w:val="en-US" w:eastAsia="zh-CN"/>
        </w:rPr>
        <w:t xml:space="preserve">DP, mature CD4SP and CD8SP </w:t>
      </w:r>
      <w:r>
        <w:rPr>
          <w:sz w:val="21"/>
          <w:szCs w:val="21"/>
        </w:rPr>
        <w:t xml:space="preserve">from </w:t>
      </w:r>
      <w:r>
        <w:rPr>
          <w:rStyle w:val="9"/>
          <w:sz w:val="21"/>
          <w:szCs w:val="21"/>
        </w:rPr>
        <w:t>Satb1</w:t>
      </w:r>
      <w:r>
        <w:rPr>
          <w:sz w:val="21"/>
          <w:szCs w:val="21"/>
          <w:vertAlign w:val="superscript"/>
        </w:rPr>
        <w:t>fl/fl</w:t>
      </w:r>
      <w:r>
        <w:rPr>
          <w:sz w:val="21"/>
          <w:szCs w:val="21"/>
        </w:rPr>
        <w:t xml:space="preserve"> (WT) and </w:t>
      </w:r>
      <w:r>
        <w:rPr>
          <w:rStyle w:val="9"/>
          <w:sz w:val="21"/>
          <w:szCs w:val="21"/>
        </w:rPr>
        <w:t>Satb1</w:t>
      </w:r>
      <w:r>
        <w:rPr>
          <w:sz w:val="21"/>
          <w:szCs w:val="21"/>
          <w:vertAlign w:val="superscript"/>
        </w:rPr>
        <w:t>fl/fl</w:t>
      </w:r>
      <w:r>
        <w:rPr>
          <w:sz w:val="21"/>
          <w:szCs w:val="21"/>
        </w:rPr>
        <w:t xml:space="preserve">; </w:t>
      </w:r>
      <w:r>
        <w:rPr>
          <w:rStyle w:val="9"/>
          <w:rFonts w:hint="eastAsia" w:eastAsia="宋体"/>
          <w:sz w:val="21"/>
          <w:szCs w:val="21"/>
          <w:lang w:val="en-US" w:eastAsia="zh-CN"/>
        </w:rPr>
        <w:t>Vav</w:t>
      </w:r>
      <w:r>
        <w:rPr>
          <w:sz w:val="21"/>
          <w:szCs w:val="21"/>
        </w:rPr>
        <w:t>-Cre (cKO) mice.</w:t>
      </w:r>
    </w:p>
    <w:p w14:paraId="4C0FB26E">
      <w:pPr>
        <w:pStyle w:val="4"/>
        <w:spacing w:before="0" w:beforeAutospacing="0" w:after="120" w:afterAutospacing="0"/>
        <w:rPr>
          <w:rFonts w:hint="eastAsia" w:eastAsia="宋体"/>
          <w:sz w:val="21"/>
          <w:szCs w:val="21"/>
          <w:lang w:val="en-US" w:eastAsia="zh-CN"/>
        </w:rPr>
      </w:pPr>
      <w:r>
        <w:rPr>
          <w:rStyle w:val="8"/>
          <w:sz w:val="21"/>
          <w:szCs w:val="21"/>
        </w:rPr>
        <w:t>(</w:t>
      </w:r>
      <w:r>
        <w:rPr>
          <w:rStyle w:val="8"/>
          <w:rFonts w:hint="eastAsia" w:eastAsia="宋体"/>
          <w:sz w:val="21"/>
          <w:szCs w:val="21"/>
          <w:lang w:val="en-US" w:eastAsia="zh-CN"/>
        </w:rPr>
        <w:t>b</w:t>
      </w:r>
      <w:r>
        <w:rPr>
          <w:rStyle w:val="8"/>
          <w:sz w:val="21"/>
          <w:szCs w:val="21"/>
        </w:rPr>
        <w:t>)</w:t>
      </w:r>
      <w:r>
        <w:rPr>
          <w:sz w:val="21"/>
          <w:szCs w:val="21"/>
        </w:rPr>
        <w:t xml:space="preserve"> Flow cytometry analysis of thymocytes from </w:t>
      </w:r>
      <w:r>
        <w:rPr>
          <w:rStyle w:val="9"/>
          <w:sz w:val="21"/>
          <w:szCs w:val="21"/>
        </w:rPr>
        <w:t>Satb1</w:t>
      </w:r>
      <w:r>
        <w:rPr>
          <w:sz w:val="21"/>
          <w:szCs w:val="21"/>
          <w:vertAlign w:val="superscript"/>
        </w:rPr>
        <w:t>fl/fl</w:t>
      </w:r>
      <w:r>
        <w:rPr>
          <w:sz w:val="21"/>
          <w:szCs w:val="21"/>
        </w:rPr>
        <w:t xml:space="preserve"> (WT) and </w:t>
      </w:r>
      <w:r>
        <w:rPr>
          <w:rStyle w:val="9"/>
          <w:sz w:val="21"/>
          <w:szCs w:val="21"/>
        </w:rPr>
        <w:t>Satb1</w:t>
      </w:r>
      <w:r>
        <w:rPr>
          <w:sz w:val="21"/>
          <w:szCs w:val="21"/>
          <w:vertAlign w:val="superscript"/>
        </w:rPr>
        <w:t>fl/fl</w:t>
      </w:r>
      <w:r>
        <w:rPr>
          <w:sz w:val="21"/>
          <w:szCs w:val="21"/>
        </w:rPr>
        <w:t xml:space="preserve">; </w:t>
      </w:r>
      <w:r>
        <w:rPr>
          <w:rStyle w:val="9"/>
          <w:sz w:val="21"/>
          <w:szCs w:val="21"/>
        </w:rPr>
        <w:t>CD4</w:t>
      </w:r>
      <w:r>
        <w:rPr>
          <w:sz w:val="21"/>
          <w:szCs w:val="21"/>
        </w:rPr>
        <w:t xml:space="preserve">-Cre (cKO) mice. Representative plots show CD4 and CD8 expression (top) and CD69 expression within DP thymocytes (bottom). Right, quantification of the frequency of CD69⁺ DP cells. P values were determined by two-sided Student’s </w:t>
      </w:r>
      <w:r>
        <w:rPr>
          <w:rStyle w:val="9"/>
          <w:sz w:val="21"/>
          <w:szCs w:val="21"/>
        </w:rPr>
        <w:t>t</w:t>
      </w:r>
      <w:r>
        <w:rPr>
          <w:sz w:val="21"/>
          <w:szCs w:val="21"/>
        </w:rPr>
        <w:t xml:space="preserve"> test.</w:t>
      </w:r>
      <w:r>
        <w:rPr>
          <w:rFonts w:hint="eastAsia" w:eastAsia="宋体"/>
          <w:sz w:val="21"/>
          <w:szCs w:val="21"/>
          <w:lang w:val="en-US" w:eastAsia="zh-CN"/>
        </w:rPr>
        <w:t xml:space="preserve"> </w:t>
      </w:r>
      <w:r>
        <w:rPr>
          <w:sz w:val="21"/>
          <w:szCs w:val="21"/>
          <w:lang w:val="en-US"/>
        </w:rPr>
        <w:t>Data are presented as mean ± s.d.; n = 3 biologically independent mice.</w:t>
      </w:r>
    </w:p>
    <w:p w14:paraId="113D153C">
      <w:pPr>
        <w:pStyle w:val="4"/>
        <w:spacing w:before="0" w:beforeAutospacing="0" w:after="120" w:afterAutospacing="0"/>
        <w:rPr>
          <w:rFonts w:hint="eastAsia" w:eastAsia="宋体"/>
          <w:sz w:val="21"/>
          <w:szCs w:val="21"/>
          <w:lang w:val="en-US" w:eastAsia="zh-CN"/>
        </w:rPr>
      </w:pPr>
      <w:r>
        <w:rPr>
          <w:rStyle w:val="8"/>
          <w:sz w:val="21"/>
          <w:szCs w:val="21"/>
        </w:rPr>
        <w:t>(</w:t>
      </w:r>
      <w:r>
        <w:rPr>
          <w:rStyle w:val="8"/>
          <w:rFonts w:hint="eastAsia" w:eastAsia="宋体"/>
          <w:sz w:val="21"/>
          <w:szCs w:val="21"/>
          <w:lang w:val="en-US" w:eastAsia="zh-CN"/>
        </w:rPr>
        <w:t>c</w:t>
      </w:r>
      <w:r>
        <w:rPr>
          <w:rStyle w:val="8"/>
          <w:sz w:val="21"/>
          <w:szCs w:val="21"/>
        </w:rPr>
        <w:t>)</w:t>
      </w:r>
      <w:r>
        <w:rPr>
          <w:sz w:val="21"/>
          <w:szCs w:val="21"/>
        </w:rPr>
        <w:t xml:space="preserve"> Quantification of mean fluorescence intensity (MFI) of TCRβ, CD3, CD2, and CD5 on CD69⁺ DP thymocytes from WT and </w:t>
      </w:r>
      <w:r>
        <w:rPr>
          <w:rStyle w:val="9"/>
          <w:sz w:val="21"/>
          <w:szCs w:val="21"/>
        </w:rPr>
        <w:t>Satb1</w:t>
      </w:r>
      <w:r>
        <w:rPr>
          <w:sz w:val="21"/>
          <w:szCs w:val="21"/>
        </w:rPr>
        <w:t xml:space="preserve"> cKO mice. P values were determined by two-sided Student’s </w:t>
      </w:r>
      <w:r>
        <w:rPr>
          <w:rStyle w:val="9"/>
          <w:sz w:val="21"/>
          <w:szCs w:val="21"/>
        </w:rPr>
        <w:t>t</w:t>
      </w:r>
      <w:r>
        <w:rPr>
          <w:sz w:val="21"/>
          <w:szCs w:val="21"/>
        </w:rPr>
        <w:t xml:space="preserve"> test.</w:t>
      </w:r>
      <w:r>
        <w:rPr>
          <w:rFonts w:hint="eastAsia" w:eastAsia="宋体"/>
          <w:sz w:val="21"/>
          <w:szCs w:val="21"/>
          <w:lang w:val="en-US" w:eastAsia="zh-CN"/>
        </w:rPr>
        <w:t xml:space="preserve"> </w:t>
      </w:r>
      <w:r>
        <w:rPr>
          <w:sz w:val="21"/>
          <w:szCs w:val="21"/>
          <w:lang w:val="en-US"/>
        </w:rPr>
        <w:t>Data are presented as mean ± s.d.; n = 3 biologically independent mice.</w:t>
      </w:r>
    </w:p>
    <w:p w14:paraId="07D446B3">
      <w:pPr>
        <w:pStyle w:val="4"/>
        <w:spacing w:before="120" w:beforeAutospacing="0" w:after="120" w:afterAutospacing="0"/>
        <w:rPr>
          <w:rFonts w:eastAsia="宋体"/>
          <w:sz w:val="21"/>
          <w:szCs w:val="21"/>
          <w:lang w:val="en-US"/>
        </w:rPr>
      </w:pPr>
      <w:r>
        <w:rPr>
          <w:rStyle w:val="8"/>
          <w:sz w:val="21"/>
          <w:szCs w:val="21"/>
        </w:rPr>
        <w:t>(</w:t>
      </w:r>
      <w:r>
        <w:rPr>
          <w:rStyle w:val="8"/>
          <w:rFonts w:hint="eastAsia" w:eastAsia="宋体"/>
          <w:sz w:val="21"/>
          <w:szCs w:val="21"/>
          <w:lang w:val="en-US" w:eastAsia="zh-CN"/>
        </w:rPr>
        <w:t>d</w:t>
      </w:r>
      <w:r>
        <w:rPr>
          <w:rStyle w:val="8"/>
          <w:sz w:val="21"/>
          <w:szCs w:val="21"/>
        </w:rPr>
        <w:t>)</w:t>
      </w:r>
      <w:r>
        <w:rPr>
          <w:sz w:val="21"/>
          <w:szCs w:val="21"/>
        </w:rPr>
        <w:t xml:space="preserve"> Flow cytometry analysis of thymocytes stratified by TCRβ and CD69 expression, defining four developmental stages (Q1-Q4) corresponding to sequential phases of positive selection. Representative plots (left) and quantification of population frequencies (right) are shown for WT and </w:t>
      </w:r>
      <w:r>
        <w:rPr>
          <w:rStyle w:val="9"/>
          <w:sz w:val="21"/>
          <w:szCs w:val="21"/>
        </w:rPr>
        <w:t>Satb1</w:t>
      </w:r>
      <w:r>
        <w:rPr>
          <w:sz w:val="21"/>
          <w:szCs w:val="21"/>
        </w:rPr>
        <w:t xml:space="preserve"> cKO mice</w:t>
      </w:r>
      <w:r>
        <w:rPr>
          <w:rFonts w:hint="eastAsia" w:eastAsia="宋体"/>
          <w:sz w:val="21"/>
          <w:szCs w:val="21"/>
          <w:lang w:val="en-US" w:eastAsia="zh-CN"/>
        </w:rPr>
        <w:t xml:space="preserve">. </w:t>
      </w:r>
      <w:r>
        <w:rPr>
          <w:rFonts w:hint="eastAsia" w:eastAsia="宋体"/>
          <w:sz w:val="21"/>
          <w:szCs w:val="21"/>
          <w:lang w:val="en-US"/>
        </w:rPr>
        <w:t xml:space="preserve">Every data are 3 replications and shown as mean ± s.d. </w:t>
      </w:r>
      <w:r>
        <w:rPr>
          <w:sz w:val="21"/>
          <w:szCs w:val="21"/>
          <w:lang w:val="en-US"/>
        </w:rPr>
        <w:t xml:space="preserve">P values were determined by two-sided Student’s </w:t>
      </w:r>
      <w:r>
        <w:rPr>
          <w:rStyle w:val="9"/>
          <w:sz w:val="21"/>
          <w:szCs w:val="21"/>
          <w:lang w:val="en-US"/>
        </w:rPr>
        <w:t>t</w:t>
      </w:r>
      <w:r>
        <w:rPr>
          <w:sz w:val="21"/>
          <w:szCs w:val="21"/>
          <w:lang w:val="en-US"/>
        </w:rPr>
        <w:t xml:space="preserve"> test.</w:t>
      </w:r>
    </w:p>
    <w:p w14:paraId="6155C25A">
      <w:pPr>
        <w:pStyle w:val="4"/>
        <w:spacing w:before="120" w:beforeAutospacing="0" w:after="120" w:afterAutospacing="0"/>
        <w:rPr>
          <w:rFonts w:hint="eastAsia" w:eastAsia="宋体"/>
          <w:sz w:val="21"/>
          <w:szCs w:val="21"/>
          <w:lang w:val="en-US" w:eastAsia="zh-CN"/>
        </w:rPr>
      </w:pPr>
      <w:r>
        <w:rPr>
          <w:rStyle w:val="8"/>
          <w:sz w:val="21"/>
          <w:szCs w:val="21"/>
        </w:rPr>
        <w:t>(</w:t>
      </w:r>
      <w:r>
        <w:rPr>
          <w:rStyle w:val="8"/>
          <w:rFonts w:hint="eastAsia" w:eastAsia="宋体"/>
          <w:sz w:val="21"/>
          <w:szCs w:val="21"/>
          <w:lang w:val="en-US" w:eastAsia="zh-CN"/>
        </w:rPr>
        <w:t>e</w:t>
      </w:r>
      <w:r>
        <w:rPr>
          <w:rStyle w:val="8"/>
          <w:sz w:val="21"/>
          <w:szCs w:val="21"/>
        </w:rPr>
        <w:t>)</w:t>
      </w:r>
      <w:r>
        <w:rPr>
          <w:sz w:val="21"/>
          <w:szCs w:val="21"/>
        </w:rPr>
        <w:t xml:space="preserve"> Flow cytometry analysis of thymocytes stratified by TCRβ and CD5 expression, defining four developmental stages (Q1-Q4). Representative plots (left) and quantification of population frequencies (right) are shown for WT and </w:t>
      </w:r>
      <w:r>
        <w:rPr>
          <w:rStyle w:val="9"/>
          <w:sz w:val="21"/>
          <w:szCs w:val="21"/>
        </w:rPr>
        <w:t>Satb1</w:t>
      </w:r>
      <w:r>
        <w:rPr>
          <w:sz w:val="21"/>
          <w:szCs w:val="21"/>
        </w:rPr>
        <w:t xml:space="preserve"> cKO mice.</w:t>
      </w:r>
      <w:r>
        <w:rPr>
          <w:rFonts w:hint="eastAsia" w:eastAsia="宋体"/>
          <w:sz w:val="21"/>
          <w:szCs w:val="21"/>
          <w:lang w:val="en-US" w:eastAsia="zh-CN"/>
        </w:rPr>
        <w:t xml:space="preserve"> </w:t>
      </w:r>
      <w:r>
        <w:rPr>
          <w:rFonts w:hint="eastAsia" w:eastAsia="宋体"/>
          <w:sz w:val="21"/>
          <w:szCs w:val="21"/>
          <w:lang w:val="en-US"/>
        </w:rPr>
        <w:t xml:space="preserve">Every data are 3 replications and shown as mean ± s.d. </w:t>
      </w:r>
      <w:r>
        <w:rPr>
          <w:sz w:val="21"/>
          <w:szCs w:val="21"/>
          <w:lang w:val="en-US"/>
        </w:rPr>
        <w:t xml:space="preserve">P values were determined by two-sided Student’s </w:t>
      </w:r>
      <w:r>
        <w:rPr>
          <w:rStyle w:val="9"/>
          <w:sz w:val="21"/>
          <w:szCs w:val="21"/>
          <w:lang w:val="en-US"/>
        </w:rPr>
        <w:t>t</w:t>
      </w:r>
      <w:r>
        <w:rPr>
          <w:sz w:val="21"/>
          <w:szCs w:val="21"/>
          <w:lang w:val="en-US"/>
        </w:rPr>
        <w:t xml:space="preserve"> test.</w:t>
      </w:r>
    </w:p>
    <w:p w14:paraId="56CA81D3">
      <w:pPr>
        <w:pStyle w:val="4"/>
        <w:spacing w:before="0" w:beforeAutospacing="0" w:after="120" w:afterAutospacing="0"/>
        <w:rPr>
          <w:rFonts w:hint="default" w:eastAsia="宋体"/>
          <w:sz w:val="21"/>
          <w:szCs w:val="21"/>
          <w:lang w:val="en-US" w:eastAsia="zh-CN"/>
        </w:rPr>
      </w:pPr>
      <w:r>
        <w:rPr>
          <w:rStyle w:val="8"/>
          <w:sz w:val="21"/>
          <w:szCs w:val="21"/>
        </w:rPr>
        <w:t>(</w:t>
      </w:r>
      <w:r>
        <w:rPr>
          <w:rStyle w:val="8"/>
          <w:rFonts w:hint="eastAsia" w:eastAsia="宋体"/>
          <w:sz w:val="21"/>
          <w:szCs w:val="21"/>
          <w:lang w:val="en-US" w:eastAsia="zh-CN"/>
        </w:rPr>
        <w:t>f</w:t>
      </w:r>
      <w:r>
        <w:rPr>
          <w:rStyle w:val="8"/>
          <w:sz w:val="21"/>
          <w:szCs w:val="21"/>
        </w:rPr>
        <w:t>)</w:t>
      </w:r>
      <w:r>
        <w:rPr>
          <w:rStyle w:val="8"/>
          <w:rFonts w:hint="eastAsia" w:eastAsia="宋体"/>
          <w:sz w:val="21"/>
          <w:szCs w:val="21"/>
          <w:lang w:val="en-US" w:eastAsia="zh-CN"/>
        </w:rPr>
        <w:t xml:space="preserve"> </w:t>
      </w:r>
      <w:r>
        <w:rPr>
          <w:rFonts w:hint="eastAsia" w:eastAsia="宋体"/>
          <w:sz w:val="21"/>
          <w:szCs w:val="21"/>
          <w:lang w:val="en-US" w:eastAsia="zh-CN"/>
        </w:rPr>
        <w:t xml:space="preserve">Heatmap of Va–Ja combination </w:t>
      </w:r>
      <w:r>
        <w:rPr>
          <w:sz w:val="21"/>
          <w:szCs w:val="21"/>
        </w:rPr>
        <w:t xml:space="preserve">on CD69⁺ DP thymocytes from WT and </w:t>
      </w:r>
      <w:r>
        <w:rPr>
          <w:rStyle w:val="9"/>
          <w:sz w:val="21"/>
          <w:szCs w:val="21"/>
        </w:rPr>
        <w:t>Satb1</w:t>
      </w:r>
      <w:r>
        <w:rPr>
          <w:sz w:val="21"/>
          <w:szCs w:val="21"/>
        </w:rPr>
        <w:t xml:space="preserve"> cKO mice</w:t>
      </w:r>
      <w:r>
        <w:rPr>
          <w:rFonts w:hint="eastAsia" w:eastAsia="宋体"/>
          <w:sz w:val="21"/>
          <w:szCs w:val="21"/>
          <w:lang w:val="en-US" w:eastAsia="zh-CN"/>
        </w:rPr>
        <w:t xml:space="preserve">. </w:t>
      </w:r>
    </w:p>
    <w:p w14:paraId="3DCD71E8">
      <w:pPr>
        <w:pStyle w:val="4"/>
        <w:spacing w:before="0" w:beforeAutospacing="0" w:after="120" w:afterAutospacing="0"/>
        <w:rPr>
          <w:rFonts w:hint="eastAsia" w:eastAsia="宋体"/>
          <w:sz w:val="21"/>
          <w:szCs w:val="21"/>
          <w:lang w:val="en-US" w:eastAsia="zh-CN"/>
        </w:rPr>
      </w:pPr>
    </w:p>
    <w:p w14:paraId="7BBECAFA">
      <w:r>
        <w:br w:type="page"/>
      </w:r>
    </w:p>
    <w:p w14:paraId="266ED448">
      <w:pPr>
        <w:pStyle w:val="2"/>
        <w:spacing w:before="0" w:beforeAutospacing="0" w:after="120" w:afterAutospacing="0"/>
        <w:rPr>
          <w:sz w:val="21"/>
          <w:szCs w:val="21"/>
        </w:rPr>
      </w:pPr>
      <w:r>
        <w:rPr>
          <w:rStyle w:val="8"/>
          <w:b/>
          <w:bCs/>
          <w:sz w:val="21"/>
          <w:szCs w:val="21"/>
        </w:rPr>
        <w:drawing>
          <wp:inline distT="0" distB="0" distL="114300" distR="114300">
            <wp:extent cx="5272405" cy="6906895"/>
            <wp:effectExtent l="0" t="0" r="10795" b="1905"/>
            <wp:docPr id="9" name="图片 9" descr="FigS8 ScRNA-s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8 ScRNA-seq"/>
                    <pic:cNvPicPr>
                      <a:picLocks noChangeAspect="1"/>
                    </pic:cNvPicPr>
                  </pic:nvPicPr>
                  <pic:blipFill>
                    <a:blip r:embed="rId11"/>
                    <a:stretch>
                      <a:fillRect/>
                    </a:stretch>
                  </pic:blipFill>
                  <pic:spPr>
                    <a:xfrm>
                      <a:off x="0" y="0"/>
                      <a:ext cx="5272405" cy="6906895"/>
                    </a:xfrm>
                    <a:prstGeom prst="rect">
                      <a:avLst/>
                    </a:prstGeom>
                  </pic:spPr>
                </pic:pic>
              </a:graphicData>
            </a:graphic>
          </wp:inline>
        </w:drawing>
      </w:r>
      <w:r>
        <w:rPr>
          <w:rStyle w:val="8"/>
          <w:b/>
          <w:bCs/>
          <w:sz w:val="21"/>
          <w:szCs w:val="21"/>
        </w:rPr>
        <w:t>Figure S8. Single-cell transcriptomic landscape of thymocyte populations during positive selection</w:t>
      </w:r>
    </w:p>
    <w:p w14:paraId="3790DF61">
      <w:pPr>
        <w:pStyle w:val="4"/>
        <w:spacing w:before="0" w:beforeAutospacing="0" w:after="120" w:afterAutospacing="0"/>
        <w:rPr>
          <w:rStyle w:val="8"/>
          <w:rFonts w:hint="eastAsia" w:eastAsia="宋体"/>
          <w:sz w:val="21"/>
          <w:szCs w:val="21"/>
          <w:lang w:val="en-US" w:eastAsia="zh-CN"/>
        </w:rPr>
      </w:pPr>
      <w:r>
        <w:rPr>
          <w:rStyle w:val="8"/>
          <w:sz w:val="21"/>
          <w:szCs w:val="21"/>
        </w:rPr>
        <w:t>(a)</w:t>
      </w:r>
      <w:r>
        <w:rPr>
          <w:rStyle w:val="8"/>
          <w:rFonts w:hint="eastAsia" w:eastAsia="宋体"/>
          <w:sz w:val="21"/>
          <w:szCs w:val="21"/>
          <w:lang w:val="en-US" w:eastAsia="zh-CN"/>
        </w:rPr>
        <w:t xml:space="preserve"> </w:t>
      </w:r>
      <w:r>
        <w:rPr>
          <w:sz w:val="21"/>
          <w:szCs w:val="21"/>
        </w:rPr>
        <w:t>Flow cytometry</w:t>
      </w:r>
      <w:r>
        <w:rPr>
          <w:rStyle w:val="8"/>
          <w:rFonts w:hint="eastAsia" w:eastAsia="宋体"/>
          <w:sz w:val="21"/>
          <w:szCs w:val="21"/>
          <w:lang w:val="en-US" w:eastAsia="zh-CN"/>
        </w:rPr>
        <w:t xml:space="preserve"> </w:t>
      </w:r>
      <w:r>
        <w:rPr>
          <w:rStyle w:val="8"/>
          <w:rFonts w:hint="eastAsia" w:eastAsia="宋体"/>
          <w:b w:val="0"/>
          <w:bCs w:val="0"/>
          <w:sz w:val="21"/>
          <w:szCs w:val="21"/>
          <w:lang w:val="en-US" w:eastAsia="zh-CN"/>
        </w:rPr>
        <w:t>gate strategy of CD69</w:t>
      </w:r>
      <w:r>
        <w:rPr>
          <w:rStyle w:val="8"/>
          <w:rFonts w:hint="eastAsia" w:eastAsia="宋体"/>
          <w:b w:val="0"/>
          <w:bCs w:val="0"/>
          <w:sz w:val="21"/>
          <w:szCs w:val="21"/>
          <w:vertAlign w:val="superscript"/>
          <w:lang w:val="en-US" w:eastAsia="zh-CN"/>
        </w:rPr>
        <w:t>+</w:t>
      </w:r>
      <w:r>
        <w:rPr>
          <w:rStyle w:val="8"/>
          <w:rFonts w:hint="eastAsia" w:eastAsia="宋体"/>
          <w:b w:val="0"/>
          <w:bCs w:val="0"/>
          <w:sz w:val="21"/>
          <w:szCs w:val="21"/>
          <w:vertAlign w:val="baseline"/>
          <w:lang w:val="en-US" w:eastAsia="zh-CN"/>
        </w:rPr>
        <w:t xml:space="preserve"> </w:t>
      </w:r>
      <w:r>
        <w:rPr>
          <w:rStyle w:val="8"/>
          <w:rFonts w:hint="eastAsia" w:eastAsia="宋体"/>
          <w:b w:val="0"/>
          <w:bCs w:val="0"/>
          <w:sz w:val="21"/>
          <w:szCs w:val="21"/>
          <w:lang w:val="en-US" w:eastAsia="zh-CN"/>
        </w:rPr>
        <w:t xml:space="preserve">DP </w:t>
      </w:r>
      <w:r>
        <w:rPr>
          <w:sz w:val="21"/>
          <w:szCs w:val="21"/>
        </w:rPr>
        <w:t xml:space="preserve">from </w:t>
      </w:r>
      <w:r>
        <w:rPr>
          <w:rStyle w:val="9"/>
          <w:sz w:val="21"/>
          <w:szCs w:val="21"/>
        </w:rPr>
        <w:t>Satb1</w:t>
      </w:r>
      <w:r>
        <w:rPr>
          <w:sz w:val="21"/>
          <w:szCs w:val="21"/>
          <w:vertAlign w:val="superscript"/>
        </w:rPr>
        <w:t>fl/fl</w:t>
      </w:r>
      <w:r>
        <w:rPr>
          <w:sz w:val="21"/>
          <w:szCs w:val="21"/>
        </w:rPr>
        <w:t xml:space="preserve"> (WT) and </w:t>
      </w:r>
      <w:r>
        <w:rPr>
          <w:rStyle w:val="9"/>
          <w:sz w:val="21"/>
          <w:szCs w:val="21"/>
        </w:rPr>
        <w:t>Satb1</w:t>
      </w:r>
      <w:r>
        <w:rPr>
          <w:sz w:val="21"/>
          <w:szCs w:val="21"/>
          <w:vertAlign w:val="superscript"/>
        </w:rPr>
        <w:t>fl/fl</w:t>
      </w:r>
      <w:r>
        <w:rPr>
          <w:sz w:val="21"/>
          <w:szCs w:val="21"/>
        </w:rPr>
        <w:t xml:space="preserve">; </w:t>
      </w:r>
      <w:r>
        <w:rPr>
          <w:rStyle w:val="9"/>
          <w:rFonts w:hint="eastAsia" w:eastAsia="宋体"/>
          <w:sz w:val="21"/>
          <w:szCs w:val="21"/>
          <w:lang w:val="en-US" w:eastAsia="zh-CN"/>
        </w:rPr>
        <w:t>Vav</w:t>
      </w:r>
      <w:r>
        <w:rPr>
          <w:sz w:val="21"/>
          <w:szCs w:val="21"/>
        </w:rPr>
        <w:t>-Cre (cKO) mice.</w:t>
      </w:r>
    </w:p>
    <w:p w14:paraId="04D29B90">
      <w:pPr>
        <w:pStyle w:val="4"/>
        <w:spacing w:before="0" w:beforeAutospacing="0" w:after="120" w:afterAutospacing="0"/>
        <w:rPr>
          <w:sz w:val="21"/>
          <w:szCs w:val="21"/>
        </w:rPr>
      </w:pPr>
      <w:r>
        <w:rPr>
          <w:rStyle w:val="8"/>
          <w:sz w:val="21"/>
          <w:szCs w:val="21"/>
        </w:rPr>
        <w:t>(</w:t>
      </w:r>
      <w:r>
        <w:rPr>
          <w:rStyle w:val="8"/>
          <w:rFonts w:hint="eastAsia" w:eastAsia="宋体"/>
          <w:sz w:val="21"/>
          <w:szCs w:val="21"/>
          <w:lang w:val="en-US" w:eastAsia="zh-CN"/>
        </w:rPr>
        <w:t>b</w:t>
      </w:r>
      <w:r>
        <w:rPr>
          <w:rStyle w:val="8"/>
          <w:sz w:val="21"/>
          <w:szCs w:val="21"/>
        </w:rPr>
        <w:t>)</w:t>
      </w:r>
      <w:r>
        <w:rPr>
          <w:rStyle w:val="8"/>
          <w:rFonts w:hint="eastAsia" w:eastAsia="宋体"/>
          <w:sz w:val="21"/>
          <w:szCs w:val="21"/>
          <w:lang w:val="en-US" w:eastAsia="zh-CN"/>
        </w:rPr>
        <w:t xml:space="preserve"> </w:t>
      </w:r>
      <w:r>
        <w:rPr>
          <w:sz w:val="21"/>
          <w:szCs w:val="21"/>
        </w:rPr>
        <w:t xml:space="preserve">UMAP projection of single-cell RNA-seq profiles from WT and </w:t>
      </w:r>
      <w:r>
        <w:rPr>
          <w:rStyle w:val="9"/>
          <w:sz w:val="21"/>
          <w:szCs w:val="21"/>
        </w:rPr>
        <w:t>Satb1</w:t>
      </w:r>
      <w:r>
        <w:rPr>
          <w:sz w:val="21"/>
          <w:szCs w:val="21"/>
        </w:rPr>
        <w:t>-deficient (KO) thymocytes. Cells are colored by transcriptionally defined clusters, including DP1, DP2a, DP2b, DP2c, DP3, DP4, CD69⁻ DP, and B cells.</w:t>
      </w:r>
    </w:p>
    <w:p w14:paraId="1EA688C7">
      <w:pPr>
        <w:pStyle w:val="4"/>
        <w:spacing w:before="0" w:beforeAutospacing="0" w:after="120" w:afterAutospacing="0"/>
        <w:rPr>
          <w:sz w:val="21"/>
          <w:szCs w:val="21"/>
        </w:rPr>
      </w:pPr>
      <w:r>
        <w:rPr>
          <w:rStyle w:val="8"/>
          <w:sz w:val="21"/>
          <w:szCs w:val="21"/>
        </w:rPr>
        <w:t>(</w:t>
      </w:r>
      <w:r>
        <w:rPr>
          <w:rStyle w:val="8"/>
          <w:rFonts w:hint="eastAsia" w:eastAsia="宋体"/>
          <w:sz w:val="21"/>
          <w:szCs w:val="21"/>
          <w:lang w:val="en-US" w:eastAsia="zh-CN"/>
        </w:rPr>
        <w:t>c</w:t>
      </w:r>
      <w:r>
        <w:rPr>
          <w:rStyle w:val="8"/>
          <w:sz w:val="21"/>
          <w:szCs w:val="21"/>
        </w:rPr>
        <w:t>)</w:t>
      </w:r>
      <w:r>
        <w:rPr>
          <w:sz w:val="21"/>
          <w:szCs w:val="21"/>
        </w:rPr>
        <w:t xml:space="preserve"> Stacked bar plots showing the relative proportions of each annotated cell population across individual WT and KO samples.</w:t>
      </w:r>
    </w:p>
    <w:p w14:paraId="75DA0D3C">
      <w:pPr>
        <w:pStyle w:val="4"/>
        <w:spacing w:before="0" w:beforeAutospacing="0" w:after="120" w:afterAutospacing="0"/>
        <w:rPr>
          <w:sz w:val="21"/>
          <w:szCs w:val="21"/>
        </w:rPr>
      </w:pPr>
      <w:r>
        <w:rPr>
          <w:rStyle w:val="8"/>
          <w:sz w:val="21"/>
          <w:szCs w:val="21"/>
        </w:rPr>
        <w:t>(</w:t>
      </w:r>
      <w:r>
        <w:rPr>
          <w:rStyle w:val="8"/>
          <w:rFonts w:hint="eastAsia" w:eastAsia="宋体"/>
          <w:sz w:val="21"/>
          <w:szCs w:val="21"/>
          <w:lang w:val="en-US" w:eastAsia="zh-CN"/>
        </w:rPr>
        <w:t>d</w:t>
      </w:r>
      <w:r>
        <w:rPr>
          <w:rStyle w:val="8"/>
          <w:sz w:val="21"/>
          <w:szCs w:val="21"/>
        </w:rPr>
        <w:t>)</w:t>
      </w:r>
      <w:r>
        <w:rPr>
          <w:sz w:val="21"/>
          <w:szCs w:val="21"/>
        </w:rPr>
        <w:t xml:space="preserve"> Dot plot showing expression of representative marker genes used for cluster annotation. Dot size indicates the percentage of cells expressing each gene, and color intensity represents scaled average expression.</w:t>
      </w:r>
    </w:p>
    <w:p w14:paraId="493AB9EC">
      <w:pPr>
        <w:pStyle w:val="4"/>
        <w:spacing w:before="0" w:beforeAutospacing="0" w:after="120" w:afterAutospacing="0"/>
        <w:rPr>
          <w:sz w:val="21"/>
          <w:szCs w:val="21"/>
        </w:rPr>
      </w:pPr>
      <w:r>
        <w:rPr>
          <w:rStyle w:val="8"/>
          <w:sz w:val="21"/>
          <w:szCs w:val="21"/>
        </w:rPr>
        <w:t>(</w:t>
      </w:r>
      <w:r>
        <w:rPr>
          <w:rStyle w:val="8"/>
          <w:rFonts w:hint="eastAsia" w:eastAsia="宋体"/>
          <w:sz w:val="21"/>
          <w:szCs w:val="21"/>
          <w:lang w:val="en-US" w:eastAsia="zh-CN"/>
        </w:rPr>
        <w:t>e</w:t>
      </w:r>
      <w:r>
        <w:rPr>
          <w:rStyle w:val="8"/>
          <w:sz w:val="21"/>
          <w:szCs w:val="21"/>
        </w:rPr>
        <w:t>)</w:t>
      </w:r>
      <w:r>
        <w:rPr>
          <w:sz w:val="21"/>
          <w:szCs w:val="21"/>
        </w:rPr>
        <w:t xml:space="preserve"> Feature plots showing UMAP distribution of selected genes associated with thymocyte development, TCR signaling, and cell cycle progression, including </w:t>
      </w:r>
      <w:r>
        <w:rPr>
          <w:rStyle w:val="9"/>
          <w:sz w:val="21"/>
          <w:szCs w:val="21"/>
        </w:rPr>
        <w:t>Rag1</w:t>
      </w:r>
      <w:r>
        <w:rPr>
          <w:sz w:val="21"/>
          <w:szCs w:val="21"/>
        </w:rPr>
        <w:t xml:space="preserve">, </w:t>
      </w:r>
      <w:r>
        <w:rPr>
          <w:rStyle w:val="9"/>
          <w:sz w:val="21"/>
          <w:szCs w:val="21"/>
        </w:rPr>
        <w:t>Cd5</w:t>
      </w:r>
      <w:r>
        <w:rPr>
          <w:sz w:val="21"/>
          <w:szCs w:val="21"/>
        </w:rPr>
        <w:t xml:space="preserve">, </w:t>
      </w:r>
      <w:r>
        <w:rPr>
          <w:rStyle w:val="9"/>
          <w:sz w:val="21"/>
          <w:szCs w:val="21"/>
        </w:rPr>
        <w:t>Cd69</w:t>
      </w:r>
      <w:r>
        <w:rPr>
          <w:sz w:val="21"/>
          <w:szCs w:val="21"/>
        </w:rPr>
        <w:t xml:space="preserve">, </w:t>
      </w:r>
      <w:r>
        <w:rPr>
          <w:rStyle w:val="9"/>
          <w:sz w:val="21"/>
          <w:szCs w:val="21"/>
        </w:rPr>
        <w:t>Ccr4</w:t>
      </w:r>
      <w:r>
        <w:rPr>
          <w:sz w:val="21"/>
          <w:szCs w:val="21"/>
        </w:rPr>
        <w:t xml:space="preserve">, </w:t>
      </w:r>
      <w:r>
        <w:rPr>
          <w:rStyle w:val="9"/>
          <w:sz w:val="21"/>
          <w:szCs w:val="21"/>
        </w:rPr>
        <w:t>Nr4a1</w:t>
      </w:r>
      <w:r>
        <w:rPr>
          <w:sz w:val="21"/>
          <w:szCs w:val="21"/>
        </w:rPr>
        <w:t xml:space="preserve">, </w:t>
      </w:r>
      <w:r>
        <w:rPr>
          <w:rStyle w:val="9"/>
          <w:sz w:val="21"/>
          <w:szCs w:val="21"/>
        </w:rPr>
        <w:t>Ccr7</w:t>
      </w:r>
      <w:r>
        <w:rPr>
          <w:sz w:val="21"/>
          <w:szCs w:val="21"/>
        </w:rPr>
        <w:t xml:space="preserve">, </w:t>
      </w:r>
      <w:r>
        <w:rPr>
          <w:rStyle w:val="9"/>
          <w:sz w:val="21"/>
          <w:szCs w:val="21"/>
        </w:rPr>
        <w:t>Runx3</w:t>
      </w:r>
      <w:r>
        <w:rPr>
          <w:sz w:val="21"/>
          <w:szCs w:val="21"/>
        </w:rPr>
        <w:t xml:space="preserve">, and </w:t>
      </w:r>
      <w:r>
        <w:rPr>
          <w:rStyle w:val="9"/>
          <w:sz w:val="21"/>
          <w:szCs w:val="21"/>
        </w:rPr>
        <w:t>Mki67</w:t>
      </w:r>
      <w:r>
        <w:rPr>
          <w:sz w:val="21"/>
          <w:szCs w:val="21"/>
        </w:rPr>
        <w:t>.</w:t>
      </w:r>
    </w:p>
    <w:p w14:paraId="6CFB67A0">
      <w:pPr>
        <w:pStyle w:val="4"/>
        <w:spacing w:before="0" w:beforeAutospacing="0" w:after="120" w:afterAutospacing="0"/>
        <w:rPr>
          <w:sz w:val="21"/>
          <w:szCs w:val="21"/>
        </w:rPr>
      </w:pPr>
      <w:r>
        <w:rPr>
          <w:rStyle w:val="8"/>
          <w:sz w:val="21"/>
          <w:szCs w:val="21"/>
        </w:rPr>
        <w:t>(</w:t>
      </w:r>
      <w:r>
        <w:rPr>
          <w:rStyle w:val="8"/>
          <w:rFonts w:hint="eastAsia" w:eastAsia="宋体"/>
          <w:sz w:val="21"/>
          <w:szCs w:val="21"/>
          <w:lang w:val="en-US" w:eastAsia="zh-CN"/>
        </w:rPr>
        <w:t>f</w:t>
      </w:r>
      <w:r>
        <w:rPr>
          <w:rStyle w:val="8"/>
          <w:sz w:val="21"/>
          <w:szCs w:val="21"/>
        </w:rPr>
        <w:t>)</w:t>
      </w:r>
      <w:r>
        <w:rPr>
          <w:sz w:val="21"/>
          <w:szCs w:val="21"/>
        </w:rPr>
        <w:t xml:space="preserve"> Heatmap showing scaled expression of representative genes across annotated thymocyte populations, highlighting transcriptional programs associated with early DP stages, positive selection, lineage commitment, and proliferative states.</w:t>
      </w:r>
    </w:p>
    <w:p w14:paraId="3046C4D8">
      <w:r>
        <w:br w:type="page"/>
      </w:r>
    </w:p>
    <w:p w14:paraId="263963E0">
      <w:pPr>
        <w:pStyle w:val="2"/>
        <w:spacing w:before="0" w:beforeAutospacing="0" w:after="120" w:afterAutospacing="0"/>
        <w:rPr>
          <w:sz w:val="21"/>
          <w:szCs w:val="21"/>
        </w:rPr>
      </w:pPr>
      <w:r>
        <w:rPr>
          <w:rStyle w:val="8"/>
          <w:b/>
          <w:bCs/>
          <w:sz w:val="21"/>
          <w:szCs w:val="21"/>
        </w:rPr>
        <w:drawing>
          <wp:inline distT="0" distB="0" distL="114300" distR="114300">
            <wp:extent cx="5271135" cy="6764020"/>
            <wp:effectExtent l="0" t="0" r="12065" b="5080"/>
            <wp:docPr id="12" name="图片 12" descr="FigS9 Satb1敲除对基因表达的影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S9 Satb1敲除对基因表达的影响"/>
                    <pic:cNvPicPr>
                      <a:picLocks noChangeAspect="1"/>
                    </pic:cNvPicPr>
                  </pic:nvPicPr>
                  <pic:blipFill>
                    <a:blip r:embed="rId12"/>
                    <a:stretch>
                      <a:fillRect/>
                    </a:stretch>
                  </pic:blipFill>
                  <pic:spPr>
                    <a:xfrm>
                      <a:off x="0" y="0"/>
                      <a:ext cx="5271135" cy="6764020"/>
                    </a:xfrm>
                    <a:prstGeom prst="rect">
                      <a:avLst/>
                    </a:prstGeom>
                  </pic:spPr>
                </pic:pic>
              </a:graphicData>
            </a:graphic>
          </wp:inline>
        </w:drawing>
      </w:r>
      <w:r>
        <w:rPr>
          <w:rStyle w:val="8"/>
          <w:b/>
          <w:bCs/>
          <w:sz w:val="21"/>
          <w:szCs w:val="21"/>
        </w:rPr>
        <w:t>Figure S9. Stage-specific transcriptional effects of Satb1 deletion across DP thymocyte subsets</w:t>
      </w:r>
    </w:p>
    <w:p w14:paraId="02B94E36">
      <w:pPr>
        <w:pStyle w:val="4"/>
        <w:spacing w:before="0" w:beforeAutospacing="0" w:after="120" w:afterAutospacing="0"/>
        <w:rPr>
          <w:sz w:val="21"/>
          <w:szCs w:val="21"/>
        </w:rPr>
      </w:pPr>
      <w:r>
        <w:rPr>
          <w:rStyle w:val="8"/>
          <w:sz w:val="21"/>
          <w:szCs w:val="21"/>
        </w:rPr>
        <w:t>(a)</w:t>
      </w:r>
      <w:r>
        <w:rPr>
          <w:sz w:val="21"/>
          <w:szCs w:val="21"/>
        </w:rPr>
        <w:t xml:space="preserve"> Dot plots showing differential gene expression (log₂ fold change, KO versus WT) across DP1, DP2a, DP2b, DP2c, DP3, and DP4 thymocyte subsets. Numbers of upregulated and downregulated genes in each subset are indicated.</w:t>
      </w:r>
    </w:p>
    <w:p w14:paraId="19FA2C2F">
      <w:pPr>
        <w:pStyle w:val="4"/>
        <w:spacing w:before="0" w:beforeAutospacing="0" w:after="120" w:afterAutospacing="0"/>
        <w:rPr>
          <w:sz w:val="21"/>
          <w:szCs w:val="21"/>
        </w:rPr>
      </w:pPr>
      <w:r>
        <w:rPr>
          <w:rStyle w:val="8"/>
          <w:sz w:val="21"/>
          <w:szCs w:val="21"/>
        </w:rPr>
        <w:t>(b)</w:t>
      </w:r>
      <w:r>
        <w:rPr>
          <w:sz w:val="21"/>
          <w:szCs w:val="21"/>
        </w:rPr>
        <w:t xml:space="preserve"> GO enrichment analysis of biological processes associated with genes upregulated in </w:t>
      </w:r>
      <w:r>
        <w:rPr>
          <w:rStyle w:val="9"/>
          <w:sz w:val="21"/>
          <w:szCs w:val="21"/>
        </w:rPr>
        <w:t>Satb1</w:t>
      </w:r>
      <w:r>
        <w:rPr>
          <w:sz w:val="21"/>
          <w:szCs w:val="21"/>
        </w:rPr>
        <w:t>-deficient thymocytes across DP subsets.</w:t>
      </w:r>
    </w:p>
    <w:p w14:paraId="2D7DD441">
      <w:pPr>
        <w:pStyle w:val="4"/>
        <w:spacing w:before="0" w:beforeAutospacing="0" w:after="120" w:afterAutospacing="0"/>
        <w:rPr>
          <w:sz w:val="21"/>
          <w:szCs w:val="21"/>
        </w:rPr>
      </w:pPr>
      <w:r>
        <w:rPr>
          <w:rStyle w:val="8"/>
          <w:sz w:val="21"/>
          <w:szCs w:val="21"/>
        </w:rPr>
        <w:t>(c)</w:t>
      </w:r>
      <w:r>
        <w:rPr>
          <w:sz w:val="21"/>
          <w:szCs w:val="21"/>
        </w:rPr>
        <w:t xml:space="preserve"> GO enrichment analysis of biological processes associated with genes downregulated in </w:t>
      </w:r>
      <w:r>
        <w:rPr>
          <w:rStyle w:val="9"/>
          <w:sz w:val="21"/>
          <w:szCs w:val="21"/>
        </w:rPr>
        <w:t>Satb1</w:t>
      </w:r>
      <w:r>
        <w:rPr>
          <w:sz w:val="21"/>
          <w:szCs w:val="21"/>
        </w:rPr>
        <w:t>-deficient thymocytes across DP subsets.</w:t>
      </w:r>
    </w:p>
    <w:p w14:paraId="4F448F8A">
      <w:pPr>
        <w:pStyle w:val="4"/>
        <w:spacing w:before="0" w:beforeAutospacing="0" w:after="120" w:afterAutospacing="0"/>
        <w:rPr>
          <w:sz w:val="21"/>
          <w:szCs w:val="21"/>
        </w:rPr>
      </w:pPr>
      <w:r>
        <w:rPr>
          <w:rStyle w:val="8"/>
          <w:sz w:val="21"/>
          <w:szCs w:val="21"/>
        </w:rPr>
        <w:t>(d)</w:t>
      </w:r>
      <w:r>
        <w:rPr>
          <w:sz w:val="21"/>
          <w:szCs w:val="21"/>
        </w:rPr>
        <w:t xml:space="preserve"> Violin plots showing expression of representative TCR coreceptor genes (</w:t>
      </w:r>
      <w:r>
        <w:rPr>
          <w:rStyle w:val="9"/>
          <w:sz w:val="21"/>
          <w:szCs w:val="21"/>
        </w:rPr>
        <w:t>Cd4</w:t>
      </w:r>
      <w:r>
        <w:rPr>
          <w:sz w:val="21"/>
          <w:szCs w:val="21"/>
        </w:rPr>
        <w:t xml:space="preserve">, </w:t>
      </w:r>
      <w:r>
        <w:rPr>
          <w:rStyle w:val="9"/>
          <w:sz w:val="21"/>
          <w:szCs w:val="21"/>
        </w:rPr>
        <w:t>Cd8a</w:t>
      </w:r>
      <w:r>
        <w:rPr>
          <w:sz w:val="21"/>
          <w:szCs w:val="21"/>
        </w:rPr>
        <w:t xml:space="preserve">, and </w:t>
      </w:r>
      <w:r>
        <w:rPr>
          <w:rStyle w:val="9"/>
          <w:sz w:val="21"/>
          <w:szCs w:val="21"/>
        </w:rPr>
        <w:t>Cd28</w:t>
      </w:r>
      <w:r>
        <w:rPr>
          <w:sz w:val="21"/>
          <w:szCs w:val="21"/>
        </w:rPr>
        <w:t xml:space="preserve">) across DP subsets in WT and </w:t>
      </w:r>
      <w:r>
        <w:rPr>
          <w:rStyle w:val="9"/>
          <w:sz w:val="21"/>
          <w:szCs w:val="21"/>
        </w:rPr>
        <w:t>Satb1</w:t>
      </w:r>
      <w:r>
        <w:rPr>
          <w:sz w:val="21"/>
          <w:szCs w:val="21"/>
        </w:rPr>
        <w:t>-deficient (KO) thymocytes.</w:t>
      </w:r>
    </w:p>
    <w:p w14:paraId="14437761">
      <w:pPr>
        <w:pStyle w:val="4"/>
        <w:spacing w:before="0" w:beforeAutospacing="0" w:after="120" w:afterAutospacing="0"/>
        <w:rPr>
          <w:sz w:val="21"/>
          <w:szCs w:val="21"/>
        </w:rPr>
      </w:pPr>
      <w:r>
        <w:rPr>
          <w:rStyle w:val="8"/>
          <w:sz w:val="21"/>
          <w:szCs w:val="21"/>
        </w:rPr>
        <w:t>(e)</w:t>
      </w:r>
      <w:r>
        <w:rPr>
          <w:sz w:val="21"/>
          <w:szCs w:val="21"/>
        </w:rPr>
        <w:t xml:space="preserve"> Violin plots showing expression of representative TCR signaling–responsive genes (</w:t>
      </w:r>
      <w:r>
        <w:rPr>
          <w:rStyle w:val="9"/>
          <w:sz w:val="21"/>
          <w:szCs w:val="21"/>
        </w:rPr>
        <w:t>Nr4a1</w:t>
      </w:r>
      <w:r>
        <w:rPr>
          <w:sz w:val="21"/>
          <w:szCs w:val="21"/>
        </w:rPr>
        <w:t xml:space="preserve">, </w:t>
      </w:r>
      <w:r>
        <w:rPr>
          <w:rStyle w:val="9"/>
          <w:sz w:val="21"/>
          <w:szCs w:val="21"/>
        </w:rPr>
        <w:t>Cd5</w:t>
      </w:r>
      <w:r>
        <w:rPr>
          <w:sz w:val="21"/>
          <w:szCs w:val="21"/>
        </w:rPr>
        <w:t xml:space="preserve">, and </w:t>
      </w:r>
      <w:r>
        <w:rPr>
          <w:rStyle w:val="9"/>
          <w:sz w:val="21"/>
          <w:szCs w:val="21"/>
        </w:rPr>
        <w:t>Cd69</w:t>
      </w:r>
      <w:r>
        <w:rPr>
          <w:sz w:val="21"/>
          <w:szCs w:val="21"/>
        </w:rPr>
        <w:t>) across DP subsets in WT and KO thymocytes.</w:t>
      </w:r>
    </w:p>
    <w:p w14:paraId="7B477A55">
      <w:pPr>
        <w:pStyle w:val="4"/>
        <w:spacing w:before="0" w:beforeAutospacing="0" w:after="120" w:afterAutospacing="0"/>
        <w:rPr>
          <w:sz w:val="21"/>
          <w:szCs w:val="21"/>
        </w:rPr>
      </w:pPr>
      <w:r>
        <w:rPr>
          <w:rStyle w:val="8"/>
          <w:sz w:val="21"/>
          <w:szCs w:val="21"/>
        </w:rPr>
        <w:t>(f)</w:t>
      </w:r>
      <w:r>
        <w:rPr>
          <w:sz w:val="21"/>
          <w:szCs w:val="21"/>
        </w:rPr>
        <w:t xml:space="preserve"> Violin plots showing expression of lineage-associated transcription factors (</w:t>
      </w:r>
      <w:r>
        <w:rPr>
          <w:rStyle w:val="9"/>
          <w:sz w:val="21"/>
          <w:szCs w:val="21"/>
        </w:rPr>
        <w:t>Gata3</w:t>
      </w:r>
      <w:r>
        <w:rPr>
          <w:sz w:val="21"/>
          <w:szCs w:val="21"/>
        </w:rPr>
        <w:t xml:space="preserve">, </w:t>
      </w:r>
      <w:r>
        <w:rPr>
          <w:rStyle w:val="9"/>
          <w:sz w:val="21"/>
          <w:szCs w:val="21"/>
        </w:rPr>
        <w:t>Zbtb7b</w:t>
      </w:r>
      <w:r>
        <w:rPr>
          <w:sz w:val="21"/>
          <w:szCs w:val="21"/>
        </w:rPr>
        <w:t xml:space="preserve">, and </w:t>
      </w:r>
      <w:r>
        <w:rPr>
          <w:rStyle w:val="9"/>
          <w:sz w:val="21"/>
          <w:szCs w:val="21"/>
        </w:rPr>
        <w:t>Runx3</w:t>
      </w:r>
      <w:r>
        <w:rPr>
          <w:sz w:val="21"/>
          <w:szCs w:val="21"/>
        </w:rPr>
        <w:t>) across DP subsets in WT and KO thymocytes.</w:t>
      </w:r>
    </w:p>
    <w:p w14:paraId="5A5AF406">
      <w:r>
        <w:br w:type="page"/>
      </w:r>
    </w:p>
    <w:p w14:paraId="2D47AB07">
      <w:pPr>
        <w:pStyle w:val="2"/>
        <w:spacing w:before="0" w:beforeAutospacing="0" w:after="120" w:afterAutospacing="0"/>
        <w:rPr>
          <w:rStyle w:val="8"/>
          <w:b/>
          <w:bCs/>
          <w:sz w:val="21"/>
          <w:szCs w:val="21"/>
        </w:rPr>
        <w:sectPr>
          <w:pgSz w:w="11906" w:h="16838"/>
          <w:pgMar w:top="1440" w:right="1800" w:bottom="1440" w:left="1800" w:header="851" w:footer="992" w:gutter="0"/>
          <w:cols w:space="425" w:num="1"/>
          <w:docGrid w:type="lines" w:linePitch="312" w:charSpace="0"/>
        </w:sectPr>
      </w:pPr>
    </w:p>
    <w:p w14:paraId="58A7A0FF">
      <w:pPr>
        <w:rPr>
          <w:rStyle w:val="8"/>
          <w:b/>
          <w:bCs/>
          <w:sz w:val="21"/>
          <w:szCs w:val="21"/>
        </w:rPr>
      </w:pPr>
      <w:r>
        <w:rPr>
          <w:rStyle w:val="8"/>
          <w:b/>
          <w:bCs/>
          <w:sz w:val="21"/>
          <w:szCs w:val="21"/>
        </w:rPr>
        <w:drawing>
          <wp:inline distT="0" distB="0" distL="114300" distR="114300">
            <wp:extent cx="5273040" cy="6228715"/>
            <wp:effectExtent l="0" t="0" r="10160" b="6985"/>
            <wp:docPr id="11" name="图片 11" descr="Fi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10"/>
                    <pic:cNvPicPr>
                      <a:picLocks noChangeAspect="1"/>
                    </pic:cNvPicPr>
                  </pic:nvPicPr>
                  <pic:blipFill>
                    <a:blip r:embed="rId13"/>
                    <a:stretch>
                      <a:fillRect/>
                    </a:stretch>
                  </pic:blipFill>
                  <pic:spPr>
                    <a:xfrm>
                      <a:off x="0" y="0"/>
                      <a:ext cx="5273040" cy="6228715"/>
                    </a:xfrm>
                    <a:prstGeom prst="rect">
                      <a:avLst/>
                    </a:prstGeom>
                  </pic:spPr>
                </pic:pic>
              </a:graphicData>
            </a:graphic>
          </wp:inline>
        </w:drawing>
      </w:r>
    </w:p>
    <w:p w14:paraId="7ED7FFAC">
      <w:pPr>
        <w:pStyle w:val="2"/>
        <w:spacing w:before="0" w:beforeAutospacing="0" w:after="120" w:afterAutospacing="0"/>
        <w:rPr>
          <w:sz w:val="21"/>
          <w:szCs w:val="21"/>
        </w:rPr>
      </w:pPr>
      <w:r>
        <w:rPr>
          <w:rStyle w:val="8"/>
          <w:b/>
          <w:bCs/>
          <w:sz w:val="21"/>
          <w:szCs w:val="21"/>
        </w:rPr>
        <w:t>Figure S1</w:t>
      </w:r>
      <w:r>
        <w:rPr>
          <w:rStyle w:val="8"/>
          <w:rFonts w:hint="eastAsia" w:eastAsia="宋体"/>
          <w:b/>
          <w:bCs/>
          <w:sz w:val="21"/>
          <w:szCs w:val="21"/>
          <w:lang w:val="en-US" w:eastAsia="zh-CN"/>
        </w:rPr>
        <w:t>0</w:t>
      </w:r>
      <w:r>
        <w:rPr>
          <w:rStyle w:val="8"/>
          <w:b/>
          <w:bCs/>
          <w:sz w:val="21"/>
          <w:szCs w:val="21"/>
        </w:rPr>
        <w:t xml:space="preserve">. </w:t>
      </w:r>
      <w:r>
        <w:rPr>
          <w:rStyle w:val="8"/>
          <w:rFonts w:hint="eastAsia"/>
          <w:b/>
          <w:bCs/>
          <w:sz w:val="21"/>
          <w:szCs w:val="21"/>
        </w:rPr>
        <w:t>Expression of positive selection related genes in CD69</w:t>
      </w:r>
      <w:r>
        <w:rPr>
          <w:rStyle w:val="8"/>
          <w:rFonts w:hint="eastAsia"/>
          <w:b/>
          <w:bCs/>
          <w:sz w:val="21"/>
          <w:szCs w:val="21"/>
          <w:vertAlign w:val="superscript"/>
        </w:rPr>
        <w:t>+</w:t>
      </w:r>
      <w:r>
        <w:rPr>
          <w:rStyle w:val="8"/>
          <w:rFonts w:hint="eastAsia"/>
          <w:b/>
          <w:bCs/>
          <w:sz w:val="21"/>
          <w:szCs w:val="21"/>
        </w:rPr>
        <w:t>DP cells</w:t>
      </w:r>
    </w:p>
    <w:p w14:paraId="42D0D053">
      <w:pPr>
        <w:pStyle w:val="4"/>
        <w:spacing w:before="0" w:beforeAutospacing="0" w:after="120" w:afterAutospacing="0"/>
        <w:rPr>
          <w:sz w:val="21"/>
          <w:szCs w:val="21"/>
        </w:rPr>
      </w:pPr>
      <w:r>
        <w:rPr>
          <w:rStyle w:val="8"/>
          <w:sz w:val="21"/>
          <w:szCs w:val="21"/>
        </w:rPr>
        <w:t>(a)</w:t>
      </w:r>
      <w:r>
        <w:rPr>
          <w:sz w:val="21"/>
          <w:szCs w:val="21"/>
        </w:rPr>
        <w:t xml:space="preserve"> </w:t>
      </w:r>
      <w:r>
        <w:rPr>
          <w:rFonts w:hint="eastAsia"/>
          <w:sz w:val="21"/>
          <w:szCs w:val="21"/>
        </w:rPr>
        <w:t xml:space="preserve">Smoothed expression profiles of </w:t>
      </w:r>
      <w:r>
        <w:rPr>
          <w:rFonts w:hint="eastAsia" w:eastAsia="宋体"/>
          <w:sz w:val="21"/>
          <w:szCs w:val="21"/>
          <w:lang w:val="en-US" w:eastAsia="zh-CN"/>
        </w:rPr>
        <w:t>positive selection</w:t>
      </w:r>
      <w:r>
        <w:rPr>
          <w:rFonts w:hint="eastAsia"/>
          <w:sz w:val="21"/>
          <w:szCs w:val="21"/>
        </w:rPr>
        <w:t xml:space="preserve"> </w:t>
      </w:r>
      <w:r>
        <w:rPr>
          <w:rFonts w:hint="eastAsia" w:eastAsia="宋体"/>
          <w:sz w:val="21"/>
          <w:szCs w:val="21"/>
          <w:lang w:val="en-US" w:eastAsia="zh-CN"/>
        </w:rPr>
        <w:t xml:space="preserve">related </w:t>
      </w:r>
      <w:r>
        <w:rPr>
          <w:rFonts w:hint="eastAsia"/>
          <w:sz w:val="21"/>
          <w:szCs w:val="21"/>
        </w:rPr>
        <w:t>genes along pseudotime in CD4-fated trajectories from wild-type and Satb1-deficient thymocytes.</w:t>
      </w:r>
    </w:p>
    <w:p w14:paraId="18584AF2">
      <w:pPr>
        <w:pStyle w:val="4"/>
        <w:spacing w:before="0" w:beforeAutospacing="0" w:after="120" w:afterAutospacing="0"/>
        <w:rPr>
          <w:rStyle w:val="8"/>
          <w:b/>
          <w:bCs/>
          <w:sz w:val="21"/>
          <w:szCs w:val="21"/>
        </w:rPr>
      </w:pPr>
      <w:r>
        <w:rPr>
          <w:rStyle w:val="8"/>
          <w:sz w:val="21"/>
          <w:szCs w:val="21"/>
        </w:rPr>
        <w:t>(b)</w:t>
      </w:r>
      <w:r>
        <w:rPr>
          <w:sz w:val="21"/>
          <w:szCs w:val="21"/>
        </w:rPr>
        <w:t xml:space="preserve"> </w:t>
      </w:r>
      <w:r>
        <w:rPr>
          <w:rFonts w:hint="eastAsia"/>
          <w:sz w:val="21"/>
          <w:szCs w:val="21"/>
        </w:rPr>
        <w:t xml:space="preserve">Smoothed expression profiles of </w:t>
      </w:r>
      <w:r>
        <w:rPr>
          <w:rFonts w:hint="eastAsia" w:eastAsia="宋体"/>
          <w:sz w:val="21"/>
          <w:szCs w:val="21"/>
          <w:lang w:val="en-US" w:eastAsia="zh-CN"/>
        </w:rPr>
        <w:t>positive selection</w:t>
      </w:r>
      <w:r>
        <w:rPr>
          <w:rFonts w:hint="eastAsia"/>
          <w:sz w:val="21"/>
          <w:szCs w:val="21"/>
        </w:rPr>
        <w:t xml:space="preserve"> </w:t>
      </w:r>
      <w:r>
        <w:rPr>
          <w:rFonts w:hint="eastAsia" w:eastAsia="宋体"/>
          <w:sz w:val="21"/>
          <w:szCs w:val="21"/>
          <w:lang w:val="en-US" w:eastAsia="zh-CN"/>
        </w:rPr>
        <w:t xml:space="preserve">related </w:t>
      </w:r>
      <w:r>
        <w:rPr>
          <w:rFonts w:hint="eastAsia"/>
          <w:sz w:val="21"/>
          <w:szCs w:val="21"/>
        </w:rPr>
        <w:t>genes along pseudotime in CD</w:t>
      </w:r>
      <w:r>
        <w:rPr>
          <w:rFonts w:hint="eastAsia" w:eastAsia="宋体"/>
          <w:sz w:val="21"/>
          <w:szCs w:val="21"/>
          <w:lang w:val="en-US" w:eastAsia="zh-CN"/>
        </w:rPr>
        <w:t>8</w:t>
      </w:r>
      <w:r>
        <w:rPr>
          <w:rFonts w:hint="eastAsia"/>
          <w:sz w:val="21"/>
          <w:szCs w:val="21"/>
        </w:rPr>
        <w:t>-fated trajectories from wild-type and Satb1-deficient thymocytes.</w:t>
      </w:r>
      <w:r>
        <w:rPr>
          <w:rStyle w:val="8"/>
          <w:b/>
          <w:bCs/>
          <w:sz w:val="21"/>
          <w:szCs w:val="21"/>
        </w:rPr>
        <w:br w:type="page"/>
      </w:r>
    </w:p>
    <w:p w14:paraId="2FAC4665">
      <w:pPr>
        <w:pStyle w:val="2"/>
        <w:spacing w:before="0" w:beforeAutospacing="0" w:after="120" w:afterAutospacing="0"/>
        <w:rPr>
          <w:rStyle w:val="8"/>
          <w:rFonts w:hint="eastAsia" w:eastAsia="宋体"/>
          <w:b/>
          <w:bCs/>
          <w:sz w:val="21"/>
          <w:szCs w:val="21"/>
          <w:lang w:eastAsia="zh-CN"/>
        </w:rPr>
      </w:pPr>
      <w:r>
        <w:rPr>
          <w:rStyle w:val="8"/>
          <w:rFonts w:hint="eastAsia" w:eastAsia="宋体"/>
          <w:b/>
          <w:bCs/>
          <w:sz w:val="21"/>
          <w:szCs w:val="21"/>
          <w:lang w:eastAsia="zh-CN"/>
        </w:rPr>
        <w:drawing>
          <wp:inline distT="0" distB="0" distL="114300" distR="114300">
            <wp:extent cx="5269230" cy="5001895"/>
            <wp:effectExtent l="0" t="0" r="1270" b="1905"/>
            <wp:docPr id="8" name="图片 8" descr="FigS11 Ca2+fl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11 Ca2+flux"/>
                    <pic:cNvPicPr>
                      <a:picLocks noChangeAspect="1"/>
                    </pic:cNvPicPr>
                  </pic:nvPicPr>
                  <pic:blipFill>
                    <a:blip r:embed="rId14"/>
                    <a:stretch>
                      <a:fillRect/>
                    </a:stretch>
                  </pic:blipFill>
                  <pic:spPr>
                    <a:xfrm>
                      <a:off x="0" y="0"/>
                      <a:ext cx="5269230" cy="5001895"/>
                    </a:xfrm>
                    <a:prstGeom prst="rect">
                      <a:avLst/>
                    </a:prstGeom>
                  </pic:spPr>
                </pic:pic>
              </a:graphicData>
            </a:graphic>
          </wp:inline>
        </w:drawing>
      </w:r>
    </w:p>
    <w:p w14:paraId="66F1907D">
      <w:pPr>
        <w:pStyle w:val="2"/>
        <w:spacing w:before="0" w:beforeAutospacing="0" w:after="120" w:afterAutospacing="0"/>
        <w:rPr>
          <w:rStyle w:val="8"/>
          <w:rFonts w:hint="eastAsia" w:eastAsia="宋体"/>
          <w:b/>
          <w:bCs/>
          <w:sz w:val="21"/>
          <w:szCs w:val="21"/>
          <w:lang w:val="en-US" w:eastAsia="zh-CN"/>
        </w:rPr>
      </w:pPr>
      <w:r>
        <w:rPr>
          <w:rStyle w:val="8"/>
          <w:b/>
          <w:bCs/>
          <w:sz w:val="21"/>
          <w:szCs w:val="21"/>
        </w:rPr>
        <w:t>Figure S1</w:t>
      </w:r>
      <w:r>
        <w:rPr>
          <w:rStyle w:val="8"/>
          <w:rFonts w:hint="eastAsia" w:eastAsia="宋体"/>
          <w:b/>
          <w:bCs/>
          <w:sz w:val="21"/>
          <w:szCs w:val="21"/>
          <w:lang w:val="en-US" w:eastAsia="zh-CN"/>
        </w:rPr>
        <w:t>1</w:t>
      </w:r>
      <w:r>
        <w:rPr>
          <w:rStyle w:val="8"/>
          <w:b/>
          <w:bCs/>
          <w:sz w:val="21"/>
          <w:szCs w:val="21"/>
        </w:rPr>
        <w:t xml:space="preserve">. </w:t>
      </w:r>
      <w:r>
        <w:rPr>
          <w:rStyle w:val="8"/>
          <w:rFonts w:hint="eastAsia" w:eastAsia="宋体"/>
          <w:b/>
          <w:bCs/>
          <w:i/>
          <w:iCs/>
          <w:sz w:val="21"/>
          <w:szCs w:val="21"/>
          <w:lang w:val="en-US" w:eastAsia="zh-CN"/>
        </w:rPr>
        <w:t>Satb1</w:t>
      </w:r>
      <w:r>
        <w:rPr>
          <w:rStyle w:val="8"/>
          <w:rFonts w:hint="eastAsia" w:eastAsia="宋体"/>
          <w:b/>
          <w:bCs/>
          <w:sz w:val="21"/>
          <w:szCs w:val="21"/>
          <w:lang w:val="en-US" w:eastAsia="zh-CN"/>
        </w:rPr>
        <w:t>-deficient cells exhibited reduced Ca</w:t>
      </w:r>
      <w:r>
        <w:rPr>
          <w:rStyle w:val="8"/>
          <w:rFonts w:hint="eastAsia" w:eastAsia="宋体"/>
          <w:b/>
          <w:bCs/>
          <w:sz w:val="21"/>
          <w:szCs w:val="21"/>
          <w:vertAlign w:val="superscript"/>
          <w:lang w:val="en-US" w:eastAsia="zh-CN"/>
        </w:rPr>
        <w:t xml:space="preserve">2+ </w:t>
      </w:r>
      <w:r>
        <w:rPr>
          <w:rStyle w:val="8"/>
          <w:rFonts w:hint="eastAsia" w:eastAsia="宋体"/>
          <w:b/>
          <w:bCs/>
          <w:sz w:val="21"/>
          <w:szCs w:val="21"/>
          <w:lang w:val="en-US" w:eastAsia="zh-CN"/>
        </w:rPr>
        <w:t>flux</w:t>
      </w:r>
    </w:p>
    <w:p w14:paraId="238CDE67">
      <w:pPr>
        <w:rPr>
          <w:rFonts w:hint="default"/>
          <w:highlight w:val="none"/>
          <w:lang w:val="en-US" w:eastAsia="zh-CN"/>
        </w:rPr>
      </w:pPr>
      <w:r>
        <w:rPr>
          <w:rFonts w:hint="eastAsia" w:eastAsia="宋体"/>
          <w:sz w:val="21"/>
          <w:szCs w:val="21"/>
          <w:highlight w:val="none"/>
          <w:lang w:val="en-US" w:eastAsia="zh-CN"/>
        </w:rPr>
        <w:t>Ca</w:t>
      </w:r>
      <w:r>
        <w:rPr>
          <w:rFonts w:hint="eastAsia" w:eastAsia="宋体"/>
          <w:sz w:val="21"/>
          <w:szCs w:val="21"/>
          <w:highlight w:val="none"/>
          <w:vertAlign w:val="superscript"/>
          <w:lang w:val="en-US" w:eastAsia="zh-CN"/>
        </w:rPr>
        <w:t>2+</w:t>
      </w:r>
      <w:r>
        <w:rPr>
          <w:rFonts w:hint="eastAsia" w:eastAsia="宋体"/>
          <w:sz w:val="21"/>
          <w:szCs w:val="21"/>
          <w:highlight w:val="none"/>
          <w:lang w:val="en-US" w:eastAsia="zh-CN"/>
        </w:rPr>
        <w:t xml:space="preserve"> flux of CD69</w:t>
      </w:r>
      <w:r>
        <w:rPr>
          <w:rFonts w:hint="eastAsia" w:eastAsia="宋体"/>
          <w:sz w:val="21"/>
          <w:szCs w:val="21"/>
          <w:highlight w:val="none"/>
          <w:vertAlign w:val="superscript"/>
          <w:lang w:val="en-US" w:eastAsia="zh-CN"/>
        </w:rPr>
        <w:t xml:space="preserve">- </w:t>
      </w:r>
      <w:r>
        <w:rPr>
          <w:rFonts w:hint="eastAsia" w:eastAsia="宋体"/>
          <w:sz w:val="21"/>
          <w:szCs w:val="21"/>
          <w:highlight w:val="none"/>
          <w:lang w:val="en-US" w:eastAsia="zh-CN"/>
        </w:rPr>
        <w:t>DP and CD69</w:t>
      </w:r>
      <w:r>
        <w:rPr>
          <w:rFonts w:hint="eastAsia" w:eastAsia="宋体"/>
          <w:sz w:val="21"/>
          <w:szCs w:val="21"/>
          <w:highlight w:val="none"/>
          <w:vertAlign w:val="superscript"/>
          <w:lang w:val="en-US" w:eastAsia="zh-CN"/>
        </w:rPr>
        <w:t xml:space="preserve">+ </w:t>
      </w:r>
      <w:r>
        <w:rPr>
          <w:rFonts w:hint="eastAsia" w:eastAsia="宋体"/>
          <w:sz w:val="21"/>
          <w:szCs w:val="21"/>
          <w:highlight w:val="none"/>
          <w:lang w:val="en-US" w:eastAsia="zh-CN"/>
        </w:rPr>
        <w:t xml:space="preserve">DP </w:t>
      </w:r>
      <w:r>
        <w:rPr>
          <w:sz w:val="21"/>
          <w:szCs w:val="21"/>
          <w:highlight w:val="none"/>
        </w:rPr>
        <w:t>thymocytes</w:t>
      </w:r>
      <w:r>
        <w:rPr>
          <w:rFonts w:hint="eastAsia" w:eastAsia="宋体"/>
          <w:sz w:val="21"/>
          <w:szCs w:val="21"/>
          <w:highlight w:val="none"/>
          <w:lang w:val="en-US" w:eastAsia="zh-CN"/>
        </w:rPr>
        <w:t xml:space="preserve"> stimulated with CD3 antibody </w:t>
      </w:r>
      <w:r>
        <w:rPr>
          <w:sz w:val="21"/>
          <w:szCs w:val="21"/>
          <w:highlight w:val="none"/>
        </w:rPr>
        <w:t xml:space="preserve">from wild-type and </w:t>
      </w:r>
      <w:r>
        <w:rPr>
          <w:rStyle w:val="9"/>
          <w:sz w:val="21"/>
          <w:szCs w:val="21"/>
          <w:highlight w:val="none"/>
        </w:rPr>
        <w:t>Satb1</w:t>
      </w:r>
      <w:r>
        <w:rPr>
          <w:sz w:val="21"/>
          <w:szCs w:val="21"/>
          <w:highlight w:val="none"/>
        </w:rPr>
        <w:t>-deficient mice</w:t>
      </w:r>
      <w:r>
        <w:rPr>
          <w:rFonts w:hint="eastAsia"/>
          <w:sz w:val="21"/>
          <w:szCs w:val="21"/>
          <w:highlight w:val="none"/>
          <w:lang w:val="en-US" w:eastAsia="zh-CN"/>
        </w:rPr>
        <w:t xml:space="preserve"> for three replications</w:t>
      </w:r>
      <w:r>
        <w:rPr>
          <w:rFonts w:hint="eastAsia" w:eastAsia="宋体"/>
          <w:sz w:val="21"/>
          <w:szCs w:val="21"/>
          <w:highlight w:val="none"/>
          <w:lang w:val="en-US" w:eastAsia="zh-CN"/>
        </w:rPr>
        <w:t>.</w:t>
      </w:r>
    </w:p>
    <w:p w14:paraId="4905AABE">
      <w:pPr>
        <w:pStyle w:val="2"/>
        <w:spacing w:before="0" w:beforeAutospacing="0" w:after="120" w:afterAutospacing="0"/>
        <w:rPr>
          <w:sz w:val="21"/>
          <w:szCs w:val="21"/>
        </w:rPr>
      </w:pPr>
      <w:r>
        <w:rPr>
          <w:rStyle w:val="8"/>
          <w:b/>
          <w:bCs/>
          <w:sz w:val="21"/>
          <w:szCs w:val="21"/>
        </w:rPr>
        <w:drawing>
          <wp:inline distT="0" distB="0" distL="114300" distR="114300">
            <wp:extent cx="5270500" cy="4404995"/>
            <wp:effectExtent l="0" t="0" r="0" b="1905"/>
            <wp:docPr id="10" name="图片 10" descr="FigS11 Satb1-cKO HIC的改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11 Satb1-cKO HIC的改变"/>
                    <pic:cNvPicPr>
                      <a:picLocks noChangeAspect="1"/>
                    </pic:cNvPicPr>
                  </pic:nvPicPr>
                  <pic:blipFill>
                    <a:blip r:embed="rId15"/>
                    <a:stretch>
                      <a:fillRect/>
                    </a:stretch>
                  </pic:blipFill>
                  <pic:spPr>
                    <a:xfrm>
                      <a:off x="0" y="0"/>
                      <a:ext cx="5270500" cy="4404995"/>
                    </a:xfrm>
                    <a:prstGeom prst="rect">
                      <a:avLst/>
                    </a:prstGeom>
                  </pic:spPr>
                </pic:pic>
              </a:graphicData>
            </a:graphic>
          </wp:inline>
        </w:drawing>
      </w:r>
      <w:r>
        <w:rPr>
          <w:rStyle w:val="8"/>
          <w:b/>
          <w:bCs/>
          <w:sz w:val="21"/>
          <w:szCs w:val="21"/>
        </w:rPr>
        <w:t>Figure S1</w:t>
      </w:r>
      <w:r>
        <w:rPr>
          <w:rStyle w:val="8"/>
          <w:rFonts w:hint="eastAsia" w:eastAsia="宋体"/>
          <w:b/>
          <w:bCs/>
          <w:sz w:val="21"/>
          <w:szCs w:val="21"/>
          <w:lang w:val="en-US" w:eastAsia="zh-CN"/>
        </w:rPr>
        <w:t>2</w:t>
      </w:r>
      <w:r>
        <w:rPr>
          <w:rStyle w:val="8"/>
          <w:b/>
          <w:bCs/>
          <w:sz w:val="21"/>
          <w:szCs w:val="21"/>
        </w:rPr>
        <w:t xml:space="preserve">. Effects of </w:t>
      </w:r>
      <w:r>
        <w:rPr>
          <w:rStyle w:val="8"/>
          <w:b/>
          <w:bCs/>
          <w:i/>
          <w:iCs/>
          <w:sz w:val="21"/>
          <w:szCs w:val="21"/>
        </w:rPr>
        <w:t>Satb1</w:t>
      </w:r>
      <w:r>
        <w:rPr>
          <w:rStyle w:val="8"/>
          <w:b/>
          <w:bCs/>
          <w:sz w:val="21"/>
          <w:szCs w:val="21"/>
        </w:rPr>
        <w:t xml:space="preserve"> conditional deletion on global chromatin architecture</w:t>
      </w:r>
    </w:p>
    <w:p w14:paraId="797426B1">
      <w:pPr>
        <w:pStyle w:val="4"/>
        <w:spacing w:before="0" w:beforeAutospacing="0" w:after="120" w:afterAutospacing="0"/>
        <w:rPr>
          <w:sz w:val="21"/>
          <w:szCs w:val="21"/>
        </w:rPr>
      </w:pPr>
      <w:r>
        <w:rPr>
          <w:rStyle w:val="8"/>
          <w:sz w:val="21"/>
          <w:szCs w:val="21"/>
        </w:rPr>
        <w:t>(a)</w:t>
      </w:r>
      <w:r>
        <w:rPr>
          <w:sz w:val="21"/>
          <w:szCs w:val="21"/>
        </w:rPr>
        <w:t xml:space="preserve"> Genome-wide compartment profiles along chromosome 1 in WT and </w:t>
      </w:r>
      <w:r>
        <w:rPr>
          <w:rStyle w:val="9"/>
          <w:sz w:val="21"/>
          <w:szCs w:val="21"/>
        </w:rPr>
        <w:t>Satb1</w:t>
      </w:r>
      <w:r>
        <w:rPr>
          <w:sz w:val="21"/>
          <w:szCs w:val="21"/>
        </w:rPr>
        <w:t xml:space="preserve"> conditional knockout (KO) CD69⁺ DP thymocytes. Pie chart summarizes the proportions of A-A, B-B, A-B, and B-A compartment transitions between WT and KO cells.</w:t>
      </w:r>
    </w:p>
    <w:p w14:paraId="7215580E">
      <w:pPr>
        <w:pStyle w:val="4"/>
        <w:spacing w:before="120" w:beforeAutospacing="0" w:after="120" w:afterAutospacing="0"/>
        <w:rPr>
          <w:sz w:val="21"/>
          <w:szCs w:val="21"/>
        </w:rPr>
      </w:pPr>
      <w:r>
        <w:rPr>
          <w:rStyle w:val="8"/>
          <w:sz w:val="21"/>
          <w:szCs w:val="21"/>
        </w:rPr>
        <w:t>(b)</w:t>
      </w:r>
      <w:r>
        <w:rPr>
          <w:sz w:val="21"/>
          <w:szCs w:val="21"/>
        </w:rPr>
        <w:t xml:space="preserve"> Quantification of the total number of TADs identified in WT and KO CD69⁺ DP thymocytes.</w:t>
      </w:r>
      <w:r>
        <w:rPr>
          <w:sz w:val="21"/>
          <w:szCs w:val="21"/>
          <w:lang w:val="en-US"/>
        </w:rPr>
        <w:t>Box plots show median (center line), interquartile range (box), and 10th-90th percentiles (whiskers). Statistical significance was determined by Kruskal-Wallis test followed by Dunn’s multiple comparisons test.</w:t>
      </w:r>
    </w:p>
    <w:p w14:paraId="7980616D">
      <w:pPr>
        <w:pStyle w:val="4"/>
        <w:spacing w:before="120" w:beforeAutospacing="0" w:after="120" w:afterAutospacing="0"/>
        <w:rPr>
          <w:rFonts w:hint="eastAsia" w:eastAsia="宋体"/>
          <w:sz w:val="21"/>
          <w:szCs w:val="21"/>
          <w:lang w:val="en-US" w:eastAsia="zh-CN"/>
        </w:rPr>
      </w:pPr>
      <w:r>
        <w:rPr>
          <w:rStyle w:val="8"/>
          <w:sz w:val="21"/>
          <w:szCs w:val="21"/>
        </w:rPr>
        <w:t>(c)</w:t>
      </w:r>
      <w:r>
        <w:rPr>
          <w:sz w:val="21"/>
          <w:szCs w:val="21"/>
        </w:rPr>
        <w:t xml:space="preserve"> Quantification of the total number </w:t>
      </w:r>
      <w:r>
        <w:rPr>
          <w:rFonts w:hint="eastAsia" w:eastAsia="宋体"/>
          <w:sz w:val="21"/>
          <w:szCs w:val="21"/>
          <w:lang w:val="en-US" w:eastAsia="zh-CN"/>
        </w:rPr>
        <w:t xml:space="preserve">and loop for size &gt;=500kb </w:t>
      </w:r>
      <w:r>
        <w:rPr>
          <w:sz w:val="21"/>
          <w:szCs w:val="21"/>
        </w:rPr>
        <w:t>of chromatin loops identified in WT and KO CD69⁺ DP thymocytes.</w:t>
      </w:r>
      <w:r>
        <w:rPr>
          <w:rFonts w:hint="eastAsia" w:eastAsia="宋体"/>
          <w:sz w:val="21"/>
          <w:szCs w:val="21"/>
          <w:lang w:val="en-US" w:eastAsia="zh-CN"/>
        </w:rPr>
        <w:t xml:space="preserve"> </w:t>
      </w:r>
      <w:r>
        <w:rPr>
          <w:sz w:val="21"/>
          <w:szCs w:val="21"/>
          <w:lang w:val="en-US"/>
        </w:rPr>
        <w:t>Box plots show median (center line), interquartile range (box), and 10th-90th percentiles (whiskers). Statistical significance was determined by Kruskal-Wallis test followed by Dunn’s multiple comparisons test.</w:t>
      </w:r>
    </w:p>
    <w:p w14:paraId="04D7DC41">
      <w:pPr>
        <w:pStyle w:val="4"/>
        <w:spacing w:before="0" w:beforeAutospacing="0" w:after="120" w:afterAutospacing="0"/>
        <w:rPr>
          <w:sz w:val="21"/>
          <w:szCs w:val="21"/>
        </w:rPr>
      </w:pPr>
      <w:r>
        <w:rPr>
          <w:rStyle w:val="8"/>
          <w:sz w:val="21"/>
          <w:szCs w:val="21"/>
        </w:rPr>
        <w:t>(d)</w:t>
      </w:r>
      <w:r>
        <w:rPr>
          <w:sz w:val="21"/>
          <w:szCs w:val="21"/>
        </w:rPr>
        <w:t xml:space="preserve"> Venn diagram showing chromatin loops that are lost, maintained, or gained upon </w:t>
      </w:r>
      <w:r>
        <w:rPr>
          <w:rStyle w:val="9"/>
          <w:sz w:val="21"/>
          <w:szCs w:val="21"/>
        </w:rPr>
        <w:t>Satb1</w:t>
      </w:r>
      <w:r>
        <w:rPr>
          <w:sz w:val="21"/>
          <w:szCs w:val="21"/>
        </w:rPr>
        <w:t xml:space="preserve"> deletion in CD69⁺ DP thymocytes.</w:t>
      </w:r>
    </w:p>
    <w:p w14:paraId="68295BD0">
      <w:pPr>
        <w:pStyle w:val="4"/>
        <w:spacing w:before="0" w:beforeAutospacing="0" w:after="120" w:afterAutospacing="0"/>
        <w:rPr>
          <w:sz w:val="21"/>
          <w:szCs w:val="21"/>
        </w:rPr>
      </w:pPr>
      <w:r>
        <w:rPr>
          <w:rStyle w:val="8"/>
          <w:sz w:val="21"/>
          <w:szCs w:val="21"/>
        </w:rPr>
        <w:t>(e)</w:t>
      </w:r>
      <w:r>
        <w:rPr>
          <w:sz w:val="21"/>
          <w:szCs w:val="21"/>
        </w:rPr>
        <w:t xml:space="preserve"> Aggregate Hi-C contact maps of loops classified as lost, maintained, or gained in WT (top) and KO (bottom) CD69⁺ DP thymocytes. Average loop sizes are indicated.</w:t>
      </w:r>
    </w:p>
    <w:p w14:paraId="15B42F3B">
      <w:pPr>
        <w:pStyle w:val="4"/>
        <w:spacing w:before="0" w:beforeAutospacing="0" w:after="120" w:afterAutospacing="0"/>
        <w:rPr>
          <w:sz w:val="21"/>
          <w:szCs w:val="21"/>
        </w:rPr>
      </w:pPr>
      <w:r>
        <w:rPr>
          <w:rStyle w:val="8"/>
          <w:sz w:val="21"/>
          <w:szCs w:val="21"/>
        </w:rPr>
        <w:t>(f)</w:t>
      </w:r>
      <w:r>
        <w:rPr>
          <w:sz w:val="21"/>
          <w:szCs w:val="21"/>
        </w:rPr>
        <w:t xml:space="preserve"> Proportions of loop classes, including enhancer-promoter (EP), enhancer-enhancer (EE), promoter-promoter (PP), and other interactions, in WT and KO CD69⁺ DP thymocytes.</w:t>
      </w:r>
    </w:p>
    <w:p w14:paraId="3C8496CB">
      <w:pPr>
        <w:pStyle w:val="4"/>
        <w:spacing w:before="0" w:beforeAutospacing="0" w:after="120" w:afterAutospacing="0"/>
        <w:rPr>
          <w:sz w:val="21"/>
          <w:szCs w:val="21"/>
        </w:rPr>
      </w:pPr>
      <w:r>
        <w:rPr>
          <w:rStyle w:val="8"/>
          <w:sz w:val="21"/>
          <w:szCs w:val="21"/>
        </w:rPr>
        <w:t>(g)</w:t>
      </w:r>
      <w:r>
        <w:rPr>
          <w:sz w:val="21"/>
          <w:szCs w:val="21"/>
        </w:rPr>
        <w:t xml:space="preserve"> Scatter plot showing the correlation between changes in EP loop contact strength and changes in expression of associated genes in KO relative to WT CD69⁺ DP thymocytes. </w:t>
      </w:r>
      <w:r>
        <w:rPr>
          <w:rFonts w:hint="eastAsia" w:eastAsia="宋体"/>
          <w:sz w:val="21"/>
          <w:szCs w:val="21"/>
          <w:lang w:val="en-US" w:eastAsia="zh-CN"/>
        </w:rPr>
        <w:t>Two tailed p</w:t>
      </w:r>
      <w:r>
        <w:rPr>
          <w:sz w:val="21"/>
          <w:szCs w:val="21"/>
        </w:rPr>
        <w:t xml:space="preserve">earson correlation coefficient and </w:t>
      </w:r>
      <w:r>
        <w:rPr>
          <w:rStyle w:val="9"/>
          <w:sz w:val="21"/>
          <w:szCs w:val="21"/>
        </w:rPr>
        <w:t>P</w:t>
      </w:r>
      <w:r>
        <w:rPr>
          <w:sz w:val="21"/>
          <w:szCs w:val="21"/>
        </w:rPr>
        <w:t xml:space="preserve"> value are indicated.</w:t>
      </w:r>
    </w:p>
    <w:p w14:paraId="181BC4C8">
      <w:r>
        <w:br w:type="page"/>
      </w:r>
    </w:p>
    <w:p w14:paraId="1D508D2C">
      <w:pPr>
        <w:pStyle w:val="2"/>
        <w:spacing w:before="0" w:beforeAutospacing="0" w:after="120" w:afterAutospacing="0"/>
        <w:rPr>
          <w:sz w:val="21"/>
          <w:szCs w:val="21"/>
        </w:rPr>
      </w:pPr>
      <w:r>
        <w:rPr>
          <w:rStyle w:val="8"/>
          <w:b/>
          <w:bCs/>
          <w:sz w:val="21"/>
          <w:szCs w:val="21"/>
        </w:rPr>
        <w:drawing>
          <wp:inline distT="0" distB="0" distL="114300" distR="114300">
            <wp:extent cx="5271770" cy="7830185"/>
            <wp:effectExtent l="0" t="0" r="11430" b="5715"/>
            <wp:docPr id="14" name="图片 14" descr="FigS12 Satb1-cKO表观修饰的改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S12 Satb1-cKO表观修饰的改变"/>
                    <pic:cNvPicPr>
                      <a:picLocks noChangeAspect="1"/>
                    </pic:cNvPicPr>
                  </pic:nvPicPr>
                  <pic:blipFill>
                    <a:blip r:embed="rId16"/>
                    <a:stretch>
                      <a:fillRect/>
                    </a:stretch>
                  </pic:blipFill>
                  <pic:spPr>
                    <a:xfrm>
                      <a:off x="0" y="0"/>
                      <a:ext cx="5271770" cy="7830185"/>
                    </a:xfrm>
                    <a:prstGeom prst="rect">
                      <a:avLst/>
                    </a:prstGeom>
                  </pic:spPr>
                </pic:pic>
              </a:graphicData>
            </a:graphic>
          </wp:inline>
        </w:drawing>
      </w:r>
      <w:r>
        <w:rPr>
          <w:rStyle w:val="8"/>
          <w:b/>
          <w:bCs/>
          <w:sz w:val="21"/>
          <w:szCs w:val="21"/>
        </w:rPr>
        <w:t>Figure S1</w:t>
      </w:r>
      <w:r>
        <w:rPr>
          <w:rStyle w:val="8"/>
          <w:rFonts w:hint="eastAsia" w:eastAsia="宋体"/>
          <w:b/>
          <w:bCs/>
          <w:sz w:val="21"/>
          <w:szCs w:val="21"/>
          <w:lang w:val="en-US" w:eastAsia="zh-CN"/>
        </w:rPr>
        <w:t>3</w:t>
      </w:r>
      <w:r>
        <w:rPr>
          <w:rStyle w:val="8"/>
          <w:b/>
          <w:bCs/>
          <w:sz w:val="21"/>
          <w:szCs w:val="21"/>
        </w:rPr>
        <w:t xml:space="preserve">. </w:t>
      </w:r>
      <w:r>
        <w:rPr>
          <w:rStyle w:val="8"/>
          <w:b/>
          <w:bCs/>
          <w:i/>
          <w:iCs/>
          <w:sz w:val="21"/>
          <w:szCs w:val="21"/>
        </w:rPr>
        <w:t>Satb1</w:t>
      </w:r>
      <w:r>
        <w:rPr>
          <w:rStyle w:val="8"/>
          <w:b/>
          <w:bCs/>
          <w:sz w:val="21"/>
          <w:szCs w:val="21"/>
        </w:rPr>
        <w:t xml:space="preserve"> conditional deletion alters epigenetic features preferentially at super-enhancer–associated regions</w:t>
      </w:r>
    </w:p>
    <w:p w14:paraId="364493E5">
      <w:pPr>
        <w:pStyle w:val="4"/>
        <w:spacing w:before="0" w:beforeAutospacing="0" w:after="120" w:afterAutospacing="0"/>
        <w:rPr>
          <w:sz w:val="21"/>
          <w:szCs w:val="21"/>
        </w:rPr>
      </w:pPr>
      <w:r>
        <w:rPr>
          <w:rStyle w:val="8"/>
          <w:sz w:val="21"/>
          <w:szCs w:val="21"/>
        </w:rPr>
        <w:t>(a)</w:t>
      </w:r>
      <w:r>
        <w:rPr>
          <w:sz w:val="21"/>
          <w:szCs w:val="21"/>
        </w:rPr>
        <w:t xml:space="preserve"> Average signal profiles and heatmaps of ATAC-seq, H3K4me3, H3K27ac, CTCF, and RAD21 signals centered on all peaks (±2</w:t>
      </w:r>
      <w:r>
        <w:rPr>
          <w:rFonts w:hint="eastAsia" w:eastAsia="宋体"/>
          <w:sz w:val="21"/>
          <w:szCs w:val="21"/>
          <w:lang w:val="en-US" w:eastAsia="zh-CN"/>
        </w:rPr>
        <w:t>.5</w:t>
      </w:r>
      <w:r>
        <w:rPr>
          <w:sz w:val="21"/>
          <w:szCs w:val="21"/>
        </w:rPr>
        <w:t xml:space="preserve"> kb) in WT and </w:t>
      </w:r>
      <w:r>
        <w:rPr>
          <w:rStyle w:val="9"/>
          <w:sz w:val="21"/>
          <w:szCs w:val="21"/>
        </w:rPr>
        <w:t>Satb1</w:t>
      </w:r>
      <w:r>
        <w:rPr>
          <w:sz w:val="21"/>
          <w:szCs w:val="21"/>
        </w:rPr>
        <w:t xml:space="preserve"> conditional knockout (KO) CD69⁺ DP thymocytes.</w:t>
      </w:r>
    </w:p>
    <w:p w14:paraId="7FEA99E5">
      <w:pPr>
        <w:pStyle w:val="4"/>
        <w:spacing w:before="0" w:beforeAutospacing="0" w:after="120" w:afterAutospacing="0"/>
        <w:rPr>
          <w:sz w:val="21"/>
          <w:szCs w:val="21"/>
        </w:rPr>
      </w:pPr>
      <w:r>
        <w:rPr>
          <w:rStyle w:val="8"/>
          <w:sz w:val="21"/>
          <w:szCs w:val="21"/>
        </w:rPr>
        <w:t>(b)</w:t>
      </w:r>
      <w:r>
        <w:rPr>
          <w:sz w:val="21"/>
          <w:szCs w:val="21"/>
        </w:rPr>
        <w:t xml:space="preserve"> Average signal profiles and heatmaps of ATAC-seq and H3K4me3 signals centered on peaks classified as WT-unique, shared, or KO-unique between WT and KO CD69⁺ DP thymocytes.</w:t>
      </w:r>
    </w:p>
    <w:p w14:paraId="661EE0FF">
      <w:pPr>
        <w:pStyle w:val="4"/>
        <w:spacing w:before="0" w:beforeAutospacing="0" w:after="120" w:afterAutospacing="0"/>
        <w:rPr>
          <w:sz w:val="21"/>
          <w:szCs w:val="21"/>
        </w:rPr>
      </w:pPr>
      <w:r>
        <w:rPr>
          <w:rStyle w:val="8"/>
          <w:sz w:val="21"/>
          <w:szCs w:val="21"/>
        </w:rPr>
        <w:t>(c)</w:t>
      </w:r>
      <w:r>
        <w:rPr>
          <w:sz w:val="21"/>
          <w:szCs w:val="21"/>
        </w:rPr>
        <w:t xml:space="preserve"> Hockey-stick plot showing ranked stitched enhancers based on H3K27ac signal intensity in KO CD69⁺ DP thymocytes. SEs were defined using the ROSE algorithm, with the cutoff indicated.</w:t>
      </w:r>
    </w:p>
    <w:p w14:paraId="49AA8BC0">
      <w:pPr>
        <w:pStyle w:val="4"/>
        <w:spacing w:before="0" w:beforeAutospacing="0" w:after="120" w:afterAutospacing="0"/>
        <w:rPr>
          <w:sz w:val="21"/>
          <w:szCs w:val="21"/>
        </w:rPr>
      </w:pPr>
      <w:r>
        <w:rPr>
          <w:rStyle w:val="8"/>
          <w:sz w:val="21"/>
          <w:szCs w:val="21"/>
        </w:rPr>
        <w:t>(d)</w:t>
      </w:r>
      <w:r>
        <w:rPr>
          <w:sz w:val="21"/>
          <w:szCs w:val="21"/>
        </w:rPr>
        <w:t xml:space="preserve"> Relative expression of genes associated with KO-unique SEs across thymocyte developmental stages, including DN, ISP, DP, and SP populations</w:t>
      </w:r>
      <w:r>
        <w:rPr>
          <w:rFonts w:hint="eastAsia" w:eastAsia="宋体"/>
          <w:sz w:val="21"/>
          <w:szCs w:val="21"/>
          <w:lang w:val="en-US" w:eastAsia="zh-CN"/>
        </w:rPr>
        <w:t>(GSE109125)</w:t>
      </w:r>
      <w:r>
        <w:rPr>
          <w:sz w:val="21"/>
          <w:szCs w:val="21"/>
        </w:rPr>
        <w:t>.</w:t>
      </w:r>
    </w:p>
    <w:p w14:paraId="2EC01AEB">
      <w:pPr>
        <w:pStyle w:val="4"/>
        <w:spacing w:before="0" w:beforeAutospacing="0" w:after="120" w:afterAutospacing="0"/>
        <w:rPr>
          <w:sz w:val="21"/>
          <w:szCs w:val="21"/>
        </w:rPr>
      </w:pPr>
      <w:r>
        <w:rPr>
          <w:rStyle w:val="8"/>
          <w:sz w:val="21"/>
          <w:szCs w:val="21"/>
        </w:rPr>
        <w:t>(e)</w:t>
      </w:r>
      <w:r>
        <w:rPr>
          <w:sz w:val="21"/>
          <w:szCs w:val="21"/>
        </w:rPr>
        <w:t xml:space="preserve"> KEGG pathway enrichment analysis of genes associated with SEs identified in WT and KO CD69⁺ DP thymocytes. Dot size indicates gene ratio and color denotes adjusted </w:t>
      </w:r>
      <w:r>
        <w:rPr>
          <w:rStyle w:val="9"/>
          <w:sz w:val="21"/>
          <w:szCs w:val="21"/>
        </w:rPr>
        <w:t>P</w:t>
      </w:r>
      <w:r>
        <w:rPr>
          <w:sz w:val="21"/>
          <w:szCs w:val="21"/>
        </w:rPr>
        <w:t xml:space="preserve"> value.</w:t>
      </w:r>
    </w:p>
    <w:p w14:paraId="1AD57EDE">
      <w:pPr>
        <w:pStyle w:val="4"/>
        <w:spacing w:before="0" w:beforeAutospacing="0" w:after="120" w:afterAutospacing="0"/>
        <w:rPr>
          <w:sz w:val="21"/>
          <w:szCs w:val="21"/>
        </w:rPr>
      </w:pPr>
      <w:r>
        <w:rPr>
          <w:rStyle w:val="8"/>
          <w:sz w:val="21"/>
          <w:szCs w:val="21"/>
        </w:rPr>
        <w:t>(f)</w:t>
      </w:r>
      <w:r>
        <w:rPr>
          <w:sz w:val="21"/>
          <w:szCs w:val="21"/>
        </w:rPr>
        <w:t xml:space="preserve"> Box plots showing relative expression changes of genes associated with SEs that are lost, maintained, or gained upon </w:t>
      </w:r>
      <w:r>
        <w:rPr>
          <w:rStyle w:val="9"/>
          <w:sz w:val="21"/>
          <w:szCs w:val="21"/>
        </w:rPr>
        <w:t>Satb1</w:t>
      </w:r>
      <w:r>
        <w:rPr>
          <w:sz w:val="21"/>
          <w:szCs w:val="21"/>
        </w:rPr>
        <w:t xml:space="preserve"> deletion in CD69⁺ DP thymocytes. Box plots show median (center line), interquartile range (box), and 10th-90th percentiles (whiskers). Statistical significance was assessed by Kruskal-Wallis test followed by Dunn’s multiple comparisons test.</w:t>
      </w:r>
    </w:p>
    <w:p w14:paraId="0B70C7CB">
      <w:pPr>
        <w:pStyle w:val="4"/>
        <w:spacing w:before="0" w:beforeAutospacing="0" w:after="120" w:afterAutospacing="0"/>
        <w:rPr>
          <w:sz w:val="21"/>
          <w:szCs w:val="21"/>
        </w:rPr>
      </w:pPr>
      <w:r>
        <w:rPr>
          <w:rStyle w:val="8"/>
          <w:sz w:val="21"/>
          <w:szCs w:val="21"/>
        </w:rPr>
        <w:t>(g)</w:t>
      </w:r>
      <w:r>
        <w:rPr>
          <w:sz w:val="21"/>
          <w:szCs w:val="21"/>
        </w:rPr>
        <w:t xml:space="preserve"> GSEA of KO-associated SE-related genes in CD69⁺ DP thymocytes. Normalized enrichment score (NES) and </w:t>
      </w:r>
      <w:r>
        <w:rPr>
          <w:rStyle w:val="9"/>
          <w:sz w:val="21"/>
          <w:szCs w:val="21"/>
        </w:rPr>
        <w:t>P</w:t>
      </w:r>
      <w:r>
        <w:rPr>
          <w:sz w:val="21"/>
          <w:szCs w:val="21"/>
        </w:rPr>
        <w:t xml:space="preserve"> value are indicated.</w:t>
      </w:r>
    </w:p>
    <w:p w14:paraId="00AD729E">
      <w:pPr>
        <w:pStyle w:val="4"/>
        <w:spacing w:before="0" w:beforeAutospacing="0" w:after="120" w:afterAutospacing="0"/>
        <w:rPr>
          <w:sz w:val="21"/>
          <w:szCs w:val="21"/>
        </w:rPr>
      </w:pPr>
      <w:r>
        <w:rPr>
          <w:rStyle w:val="8"/>
          <w:sz w:val="21"/>
          <w:szCs w:val="21"/>
        </w:rPr>
        <w:t>(h)</w:t>
      </w:r>
      <w:r>
        <w:rPr>
          <w:sz w:val="21"/>
          <w:szCs w:val="21"/>
        </w:rPr>
        <w:t xml:space="preserve"> Average signal profiles of H3K27ac, CTCF, and RAD21 across WT-unique, shared, and KO-unique SEs in WT and KO CD69⁺ DP thymocytes.</w:t>
      </w:r>
    </w:p>
    <w:p w14:paraId="252DD897">
      <w:r>
        <w:br w:type="page"/>
      </w:r>
    </w:p>
    <w:p w14:paraId="7883BA30">
      <w:pPr>
        <w:pStyle w:val="2"/>
        <w:spacing w:before="0" w:beforeAutospacing="0" w:after="120" w:afterAutospacing="0"/>
        <w:rPr>
          <w:sz w:val="21"/>
          <w:szCs w:val="21"/>
        </w:rPr>
      </w:pPr>
      <w:r>
        <w:rPr>
          <w:rStyle w:val="8"/>
          <w:b/>
          <w:bCs/>
          <w:sz w:val="21"/>
          <w:szCs w:val="21"/>
        </w:rPr>
        <w:drawing>
          <wp:inline distT="0" distB="0" distL="114300" distR="114300">
            <wp:extent cx="5273675" cy="5437505"/>
            <wp:effectExtent l="0" t="0" r="9525" b="10795"/>
            <wp:docPr id="16" name="图片 16" descr="FigS12 Cd5位点的改变是CD69+DP特异性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S12 Cd5位点的改变是CD69+DP特异性的"/>
                    <pic:cNvPicPr>
                      <a:picLocks noChangeAspect="1"/>
                    </pic:cNvPicPr>
                  </pic:nvPicPr>
                  <pic:blipFill>
                    <a:blip r:embed="rId17"/>
                    <a:stretch>
                      <a:fillRect/>
                    </a:stretch>
                  </pic:blipFill>
                  <pic:spPr>
                    <a:xfrm>
                      <a:off x="0" y="0"/>
                      <a:ext cx="5273675" cy="5437505"/>
                    </a:xfrm>
                    <a:prstGeom prst="rect">
                      <a:avLst/>
                    </a:prstGeom>
                  </pic:spPr>
                </pic:pic>
              </a:graphicData>
            </a:graphic>
          </wp:inline>
        </w:drawing>
      </w:r>
      <w:r>
        <w:rPr>
          <w:rStyle w:val="8"/>
          <w:b/>
          <w:bCs/>
          <w:sz w:val="21"/>
          <w:szCs w:val="21"/>
        </w:rPr>
        <w:t>Figure S1</w:t>
      </w:r>
      <w:r>
        <w:rPr>
          <w:rStyle w:val="8"/>
          <w:rFonts w:hint="eastAsia" w:eastAsia="宋体"/>
          <w:b/>
          <w:bCs/>
          <w:sz w:val="21"/>
          <w:szCs w:val="21"/>
          <w:lang w:val="en-US" w:eastAsia="zh-CN"/>
        </w:rPr>
        <w:t>4</w:t>
      </w:r>
      <w:r>
        <w:rPr>
          <w:rStyle w:val="8"/>
          <w:b/>
          <w:bCs/>
          <w:sz w:val="21"/>
          <w:szCs w:val="21"/>
        </w:rPr>
        <w:t xml:space="preserve">. Satb1-dependent chromatin alterations at the </w:t>
      </w:r>
      <w:r>
        <w:rPr>
          <w:rStyle w:val="9"/>
          <w:sz w:val="21"/>
          <w:szCs w:val="21"/>
        </w:rPr>
        <w:t>Cd5</w:t>
      </w:r>
      <w:r>
        <w:rPr>
          <w:rStyle w:val="8"/>
          <w:b/>
          <w:bCs/>
          <w:sz w:val="21"/>
          <w:szCs w:val="21"/>
        </w:rPr>
        <w:t xml:space="preserve"> locus are specific to CD69⁺ DP thymocytes</w:t>
      </w:r>
    </w:p>
    <w:p w14:paraId="708AB7CC">
      <w:pPr>
        <w:pStyle w:val="4"/>
        <w:spacing w:before="0" w:beforeAutospacing="0" w:after="120" w:afterAutospacing="0"/>
        <w:rPr>
          <w:sz w:val="21"/>
          <w:szCs w:val="21"/>
        </w:rPr>
      </w:pPr>
      <w:r>
        <w:rPr>
          <w:rStyle w:val="8"/>
          <w:sz w:val="21"/>
          <w:szCs w:val="21"/>
        </w:rPr>
        <w:t>(a)</w:t>
      </w:r>
      <w:r>
        <w:rPr>
          <w:sz w:val="21"/>
          <w:szCs w:val="21"/>
        </w:rPr>
        <w:t xml:space="preserve"> Hi-C contact maps across the </w:t>
      </w:r>
      <w:r>
        <w:rPr>
          <w:rStyle w:val="9"/>
          <w:sz w:val="21"/>
          <w:szCs w:val="21"/>
        </w:rPr>
        <w:t>Cd5</w:t>
      </w:r>
      <w:r>
        <w:rPr>
          <w:sz w:val="21"/>
          <w:szCs w:val="21"/>
        </w:rPr>
        <w:t xml:space="preserve"> genomic region (chr19:10600000-10950000) in WT and </w:t>
      </w:r>
      <w:r>
        <w:rPr>
          <w:rStyle w:val="9"/>
          <w:sz w:val="21"/>
          <w:szCs w:val="21"/>
        </w:rPr>
        <w:t>Satb1</w:t>
      </w:r>
      <w:r>
        <w:rPr>
          <w:sz w:val="21"/>
          <w:szCs w:val="21"/>
        </w:rPr>
        <w:t>-deficient (KO) CD69⁺ DP thymocytes. Contact intensity is shown on a color scale.</w:t>
      </w:r>
    </w:p>
    <w:p w14:paraId="14BA10C3">
      <w:pPr>
        <w:pStyle w:val="4"/>
        <w:spacing w:before="0" w:beforeAutospacing="0" w:after="120" w:afterAutospacing="0"/>
        <w:rPr>
          <w:sz w:val="21"/>
          <w:szCs w:val="21"/>
        </w:rPr>
      </w:pPr>
      <w:r>
        <w:rPr>
          <w:rStyle w:val="8"/>
          <w:sz w:val="21"/>
          <w:szCs w:val="21"/>
        </w:rPr>
        <w:t>(b)</w:t>
      </w:r>
      <w:r>
        <w:rPr>
          <w:sz w:val="21"/>
          <w:szCs w:val="21"/>
        </w:rPr>
        <w:t xml:space="preserve"> Hi-C contact maps across the same </w:t>
      </w:r>
      <w:r>
        <w:rPr>
          <w:rStyle w:val="9"/>
          <w:sz w:val="21"/>
          <w:szCs w:val="21"/>
        </w:rPr>
        <w:t>Cd5</w:t>
      </w:r>
      <w:r>
        <w:rPr>
          <w:sz w:val="21"/>
          <w:szCs w:val="21"/>
        </w:rPr>
        <w:t xml:space="preserve"> genomic region in WT and KO CD69⁻ DP thymocytes.</w:t>
      </w:r>
    </w:p>
    <w:p w14:paraId="4121C1DC">
      <w:pPr>
        <w:pStyle w:val="4"/>
        <w:spacing w:before="0" w:beforeAutospacing="0" w:after="120" w:afterAutospacing="0"/>
        <w:rPr>
          <w:sz w:val="21"/>
          <w:szCs w:val="21"/>
        </w:rPr>
      </w:pPr>
      <w:r>
        <w:rPr>
          <w:rStyle w:val="8"/>
          <w:sz w:val="21"/>
          <w:szCs w:val="21"/>
        </w:rPr>
        <w:t>(c)</w:t>
      </w:r>
      <w:r>
        <w:rPr>
          <w:sz w:val="21"/>
          <w:szCs w:val="21"/>
        </w:rPr>
        <w:t xml:space="preserve"> Subtraction Hi-C heatmap (KO - WT) for CD69⁻ DP thymocytes, illustrating differences in chromatin interaction frequencies across the </w:t>
      </w:r>
      <w:r>
        <w:rPr>
          <w:rStyle w:val="9"/>
          <w:sz w:val="21"/>
          <w:szCs w:val="21"/>
        </w:rPr>
        <w:t>Cd5</w:t>
      </w:r>
      <w:r>
        <w:rPr>
          <w:sz w:val="21"/>
          <w:szCs w:val="21"/>
        </w:rPr>
        <w:t xml:space="preserve"> locus. Gene annotations and the associated SE region are indicated.</w:t>
      </w:r>
    </w:p>
    <w:p w14:paraId="4716F787">
      <w:pPr>
        <w:pStyle w:val="4"/>
        <w:spacing w:before="0" w:beforeAutospacing="0" w:after="120" w:afterAutospacing="0"/>
        <w:rPr>
          <w:sz w:val="21"/>
          <w:szCs w:val="21"/>
        </w:rPr>
      </w:pPr>
      <w:r>
        <w:rPr>
          <w:rStyle w:val="8"/>
          <w:sz w:val="21"/>
          <w:szCs w:val="21"/>
        </w:rPr>
        <w:t>(d)</w:t>
      </w:r>
      <w:r>
        <w:rPr>
          <w:sz w:val="21"/>
          <w:szCs w:val="21"/>
        </w:rPr>
        <w:t xml:space="preserve"> Virtual 4C analysis using the </w:t>
      </w:r>
      <w:r>
        <w:rPr>
          <w:rStyle w:val="9"/>
          <w:sz w:val="21"/>
          <w:szCs w:val="21"/>
        </w:rPr>
        <w:t>Cd5</w:t>
      </w:r>
      <w:r>
        <w:rPr>
          <w:sz w:val="21"/>
          <w:szCs w:val="21"/>
        </w:rPr>
        <w:t xml:space="preserve"> promoter as bait in WT and KO CD69⁻ DP thymocytes, showing interaction frequencies with the associated super-enhancer region.</w:t>
      </w:r>
    </w:p>
    <w:p w14:paraId="5722D161">
      <w:pPr>
        <w:pStyle w:val="4"/>
        <w:spacing w:before="0" w:beforeAutospacing="0" w:after="120" w:afterAutospacing="0"/>
        <w:rPr>
          <w:sz w:val="21"/>
          <w:szCs w:val="21"/>
        </w:rPr>
      </w:pPr>
      <w:r>
        <w:rPr>
          <w:rStyle w:val="8"/>
          <w:sz w:val="21"/>
          <w:szCs w:val="21"/>
        </w:rPr>
        <w:t>(e)</w:t>
      </w:r>
      <w:r>
        <w:rPr>
          <w:sz w:val="21"/>
          <w:szCs w:val="21"/>
        </w:rPr>
        <w:t xml:space="preserve"> Genome browser tracks showing ATAC-seq, H3K4me3, H3K27ac, CTCF, RAD21, and SATB1 signals across the </w:t>
      </w:r>
      <w:r>
        <w:rPr>
          <w:rStyle w:val="9"/>
          <w:sz w:val="21"/>
          <w:szCs w:val="21"/>
        </w:rPr>
        <w:t>Cd5</w:t>
      </w:r>
      <w:r>
        <w:rPr>
          <w:sz w:val="21"/>
          <w:szCs w:val="21"/>
        </w:rPr>
        <w:t xml:space="preserve"> locus in WT and KO CD69⁻ DP thymocytes.</w:t>
      </w:r>
    </w:p>
    <w:p w14:paraId="4D533A8A">
      <w:r>
        <w:br w:type="page"/>
      </w:r>
    </w:p>
    <w:p w14:paraId="7D6A1505">
      <w:pPr>
        <w:pStyle w:val="2"/>
        <w:spacing w:before="0" w:beforeAutospacing="0" w:after="120" w:afterAutospacing="0"/>
        <w:rPr>
          <w:sz w:val="21"/>
          <w:szCs w:val="21"/>
        </w:rPr>
      </w:pPr>
      <w:r>
        <w:rPr>
          <w:rStyle w:val="8"/>
          <w:b/>
          <w:bCs/>
          <w:sz w:val="21"/>
          <w:szCs w:val="21"/>
        </w:rPr>
        <w:drawing>
          <wp:inline distT="0" distB="0" distL="114300" distR="114300">
            <wp:extent cx="5269230" cy="7712710"/>
            <wp:effectExtent l="0" t="0" r="1270" b="8890"/>
            <wp:docPr id="15" name="图片 15" descr="FigS14 SATB1不直接与CTCF和Rad21相互作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S14 SATB1不直接与CTCF和Rad21相互作用"/>
                    <pic:cNvPicPr>
                      <a:picLocks noChangeAspect="1"/>
                    </pic:cNvPicPr>
                  </pic:nvPicPr>
                  <pic:blipFill>
                    <a:blip r:embed="rId18"/>
                    <a:stretch>
                      <a:fillRect/>
                    </a:stretch>
                  </pic:blipFill>
                  <pic:spPr>
                    <a:xfrm>
                      <a:off x="0" y="0"/>
                      <a:ext cx="5269230" cy="7712710"/>
                    </a:xfrm>
                    <a:prstGeom prst="rect">
                      <a:avLst/>
                    </a:prstGeom>
                  </pic:spPr>
                </pic:pic>
              </a:graphicData>
            </a:graphic>
          </wp:inline>
        </w:drawing>
      </w:r>
      <w:r>
        <w:rPr>
          <w:rStyle w:val="8"/>
          <w:b/>
          <w:bCs/>
          <w:sz w:val="21"/>
          <w:szCs w:val="21"/>
        </w:rPr>
        <w:t>Figure S1</w:t>
      </w:r>
      <w:r>
        <w:rPr>
          <w:rStyle w:val="8"/>
          <w:rFonts w:hint="eastAsia" w:eastAsia="宋体"/>
          <w:b/>
          <w:bCs/>
          <w:sz w:val="21"/>
          <w:szCs w:val="21"/>
          <w:lang w:val="en-US" w:eastAsia="zh-CN"/>
        </w:rPr>
        <w:t>5</w:t>
      </w:r>
      <w:r>
        <w:rPr>
          <w:rStyle w:val="8"/>
          <w:b/>
          <w:bCs/>
          <w:sz w:val="21"/>
          <w:szCs w:val="21"/>
        </w:rPr>
        <w:t>. SATB1-associated chromatin clusters are not defined by direct CTCF or RAD21 occupancy</w:t>
      </w:r>
    </w:p>
    <w:p w14:paraId="69B558B3">
      <w:pPr>
        <w:pStyle w:val="4"/>
        <w:spacing w:before="0" w:beforeAutospacing="0" w:after="120" w:afterAutospacing="0"/>
        <w:rPr>
          <w:sz w:val="21"/>
          <w:szCs w:val="21"/>
        </w:rPr>
      </w:pPr>
      <w:r>
        <w:rPr>
          <w:rStyle w:val="8"/>
          <w:sz w:val="21"/>
          <w:szCs w:val="21"/>
        </w:rPr>
        <w:t>(a)</w:t>
      </w:r>
      <w:r>
        <w:rPr>
          <w:sz w:val="21"/>
          <w:szCs w:val="21"/>
        </w:rPr>
        <w:t xml:space="preserve"> Heatmaps showing SATB1, CTCF, and RAD21 CUT&amp;Tag signal intensities centered on SATB1 binding sites (±2.5 kb) in wild-type CD69⁺ DP thymocytes. SATB1 peaks were grouped into seven clusters (C1 to C7) based on SATB1 signal patterns.</w:t>
      </w:r>
    </w:p>
    <w:p w14:paraId="6D18BCD7">
      <w:pPr>
        <w:pStyle w:val="4"/>
        <w:spacing w:before="0" w:beforeAutospacing="0" w:after="120" w:afterAutospacing="0"/>
        <w:rPr>
          <w:sz w:val="21"/>
          <w:szCs w:val="21"/>
        </w:rPr>
      </w:pPr>
      <w:r>
        <w:rPr>
          <w:rStyle w:val="8"/>
          <w:sz w:val="21"/>
          <w:szCs w:val="21"/>
        </w:rPr>
        <w:t>(b)</w:t>
      </w:r>
      <w:r>
        <w:rPr>
          <w:sz w:val="21"/>
          <w:szCs w:val="21"/>
        </w:rPr>
        <w:t xml:space="preserve"> Box plots showing relative expression changes of genes associated with each SATB1 cluster (C1 to C7) in </w:t>
      </w:r>
      <w:r>
        <w:rPr>
          <w:rStyle w:val="9"/>
          <w:sz w:val="21"/>
          <w:szCs w:val="21"/>
        </w:rPr>
        <w:t>Satb1</w:t>
      </w:r>
      <w:r>
        <w:rPr>
          <w:sz w:val="21"/>
          <w:szCs w:val="21"/>
        </w:rPr>
        <w:t>-deficient compared with wild-type CD69⁺ DP thymocytes. The dashed line indicates no change. Box plots show median (center line), interquartile range (box), and 10th-90th percentiles (whiskers).</w:t>
      </w:r>
    </w:p>
    <w:p w14:paraId="691180EF">
      <w:pPr>
        <w:pStyle w:val="4"/>
        <w:spacing w:before="0" w:beforeAutospacing="0" w:after="120" w:afterAutospacing="0"/>
        <w:rPr>
          <w:sz w:val="21"/>
          <w:szCs w:val="21"/>
        </w:rPr>
      </w:pPr>
      <w:r>
        <w:rPr>
          <w:rStyle w:val="8"/>
          <w:sz w:val="21"/>
          <w:szCs w:val="21"/>
        </w:rPr>
        <w:t>(c)</w:t>
      </w:r>
      <w:r>
        <w:rPr>
          <w:sz w:val="21"/>
          <w:szCs w:val="21"/>
        </w:rPr>
        <w:t xml:space="preserve"> Pie charts showing the genomic distribution of SATB1 peaks in representative clusters (C1 and C5), categorized by promoter-proximal and distal regulatory regions.</w:t>
      </w:r>
    </w:p>
    <w:p w14:paraId="5F8C4230">
      <w:pPr>
        <w:pStyle w:val="4"/>
        <w:spacing w:before="0" w:beforeAutospacing="0" w:after="120" w:afterAutospacing="0"/>
        <w:rPr>
          <w:sz w:val="21"/>
          <w:szCs w:val="21"/>
        </w:rPr>
      </w:pPr>
      <w:r>
        <w:rPr>
          <w:rStyle w:val="8"/>
          <w:sz w:val="21"/>
          <w:szCs w:val="21"/>
        </w:rPr>
        <w:t>(d)</w:t>
      </w:r>
      <w:r>
        <w:rPr>
          <w:sz w:val="21"/>
          <w:szCs w:val="21"/>
        </w:rPr>
        <w:t xml:space="preserve"> Heatmaps and average profiles of ATAC-seq signals centered on SATB1 peaks from clusters C1 to C7 in WT and </w:t>
      </w:r>
      <w:r>
        <w:rPr>
          <w:rStyle w:val="9"/>
          <w:sz w:val="21"/>
          <w:szCs w:val="21"/>
        </w:rPr>
        <w:t>Satb1</w:t>
      </w:r>
      <w:r>
        <w:rPr>
          <w:sz w:val="21"/>
          <w:szCs w:val="21"/>
        </w:rPr>
        <w:t>-deficient (KO) CD69⁺ DP thymocytes.</w:t>
      </w:r>
    </w:p>
    <w:p w14:paraId="22D424D3">
      <w:pPr>
        <w:pStyle w:val="4"/>
        <w:spacing w:before="0" w:beforeAutospacing="0" w:after="120" w:afterAutospacing="0"/>
        <w:rPr>
          <w:sz w:val="21"/>
          <w:szCs w:val="21"/>
        </w:rPr>
      </w:pPr>
      <w:r>
        <w:rPr>
          <w:rStyle w:val="8"/>
          <w:sz w:val="21"/>
          <w:szCs w:val="21"/>
        </w:rPr>
        <w:t>(e)</w:t>
      </w:r>
      <w:r>
        <w:rPr>
          <w:sz w:val="21"/>
          <w:szCs w:val="21"/>
        </w:rPr>
        <w:t xml:space="preserve"> Heatmaps and average profiles of H3K27ac CUT&amp;Tag signals centered on SATB1 peaks from clusters C1 to C7 in WT and KO CD69⁺ DP thymocytes.</w:t>
      </w:r>
    </w:p>
    <w:p w14:paraId="3F957005">
      <w:pPr>
        <w:pStyle w:val="4"/>
        <w:spacing w:before="0" w:beforeAutospacing="0" w:after="120" w:afterAutospacing="0"/>
        <w:rPr>
          <w:sz w:val="21"/>
          <w:szCs w:val="21"/>
        </w:rPr>
      </w:pPr>
      <w:r>
        <w:rPr>
          <w:rStyle w:val="8"/>
          <w:sz w:val="21"/>
          <w:szCs w:val="21"/>
        </w:rPr>
        <w:t>(f)</w:t>
      </w:r>
      <w:r>
        <w:rPr>
          <w:sz w:val="21"/>
          <w:szCs w:val="21"/>
        </w:rPr>
        <w:t xml:space="preserve"> Heatmaps and average profiles of CTCF CUT&amp;Tag signals centered on SATB1 peaks from clusters C1</w:t>
      </w:r>
      <w:r>
        <w:rPr>
          <w:rFonts w:hint="eastAsia" w:eastAsia="宋体"/>
          <w:sz w:val="21"/>
          <w:szCs w:val="21"/>
          <w:lang w:val="en-US" w:eastAsia="zh-CN"/>
        </w:rPr>
        <w:t>, C2, C4, C6 and</w:t>
      </w:r>
      <w:r>
        <w:rPr>
          <w:sz w:val="21"/>
          <w:szCs w:val="21"/>
        </w:rPr>
        <w:t xml:space="preserve"> </w:t>
      </w:r>
      <w:r>
        <w:rPr>
          <w:rFonts w:hint="eastAsia" w:eastAsia="宋体"/>
          <w:sz w:val="21"/>
          <w:szCs w:val="21"/>
          <w:lang w:val="en-US" w:eastAsia="zh-CN"/>
        </w:rPr>
        <w:t>KO-unique peaks</w:t>
      </w:r>
      <w:r>
        <w:rPr>
          <w:sz w:val="21"/>
          <w:szCs w:val="21"/>
        </w:rPr>
        <w:t xml:space="preserve"> in WT and KO CD69⁺ DP thymocytes.</w:t>
      </w:r>
    </w:p>
    <w:p w14:paraId="62F74096">
      <w:pPr>
        <w:pStyle w:val="4"/>
        <w:spacing w:before="0" w:beforeAutospacing="0" w:after="120" w:afterAutospacing="0"/>
        <w:rPr>
          <w:sz w:val="21"/>
          <w:szCs w:val="21"/>
        </w:rPr>
      </w:pPr>
      <w:r>
        <w:rPr>
          <w:rStyle w:val="8"/>
          <w:sz w:val="21"/>
          <w:szCs w:val="21"/>
        </w:rPr>
        <w:t>(g)</w:t>
      </w:r>
      <w:r>
        <w:rPr>
          <w:sz w:val="21"/>
          <w:szCs w:val="21"/>
        </w:rPr>
        <w:t xml:space="preserve"> Heatmaps and average profiles of RAD21 CUT&amp;Tag signals centered on SATB1 peaks from clusters C1</w:t>
      </w:r>
      <w:r>
        <w:rPr>
          <w:rFonts w:hint="eastAsia" w:eastAsia="宋体"/>
          <w:sz w:val="21"/>
          <w:szCs w:val="21"/>
          <w:lang w:val="en-US" w:eastAsia="zh-CN"/>
        </w:rPr>
        <w:t>, C3, C5, C7 and</w:t>
      </w:r>
      <w:r>
        <w:rPr>
          <w:sz w:val="21"/>
          <w:szCs w:val="21"/>
        </w:rPr>
        <w:t xml:space="preserve"> </w:t>
      </w:r>
      <w:r>
        <w:rPr>
          <w:rFonts w:hint="eastAsia" w:eastAsia="宋体"/>
          <w:sz w:val="21"/>
          <w:szCs w:val="21"/>
          <w:lang w:val="en-US" w:eastAsia="zh-CN"/>
        </w:rPr>
        <w:t>KO-unique peaks</w:t>
      </w:r>
      <w:r>
        <w:rPr>
          <w:sz w:val="21"/>
          <w:szCs w:val="21"/>
        </w:rPr>
        <w:t xml:space="preserve"> in WT and KO CD69⁺ DP thymocytes.</w:t>
      </w:r>
    </w:p>
    <w:p w14:paraId="3A53AD84">
      <w:r>
        <w:br w:type="page"/>
      </w:r>
    </w:p>
    <w:p w14:paraId="0844F8E7">
      <w:pPr>
        <w:pStyle w:val="2"/>
        <w:spacing w:before="0" w:beforeAutospacing="0" w:after="120" w:afterAutospacing="0"/>
        <w:rPr>
          <w:sz w:val="21"/>
          <w:szCs w:val="21"/>
        </w:rPr>
      </w:pPr>
      <w:r>
        <w:rPr>
          <w:rStyle w:val="8"/>
          <w:b/>
          <w:bCs/>
          <w:sz w:val="21"/>
          <w:szCs w:val="21"/>
        </w:rPr>
        <w:drawing>
          <wp:inline distT="0" distB="0" distL="114300" distR="114300">
            <wp:extent cx="5269230" cy="7851775"/>
            <wp:effectExtent l="0" t="0" r="1270" b="9525"/>
            <wp:docPr id="18" name="图片 18" descr="FigS14 SATB1相分离及截短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S14 SATB1相分离及截短体"/>
                    <pic:cNvPicPr>
                      <a:picLocks noChangeAspect="1"/>
                    </pic:cNvPicPr>
                  </pic:nvPicPr>
                  <pic:blipFill>
                    <a:blip r:embed="rId19"/>
                    <a:stretch>
                      <a:fillRect/>
                    </a:stretch>
                  </pic:blipFill>
                  <pic:spPr>
                    <a:xfrm>
                      <a:off x="0" y="0"/>
                      <a:ext cx="5269230" cy="7851775"/>
                    </a:xfrm>
                    <a:prstGeom prst="rect">
                      <a:avLst/>
                    </a:prstGeom>
                  </pic:spPr>
                </pic:pic>
              </a:graphicData>
            </a:graphic>
          </wp:inline>
        </w:drawing>
      </w:r>
      <w:r>
        <w:rPr>
          <w:rStyle w:val="8"/>
          <w:b/>
          <w:bCs/>
          <w:sz w:val="21"/>
          <w:szCs w:val="21"/>
        </w:rPr>
        <w:t>Figure S1</w:t>
      </w:r>
      <w:r>
        <w:rPr>
          <w:rStyle w:val="8"/>
          <w:rFonts w:hint="eastAsia" w:eastAsia="宋体"/>
          <w:b/>
          <w:bCs/>
          <w:sz w:val="21"/>
          <w:szCs w:val="21"/>
          <w:lang w:val="en-US" w:eastAsia="zh-CN"/>
        </w:rPr>
        <w:t>6</w:t>
      </w:r>
      <w:r>
        <w:rPr>
          <w:rStyle w:val="8"/>
          <w:b/>
          <w:bCs/>
          <w:sz w:val="21"/>
          <w:szCs w:val="21"/>
        </w:rPr>
        <w:t>. SATB1 N-terminal region confers punctate nuclear organization and dynamic exchange properties</w:t>
      </w:r>
    </w:p>
    <w:p w14:paraId="590D6ABE">
      <w:pPr>
        <w:pStyle w:val="4"/>
        <w:spacing w:before="0" w:beforeAutospacing="0" w:after="120" w:afterAutospacing="0"/>
        <w:rPr>
          <w:sz w:val="21"/>
          <w:szCs w:val="21"/>
        </w:rPr>
      </w:pPr>
      <w:r>
        <w:rPr>
          <w:rStyle w:val="8"/>
          <w:sz w:val="21"/>
          <w:szCs w:val="21"/>
        </w:rPr>
        <w:t>(a)</w:t>
      </w:r>
      <w:r>
        <w:rPr>
          <w:sz w:val="21"/>
          <w:szCs w:val="21"/>
        </w:rPr>
        <w:t xml:space="preserve"> Representative fluorescence microscopy images of cells expressing EGFP-NLS, EGFP-hSATB1, or EGFP-mSATB1. EGFP signals (green), Hoechst nuclear staining (blue), and merged images are shown. </w:t>
      </w:r>
      <w:r>
        <w:rPr>
          <w:rFonts w:hint="eastAsia" w:eastAsia="宋体"/>
          <w:sz w:val="21"/>
          <w:szCs w:val="21"/>
          <w:lang w:val="en-US" w:eastAsia="zh-CN"/>
        </w:rPr>
        <w:t xml:space="preserve">Every experiment with three independent experiments. </w:t>
      </w:r>
      <w:r>
        <w:rPr>
          <w:sz w:val="21"/>
          <w:szCs w:val="21"/>
        </w:rPr>
        <w:t>Scale bars, 5 μm.</w:t>
      </w:r>
    </w:p>
    <w:p w14:paraId="72C4D708">
      <w:pPr>
        <w:pStyle w:val="4"/>
        <w:spacing w:before="0" w:beforeAutospacing="0" w:after="120" w:afterAutospacing="0"/>
        <w:rPr>
          <w:sz w:val="21"/>
          <w:szCs w:val="21"/>
        </w:rPr>
      </w:pPr>
      <w:r>
        <w:rPr>
          <w:rStyle w:val="8"/>
          <w:sz w:val="21"/>
          <w:szCs w:val="21"/>
        </w:rPr>
        <w:t>(b)</w:t>
      </w:r>
      <w:r>
        <w:rPr>
          <w:sz w:val="21"/>
          <w:szCs w:val="21"/>
        </w:rPr>
        <w:t xml:space="preserve"> Fluorescence recovery after photobleaching (FRAP) analysis of EGFP–SATB1 in the nucleus. Top, representative images before bleaching (Prebleach), immediately after bleaching (0 s), and during recovery (12 s). Bottom, quantification of fluorescence recovery over time in bleached (red) and unbleached (blue) regions. Data are</w:t>
      </w:r>
      <w:r>
        <w:rPr>
          <w:rFonts w:hint="eastAsia" w:eastAsia="宋体"/>
          <w:sz w:val="21"/>
          <w:szCs w:val="21"/>
          <w:lang w:val="en-US" w:eastAsia="zh-CN"/>
        </w:rPr>
        <w:t xml:space="preserve"> three replications and</w:t>
      </w:r>
      <w:r>
        <w:rPr>
          <w:sz w:val="21"/>
          <w:szCs w:val="21"/>
        </w:rPr>
        <w:t xml:space="preserve"> shown as mean ± s.d.</w:t>
      </w:r>
    </w:p>
    <w:p w14:paraId="047A5036">
      <w:pPr>
        <w:pStyle w:val="4"/>
        <w:spacing w:before="0" w:beforeAutospacing="0" w:after="120" w:afterAutospacing="0"/>
        <w:rPr>
          <w:sz w:val="21"/>
          <w:szCs w:val="21"/>
        </w:rPr>
      </w:pPr>
      <w:r>
        <w:rPr>
          <w:rStyle w:val="8"/>
          <w:sz w:val="21"/>
          <w:szCs w:val="21"/>
        </w:rPr>
        <w:t>(c)</w:t>
      </w:r>
      <w:r>
        <w:rPr>
          <w:sz w:val="21"/>
          <w:szCs w:val="21"/>
        </w:rPr>
        <w:t xml:space="preserve"> Time-lapse fluorescence microscopy images showing dynamic behavior of EGFP-SATB1 puncta </w:t>
      </w:r>
      <w:r>
        <w:rPr>
          <w:i/>
          <w:iCs/>
          <w:sz w:val="21"/>
          <w:szCs w:val="21"/>
        </w:rPr>
        <w:t>in vitro</w:t>
      </w:r>
      <w:r>
        <w:rPr>
          <w:sz w:val="21"/>
          <w:szCs w:val="21"/>
        </w:rPr>
        <w:t xml:space="preserve"> at the indicated time points. Yellow boxes indicate regions shown at higher magnification below</w:t>
      </w:r>
      <w:r>
        <w:rPr>
          <w:rFonts w:hint="eastAsia" w:eastAsia="宋体"/>
          <w:sz w:val="21"/>
          <w:szCs w:val="21"/>
          <w:lang w:val="en-US" w:eastAsia="zh-CN"/>
        </w:rPr>
        <w:t xml:space="preserve">. Every experiment with three independent experiments. </w:t>
      </w:r>
      <w:r>
        <w:rPr>
          <w:sz w:val="21"/>
          <w:szCs w:val="21"/>
        </w:rPr>
        <w:t>Scale bars, 5 μm (top) and 10 μm (bottom).</w:t>
      </w:r>
    </w:p>
    <w:p w14:paraId="6363D64C">
      <w:pPr>
        <w:pStyle w:val="4"/>
        <w:spacing w:before="0" w:beforeAutospacing="0" w:after="120" w:afterAutospacing="0"/>
        <w:rPr>
          <w:rFonts w:hint="eastAsia" w:eastAsia="宋体"/>
          <w:sz w:val="21"/>
          <w:szCs w:val="21"/>
          <w:lang w:val="en-US" w:eastAsia="zh-CN"/>
        </w:rPr>
      </w:pPr>
      <w:r>
        <w:rPr>
          <w:rStyle w:val="8"/>
          <w:sz w:val="21"/>
          <w:szCs w:val="21"/>
        </w:rPr>
        <w:t>(d)</w:t>
      </w:r>
      <w:r>
        <w:rPr>
          <w:sz w:val="21"/>
          <w:szCs w:val="21"/>
        </w:rPr>
        <w:t xml:space="preserve"> Schematic diagrams of full-length SATB1 and truncation or deletion constructs used in this study, including N-terminal domain (NTD), C-terminal domain (CTD), ultra-low complexity domain (ULD), and serial deletion mutants (SA1-SA3 and ΔULD). Amino acid positions are indicated.</w:t>
      </w:r>
      <w:r>
        <w:rPr>
          <w:rFonts w:hint="eastAsia" w:eastAsia="宋体"/>
          <w:sz w:val="21"/>
          <w:szCs w:val="21"/>
          <w:lang w:val="en-US" w:eastAsia="zh-CN"/>
        </w:rPr>
        <w:t xml:space="preserve"> Every experiment with three independent experiments. </w:t>
      </w:r>
      <w:r>
        <w:rPr>
          <w:sz w:val="21"/>
          <w:szCs w:val="21"/>
        </w:rPr>
        <w:t>Scale bars, 5 μm.</w:t>
      </w:r>
    </w:p>
    <w:p w14:paraId="082101AC">
      <w:pPr>
        <w:pStyle w:val="4"/>
        <w:spacing w:before="0" w:beforeAutospacing="0" w:after="120" w:afterAutospacing="0"/>
        <w:rPr>
          <w:sz w:val="21"/>
          <w:szCs w:val="21"/>
        </w:rPr>
      </w:pPr>
      <w:r>
        <w:rPr>
          <w:rStyle w:val="8"/>
          <w:sz w:val="21"/>
          <w:szCs w:val="21"/>
        </w:rPr>
        <w:t>(e)</w:t>
      </w:r>
      <w:r>
        <w:rPr>
          <w:sz w:val="21"/>
          <w:szCs w:val="21"/>
        </w:rPr>
        <w:t xml:space="preserve"> Representative fluorescence microscopy images of cells expressing EGFP-tagged SATB1 truncation or deletion constructs shown in (d). EGFP signals (green), Hoechst staining (blue), and merged images are shown. </w:t>
      </w:r>
      <w:r>
        <w:rPr>
          <w:rFonts w:hint="eastAsia" w:eastAsia="宋体"/>
          <w:sz w:val="21"/>
          <w:szCs w:val="21"/>
          <w:lang w:val="en-US" w:eastAsia="zh-CN"/>
        </w:rPr>
        <w:t xml:space="preserve">Every experiment with three independent experiments. </w:t>
      </w:r>
      <w:r>
        <w:rPr>
          <w:sz w:val="21"/>
          <w:szCs w:val="21"/>
        </w:rPr>
        <w:t>Scale bars, 5 μm.</w:t>
      </w:r>
    </w:p>
    <w:p w14:paraId="69ABD832">
      <w:r>
        <w:br w:type="page"/>
      </w:r>
    </w:p>
    <w:p w14:paraId="60E45314">
      <w:pPr>
        <w:rPr>
          <w:rFonts w:hint="eastAsia"/>
          <w:b w:val="0"/>
          <w:bCs w:val="0"/>
          <w:lang w:val="en-US" w:eastAsia="zh-CN"/>
        </w:rPr>
      </w:pPr>
      <w:r>
        <w:rPr>
          <w:rFonts w:hint="eastAsia"/>
          <w:b w:val="0"/>
          <w:bCs w:val="0"/>
          <w:lang w:val="en-US" w:eastAsia="zh-CN"/>
        </w:rPr>
        <w:drawing>
          <wp:inline distT="0" distB="0" distL="114300" distR="114300">
            <wp:extent cx="5272405" cy="5457190"/>
            <wp:effectExtent l="0" t="0" r="10795" b="3810"/>
            <wp:docPr id="1" name="图片 1" descr="Fig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6"/>
                    <pic:cNvPicPr>
                      <a:picLocks noChangeAspect="1"/>
                    </pic:cNvPicPr>
                  </pic:nvPicPr>
                  <pic:blipFill>
                    <a:blip r:embed="rId20"/>
                    <a:stretch>
                      <a:fillRect/>
                    </a:stretch>
                  </pic:blipFill>
                  <pic:spPr>
                    <a:xfrm>
                      <a:off x="0" y="0"/>
                      <a:ext cx="5272405" cy="5457190"/>
                    </a:xfrm>
                    <a:prstGeom prst="rect">
                      <a:avLst/>
                    </a:prstGeom>
                  </pic:spPr>
                </pic:pic>
              </a:graphicData>
            </a:graphic>
          </wp:inline>
        </w:drawing>
      </w:r>
    </w:p>
    <w:p w14:paraId="75998CC8">
      <w:pPr>
        <w:pStyle w:val="2"/>
        <w:spacing w:before="0" w:beforeAutospacing="0" w:after="120" w:afterAutospacing="0"/>
        <w:rPr>
          <w:rFonts w:hint="default" w:eastAsia="宋体"/>
          <w:sz w:val="21"/>
          <w:szCs w:val="21"/>
          <w:lang w:val="en-US" w:eastAsia="zh-CN"/>
        </w:rPr>
      </w:pPr>
      <w:r>
        <w:rPr>
          <w:rStyle w:val="8"/>
          <w:b/>
          <w:bCs/>
          <w:sz w:val="21"/>
          <w:szCs w:val="21"/>
        </w:rPr>
        <w:t>Figure S1</w:t>
      </w:r>
      <w:r>
        <w:rPr>
          <w:rStyle w:val="8"/>
          <w:rFonts w:hint="eastAsia" w:eastAsia="宋体"/>
          <w:b/>
          <w:bCs/>
          <w:sz w:val="21"/>
          <w:szCs w:val="21"/>
          <w:lang w:val="en-US" w:eastAsia="zh-CN"/>
        </w:rPr>
        <w:t>7</w:t>
      </w:r>
      <w:r>
        <w:rPr>
          <w:rStyle w:val="8"/>
          <w:b/>
          <w:bCs/>
          <w:sz w:val="21"/>
          <w:szCs w:val="21"/>
        </w:rPr>
        <w:t xml:space="preserve">. </w:t>
      </w:r>
      <w:r>
        <w:rPr>
          <w:rStyle w:val="8"/>
          <w:rFonts w:hint="eastAsia"/>
          <w:b/>
          <w:bCs/>
          <w:sz w:val="21"/>
          <w:szCs w:val="21"/>
        </w:rPr>
        <w:t>SATB1 condensate appears on the super enhancer of wild-type cells</w:t>
      </w:r>
    </w:p>
    <w:p w14:paraId="52A2AF97">
      <w:pPr>
        <w:pStyle w:val="4"/>
        <w:spacing w:before="0" w:beforeAutospacing="0" w:after="120" w:afterAutospacing="0"/>
        <w:rPr>
          <w:rFonts w:hint="eastAsia" w:eastAsia="宋体"/>
          <w:sz w:val="21"/>
          <w:szCs w:val="21"/>
          <w:lang w:val="en-US" w:eastAsia="zh-CN"/>
        </w:rPr>
      </w:pPr>
      <w:r>
        <w:rPr>
          <w:rStyle w:val="8"/>
          <w:sz w:val="21"/>
          <w:szCs w:val="21"/>
        </w:rPr>
        <w:t>(a</w:t>
      </w:r>
      <w:r>
        <w:rPr>
          <w:rStyle w:val="8"/>
          <w:rFonts w:hint="eastAsia" w:eastAsia="宋体"/>
          <w:sz w:val="21"/>
          <w:szCs w:val="21"/>
          <w:lang w:val="en-US" w:eastAsia="zh-CN"/>
        </w:rPr>
        <w:t>-d</w:t>
      </w:r>
      <w:r>
        <w:rPr>
          <w:rStyle w:val="8"/>
          <w:sz w:val="21"/>
          <w:szCs w:val="21"/>
        </w:rPr>
        <w:t>)</w:t>
      </w:r>
      <w:r>
        <w:rPr>
          <w:sz w:val="21"/>
          <w:szCs w:val="21"/>
        </w:rPr>
        <w:t xml:space="preserve"> Genome browser tracks showing A</w:t>
      </w:r>
      <w:r>
        <w:rPr>
          <w:rFonts w:hint="eastAsia" w:eastAsia="宋体"/>
          <w:sz w:val="21"/>
          <w:szCs w:val="21"/>
          <w:lang w:val="en-US" w:eastAsia="zh-CN"/>
        </w:rPr>
        <w:t>C</w:t>
      </w:r>
      <w:r>
        <w:rPr>
          <w:sz w:val="21"/>
          <w:szCs w:val="21"/>
        </w:rPr>
        <w:t xml:space="preserve">C-seq profiles across the </w:t>
      </w:r>
      <w:r>
        <w:rPr>
          <w:rStyle w:val="9"/>
          <w:rFonts w:hint="eastAsia" w:eastAsia="宋体"/>
          <w:sz w:val="21"/>
          <w:szCs w:val="21"/>
          <w:lang w:val="en-US" w:eastAsia="zh-CN"/>
        </w:rPr>
        <w:t>Ets1,Cd8a, Ets2</w:t>
      </w:r>
      <w:r>
        <w:rPr>
          <w:sz w:val="21"/>
          <w:szCs w:val="21"/>
        </w:rPr>
        <w:t xml:space="preserve"> </w:t>
      </w:r>
      <w:r>
        <w:rPr>
          <w:rFonts w:hint="eastAsia" w:eastAsia="宋体"/>
          <w:sz w:val="21"/>
          <w:szCs w:val="21"/>
          <w:lang w:val="en-US" w:eastAsia="zh-CN"/>
        </w:rPr>
        <w:t xml:space="preserve">and </w:t>
      </w:r>
      <w:r>
        <w:rPr>
          <w:rFonts w:hint="eastAsia" w:eastAsia="宋体"/>
          <w:i/>
          <w:iCs/>
          <w:sz w:val="21"/>
          <w:szCs w:val="21"/>
          <w:lang w:val="en-US" w:eastAsia="zh-CN"/>
        </w:rPr>
        <w:t xml:space="preserve">Ikzf1 </w:t>
      </w:r>
      <w:r>
        <w:rPr>
          <w:sz w:val="21"/>
          <w:szCs w:val="21"/>
        </w:rPr>
        <w:t xml:space="preserve">super-enhancer under the indicated conditions in wild-type and </w:t>
      </w:r>
      <w:r>
        <w:rPr>
          <w:rStyle w:val="9"/>
          <w:sz w:val="21"/>
          <w:szCs w:val="21"/>
        </w:rPr>
        <w:t>Satb1</w:t>
      </w:r>
      <w:r>
        <w:rPr>
          <w:sz w:val="21"/>
          <w:szCs w:val="21"/>
        </w:rPr>
        <w:t>-deficient CD69</w:t>
      </w:r>
      <w:r>
        <w:rPr>
          <w:sz w:val="21"/>
          <w:szCs w:val="21"/>
          <w:vertAlign w:val="superscript"/>
        </w:rPr>
        <w:t>+</w:t>
      </w:r>
      <w:r>
        <w:rPr>
          <w:sz w:val="21"/>
          <w:szCs w:val="21"/>
        </w:rPr>
        <w:t xml:space="preserve"> DP thymocytes. SATB1 ChIP-seq signal is shown below. Quantification of relative accessibility at the </w:t>
      </w:r>
      <w:r>
        <w:rPr>
          <w:rStyle w:val="9"/>
          <w:sz w:val="21"/>
          <w:szCs w:val="21"/>
        </w:rPr>
        <w:t>Ets1</w:t>
      </w:r>
      <w:r>
        <w:rPr>
          <w:sz w:val="21"/>
          <w:szCs w:val="21"/>
        </w:rPr>
        <w:t xml:space="preserve"> super-enhancer is shown.</w:t>
      </w:r>
      <w:r>
        <w:rPr>
          <w:rFonts w:hint="eastAsia" w:eastAsia="宋体"/>
          <w:sz w:val="21"/>
          <w:szCs w:val="21"/>
          <w:lang w:val="en-US" w:eastAsia="zh-CN"/>
        </w:rPr>
        <w:t xml:space="preserve"> Data are shown from two independent biological experiments (n = 2), with individual values and mean indicated.</w:t>
      </w:r>
    </w:p>
    <w:p w14:paraId="5A92A26C">
      <w:pPr>
        <w:rPr>
          <w:rFonts w:hint="eastAsia"/>
          <w:b w:val="0"/>
          <w:bCs w:val="0"/>
          <w:lang w:val="en-US" w:eastAsia="zh-CN"/>
        </w:rPr>
      </w:pPr>
      <w:r>
        <w:rPr>
          <w:rFonts w:hint="eastAsia"/>
          <w:b w:val="0"/>
          <w:bCs w:val="0"/>
          <w:lang w:val="en-US" w:eastAsia="zh-CN"/>
        </w:rPr>
        <w:br w:type="page"/>
      </w:r>
    </w:p>
    <w:p w14:paraId="454E4C58">
      <w:pPr>
        <w:jc w:val="left"/>
        <w:rPr>
          <w:rFonts w:hint="default"/>
          <w:b w:val="0"/>
          <w:bCs w:val="0"/>
          <w:lang w:val="en-US" w:eastAsia="zh-CN"/>
        </w:rPr>
      </w:pPr>
      <w:r>
        <w:rPr>
          <w:rFonts w:hint="eastAsia"/>
          <w:b w:val="0"/>
          <w:bCs w:val="0"/>
          <w:lang w:val="en-US" w:eastAsia="zh-CN"/>
        </w:rPr>
        <w:t>TableS1 The primer for plasmid construction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7"/>
        <w:gridCol w:w="5765"/>
      </w:tblGrid>
      <w:tr w14:paraId="12AA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5664AEA6">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EGFP F</w:t>
            </w:r>
          </w:p>
        </w:tc>
        <w:tc>
          <w:tcPr>
            <w:tcW w:w="5765" w:type="dxa"/>
          </w:tcPr>
          <w:p w14:paraId="343E3CD5">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TGGCAAAGAATTTGCTAGCATGGTGAGCAAGGGCGAGGAG</w:t>
            </w:r>
          </w:p>
        </w:tc>
      </w:tr>
      <w:tr w14:paraId="5399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129B3669">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EGFP R</w:t>
            </w:r>
          </w:p>
        </w:tc>
        <w:tc>
          <w:tcPr>
            <w:tcW w:w="5765" w:type="dxa"/>
          </w:tcPr>
          <w:p w14:paraId="09DCF85F">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TCTTGGGACTAGTACCACCACCCTTGTACAGCTCGTCCATGC</w:t>
            </w:r>
          </w:p>
        </w:tc>
      </w:tr>
      <w:tr w14:paraId="009A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4EAFAC35">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EGFP-NLS R</w:t>
            </w:r>
          </w:p>
        </w:tc>
        <w:tc>
          <w:tcPr>
            <w:tcW w:w="5765" w:type="dxa"/>
          </w:tcPr>
          <w:p w14:paraId="580CEB01">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ACTAGTACCACCACCCTTGTACAGCTCGTCCATGC</w:t>
            </w:r>
          </w:p>
        </w:tc>
      </w:tr>
      <w:tr w14:paraId="0B23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4CD4FFF0">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mSATB1 FL F</w:t>
            </w:r>
          </w:p>
        </w:tc>
        <w:tc>
          <w:tcPr>
            <w:tcW w:w="5765" w:type="dxa"/>
          </w:tcPr>
          <w:p w14:paraId="3EAB33F6">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ACAAGGGTGGAGGTCGGACCATGGATCATTTGAACGAGGC</w:t>
            </w:r>
          </w:p>
        </w:tc>
      </w:tr>
      <w:tr w14:paraId="3F16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5F1108EA">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mSATB1 FL R</w:t>
            </w:r>
          </w:p>
        </w:tc>
        <w:tc>
          <w:tcPr>
            <w:tcW w:w="5765" w:type="dxa"/>
          </w:tcPr>
          <w:p w14:paraId="4BA6C730">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AGCTCTAGCCCGGGCGTCGACTCAGTCTTTCAAGTCGGCATTAAC</w:t>
            </w:r>
          </w:p>
        </w:tc>
      </w:tr>
      <w:tr w14:paraId="6C29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3ED9FA19">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FL F</w:t>
            </w:r>
          </w:p>
        </w:tc>
        <w:tc>
          <w:tcPr>
            <w:tcW w:w="5765" w:type="dxa"/>
          </w:tcPr>
          <w:p w14:paraId="14FB8493">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ACAAGGGTGGAGGTCGGACCATGGATCATTTGAACGAGGC</w:t>
            </w:r>
          </w:p>
        </w:tc>
      </w:tr>
      <w:tr w14:paraId="37D8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44D5CBF6">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FL R</w:t>
            </w:r>
          </w:p>
        </w:tc>
        <w:tc>
          <w:tcPr>
            <w:tcW w:w="5765" w:type="dxa"/>
          </w:tcPr>
          <w:p w14:paraId="4344F9FA">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GCTCTAGCCCGGGCGTCGACTCAGTCTTTCAAATCAGTAT</w:t>
            </w:r>
          </w:p>
        </w:tc>
      </w:tr>
      <w:tr w14:paraId="6E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32266F1E">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pCAG hSATB1 FL-NLS R</w:t>
            </w:r>
          </w:p>
        </w:tc>
        <w:tc>
          <w:tcPr>
            <w:tcW w:w="5765" w:type="dxa"/>
            <w:vAlign w:val="top"/>
          </w:tcPr>
          <w:p w14:paraId="604352A9">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eastAsiaTheme="minorEastAsia" w:cstheme="minorBidi"/>
                <w:b w:val="0"/>
                <w:bCs w:val="0"/>
                <w:kern w:val="2"/>
                <w:sz w:val="21"/>
                <w:szCs w:val="24"/>
                <w:vertAlign w:val="baseline"/>
                <w:lang w:val="en-US" w:eastAsia="zh-CN" w:bidi="ar-SA"/>
              </w:rPr>
              <w:t>ACTAGTACCACCACCGTCTTTCAAATCAGTAT</w:t>
            </w:r>
          </w:p>
        </w:tc>
      </w:tr>
      <w:tr w14:paraId="57E6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27D3DAE4">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1-246 R</w:t>
            </w:r>
          </w:p>
        </w:tc>
        <w:tc>
          <w:tcPr>
            <w:tcW w:w="5765" w:type="dxa"/>
          </w:tcPr>
          <w:p w14:paraId="11680085">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AGCTCTAGCCCGGGCGTCGACTCATGTCTTCTTGAAATGTT</w:t>
            </w:r>
          </w:p>
        </w:tc>
      </w:tr>
      <w:tr w14:paraId="0C4A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60CF99F3">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hSATB1 247-763 F</w:t>
            </w:r>
          </w:p>
        </w:tc>
        <w:tc>
          <w:tcPr>
            <w:tcW w:w="5765" w:type="dxa"/>
          </w:tcPr>
          <w:p w14:paraId="06197BD6">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ACAAGGGTGGAGGTCGGACCAAAGATATGATGGTTGAAATG</w:t>
            </w:r>
          </w:p>
        </w:tc>
      </w:tr>
      <w:tr w14:paraId="06FE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4AC0F2BB">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1-170 R</w:t>
            </w:r>
          </w:p>
        </w:tc>
        <w:tc>
          <w:tcPr>
            <w:tcW w:w="5765" w:type="dxa"/>
          </w:tcPr>
          <w:p w14:paraId="2CF6654F">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GCTCTAGCCCGGGCGTCGACTCATAACTGAATTTTCAATG</w:t>
            </w:r>
          </w:p>
        </w:tc>
      </w:tr>
      <w:tr w14:paraId="3366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tcPr>
          <w:p w14:paraId="3830A796">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72-246 F</w:t>
            </w:r>
          </w:p>
        </w:tc>
        <w:tc>
          <w:tcPr>
            <w:tcW w:w="5765" w:type="dxa"/>
          </w:tcPr>
          <w:p w14:paraId="073B24A0">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TACAAGGGTGGAGGTCGGACCACCATGCTGCCAGTTTTCTG</w:t>
            </w:r>
          </w:p>
        </w:tc>
      </w:tr>
      <w:tr w14:paraId="47B1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3E89A793">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pCAG hSATB1 ULD-246-763 F</w:t>
            </w:r>
          </w:p>
        </w:tc>
        <w:tc>
          <w:tcPr>
            <w:tcW w:w="5765" w:type="dxa"/>
          </w:tcPr>
          <w:p w14:paraId="420ED35F">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TCACATTGAAAATTCAGTTAAAAGATATGATGGTTGAAAT</w:t>
            </w:r>
          </w:p>
        </w:tc>
      </w:tr>
      <w:tr w14:paraId="3515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26C9E587">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pCAG hSATB1 ULD-246-763 R</w:t>
            </w:r>
          </w:p>
        </w:tc>
        <w:tc>
          <w:tcPr>
            <w:tcW w:w="5765" w:type="dxa"/>
          </w:tcPr>
          <w:p w14:paraId="68E1E69D">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ATTTCAACCATCATATCTTTTAACTGAATTTTCAATGTGA</w:t>
            </w:r>
          </w:p>
        </w:tc>
      </w:tr>
      <w:tr w14:paraId="2DDC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6A364958">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pCAG hSATB1 ΔULD F</w:t>
            </w:r>
          </w:p>
        </w:tc>
        <w:tc>
          <w:tcPr>
            <w:tcW w:w="5765" w:type="dxa"/>
          </w:tcPr>
          <w:p w14:paraId="6A53BF57">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AAACCAACCTTAGGAAAGGACACAGTTGCCCCAAACTAGA</w:t>
            </w:r>
          </w:p>
        </w:tc>
      </w:tr>
      <w:tr w14:paraId="6549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7EAC86B9">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pCAG hSATB1 ΔULD R</w:t>
            </w:r>
          </w:p>
        </w:tc>
        <w:tc>
          <w:tcPr>
            <w:tcW w:w="5765" w:type="dxa"/>
          </w:tcPr>
          <w:p w14:paraId="6AEEDB43">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TCTAGTTTGGGGCAACTGTGTCCTTTCCTAAGGTTGGTTT</w:t>
            </w:r>
          </w:p>
        </w:tc>
      </w:tr>
      <w:tr w14:paraId="7DEA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774CC98F">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NLS R</w:t>
            </w:r>
          </w:p>
        </w:tc>
        <w:tc>
          <w:tcPr>
            <w:tcW w:w="5765" w:type="dxa"/>
          </w:tcPr>
          <w:p w14:paraId="44D52BEE">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TCTAGCCCGGGCGTCGACTCACACCTTGCGCTTCTTCTTGGGACTAGTACCACCACC</w:t>
            </w:r>
          </w:p>
        </w:tc>
      </w:tr>
      <w:tr w14:paraId="4FAC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3608139C">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PET28a EGFP F</w:t>
            </w:r>
          </w:p>
        </w:tc>
        <w:tc>
          <w:tcPr>
            <w:tcW w:w="5765" w:type="dxa"/>
          </w:tcPr>
          <w:p w14:paraId="39A1F0D9">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AGCAAATGGGTCGCGGATCCATGGTGAGCAAGGGCGAGGA</w:t>
            </w:r>
          </w:p>
        </w:tc>
      </w:tr>
      <w:tr w14:paraId="0F32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46375AC2">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PET28a EGFP R</w:t>
            </w:r>
          </w:p>
        </w:tc>
        <w:tc>
          <w:tcPr>
            <w:tcW w:w="5765" w:type="dxa"/>
          </w:tcPr>
          <w:p w14:paraId="020B59F2">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TCGAGTGCGGCCGCAAGCTTCTTGTACAGCTCGTCCATGC</w:t>
            </w:r>
          </w:p>
        </w:tc>
      </w:tr>
      <w:tr w14:paraId="0C09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7" w:type="dxa"/>
            <w:vAlign w:val="top"/>
          </w:tcPr>
          <w:p w14:paraId="546ACA96">
            <w:pPr>
              <w:jc w:val="left"/>
              <w:rPr>
                <w:rFonts w:hint="default" w:asciiTheme="minorAscii" w:hAnsiTheme="minorAscii" w:eastAsiaTheme="minorEastAsia" w:cstheme="minorBidi"/>
                <w:b w:val="0"/>
                <w:bCs w:val="0"/>
                <w:kern w:val="2"/>
                <w:sz w:val="21"/>
                <w:szCs w:val="24"/>
                <w:vertAlign w:val="baseline"/>
                <w:lang w:val="en-US" w:eastAsia="zh-CN" w:bidi="ar-SA"/>
              </w:rPr>
            </w:pPr>
            <w:r>
              <w:rPr>
                <w:rFonts w:hint="default" w:asciiTheme="minorAscii" w:hAnsiTheme="minorAscii"/>
                <w:b w:val="0"/>
                <w:bCs w:val="0"/>
                <w:vertAlign w:val="baseline"/>
                <w:lang w:val="en-US" w:eastAsia="zh-CN"/>
              </w:rPr>
              <w:t>PET28a hSATB1 1-246 R</w:t>
            </w:r>
          </w:p>
        </w:tc>
        <w:tc>
          <w:tcPr>
            <w:tcW w:w="5765" w:type="dxa"/>
          </w:tcPr>
          <w:p w14:paraId="50CE4089">
            <w:pPr>
              <w:jc w:val="left"/>
              <w:rPr>
                <w:rFonts w:hint="default" w:asciiTheme="minorAscii" w:hAnsiTheme="minorAscii"/>
                <w:b w:val="0"/>
                <w:bCs w:val="0"/>
                <w:vertAlign w:val="baseline"/>
                <w:lang w:val="en-US" w:eastAsia="zh-CN"/>
              </w:rPr>
            </w:pPr>
            <w:r>
              <w:rPr>
                <w:rFonts w:hint="default" w:asciiTheme="minorAscii" w:hAnsiTheme="minorAscii"/>
                <w:b w:val="0"/>
                <w:bCs w:val="0"/>
                <w:vertAlign w:val="baseline"/>
                <w:lang w:val="en-US" w:eastAsia="zh-CN"/>
              </w:rPr>
              <w:t>GCTCGAGTGCGGCCGCAAGCTTTGTCTTCTTGAAATGTTTGT</w:t>
            </w:r>
          </w:p>
        </w:tc>
      </w:tr>
    </w:tbl>
    <w:p w14:paraId="19E7CAA3">
      <w:pPr>
        <w:numPr>
          <w:ilvl w:val="0"/>
          <w:numId w:val="0"/>
        </w:numPr>
      </w:pPr>
    </w:p>
    <w:p w14:paraId="19C86C28">
      <w:pPr>
        <w:rPr>
          <w:rFonts w:hint="eastAsia"/>
          <w:b w:val="0"/>
          <w:bCs w:val="0"/>
          <w:lang w:val="en-US" w:eastAsia="zh-CN"/>
        </w:rPr>
      </w:pPr>
      <w:r>
        <w:rPr>
          <w:rFonts w:hint="eastAsia"/>
          <w:b w:val="0"/>
          <w:bCs w:val="0"/>
          <w:lang w:val="en-US" w:eastAsia="zh-CN"/>
        </w:rPr>
        <w:br w:type="page"/>
      </w:r>
    </w:p>
    <w:p w14:paraId="43CCB14F">
      <w:pPr>
        <w:jc w:val="left"/>
        <w:rPr>
          <w:rFonts w:hint="eastAsia" w:ascii="Calibri" w:hAnsi="Calibri" w:eastAsia="宋体" w:cs="Calibri"/>
          <w:color w:val="000000"/>
          <w:sz w:val="21"/>
          <w:szCs w:val="21"/>
          <w:lang w:val="en-US" w:eastAsia="zh-CN"/>
        </w:rPr>
      </w:pPr>
      <w:r>
        <w:rPr>
          <w:rFonts w:hint="eastAsia"/>
          <w:b w:val="0"/>
          <w:bCs w:val="0"/>
          <w:lang w:val="en-US" w:eastAsia="zh-CN"/>
        </w:rPr>
        <w:t>TableS2 The</w:t>
      </w:r>
      <w:r>
        <w:rPr>
          <w:rFonts w:hint="default" w:ascii="Calibri" w:hAnsi="Calibri" w:cs="Calibri"/>
          <w:b w:val="0"/>
          <w:bCs w:val="0"/>
          <w:sz w:val="21"/>
          <w:szCs w:val="21"/>
          <w:lang w:val="en-US" w:eastAsia="zh-CN"/>
        </w:rPr>
        <w:t xml:space="preserve"> </w:t>
      </w:r>
      <w:r>
        <w:rPr>
          <w:rFonts w:hint="default" w:ascii="Calibri" w:hAnsi="Calibri" w:eastAsia="Arial" w:cs="Calibri"/>
          <w:color w:val="000000"/>
          <w:sz w:val="21"/>
          <w:szCs w:val="21"/>
        </w:rPr>
        <w:t>antibodies information</w:t>
      </w:r>
      <w:r>
        <w:rPr>
          <w:rFonts w:hint="eastAsia" w:ascii="Calibri" w:hAnsi="Calibri" w:eastAsia="宋体" w:cs="Calibri"/>
          <w:color w:val="000000"/>
          <w:sz w:val="21"/>
          <w:szCs w:val="21"/>
          <w:lang w:val="en-US" w:eastAsia="zh-CN"/>
        </w:rPr>
        <w:t xml:space="preserve"> for FACS</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1"/>
        <w:gridCol w:w="1345"/>
        <w:gridCol w:w="1810"/>
        <w:gridCol w:w="1490"/>
        <w:gridCol w:w="1380"/>
      </w:tblGrid>
      <w:tr w14:paraId="2D5A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3F90FAFF">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production</w:t>
            </w:r>
          </w:p>
        </w:tc>
        <w:tc>
          <w:tcPr>
            <w:tcW w:w="1345" w:type="dxa"/>
          </w:tcPr>
          <w:p w14:paraId="6FD3C51D">
            <w:pPr>
              <w:jc w:val="left"/>
              <w:rPr>
                <w:rFonts w:hint="default" w:ascii="Calibri" w:hAnsi="Calibri" w:eastAsia="宋体" w:cs="Calibri"/>
                <w:color w:val="000000"/>
                <w:sz w:val="21"/>
                <w:szCs w:val="21"/>
                <w:vertAlign w:val="baseline"/>
                <w:lang w:val="en-US" w:eastAsia="zh-CN"/>
              </w:rPr>
            </w:pPr>
            <w:r>
              <w:rPr>
                <w:rFonts w:ascii="Arial" w:hAnsi="Arial" w:eastAsia="Arial" w:cs="Arial"/>
                <w:color w:val="000000"/>
                <w:sz w:val="18"/>
                <w:szCs w:val="18"/>
              </w:rPr>
              <w:t>suppliers</w:t>
            </w:r>
          </w:p>
        </w:tc>
        <w:tc>
          <w:tcPr>
            <w:tcW w:w="1810" w:type="dxa"/>
          </w:tcPr>
          <w:p w14:paraId="1D8D159B">
            <w:pPr>
              <w:jc w:val="left"/>
              <w:rPr>
                <w:rFonts w:hint="default" w:ascii="Calibri" w:hAnsi="Calibri" w:eastAsia="宋体" w:cs="Calibri"/>
                <w:color w:val="000000"/>
                <w:sz w:val="21"/>
                <w:szCs w:val="21"/>
                <w:vertAlign w:val="baseline"/>
                <w:lang w:val="en-US" w:eastAsia="zh-CN"/>
              </w:rPr>
            </w:pPr>
            <w:r>
              <w:rPr>
                <w:rFonts w:ascii="Arial" w:hAnsi="Arial" w:eastAsia="Arial" w:cs="Arial"/>
                <w:color w:val="000000"/>
                <w:sz w:val="18"/>
                <w:szCs w:val="18"/>
              </w:rPr>
              <w:t>catalogue numbers</w:t>
            </w:r>
          </w:p>
        </w:tc>
        <w:tc>
          <w:tcPr>
            <w:tcW w:w="1490" w:type="dxa"/>
          </w:tcPr>
          <w:p w14:paraId="4F6AB5C8">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clone</w:t>
            </w:r>
          </w:p>
        </w:tc>
        <w:tc>
          <w:tcPr>
            <w:tcW w:w="1380" w:type="dxa"/>
          </w:tcPr>
          <w:p w14:paraId="09348DA1">
            <w:pPr>
              <w:jc w:val="left"/>
              <w:rPr>
                <w:rFonts w:ascii="Arial" w:hAnsi="Arial" w:eastAsia="Arial" w:cs="Arial"/>
                <w:color w:val="000000"/>
                <w:sz w:val="18"/>
                <w:szCs w:val="18"/>
              </w:rPr>
            </w:pPr>
            <w:r>
              <w:rPr>
                <w:rFonts w:ascii="Arial" w:hAnsi="Arial" w:eastAsia="Arial" w:cs="Arial"/>
                <w:color w:val="000000"/>
                <w:sz w:val="18"/>
                <w:szCs w:val="18"/>
              </w:rPr>
              <w:t>dilutions</w:t>
            </w:r>
          </w:p>
        </w:tc>
      </w:tr>
      <w:tr w14:paraId="27AE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17D56DA2">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anti-CD3e-EFLUOR 450 </w:t>
            </w:r>
          </w:p>
        </w:tc>
        <w:tc>
          <w:tcPr>
            <w:tcW w:w="1345" w:type="dxa"/>
          </w:tcPr>
          <w:p w14:paraId="7537161B">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eBioscience</w:t>
            </w:r>
          </w:p>
        </w:tc>
        <w:tc>
          <w:tcPr>
            <w:tcW w:w="1810" w:type="dxa"/>
          </w:tcPr>
          <w:p w14:paraId="1C872950">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48-0032-80</w:t>
            </w:r>
          </w:p>
        </w:tc>
        <w:tc>
          <w:tcPr>
            <w:tcW w:w="1490" w:type="dxa"/>
          </w:tcPr>
          <w:p w14:paraId="558110CF">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17A2</w:t>
            </w:r>
          </w:p>
        </w:tc>
        <w:tc>
          <w:tcPr>
            <w:tcW w:w="1380" w:type="dxa"/>
          </w:tcPr>
          <w:p w14:paraId="6CB55DA4">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1F0C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5B8C6E48">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anti-CD2-Percp-Cy5.5</w:t>
            </w:r>
          </w:p>
        </w:tc>
        <w:tc>
          <w:tcPr>
            <w:tcW w:w="1345" w:type="dxa"/>
          </w:tcPr>
          <w:p w14:paraId="67F4C43F">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Biolegend </w:t>
            </w:r>
          </w:p>
        </w:tc>
        <w:tc>
          <w:tcPr>
            <w:tcW w:w="1810" w:type="dxa"/>
          </w:tcPr>
          <w:p w14:paraId="77ABCC8E">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100115</w:t>
            </w:r>
          </w:p>
        </w:tc>
        <w:tc>
          <w:tcPr>
            <w:tcW w:w="1490" w:type="dxa"/>
          </w:tcPr>
          <w:p w14:paraId="547239EA">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RM2-5</w:t>
            </w:r>
          </w:p>
        </w:tc>
        <w:tc>
          <w:tcPr>
            <w:tcW w:w="1380" w:type="dxa"/>
          </w:tcPr>
          <w:p w14:paraId="58B91CB6">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12B1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520E316B">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anti-CD8a-FITC</w:t>
            </w:r>
            <w:r>
              <w:rPr>
                <w:rFonts w:hint="eastAsia" w:ascii="Calibri" w:hAnsi="Calibri" w:eastAsia="宋体" w:cs="Calibri"/>
                <w:color w:val="000000"/>
                <w:sz w:val="21"/>
                <w:szCs w:val="21"/>
                <w:vertAlign w:val="baseline"/>
                <w:lang w:val="en-US" w:eastAsia="zh-CN"/>
              </w:rPr>
              <w:t>/PE</w:t>
            </w:r>
          </w:p>
        </w:tc>
        <w:tc>
          <w:tcPr>
            <w:tcW w:w="1345" w:type="dxa"/>
          </w:tcPr>
          <w:p w14:paraId="7FE9DDD0">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Biolegend </w:t>
            </w:r>
          </w:p>
        </w:tc>
        <w:tc>
          <w:tcPr>
            <w:tcW w:w="1810" w:type="dxa"/>
          </w:tcPr>
          <w:p w14:paraId="742F2F62">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100706</w:t>
            </w:r>
          </w:p>
        </w:tc>
        <w:tc>
          <w:tcPr>
            <w:tcW w:w="1490" w:type="dxa"/>
          </w:tcPr>
          <w:p w14:paraId="01E87A0F">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53-6.7</w:t>
            </w:r>
          </w:p>
        </w:tc>
        <w:tc>
          <w:tcPr>
            <w:tcW w:w="1380" w:type="dxa"/>
          </w:tcPr>
          <w:p w14:paraId="0D2F7E4C">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3ABD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462F2B1D">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anti-CD4-APC</w:t>
            </w:r>
          </w:p>
        </w:tc>
        <w:tc>
          <w:tcPr>
            <w:tcW w:w="1345" w:type="dxa"/>
          </w:tcPr>
          <w:p w14:paraId="0E332533">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Biolegend </w:t>
            </w:r>
          </w:p>
        </w:tc>
        <w:tc>
          <w:tcPr>
            <w:tcW w:w="1810" w:type="dxa"/>
          </w:tcPr>
          <w:p w14:paraId="6223D632">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100516</w:t>
            </w:r>
          </w:p>
        </w:tc>
        <w:tc>
          <w:tcPr>
            <w:tcW w:w="1490" w:type="dxa"/>
          </w:tcPr>
          <w:p w14:paraId="46BADA03">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RM4-5</w:t>
            </w:r>
          </w:p>
        </w:tc>
        <w:tc>
          <w:tcPr>
            <w:tcW w:w="1380" w:type="dxa"/>
          </w:tcPr>
          <w:p w14:paraId="25E7604C">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0ACD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5CEDB327">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anti-CD5-EFLUOR 450 </w:t>
            </w:r>
          </w:p>
        </w:tc>
        <w:tc>
          <w:tcPr>
            <w:tcW w:w="1345" w:type="dxa"/>
          </w:tcPr>
          <w:p w14:paraId="4BA8E701">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Thermo Scientific</w:t>
            </w:r>
          </w:p>
        </w:tc>
        <w:tc>
          <w:tcPr>
            <w:tcW w:w="1810" w:type="dxa"/>
          </w:tcPr>
          <w:p w14:paraId="19BC8ABB">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48-0051-82</w:t>
            </w:r>
          </w:p>
        </w:tc>
        <w:tc>
          <w:tcPr>
            <w:tcW w:w="1490" w:type="dxa"/>
          </w:tcPr>
          <w:p w14:paraId="5B85EA7C">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57-7.3</w:t>
            </w:r>
          </w:p>
        </w:tc>
        <w:tc>
          <w:tcPr>
            <w:tcW w:w="1380" w:type="dxa"/>
          </w:tcPr>
          <w:p w14:paraId="13CA012C">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346C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6A83C258">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anti-CD69-PE</w:t>
            </w:r>
          </w:p>
        </w:tc>
        <w:tc>
          <w:tcPr>
            <w:tcW w:w="1345" w:type="dxa"/>
          </w:tcPr>
          <w:p w14:paraId="32BA3153">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BioLegend </w:t>
            </w:r>
          </w:p>
        </w:tc>
        <w:tc>
          <w:tcPr>
            <w:tcW w:w="1810" w:type="dxa"/>
          </w:tcPr>
          <w:p w14:paraId="375AA298">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104507</w:t>
            </w:r>
          </w:p>
        </w:tc>
        <w:tc>
          <w:tcPr>
            <w:tcW w:w="1490" w:type="dxa"/>
          </w:tcPr>
          <w:p w14:paraId="305917EE">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Clone H1.2F3</w:t>
            </w:r>
          </w:p>
        </w:tc>
        <w:tc>
          <w:tcPr>
            <w:tcW w:w="1380" w:type="dxa"/>
          </w:tcPr>
          <w:p w14:paraId="2EF00528">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6BC0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1" w:type="dxa"/>
          </w:tcPr>
          <w:p w14:paraId="1FD91C74">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nti-TCRB-PE</w:t>
            </w:r>
            <w:r>
              <w:rPr>
                <w:rFonts w:hint="eastAsia" w:ascii="Calibri" w:hAnsi="Calibri" w:eastAsia="宋体" w:cs="Calibri"/>
                <w:color w:val="000000"/>
                <w:sz w:val="21"/>
                <w:szCs w:val="21"/>
                <w:vertAlign w:val="baseline"/>
                <w:lang w:val="en-US" w:eastAsia="zh-CN"/>
              </w:rPr>
              <w:t>-</w:t>
            </w:r>
            <w:r>
              <w:rPr>
                <w:rFonts w:hint="default" w:ascii="Calibri" w:hAnsi="Calibri" w:eastAsia="宋体" w:cs="Calibri"/>
                <w:color w:val="000000"/>
                <w:sz w:val="21"/>
                <w:szCs w:val="21"/>
                <w:vertAlign w:val="baseline"/>
                <w:lang w:val="en-US" w:eastAsia="zh-CN"/>
              </w:rPr>
              <w:t>CY5</w:t>
            </w:r>
          </w:p>
        </w:tc>
        <w:tc>
          <w:tcPr>
            <w:tcW w:w="1345" w:type="dxa"/>
          </w:tcPr>
          <w:p w14:paraId="21A609F8">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 xml:space="preserve">BioLegend </w:t>
            </w:r>
          </w:p>
        </w:tc>
        <w:tc>
          <w:tcPr>
            <w:tcW w:w="1810" w:type="dxa"/>
          </w:tcPr>
          <w:p w14:paraId="39199282">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109222</w:t>
            </w:r>
          </w:p>
        </w:tc>
        <w:tc>
          <w:tcPr>
            <w:tcW w:w="1490" w:type="dxa"/>
          </w:tcPr>
          <w:p w14:paraId="3A59B9CA">
            <w:pPr>
              <w:jc w:val="left"/>
              <w:rPr>
                <w:rFonts w:hint="default" w:ascii="Calibri" w:hAnsi="Calibri" w:eastAsia="宋体" w:cs="Calibri"/>
                <w:color w:val="000000"/>
                <w:sz w:val="21"/>
                <w:szCs w:val="21"/>
                <w:vertAlign w:val="baseline"/>
                <w:lang w:val="en-US" w:eastAsia="zh-CN"/>
              </w:rPr>
            </w:pPr>
            <w:r>
              <w:rPr>
                <w:rFonts w:hint="default" w:ascii="Calibri" w:hAnsi="Calibri" w:eastAsia="宋体" w:cs="Calibri"/>
                <w:color w:val="000000"/>
                <w:sz w:val="21"/>
                <w:szCs w:val="21"/>
                <w:vertAlign w:val="baseline"/>
                <w:lang w:val="en-US" w:eastAsia="zh-CN"/>
              </w:rPr>
              <w:t>lone H57-597</w:t>
            </w:r>
          </w:p>
        </w:tc>
        <w:tc>
          <w:tcPr>
            <w:tcW w:w="1380" w:type="dxa"/>
          </w:tcPr>
          <w:p w14:paraId="5C8949ED">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bl>
    <w:p w14:paraId="157AA20C">
      <w:pPr>
        <w:jc w:val="left"/>
        <w:rPr>
          <w:rFonts w:hint="default" w:ascii="Calibri" w:hAnsi="Calibri" w:eastAsia="宋体" w:cs="Calibri"/>
          <w:color w:val="000000"/>
          <w:sz w:val="21"/>
          <w:szCs w:val="21"/>
          <w:lang w:val="en-US" w:eastAsia="zh-CN"/>
        </w:rPr>
      </w:pPr>
    </w:p>
    <w:p w14:paraId="67567A11">
      <w:pPr>
        <w:rPr>
          <w:rFonts w:hint="eastAsia"/>
          <w:b w:val="0"/>
          <w:bCs w:val="0"/>
          <w:lang w:val="en-US" w:eastAsia="zh-CN"/>
        </w:rPr>
      </w:pPr>
      <w:r>
        <w:rPr>
          <w:rFonts w:hint="eastAsia"/>
          <w:b w:val="0"/>
          <w:bCs w:val="0"/>
          <w:lang w:val="en-US" w:eastAsia="zh-CN"/>
        </w:rPr>
        <w:br w:type="page"/>
      </w:r>
    </w:p>
    <w:p w14:paraId="49F62790">
      <w:pPr>
        <w:jc w:val="left"/>
        <w:rPr>
          <w:rFonts w:hint="eastAsia" w:ascii="Calibri" w:hAnsi="Calibri" w:eastAsia="宋体" w:cs="Calibri"/>
          <w:color w:val="000000"/>
          <w:sz w:val="21"/>
          <w:szCs w:val="21"/>
          <w:lang w:val="en-US" w:eastAsia="zh-CN"/>
        </w:rPr>
      </w:pPr>
      <w:r>
        <w:rPr>
          <w:rFonts w:hint="eastAsia"/>
          <w:b w:val="0"/>
          <w:bCs w:val="0"/>
          <w:lang w:val="en-US" w:eastAsia="zh-CN"/>
        </w:rPr>
        <w:t>TableS3 The</w:t>
      </w:r>
      <w:r>
        <w:rPr>
          <w:rFonts w:hint="default" w:ascii="Calibri" w:hAnsi="Calibri" w:cs="Calibri"/>
          <w:b w:val="0"/>
          <w:bCs w:val="0"/>
          <w:sz w:val="21"/>
          <w:szCs w:val="21"/>
          <w:lang w:val="en-US" w:eastAsia="zh-CN"/>
        </w:rPr>
        <w:t xml:space="preserve"> </w:t>
      </w:r>
      <w:r>
        <w:rPr>
          <w:rFonts w:hint="default" w:ascii="Calibri" w:hAnsi="Calibri" w:eastAsia="Arial" w:cs="Calibri"/>
          <w:color w:val="000000"/>
          <w:sz w:val="21"/>
          <w:szCs w:val="21"/>
        </w:rPr>
        <w:t>antibodies information</w:t>
      </w:r>
      <w:r>
        <w:rPr>
          <w:rFonts w:hint="eastAsia" w:ascii="Calibri" w:hAnsi="Calibri" w:eastAsia="宋体" w:cs="Calibri"/>
          <w:color w:val="000000"/>
          <w:sz w:val="21"/>
          <w:szCs w:val="21"/>
          <w:lang w:val="en-US" w:eastAsia="zh-CN"/>
        </w:rPr>
        <w:t xml:space="preserve"> for Immunofluorescence and CUT&amp;Tag</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1165"/>
        <w:gridCol w:w="1107"/>
        <w:gridCol w:w="2968"/>
        <w:gridCol w:w="1106"/>
      </w:tblGrid>
      <w:tr w14:paraId="6D1F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8296" w:type="dxa"/>
            <w:gridSpan w:val="5"/>
            <w:tcBorders>
              <w:left w:val="single" w:color="auto" w:sz="4" w:space="0"/>
              <w:right w:val="single" w:color="auto" w:sz="4" w:space="0"/>
            </w:tcBorders>
          </w:tcPr>
          <w:p w14:paraId="7655D111">
            <w:pPr>
              <w:jc w:val="left"/>
              <w:rPr>
                <w:rFonts w:ascii="Arial" w:hAnsi="Arial" w:eastAsia="Arial" w:cs="Arial"/>
                <w:color w:val="000000"/>
                <w:sz w:val="18"/>
                <w:szCs w:val="18"/>
              </w:rPr>
            </w:pPr>
            <w:r>
              <w:rPr>
                <w:rFonts w:hint="eastAsia" w:ascii="Calibri" w:hAnsi="Calibri" w:eastAsia="宋体" w:cs="Calibri"/>
                <w:color w:val="000000"/>
                <w:sz w:val="21"/>
                <w:szCs w:val="21"/>
                <w:lang w:val="en-US" w:eastAsia="zh-CN"/>
              </w:rPr>
              <w:t>For Immunofluorescence</w:t>
            </w:r>
          </w:p>
        </w:tc>
      </w:tr>
      <w:tr w14:paraId="7289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977" w:type="dxa"/>
          </w:tcPr>
          <w:p w14:paraId="16EB9D31">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production</w:t>
            </w:r>
          </w:p>
        </w:tc>
        <w:tc>
          <w:tcPr>
            <w:tcW w:w="1191" w:type="dxa"/>
            <w:shd w:val="clear" w:color="auto" w:fill="auto"/>
            <w:vAlign w:val="top"/>
          </w:tcPr>
          <w:p w14:paraId="11595EAD">
            <w:pPr>
              <w:jc w:val="left"/>
              <w:rPr>
                <w:rFonts w:hint="eastAsia" w:ascii="Calibri" w:hAnsi="Calibri" w:eastAsia="宋体" w:cs="Calibri"/>
                <w:color w:val="000000"/>
                <w:kern w:val="2"/>
                <w:sz w:val="21"/>
                <w:szCs w:val="21"/>
                <w:vertAlign w:val="baseline"/>
                <w:lang w:val="en-US" w:eastAsia="zh-CN" w:bidi="ar-SA"/>
              </w:rPr>
            </w:pPr>
            <w:r>
              <w:rPr>
                <w:rFonts w:ascii="Arial" w:hAnsi="Arial" w:eastAsia="Arial" w:cs="Arial"/>
                <w:color w:val="000000"/>
                <w:sz w:val="18"/>
                <w:szCs w:val="18"/>
              </w:rPr>
              <w:t>suppliers</w:t>
            </w:r>
          </w:p>
        </w:tc>
        <w:tc>
          <w:tcPr>
            <w:tcW w:w="1109" w:type="dxa"/>
            <w:shd w:val="clear" w:color="auto" w:fill="auto"/>
            <w:vAlign w:val="top"/>
          </w:tcPr>
          <w:p w14:paraId="0FA6DD9F">
            <w:pPr>
              <w:jc w:val="left"/>
              <w:rPr>
                <w:rFonts w:hint="eastAsia" w:ascii="Calibri" w:hAnsi="Calibri" w:eastAsia="宋体" w:cs="Calibri"/>
                <w:color w:val="000000"/>
                <w:kern w:val="2"/>
                <w:sz w:val="21"/>
                <w:szCs w:val="21"/>
                <w:vertAlign w:val="baseline"/>
                <w:lang w:val="en-US" w:eastAsia="zh-CN" w:bidi="ar-SA"/>
              </w:rPr>
            </w:pPr>
            <w:r>
              <w:rPr>
                <w:rFonts w:ascii="Arial" w:hAnsi="Arial" w:eastAsia="Arial" w:cs="Arial"/>
                <w:color w:val="000000"/>
                <w:sz w:val="18"/>
                <w:szCs w:val="18"/>
              </w:rPr>
              <w:t>catalogue numbers</w:t>
            </w:r>
          </w:p>
        </w:tc>
        <w:tc>
          <w:tcPr>
            <w:tcW w:w="2881" w:type="dxa"/>
            <w:shd w:val="clear" w:color="auto" w:fill="auto"/>
            <w:vAlign w:val="top"/>
          </w:tcPr>
          <w:p w14:paraId="71A857AA">
            <w:pPr>
              <w:jc w:val="left"/>
              <w:rPr>
                <w:rFonts w:hint="default" w:ascii="Arial" w:hAnsi="Arial" w:eastAsia="宋体" w:cs="Arial"/>
                <w:color w:val="000000"/>
                <w:sz w:val="18"/>
                <w:szCs w:val="18"/>
                <w:lang w:val="en-US" w:eastAsia="zh-CN"/>
              </w:rPr>
            </w:pPr>
            <w:r>
              <w:rPr>
                <w:rFonts w:hint="eastAsia" w:ascii="Arial" w:hAnsi="Arial" w:eastAsia="宋体" w:cs="Arial"/>
                <w:color w:val="000000"/>
                <w:sz w:val="18"/>
                <w:szCs w:val="18"/>
                <w:lang w:val="en-US" w:eastAsia="zh-CN"/>
              </w:rPr>
              <w:t>clone</w:t>
            </w:r>
          </w:p>
        </w:tc>
        <w:tc>
          <w:tcPr>
            <w:tcW w:w="1138" w:type="dxa"/>
            <w:shd w:val="clear" w:color="auto" w:fill="auto"/>
            <w:vAlign w:val="top"/>
          </w:tcPr>
          <w:p w14:paraId="2973AD45">
            <w:pPr>
              <w:jc w:val="left"/>
              <w:rPr>
                <w:rFonts w:hint="eastAsia" w:ascii="Arial" w:hAnsi="Arial" w:eastAsia="Arial" w:cs="Arial"/>
                <w:color w:val="000000"/>
                <w:kern w:val="2"/>
                <w:sz w:val="18"/>
                <w:szCs w:val="18"/>
                <w:lang w:val="en-US" w:eastAsia="zh-CN" w:bidi="ar-SA"/>
              </w:rPr>
            </w:pPr>
            <w:r>
              <w:rPr>
                <w:rFonts w:ascii="Arial" w:hAnsi="Arial" w:eastAsia="Arial" w:cs="Arial"/>
                <w:color w:val="000000"/>
                <w:sz w:val="18"/>
                <w:szCs w:val="18"/>
              </w:rPr>
              <w:t>dilutions</w:t>
            </w:r>
          </w:p>
        </w:tc>
      </w:tr>
      <w:tr w14:paraId="498F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7" w:type="dxa"/>
          </w:tcPr>
          <w:p w14:paraId="0072A9EA">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anti-SATB1</w:t>
            </w:r>
          </w:p>
        </w:tc>
        <w:tc>
          <w:tcPr>
            <w:tcW w:w="1191" w:type="dxa"/>
          </w:tcPr>
          <w:p w14:paraId="2DDAD398">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abcam</w:t>
            </w:r>
          </w:p>
        </w:tc>
        <w:tc>
          <w:tcPr>
            <w:tcW w:w="1109" w:type="dxa"/>
          </w:tcPr>
          <w:p w14:paraId="364B4206">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ab109122</w:t>
            </w:r>
          </w:p>
        </w:tc>
        <w:tc>
          <w:tcPr>
            <w:tcW w:w="2881" w:type="dxa"/>
          </w:tcPr>
          <w:p w14:paraId="67307AE4">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Rabbit monoclonal [EPR3951]</w:t>
            </w:r>
          </w:p>
        </w:tc>
        <w:tc>
          <w:tcPr>
            <w:tcW w:w="1138" w:type="dxa"/>
          </w:tcPr>
          <w:p w14:paraId="5D8A3309">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1:200</w:t>
            </w:r>
          </w:p>
        </w:tc>
      </w:tr>
      <w:tr w14:paraId="629C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7" w:type="dxa"/>
          </w:tcPr>
          <w:p w14:paraId="2CE5C3AA">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anti-SATB1-AF647</w:t>
            </w:r>
          </w:p>
        </w:tc>
        <w:tc>
          <w:tcPr>
            <w:tcW w:w="1191" w:type="dxa"/>
          </w:tcPr>
          <w:p w14:paraId="004F68FD">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santa cruz</w:t>
            </w:r>
          </w:p>
        </w:tc>
        <w:tc>
          <w:tcPr>
            <w:tcW w:w="1109" w:type="dxa"/>
          </w:tcPr>
          <w:p w14:paraId="66F466A7">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sc-376096</w:t>
            </w:r>
          </w:p>
        </w:tc>
        <w:tc>
          <w:tcPr>
            <w:tcW w:w="2881" w:type="dxa"/>
          </w:tcPr>
          <w:p w14:paraId="14ED50AB">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Mouse monoclonal[C-6]</w:t>
            </w:r>
          </w:p>
        </w:tc>
        <w:tc>
          <w:tcPr>
            <w:tcW w:w="1138" w:type="dxa"/>
          </w:tcPr>
          <w:p w14:paraId="12C46EA8">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1:100</w:t>
            </w:r>
          </w:p>
        </w:tc>
      </w:tr>
      <w:tr w14:paraId="6359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7" w:type="dxa"/>
          </w:tcPr>
          <w:p w14:paraId="71A82CB7">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anti-Rabbit-AF647</w:t>
            </w:r>
          </w:p>
        </w:tc>
        <w:tc>
          <w:tcPr>
            <w:tcW w:w="1191" w:type="dxa"/>
          </w:tcPr>
          <w:p w14:paraId="6BE0729D">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Fdbio science</w:t>
            </w:r>
          </w:p>
        </w:tc>
        <w:tc>
          <w:tcPr>
            <w:tcW w:w="1109" w:type="dxa"/>
          </w:tcPr>
          <w:p w14:paraId="01F4EC36">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FD0144</w:t>
            </w:r>
          </w:p>
        </w:tc>
        <w:tc>
          <w:tcPr>
            <w:tcW w:w="2881" w:type="dxa"/>
          </w:tcPr>
          <w:p w14:paraId="44442D83">
            <w:pPr>
              <w:jc w:val="left"/>
              <w:rPr>
                <w:rFonts w:hint="eastAsia"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Mouse polyclonal</w:t>
            </w:r>
            <w:bookmarkStart w:id="0" w:name="_GoBack"/>
            <w:bookmarkEnd w:id="0"/>
          </w:p>
        </w:tc>
        <w:tc>
          <w:tcPr>
            <w:tcW w:w="1138" w:type="dxa"/>
          </w:tcPr>
          <w:p w14:paraId="7B95EE54">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vertAlign w:val="baseline"/>
                <w:lang w:val="en-US" w:eastAsia="zh-CN"/>
              </w:rPr>
              <w:t>1:200</w:t>
            </w:r>
          </w:p>
        </w:tc>
      </w:tr>
      <w:tr w14:paraId="0A7F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5"/>
            <w:shd w:val="clear" w:color="auto" w:fill="auto"/>
            <w:vAlign w:val="top"/>
          </w:tcPr>
          <w:p w14:paraId="23AEA1E7">
            <w:pPr>
              <w:jc w:val="left"/>
              <w:rPr>
                <w:rFonts w:hint="default" w:ascii="Calibri" w:hAnsi="Calibri" w:eastAsia="宋体" w:cs="Calibri"/>
                <w:color w:val="000000"/>
                <w:sz w:val="21"/>
                <w:szCs w:val="21"/>
                <w:vertAlign w:val="baseline"/>
                <w:lang w:val="en-US" w:eastAsia="zh-CN"/>
              </w:rPr>
            </w:pPr>
            <w:r>
              <w:rPr>
                <w:rFonts w:hint="eastAsia" w:ascii="Calibri" w:hAnsi="Calibri" w:eastAsia="宋体" w:cs="Calibri"/>
                <w:color w:val="000000"/>
                <w:sz w:val="21"/>
                <w:szCs w:val="21"/>
                <w:lang w:val="en-US" w:eastAsia="zh-CN"/>
              </w:rPr>
              <w:t>For CUT&amp;Tag</w:t>
            </w:r>
          </w:p>
        </w:tc>
      </w:tr>
      <w:tr w14:paraId="278E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7" w:type="dxa"/>
            <w:shd w:val="clear" w:color="auto" w:fill="auto"/>
            <w:vAlign w:val="top"/>
          </w:tcPr>
          <w:p w14:paraId="6C63DBAF">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anti-SATB1</w:t>
            </w:r>
          </w:p>
        </w:tc>
        <w:tc>
          <w:tcPr>
            <w:tcW w:w="1191" w:type="dxa"/>
            <w:shd w:val="clear" w:color="auto" w:fill="auto"/>
            <w:vAlign w:val="top"/>
          </w:tcPr>
          <w:p w14:paraId="69D7D31D">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abcam</w:t>
            </w:r>
          </w:p>
        </w:tc>
        <w:tc>
          <w:tcPr>
            <w:tcW w:w="1109" w:type="dxa"/>
            <w:shd w:val="clear" w:color="auto" w:fill="auto"/>
            <w:vAlign w:val="top"/>
          </w:tcPr>
          <w:p w14:paraId="2B1D0AC7">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ab109122</w:t>
            </w:r>
          </w:p>
        </w:tc>
        <w:tc>
          <w:tcPr>
            <w:tcW w:w="2881" w:type="dxa"/>
            <w:shd w:val="clear" w:color="auto" w:fill="auto"/>
            <w:vAlign w:val="top"/>
          </w:tcPr>
          <w:p w14:paraId="63864B81">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Rabbit monoclonal [EPR3951]</w:t>
            </w:r>
          </w:p>
        </w:tc>
        <w:tc>
          <w:tcPr>
            <w:tcW w:w="1138" w:type="dxa"/>
            <w:shd w:val="clear" w:color="auto" w:fill="auto"/>
            <w:vAlign w:val="top"/>
          </w:tcPr>
          <w:p w14:paraId="3259EC59">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1:200</w:t>
            </w:r>
          </w:p>
        </w:tc>
      </w:tr>
      <w:tr w14:paraId="7A0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3A227D57">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anti-H3K4me3</w:t>
            </w:r>
          </w:p>
        </w:tc>
        <w:tc>
          <w:tcPr>
            <w:tcW w:w="0" w:type="auto"/>
            <w:shd w:val="clear" w:color="auto" w:fill="auto"/>
            <w:vAlign w:val="top"/>
          </w:tcPr>
          <w:p w14:paraId="66374F3B">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Millipore</w:t>
            </w:r>
          </w:p>
        </w:tc>
        <w:tc>
          <w:tcPr>
            <w:tcW w:w="0" w:type="auto"/>
            <w:shd w:val="clear" w:color="auto" w:fill="auto"/>
            <w:vAlign w:val="top"/>
          </w:tcPr>
          <w:p w14:paraId="2CDAED7A">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04-745</w:t>
            </w:r>
          </w:p>
        </w:tc>
        <w:tc>
          <w:tcPr>
            <w:tcW w:w="0" w:type="auto"/>
            <w:shd w:val="clear" w:color="auto" w:fill="auto"/>
            <w:vAlign w:val="top"/>
          </w:tcPr>
          <w:p w14:paraId="22827B65">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Rabbit  monoclonal [MC315]</w:t>
            </w:r>
          </w:p>
        </w:tc>
        <w:tc>
          <w:tcPr>
            <w:tcW w:w="1138" w:type="dxa"/>
            <w:shd w:val="clear" w:color="auto" w:fill="auto"/>
            <w:vAlign w:val="top"/>
          </w:tcPr>
          <w:p w14:paraId="333979E1">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1:100</w:t>
            </w:r>
          </w:p>
        </w:tc>
      </w:tr>
      <w:tr w14:paraId="4617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71995B80">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 xml:space="preserve">anti-H3K27ac </w:t>
            </w:r>
          </w:p>
        </w:tc>
        <w:tc>
          <w:tcPr>
            <w:tcW w:w="0" w:type="auto"/>
            <w:shd w:val="clear" w:color="auto" w:fill="auto"/>
            <w:vAlign w:val="top"/>
          </w:tcPr>
          <w:p w14:paraId="3793D06D">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abcam</w:t>
            </w:r>
          </w:p>
        </w:tc>
        <w:tc>
          <w:tcPr>
            <w:tcW w:w="0" w:type="auto"/>
            <w:shd w:val="clear" w:color="auto" w:fill="auto"/>
            <w:vAlign w:val="top"/>
          </w:tcPr>
          <w:p w14:paraId="086486C6">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ab4729</w:t>
            </w:r>
          </w:p>
        </w:tc>
        <w:tc>
          <w:tcPr>
            <w:tcW w:w="0" w:type="auto"/>
            <w:shd w:val="clear" w:color="auto" w:fill="auto"/>
            <w:vAlign w:val="top"/>
          </w:tcPr>
          <w:p w14:paraId="7F2C9EB3">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Rabbit polyclonal</w:t>
            </w:r>
          </w:p>
        </w:tc>
        <w:tc>
          <w:tcPr>
            <w:tcW w:w="1138" w:type="dxa"/>
            <w:shd w:val="clear" w:color="auto" w:fill="auto"/>
            <w:vAlign w:val="top"/>
          </w:tcPr>
          <w:p w14:paraId="41D5C9B2">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1:100</w:t>
            </w:r>
          </w:p>
        </w:tc>
      </w:tr>
      <w:tr w14:paraId="73F4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75B6F9A3">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anti-CTCF</w:t>
            </w:r>
          </w:p>
        </w:tc>
        <w:tc>
          <w:tcPr>
            <w:tcW w:w="0" w:type="auto"/>
            <w:shd w:val="clear" w:color="auto" w:fill="auto"/>
            <w:vAlign w:val="top"/>
          </w:tcPr>
          <w:p w14:paraId="5998FDDE">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Millipore</w:t>
            </w:r>
          </w:p>
        </w:tc>
        <w:tc>
          <w:tcPr>
            <w:tcW w:w="0" w:type="auto"/>
            <w:shd w:val="clear" w:color="auto" w:fill="auto"/>
            <w:vAlign w:val="top"/>
          </w:tcPr>
          <w:p w14:paraId="5DECD609">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07-729</w:t>
            </w:r>
          </w:p>
        </w:tc>
        <w:tc>
          <w:tcPr>
            <w:tcW w:w="0" w:type="auto"/>
            <w:shd w:val="clear" w:color="auto" w:fill="auto"/>
            <w:vAlign w:val="top"/>
          </w:tcPr>
          <w:p w14:paraId="2D6D167E">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Rabbit polyclonal</w:t>
            </w:r>
          </w:p>
        </w:tc>
        <w:tc>
          <w:tcPr>
            <w:tcW w:w="1138" w:type="dxa"/>
            <w:shd w:val="clear" w:color="auto" w:fill="auto"/>
            <w:vAlign w:val="top"/>
          </w:tcPr>
          <w:p w14:paraId="496EFC7F">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1:100</w:t>
            </w:r>
          </w:p>
        </w:tc>
      </w:tr>
      <w:tr w14:paraId="5007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7BAF7593">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 xml:space="preserve">anti-RAD21 </w:t>
            </w:r>
          </w:p>
        </w:tc>
        <w:tc>
          <w:tcPr>
            <w:tcW w:w="0" w:type="auto"/>
            <w:shd w:val="clear" w:color="auto" w:fill="auto"/>
            <w:vAlign w:val="top"/>
          </w:tcPr>
          <w:p w14:paraId="5456F0DD">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abcam</w:t>
            </w:r>
          </w:p>
        </w:tc>
        <w:tc>
          <w:tcPr>
            <w:tcW w:w="0" w:type="auto"/>
            <w:shd w:val="clear" w:color="auto" w:fill="auto"/>
            <w:vAlign w:val="top"/>
          </w:tcPr>
          <w:p w14:paraId="0620D48A">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ab217678</w:t>
            </w:r>
          </w:p>
        </w:tc>
        <w:tc>
          <w:tcPr>
            <w:tcW w:w="0" w:type="auto"/>
            <w:shd w:val="clear" w:color="auto" w:fill="auto"/>
            <w:vAlign w:val="top"/>
          </w:tcPr>
          <w:p w14:paraId="178FEE9B">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 xml:space="preserve">Rabbit  polyclonal [EPR22506-15] </w:t>
            </w:r>
          </w:p>
        </w:tc>
        <w:tc>
          <w:tcPr>
            <w:tcW w:w="1138" w:type="dxa"/>
            <w:shd w:val="clear" w:color="auto" w:fill="auto"/>
            <w:vAlign w:val="top"/>
          </w:tcPr>
          <w:p w14:paraId="5E1B6C88">
            <w:pPr>
              <w:jc w:val="left"/>
              <w:rPr>
                <w:rFonts w:hint="eastAsia" w:ascii="Calibri" w:hAnsi="Calibri" w:eastAsia="宋体" w:cs="Calibri"/>
                <w:color w:val="000000"/>
                <w:kern w:val="2"/>
                <w:sz w:val="21"/>
                <w:szCs w:val="21"/>
                <w:vertAlign w:val="baseline"/>
                <w:lang w:val="en-US" w:eastAsia="zh-CN" w:bidi="ar-SA"/>
              </w:rPr>
            </w:pPr>
            <w:r>
              <w:rPr>
                <w:rFonts w:hint="eastAsia" w:ascii="Calibri" w:hAnsi="Calibri" w:eastAsia="宋体" w:cs="Calibri"/>
                <w:color w:val="000000"/>
                <w:sz w:val="21"/>
                <w:szCs w:val="21"/>
                <w:vertAlign w:val="baseline"/>
                <w:lang w:val="en-US" w:eastAsia="zh-CN"/>
              </w:rPr>
              <w:t>1:100</w:t>
            </w:r>
          </w:p>
        </w:tc>
      </w:tr>
    </w:tbl>
    <w:p w14:paraId="72C66D3F">
      <w:pPr>
        <w:rPr>
          <w:rFonts w:hint="eastAsia" w:ascii="Calibri" w:hAnsi="Calibri" w:eastAsia="宋体" w:cs="Calibri"/>
          <w:color w:val="000000"/>
          <w:sz w:val="21"/>
          <w:szCs w:val="21"/>
          <w:lang w:val="en-US" w:eastAsia="zh-CN"/>
        </w:rPr>
      </w:pPr>
    </w:p>
    <w:p w14:paraId="7E626928">
      <w:pPr>
        <w:jc w:val="left"/>
        <w:rPr>
          <w:rFonts w:hint="eastAsia" w:ascii="Calibri" w:hAnsi="Calibri" w:eastAsia="宋体" w:cs="Calibri"/>
          <w:color w:val="000000"/>
          <w:sz w:val="21"/>
          <w:szCs w:val="21"/>
          <w:lang w:val="en-US" w:eastAsia="zh-CN"/>
        </w:rPr>
      </w:pPr>
    </w:p>
    <w:p w14:paraId="64B1EF04">
      <w:pPr>
        <w:numPr>
          <w:ilvl w:val="0"/>
          <w:numId w:val="0"/>
        </w:num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B0604020202020204"/>
    <w:charset w:val="00"/>
    <w:family w:val="auto"/>
    <w:pitch w:val="default"/>
    <w:sig w:usb0="00000000" w:usb1="00000000"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0265F"/>
    <w:rsid w:val="000605DF"/>
    <w:rsid w:val="0006453C"/>
    <w:rsid w:val="00087408"/>
    <w:rsid w:val="0026629B"/>
    <w:rsid w:val="00286501"/>
    <w:rsid w:val="00343FE2"/>
    <w:rsid w:val="00405AAB"/>
    <w:rsid w:val="00780741"/>
    <w:rsid w:val="007A28DA"/>
    <w:rsid w:val="007E259F"/>
    <w:rsid w:val="00956EDF"/>
    <w:rsid w:val="009B2037"/>
    <w:rsid w:val="009E2B6F"/>
    <w:rsid w:val="00A20C1C"/>
    <w:rsid w:val="00B2430C"/>
    <w:rsid w:val="00D1150C"/>
    <w:rsid w:val="00E13A09"/>
    <w:rsid w:val="00FF65AF"/>
    <w:rsid w:val="03B943B3"/>
    <w:rsid w:val="04C96CE6"/>
    <w:rsid w:val="06043E3C"/>
    <w:rsid w:val="06E701D8"/>
    <w:rsid w:val="072004C0"/>
    <w:rsid w:val="0A320D47"/>
    <w:rsid w:val="0BC30111"/>
    <w:rsid w:val="0C063434"/>
    <w:rsid w:val="0C997996"/>
    <w:rsid w:val="0CA331A2"/>
    <w:rsid w:val="0D5E62C9"/>
    <w:rsid w:val="0E04740F"/>
    <w:rsid w:val="0E19612F"/>
    <w:rsid w:val="0E800239"/>
    <w:rsid w:val="0E9F1707"/>
    <w:rsid w:val="103145A0"/>
    <w:rsid w:val="116F6D46"/>
    <w:rsid w:val="1320265F"/>
    <w:rsid w:val="144C7353"/>
    <w:rsid w:val="1B0B0911"/>
    <w:rsid w:val="1D0432AA"/>
    <w:rsid w:val="1E2A5E59"/>
    <w:rsid w:val="1E9B2DB3"/>
    <w:rsid w:val="1EBB1A4A"/>
    <w:rsid w:val="1FA7250C"/>
    <w:rsid w:val="25120A61"/>
    <w:rsid w:val="2569146F"/>
    <w:rsid w:val="276C5C84"/>
    <w:rsid w:val="2BBD1A23"/>
    <w:rsid w:val="2D463E79"/>
    <w:rsid w:val="2E10009F"/>
    <w:rsid w:val="2F96119F"/>
    <w:rsid w:val="31A5722E"/>
    <w:rsid w:val="31EC595E"/>
    <w:rsid w:val="32702331"/>
    <w:rsid w:val="32E52E86"/>
    <w:rsid w:val="33067842"/>
    <w:rsid w:val="366E68DA"/>
    <w:rsid w:val="39AD25AF"/>
    <w:rsid w:val="3B535FCC"/>
    <w:rsid w:val="3C326368"/>
    <w:rsid w:val="3C75173D"/>
    <w:rsid w:val="3F551218"/>
    <w:rsid w:val="409B3943"/>
    <w:rsid w:val="44805189"/>
    <w:rsid w:val="44A030AA"/>
    <w:rsid w:val="47087F18"/>
    <w:rsid w:val="498123D5"/>
    <w:rsid w:val="4D2E00B9"/>
    <w:rsid w:val="56D16019"/>
    <w:rsid w:val="57081358"/>
    <w:rsid w:val="590B7824"/>
    <w:rsid w:val="5A445688"/>
    <w:rsid w:val="5EC211A3"/>
    <w:rsid w:val="5EE4309A"/>
    <w:rsid w:val="5EF47A90"/>
    <w:rsid w:val="606A2E4E"/>
    <w:rsid w:val="624367A1"/>
    <w:rsid w:val="6729654F"/>
    <w:rsid w:val="685E719B"/>
    <w:rsid w:val="68B62288"/>
    <w:rsid w:val="69F875E7"/>
    <w:rsid w:val="6A1707C7"/>
    <w:rsid w:val="6ABE192F"/>
    <w:rsid w:val="6AEB6B8E"/>
    <w:rsid w:val="6C3D203B"/>
    <w:rsid w:val="6E012444"/>
    <w:rsid w:val="6EDD106E"/>
    <w:rsid w:val="6F6170C9"/>
    <w:rsid w:val="6FCF41E8"/>
    <w:rsid w:val="74FC2BFE"/>
    <w:rsid w:val="7678122F"/>
    <w:rsid w:val="768B79D3"/>
    <w:rsid w:val="777C0999"/>
    <w:rsid w:val="78147890"/>
    <w:rsid w:val="793473E7"/>
    <w:rsid w:val="7B427F3E"/>
    <w:rsid w:val="7C94044F"/>
    <w:rsid w:val="7C96517A"/>
    <w:rsid w:val="7CD04D2E"/>
    <w:rsid w:val="7E121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0"/>
    <w:qFormat/>
    <w:uiPriority w:val="9"/>
    <w:pPr>
      <w:widowControl/>
      <w:spacing w:before="100" w:beforeAutospacing="1" w:after="100" w:afterAutospacing="1"/>
      <w:jc w:val="left"/>
      <w:outlineLvl w:val="1"/>
    </w:pPr>
    <w:rPr>
      <w:rFonts w:ascii="Times New Roman" w:hAnsi="Times New Roman" w:eastAsia="Times New Roman" w:cs="Times New Roman"/>
      <w:b/>
      <w:bCs/>
      <w:kern w:val="0"/>
      <w:sz w:val="36"/>
      <w:szCs w:val="36"/>
      <w:lang w:val="zh-CN"/>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unhideWhenUsed/>
    <w:qFormat/>
    <w:uiPriority w:val="99"/>
    <w:pPr>
      <w:widowControl/>
      <w:spacing w:before="100" w:beforeAutospacing="1" w:after="100" w:afterAutospacing="1"/>
      <w:jc w:val="left"/>
    </w:pPr>
    <w:rPr>
      <w:rFonts w:ascii="Times New Roman" w:hAnsi="Times New Roman" w:eastAsia="Times New Roman" w:cs="Times New Roman"/>
      <w:kern w:val="0"/>
      <w:sz w:val="24"/>
      <w:lang w:val="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Emphasis"/>
    <w:basedOn w:val="7"/>
    <w:qFormat/>
    <w:uiPriority w:val="20"/>
    <w:rPr>
      <w:i/>
      <w:iCs/>
    </w:rPr>
  </w:style>
  <w:style w:type="character" w:customStyle="1" w:styleId="10">
    <w:name w:val="Heading 2 Char"/>
    <w:basedOn w:val="7"/>
    <w:link w:val="2"/>
    <w:qFormat/>
    <w:uiPriority w:val="9"/>
    <w:rPr>
      <w:rFonts w:ascii="Times New Roman" w:hAnsi="Times New Roman" w:eastAsia="Times New Roman" w:cs="Times New Roman"/>
      <w:b/>
      <w:bCs/>
      <w:sz w:val="36"/>
      <w:szCs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3110</Words>
  <Characters>19159</Characters>
  <Lines>128</Lines>
  <Paragraphs>36</Paragraphs>
  <TotalTime>0</TotalTime>
  <ScaleCrop>false</ScaleCrop>
  <LinksUpToDate>false</LinksUpToDate>
  <CharactersWithSpaces>22075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2025-12-25T09:40:00Z</dcterms:created>
  <dc:creator>薛伟</dc:creator>
  <cp:lastModifiedBy>Xue Wei</cp:lastModifiedBy>
  <dcterms:modified xsi:type="dcterms:W3CDTF">2026-08-17T02:25:37Z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5B6F473E37DA4892BBF4112A82841FFE_13</vt:lpwstr>
  </property>
  <property fmtid="{D5CDD505-2E9C-101B-9397-08002B2CF9AE}" pid="4" name="KSOTemplateDocerSaveRecord">
    <vt:lpwstr>eyJoZGlkIjoiNDUwMTFkMDI3ZjBmZjczM2Q3M2EwOGI5M2VjYzUzMDkiLCJ1c2VySWQiOiI1MTcyNzg2OTIifQ==</vt:lpwstr>
  </property>
</Properties>
</file>