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C80" w:rsidRPr="002E4C7D" w:rsidRDefault="00276C80" w:rsidP="00BF778F">
      <w:pPr>
        <w:rPr>
          <w:rFonts w:cs="Times New Roman"/>
          <w:szCs w:val="24"/>
        </w:rPr>
      </w:pPr>
      <w:r w:rsidRPr="002E4C7D">
        <w:rPr>
          <w:rFonts w:cs="Times New Roman"/>
          <w:szCs w:val="24"/>
        </w:rPr>
        <w:t>Supplementary information for</w:t>
      </w:r>
    </w:p>
    <w:p w:rsidR="00276C80" w:rsidRPr="00011518" w:rsidRDefault="00276C80" w:rsidP="00BF778F">
      <w:pPr>
        <w:jc w:val="center"/>
        <w:rPr>
          <w:rFonts w:eastAsia="Batang" w:cs="Times New Roman"/>
          <w:b/>
          <w:spacing w:val="-10"/>
          <w:kern w:val="28"/>
          <w:szCs w:val="24"/>
          <w:lang w:eastAsia="ko-KR"/>
        </w:rPr>
      </w:pPr>
      <w:r w:rsidRPr="00011518">
        <w:rPr>
          <w:rFonts w:eastAsia="Batang" w:cs="Times New Roman"/>
          <w:b/>
          <w:spacing w:val="-10"/>
          <w:kern w:val="28"/>
          <w:szCs w:val="24"/>
          <w:lang w:eastAsia="ko-KR"/>
        </w:rPr>
        <w:t xml:space="preserve">Eradication of </w:t>
      </w:r>
      <w:r w:rsidR="0088397D" w:rsidRPr="0088397D">
        <w:rPr>
          <w:rFonts w:eastAsia="Batang" w:cs="Times New Roman"/>
          <w:b/>
          <w:i/>
          <w:color w:val="FF0000"/>
          <w:spacing w:val="-10"/>
          <w:kern w:val="28"/>
          <w:szCs w:val="24"/>
          <w:lang w:eastAsia="ko-KR"/>
        </w:rPr>
        <w:t>Pseudomona</w:t>
      </w:r>
      <w:r w:rsidRPr="0088397D">
        <w:rPr>
          <w:rFonts w:eastAsia="Batang" w:cs="Times New Roman"/>
          <w:b/>
          <w:i/>
          <w:color w:val="FF0000"/>
          <w:spacing w:val="-10"/>
          <w:kern w:val="28"/>
          <w:szCs w:val="24"/>
          <w:lang w:eastAsia="ko-KR"/>
        </w:rPr>
        <w:t>s</w:t>
      </w:r>
      <w:r w:rsidRPr="00011518">
        <w:rPr>
          <w:rFonts w:eastAsia="Batang" w:cs="Times New Roman"/>
          <w:b/>
          <w:i/>
          <w:spacing w:val="-10"/>
          <w:kern w:val="28"/>
          <w:szCs w:val="24"/>
          <w:lang w:eastAsia="ko-KR"/>
        </w:rPr>
        <w:t xml:space="preserve"> aeruginosa </w:t>
      </w:r>
      <w:r w:rsidRPr="00011518">
        <w:rPr>
          <w:rFonts w:eastAsia="Batang" w:cs="Times New Roman"/>
          <w:b/>
          <w:spacing w:val="-10"/>
          <w:kern w:val="28"/>
          <w:szCs w:val="24"/>
          <w:lang w:eastAsia="ko-KR"/>
        </w:rPr>
        <w:t xml:space="preserve">biofilms and persister cells using </w:t>
      </w:r>
      <w:r>
        <w:rPr>
          <w:rFonts w:eastAsia="Batang" w:cs="Times New Roman"/>
          <w:b/>
          <w:spacing w:val="-10"/>
          <w:kern w:val="28"/>
          <w:szCs w:val="24"/>
          <w:lang w:eastAsia="ko-KR"/>
        </w:rPr>
        <w:t xml:space="preserve">an </w:t>
      </w:r>
      <w:r w:rsidRPr="00011518">
        <w:rPr>
          <w:rFonts w:eastAsia="Batang" w:cs="Times New Roman"/>
          <w:b/>
          <w:spacing w:val="-10"/>
          <w:kern w:val="28"/>
          <w:szCs w:val="24"/>
          <w:lang w:eastAsia="ko-KR"/>
        </w:rPr>
        <w:t xml:space="preserve">electrochemical scaffold and enhanced antibiotic susceptibility </w:t>
      </w:r>
    </w:p>
    <w:p w:rsidR="00276C80" w:rsidRPr="002E4C7D" w:rsidRDefault="00276C80" w:rsidP="00BF778F">
      <w:pPr>
        <w:jc w:val="center"/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jc w:val="center"/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jc w:val="center"/>
        <w:rPr>
          <w:rFonts w:cs="Times New Roman"/>
          <w:color w:val="000000"/>
          <w:szCs w:val="24"/>
        </w:rPr>
      </w:pPr>
      <w:r w:rsidRPr="002E4C7D">
        <w:rPr>
          <w:rFonts w:cs="Times New Roman"/>
          <w:color w:val="000000"/>
          <w:szCs w:val="24"/>
        </w:rPr>
        <w:t>Sujala T Sultana</w:t>
      </w:r>
      <w:r w:rsidRPr="002E4C7D">
        <w:rPr>
          <w:rFonts w:cs="Times New Roman"/>
          <w:color w:val="000000"/>
          <w:szCs w:val="24"/>
          <w:vertAlign w:val="superscript"/>
        </w:rPr>
        <w:t>1</w:t>
      </w:r>
      <w:r w:rsidRPr="002E4C7D">
        <w:rPr>
          <w:rFonts w:cs="Times New Roman"/>
          <w:color w:val="000000"/>
          <w:szCs w:val="24"/>
        </w:rPr>
        <w:t>, Douglas R Call</w:t>
      </w:r>
      <w:r w:rsidRPr="002E4C7D">
        <w:rPr>
          <w:rFonts w:cs="Times New Roman"/>
          <w:color w:val="000000"/>
          <w:szCs w:val="24"/>
          <w:vertAlign w:val="superscript"/>
        </w:rPr>
        <w:t>2</w:t>
      </w:r>
      <w:r w:rsidRPr="002E4C7D">
        <w:rPr>
          <w:rFonts w:cs="Times New Roman"/>
          <w:color w:val="000000"/>
          <w:szCs w:val="24"/>
        </w:rPr>
        <w:t>, and Haluk Beyenal</w:t>
      </w:r>
      <w:r w:rsidRPr="002E4C7D">
        <w:rPr>
          <w:rFonts w:cs="Times New Roman"/>
          <w:color w:val="000000"/>
          <w:szCs w:val="24"/>
          <w:vertAlign w:val="superscript"/>
        </w:rPr>
        <w:t xml:space="preserve">1,* </w:t>
      </w:r>
    </w:p>
    <w:p w:rsidR="00276C80" w:rsidRPr="002E4C7D" w:rsidRDefault="00276C80" w:rsidP="00BF778F">
      <w:pPr>
        <w:rPr>
          <w:rFonts w:cs="Times New Roman"/>
          <w:color w:val="FF0000"/>
          <w:szCs w:val="24"/>
        </w:rPr>
      </w:pPr>
    </w:p>
    <w:p w:rsidR="00276C80" w:rsidRPr="002E4C7D" w:rsidRDefault="00276C80" w:rsidP="00BF778F">
      <w:pPr>
        <w:rPr>
          <w:rFonts w:cs="Times New Roman"/>
          <w:color w:val="FF0000"/>
          <w:szCs w:val="24"/>
        </w:rPr>
      </w:pPr>
    </w:p>
    <w:p w:rsidR="00276C80" w:rsidRPr="002E4C7D" w:rsidRDefault="00276C80" w:rsidP="00BF778F">
      <w:pPr>
        <w:rPr>
          <w:rFonts w:cs="Times New Roman"/>
          <w:color w:val="FF0000"/>
          <w:szCs w:val="24"/>
        </w:rPr>
      </w:pPr>
    </w:p>
    <w:p w:rsidR="00276C80" w:rsidRPr="002E4C7D" w:rsidRDefault="00276C80" w:rsidP="00BF778F">
      <w:pPr>
        <w:rPr>
          <w:rFonts w:cs="Times New Roman"/>
          <w:color w:val="FF0000"/>
          <w:szCs w:val="24"/>
        </w:rPr>
      </w:pPr>
    </w:p>
    <w:p w:rsidR="00276C80" w:rsidRPr="002E4C7D" w:rsidRDefault="00276C80" w:rsidP="00BF778F">
      <w:pPr>
        <w:rPr>
          <w:rFonts w:cs="Times New Roman"/>
          <w:color w:val="FF0000"/>
          <w:szCs w:val="24"/>
        </w:rPr>
      </w:pP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  <w:r w:rsidRPr="002E4C7D">
        <w:rPr>
          <w:rFonts w:cs="Times New Roman"/>
          <w:color w:val="000000"/>
          <w:szCs w:val="24"/>
          <w:vertAlign w:val="superscript"/>
        </w:rPr>
        <w:t>1</w:t>
      </w:r>
      <w:r w:rsidRPr="002E4C7D">
        <w:rPr>
          <w:rFonts w:cs="Times New Roman"/>
          <w:color w:val="000000"/>
          <w:szCs w:val="24"/>
        </w:rPr>
        <w:t>The Gene and Linda Voiland School of Chemical Engineering and Bioengineering, Washington State University, Pullman, WA 99163, USA</w:t>
      </w: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  <w:r w:rsidRPr="002E4C7D">
        <w:rPr>
          <w:rFonts w:cs="Times New Roman"/>
          <w:color w:val="000000"/>
          <w:szCs w:val="24"/>
          <w:vertAlign w:val="superscript"/>
        </w:rPr>
        <w:t>2</w:t>
      </w:r>
      <w:r w:rsidRPr="002E4C7D">
        <w:rPr>
          <w:rFonts w:cs="Times New Roman"/>
          <w:color w:val="000000"/>
          <w:szCs w:val="24"/>
        </w:rPr>
        <w:t>Paul G. Allen School for Global Animal Health, Washington State University, Pullman, WA 99163, USA</w:t>
      </w: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  <w:r w:rsidRPr="002E4C7D">
        <w:rPr>
          <w:rFonts w:cs="Times New Roman"/>
          <w:color w:val="000000"/>
          <w:szCs w:val="24"/>
          <w:vertAlign w:val="superscript"/>
        </w:rPr>
        <w:t>*</w:t>
      </w:r>
      <w:r w:rsidRPr="002E4C7D">
        <w:rPr>
          <w:rFonts w:cs="Times New Roman"/>
          <w:color w:val="000000"/>
          <w:szCs w:val="24"/>
        </w:rPr>
        <w:t xml:space="preserve">Corresponding author: </w:t>
      </w:r>
    </w:p>
    <w:p w:rsidR="00276C80" w:rsidRPr="002E4C7D" w:rsidRDefault="00276C80" w:rsidP="00BF778F">
      <w:pPr>
        <w:rPr>
          <w:rFonts w:cs="Times New Roman"/>
          <w:color w:val="000000"/>
          <w:szCs w:val="24"/>
        </w:rPr>
      </w:pPr>
    </w:p>
    <w:p w:rsidR="00276C80" w:rsidRPr="002E4C7D" w:rsidRDefault="00276C80" w:rsidP="00BF778F">
      <w:pPr>
        <w:rPr>
          <w:rFonts w:cs="Times New Roman"/>
          <w:b/>
          <w:szCs w:val="24"/>
        </w:rPr>
      </w:pPr>
      <w:r w:rsidRPr="002E4C7D">
        <w:rPr>
          <w:rFonts w:cs="Times New Roman"/>
          <w:color w:val="000000"/>
          <w:szCs w:val="24"/>
        </w:rPr>
        <w:t>Email: beyenal@wsu.edu; Telephone: +1-509-335-6607; Fax: +1-509-335-4806</w:t>
      </w:r>
    </w:p>
    <w:p w:rsidR="00276C80" w:rsidRDefault="00276C80" w:rsidP="00BF778F">
      <w:pPr>
        <w:rPr>
          <w:rFonts w:cs="Times New Roman"/>
          <w:szCs w:val="24"/>
        </w:rPr>
      </w:pPr>
    </w:p>
    <w:p w:rsidR="006B6787" w:rsidRPr="00C83ABC" w:rsidRDefault="006B6787" w:rsidP="006B6787">
      <w:pPr>
        <w:pStyle w:val="Caption"/>
        <w:tabs>
          <w:tab w:val="left" w:pos="4770"/>
        </w:tabs>
        <w:spacing w:after="0" w:line="480" w:lineRule="auto"/>
        <w:jc w:val="both"/>
        <w:rPr>
          <w:b/>
          <w:color w:val="FF0000"/>
        </w:rPr>
      </w:pPr>
      <w:r w:rsidRPr="00C83ABC">
        <w:rPr>
          <w:b/>
          <w:color w:val="FF0000"/>
        </w:rPr>
        <w:lastRenderedPageBreak/>
        <w:t xml:space="preserve">Electrochemical scaffold preparation. </w:t>
      </w:r>
      <w:r w:rsidRPr="00C83ABC">
        <w:rPr>
          <w:color w:val="FF0000"/>
        </w:rPr>
        <w:t>In this work, the purpose of the electrochemical scaffold (e-scaffold) working electrode was to hold a negative polarity to reduce atmospheric oxygen and generate H</w:t>
      </w:r>
      <w:r w:rsidRPr="00C83ABC">
        <w:rPr>
          <w:color w:val="FF0000"/>
          <w:vertAlign w:val="subscript"/>
        </w:rPr>
        <w:t>2</w:t>
      </w:r>
      <w:r w:rsidRPr="00C83ABC">
        <w:rPr>
          <w:color w:val="FF0000"/>
        </w:rPr>
        <w:t>O</w:t>
      </w:r>
      <w:r w:rsidRPr="00C83ABC">
        <w:rPr>
          <w:color w:val="FF0000"/>
          <w:vertAlign w:val="subscript"/>
        </w:rPr>
        <w:t>2</w:t>
      </w:r>
      <w:r w:rsidRPr="00C83ABC">
        <w:rPr>
          <w:color w:val="FF0000"/>
        </w:rPr>
        <w:t xml:space="preserve"> </w:t>
      </w:r>
      <w:r w:rsidR="00C83ABC">
        <w:rPr>
          <w:color w:val="FF0000"/>
        </w:rPr>
        <w:fldChar w:fldCharType="begin"/>
      </w:r>
      <w:r w:rsidR="00C83ABC">
        <w:rPr>
          <w:color w:val="FF0000"/>
        </w:rPr>
        <w:instrText xml:space="preserve"> ADDIN EN.CITE &lt;EndNote&gt;&lt;Cite&gt;&lt;Author&gt;Sultana&lt;/Author&gt;&lt;Year&gt;2015&lt;/Year&gt;&lt;IDText&gt;Electrochemical scaffold generates localized, low concentration of hydrogen peroxide that inhibits bacterial pathogens and biofilms&lt;/IDText&gt;&lt;DisplayText&gt;&lt;style face="superscript"&gt;1&lt;/style&gt;&lt;/DisplayText&gt;&lt;record&gt;&lt;dates&gt;&lt;pub-dates&gt;&lt;date&gt;10/14/online&lt;/date&gt;&lt;/pub-dates&gt;&lt;year&gt;2015&lt;/year&gt;&lt;/dates&gt;&lt;urls&gt;&lt;related-urls&gt;&lt;url&gt;http://dx.doi.org/10.1038/srep14908&lt;/url&gt;&lt;/related-urls&gt;&lt;/urls&gt;&lt;work-type&gt;Article&lt;/work-type&gt;&lt;titles&gt;&lt;title&gt;Electrochemical scaffold generates localized, low concentration of hydrogen peroxide that inhibits bacterial pathogens and biofilms&lt;/title&gt;&lt;secondary-title&gt;Scientific Reports&lt;/secondary-title&gt;&lt;/titles&gt;&lt;pages&gt;14908&lt;/pages&gt;&lt;contributors&gt;&lt;authors&gt;&lt;author&gt;Sultana, Sujala T.&lt;/author&gt;&lt;author&gt;Atci, Erhan&lt;/author&gt;&lt;author&gt;Babauta, Jerome T.&lt;/author&gt;&lt;author&gt;Mohamed Falghoush, Azeza&lt;/author&gt;&lt;author&gt;Snekvik, Kevin R.&lt;/author&gt;&lt;author&gt;Call, Douglas R.&lt;/author&gt;&lt;author&gt;Beyenal, Haluk&lt;/author&gt;&lt;/authors&gt;&lt;/contributors&gt;&lt;added-date format="utc"&gt;1444885149&lt;/added-date&gt;&lt;ref-type name="Journal Article"&gt;17&lt;/ref-type&gt;&lt;rec-number&gt;1123&lt;/rec-number&gt;&lt;publisher&gt;Macmillan Publishers Limited&lt;/publisher&gt;&lt;last-updated-date format="utc"&gt;1463465924&lt;/last-updated-date&gt;&lt;electronic-resource-num&gt;10.1038/srep14908&amp;#xD;http://www.nature.com/articles/srep14908#supplementary-information&lt;/electronic-resource-num&gt;&lt;volume&gt;5&lt;/volume&gt;&lt;/record&gt;&lt;/Cite&gt;&lt;/EndNote&gt;</w:instrText>
      </w:r>
      <w:r w:rsidR="00C83ABC">
        <w:rPr>
          <w:color w:val="FF0000"/>
        </w:rPr>
        <w:fldChar w:fldCharType="separate"/>
      </w:r>
      <w:r w:rsidR="00C83ABC" w:rsidRPr="00C83ABC">
        <w:rPr>
          <w:noProof/>
          <w:color w:val="FF0000"/>
          <w:vertAlign w:val="superscript"/>
        </w:rPr>
        <w:t>1</w:t>
      </w:r>
      <w:r w:rsidR="00C83ABC">
        <w:rPr>
          <w:color w:val="FF0000"/>
        </w:rPr>
        <w:fldChar w:fldCharType="end"/>
      </w:r>
      <w:r w:rsidRPr="00C83ABC">
        <w:rPr>
          <w:color w:val="FF0000"/>
        </w:rPr>
        <w:t>. To complete the electrochemical cell, we used a counter electrode and a custom-made Ag/AgCl reference electrode. A custom-built e-scaffold was fabricated using carbon fabric (Panex 30 PW-06, Zoltex Companies Inc., St Louis, MO). The fabric was cut into a circular shape (6.42 cm</w:t>
      </w:r>
      <w:r w:rsidRPr="00C83ABC">
        <w:rPr>
          <w:color w:val="FF0000"/>
          <w:vertAlign w:val="superscript"/>
        </w:rPr>
        <w:t>2</w:t>
      </w:r>
      <w:r w:rsidRPr="00C83ABC">
        <w:rPr>
          <w:color w:val="FF0000"/>
        </w:rPr>
        <w:t>) to serve as the e-scaffold, and a smaller circular carbon fabric “patch” (2.14 cm</w:t>
      </w:r>
      <w:r w:rsidRPr="00C83ABC">
        <w:rPr>
          <w:color w:val="FF0000"/>
          <w:vertAlign w:val="superscript"/>
        </w:rPr>
        <w:t>2</w:t>
      </w:r>
      <w:r w:rsidRPr="00C83ABC">
        <w:rPr>
          <w:color w:val="FF0000"/>
        </w:rPr>
        <w:t>) was used as the counter electrode. The counter electrode was attached to the e</w:t>
      </w:r>
      <w:r w:rsidR="00F6322B">
        <w:rPr>
          <w:color w:val="FF0000"/>
        </w:rPr>
        <w:noBreakHyphen/>
      </w:r>
      <w:r w:rsidRPr="00C83ABC">
        <w:rPr>
          <w:color w:val="FF0000"/>
        </w:rPr>
        <w:t>scaffold using a thin layer (~1 mm) of silicone rubber (DAP Dynaflex 230 Premium Indoor/Outdoor Sealant, catalog #18357), which provided insulation between the electrodes while still allowing oxygen to diffuse to the bottom surface of the e</w:t>
      </w:r>
      <w:r w:rsidRPr="00C83ABC">
        <w:rPr>
          <w:color w:val="FF0000"/>
        </w:rPr>
        <w:noBreakHyphen/>
        <w:t>scaffold for H</w:t>
      </w:r>
      <w:r w:rsidRPr="00C83ABC">
        <w:rPr>
          <w:color w:val="FF0000"/>
          <w:vertAlign w:val="subscript"/>
        </w:rPr>
        <w:t>2</w:t>
      </w:r>
      <w:r w:rsidRPr="00C83ABC">
        <w:rPr>
          <w:color w:val="FF0000"/>
        </w:rPr>
        <w:t>O</w:t>
      </w:r>
      <w:r w:rsidRPr="00C83ABC">
        <w:rPr>
          <w:color w:val="FF0000"/>
          <w:vertAlign w:val="subscript"/>
        </w:rPr>
        <w:t>2</w:t>
      </w:r>
      <w:r w:rsidRPr="00C83ABC">
        <w:rPr>
          <w:color w:val="FF0000"/>
        </w:rPr>
        <w:t xml:space="preserve"> generation.  For the controlled generation of H</w:t>
      </w:r>
      <w:r w:rsidRPr="00C83ABC">
        <w:rPr>
          <w:color w:val="FF0000"/>
          <w:vertAlign w:val="subscript"/>
        </w:rPr>
        <w:t>2</w:t>
      </w:r>
      <w:r w:rsidRPr="00C83ABC">
        <w:rPr>
          <w:color w:val="FF0000"/>
        </w:rPr>
        <w:t>O</w:t>
      </w:r>
      <w:r w:rsidRPr="00C83ABC">
        <w:rPr>
          <w:color w:val="FF0000"/>
          <w:vertAlign w:val="subscript"/>
        </w:rPr>
        <w:t>2</w:t>
      </w:r>
      <w:r w:rsidRPr="00C83ABC">
        <w:rPr>
          <w:color w:val="FF0000"/>
        </w:rPr>
        <w:t>, precise, accurate control of the potential of the e</w:t>
      </w:r>
      <w:r w:rsidRPr="00C83ABC">
        <w:rPr>
          <w:color w:val="FF0000"/>
        </w:rPr>
        <w:noBreakHyphen/>
        <w:t xml:space="preserve">scaffold is essential </w:t>
      </w:r>
      <w:r w:rsidRPr="00C83ABC">
        <w:rPr>
          <w:color w:val="FF0000"/>
        </w:rPr>
        <w:fldChar w:fldCharType="begin"/>
      </w:r>
      <w:r w:rsidR="00C83ABC">
        <w:rPr>
          <w:color w:val="FF0000"/>
        </w:rPr>
        <w:instrText xml:space="preserve"> ADDIN EN.CITE &lt;EndNote&gt;&lt;Cite&gt;&lt;Author&gt;Istanbullu&lt;/Author&gt;&lt;Year&gt;2012&lt;/Year&gt;&lt;IDText&gt;Electrochemical biofilm control: mechanism of action&lt;/IDText&gt;&lt;DisplayText&gt;&lt;style face="superscript"&gt;2&lt;/style&gt;&lt;/DisplayText&gt;&lt;record&gt;&lt;dates&gt;&lt;pub-dates&gt;&lt;date&gt;2012&lt;/date&gt;&lt;/pub-dates&gt;&lt;year&gt;2012&lt;/year&gt;&lt;/dates&gt;&lt;urls&gt;&lt;related-urls&gt;&lt;url&gt;&amp;lt;Go to ISI&amp;gt;://WOS:000306741400001&lt;/url&gt;&lt;/related-urls&gt;&lt;/urls&gt;&lt;isbn&gt;0892-7014&lt;/isbn&gt;&lt;titles&gt;&lt;title&gt;Electrochemical biofilm control: mechanism of action&lt;/title&gt;&lt;secondary-title&gt;Biofouling&lt;/secondary-title&gt;&lt;/titles&gt;&lt;pages&gt;769-778&lt;/pages&gt;&lt;number&gt;8&lt;/number&gt;&lt;contributors&gt;&lt;authors&gt;&lt;author&gt;Istanbullu, Ozlem&lt;/author&gt;&lt;author&gt;Babauta, Jerome&lt;/author&gt;&lt;author&gt;Hung Duc, Nguyen&lt;/author&gt;&lt;author&gt;Beyenal, Haluk&lt;/author&gt;&lt;/authors&gt;&lt;/contributors&gt;&lt;added-date format="utc"&gt;1442523492&lt;/added-date&gt;&lt;ref-type name="Journal Article"&gt;17&lt;/ref-type&gt;&lt;rec-number&gt;1081&lt;/rec-number&gt;&lt;last-updated-date format="utc"&gt;1442811248&lt;/last-updated-date&gt;&lt;accession-num&gt;WOS:000306741400001&lt;/accession-num&gt;&lt;electronic-resource-num&gt;10.1080/08927014.2012.707651&lt;/electronic-resource-num&gt;&lt;volume&gt;28&lt;/volume&gt;&lt;/record&gt;&lt;/Cite&gt;&lt;/EndNote&gt;</w:instrText>
      </w:r>
      <w:r w:rsidRPr="00C83ABC">
        <w:rPr>
          <w:color w:val="FF0000"/>
        </w:rPr>
        <w:fldChar w:fldCharType="separate"/>
      </w:r>
      <w:r w:rsidR="00C83ABC" w:rsidRPr="00C83ABC">
        <w:rPr>
          <w:noProof/>
          <w:color w:val="FF0000"/>
          <w:vertAlign w:val="superscript"/>
        </w:rPr>
        <w:t>2</w:t>
      </w:r>
      <w:r w:rsidRPr="00C83ABC">
        <w:rPr>
          <w:color w:val="FF0000"/>
        </w:rPr>
        <w:fldChar w:fldCharType="end"/>
      </w:r>
      <w:r w:rsidRPr="00C83ABC">
        <w:rPr>
          <w:color w:val="FF0000"/>
        </w:rPr>
        <w:t>, and this was achieved using a Gamry Series G 300™ potentiostat (Gamry Instruments, Warminster, PA, USA) in conjunction with a saturated Ag/AgCl reference electrode</w:t>
      </w:r>
      <w:r w:rsidR="00A067A4">
        <w:rPr>
          <w:color w:val="FF0000"/>
        </w:rPr>
        <w:t> </w:t>
      </w:r>
      <w:r w:rsidRPr="00C83ABC">
        <w:rPr>
          <w:color w:val="FF0000"/>
        </w:rPr>
        <w:fldChar w:fldCharType="begin"/>
      </w:r>
      <w:r w:rsidR="00C83ABC">
        <w:rPr>
          <w:color w:val="FF0000"/>
        </w:rPr>
        <w:instrText xml:space="preserve"> ADDIN EN.CITE &lt;EndNote&gt;&lt;Cite&gt;&lt;Author&gt;Lewandowski&lt;/Author&gt;&lt;Year&gt;2013&lt;/Year&gt;&lt;IDText&gt;Fundamentals of Biofilm Research&lt;/IDText&gt;&lt;DisplayText&gt;&lt;style face="superscript"&gt;3&lt;/style&gt;&lt;/DisplayText&gt;&lt;record&gt;&lt;urls&gt;&lt;related-urls&gt;&lt;url&gt;http://books.google.com/books?id=xCItAgAAQBAJ&lt;/url&gt;&lt;/related-urls&gt;&lt;/urls&gt;&lt;isbn&gt;9781466559592&lt;/isbn&gt;&lt;titles&gt;&lt;title&gt;Fundamentals of Biofilm Research&lt;/title&gt;&lt;/titles&gt;&lt;contributors&gt;&lt;authors&gt;&lt;author&gt;Lewandowski, Z.&lt;/author&gt;&lt;author&gt;Beyenal, H.&lt;/author&gt;&lt;/authors&gt;&lt;/contributors&gt;&lt;added-date format="utc"&gt;1414647826&lt;/added-date&gt;&lt;pub-location&gt;Boca Raton, FL&lt;/pub-location&gt;&lt;ref-type name="Book"&gt;6&lt;/ref-type&gt;&lt;dates&gt;&lt;year&gt;2013&lt;/year&gt;&lt;/dates&gt;&lt;rec-number&gt;564&lt;/rec-number&gt;&lt;publisher&gt;CRC Press&lt;/publisher&gt;&lt;last-updated-date format="utc"&gt;1449471627&lt;/last-updated-date&gt;&lt;/record&gt;&lt;/Cite&gt;&lt;/EndNote&gt;</w:instrText>
      </w:r>
      <w:r w:rsidRPr="00C83ABC">
        <w:rPr>
          <w:color w:val="FF0000"/>
        </w:rPr>
        <w:fldChar w:fldCharType="separate"/>
      </w:r>
      <w:r w:rsidR="00C83ABC" w:rsidRPr="00C83ABC">
        <w:rPr>
          <w:noProof/>
          <w:color w:val="FF0000"/>
          <w:vertAlign w:val="superscript"/>
        </w:rPr>
        <w:t>3</w:t>
      </w:r>
      <w:r w:rsidRPr="00C83ABC">
        <w:rPr>
          <w:color w:val="FF0000"/>
        </w:rPr>
        <w:fldChar w:fldCharType="end"/>
      </w:r>
      <w:r w:rsidRPr="00C83ABC">
        <w:rPr>
          <w:color w:val="FF0000"/>
        </w:rPr>
        <w:t>. Ti wires (0.025 Ti, Malin Co., Cleveland, OH, Lot #27567) were used as external connections to the potentiostat, and the connection resistance was consistently &lt;2 Ω. The e</w:t>
      </w:r>
      <w:r w:rsidR="00A067A4">
        <w:rPr>
          <w:color w:val="FF0000"/>
        </w:rPr>
        <w:noBreakHyphen/>
      </w:r>
      <w:r w:rsidRPr="00C83ABC">
        <w:rPr>
          <w:color w:val="FF0000"/>
        </w:rPr>
        <w:t xml:space="preserve">scaffold was overlaid onto biofilms grown </w:t>
      </w:r>
      <w:r w:rsidRPr="00C83ABC">
        <w:rPr>
          <w:i/>
          <w:color w:val="FF0000"/>
        </w:rPr>
        <w:t>in vitro</w:t>
      </w:r>
      <w:r w:rsidRPr="00C83ABC">
        <w:rPr>
          <w:color w:val="FF0000"/>
        </w:rPr>
        <w:t>. This configuration allowed the ventral surface of the e</w:t>
      </w:r>
      <w:r w:rsidRPr="00C83ABC">
        <w:rPr>
          <w:color w:val="FF0000"/>
        </w:rPr>
        <w:noBreakHyphen/>
        <w:t xml:space="preserve">scaffold to be exposed directly to biofilms. </w:t>
      </w:r>
    </w:p>
    <w:p w:rsidR="00B0758E" w:rsidRPr="002E4C7D" w:rsidRDefault="00B0758E" w:rsidP="00BF778F">
      <w:pPr>
        <w:rPr>
          <w:rFonts w:cs="Times New Roman"/>
          <w:szCs w:val="24"/>
        </w:rPr>
      </w:pPr>
    </w:p>
    <w:p w:rsidR="00276C80" w:rsidRDefault="006B6787" w:rsidP="00BF778F">
      <w:pPr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15C7178D" wp14:editId="11DF36E5">
            <wp:simplePos x="0" y="0"/>
            <wp:positionH relativeFrom="column">
              <wp:posOffset>1082650</wp:posOffset>
            </wp:positionH>
            <wp:positionV relativeFrom="paragraph">
              <wp:posOffset>0</wp:posOffset>
            </wp:positionV>
            <wp:extent cx="3765692" cy="2806797"/>
            <wp:effectExtent l="0" t="0" r="635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 S.1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4" r="1008"/>
                    <a:stretch/>
                  </pic:blipFill>
                  <pic:spPr bwMode="auto">
                    <a:xfrm>
                      <a:off x="0" y="0"/>
                      <a:ext cx="3765692" cy="2806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76C80" w:rsidRPr="002E4C7D" w:rsidRDefault="00276C80" w:rsidP="00BF778F">
      <w:pPr>
        <w:rPr>
          <w:rFonts w:cs="Times New Roman"/>
          <w:szCs w:val="24"/>
        </w:rPr>
      </w:pPr>
      <w:r w:rsidRPr="002E4C7D">
        <w:rPr>
          <w:rFonts w:cs="Times New Roman"/>
          <w:szCs w:val="24"/>
        </w:rPr>
        <w:t xml:space="preserve">Fig. S. </w:t>
      </w:r>
      <w:r w:rsidRPr="002E4C7D">
        <w:rPr>
          <w:rFonts w:cs="Times New Roman"/>
          <w:szCs w:val="24"/>
        </w:rPr>
        <w:fldChar w:fldCharType="begin"/>
      </w:r>
      <w:r w:rsidRPr="002E4C7D">
        <w:rPr>
          <w:rFonts w:cs="Times New Roman"/>
          <w:szCs w:val="24"/>
        </w:rPr>
        <w:instrText xml:space="preserve"> SEQ Fig._S. \* ARABIC </w:instrText>
      </w:r>
      <w:r w:rsidRPr="002E4C7D">
        <w:rPr>
          <w:rFonts w:cs="Times New Roman"/>
          <w:szCs w:val="24"/>
        </w:rPr>
        <w:fldChar w:fldCharType="separate"/>
      </w:r>
      <w:r w:rsidR="00021338">
        <w:rPr>
          <w:rFonts w:cs="Times New Roman"/>
          <w:noProof/>
          <w:szCs w:val="24"/>
        </w:rPr>
        <w:t>1</w:t>
      </w:r>
      <w:r w:rsidRPr="002E4C7D">
        <w:rPr>
          <w:rFonts w:cs="Times New Roman"/>
          <w:szCs w:val="24"/>
        </w:rPr>
        <w:fldChar w:fldCharType="end"/>
      </w:r>
      <w:r w:rsidRPr="002E4C7D">
        <w:rPr>
          <w:rFonts w:cs="Times New Roman"/>
          <w:szCs w:val="24"/>
        </w:rPr>
        <w:t xml:space="preserve">. </w:t>
      </w:r>
      <w:r w:rsidRPr="002E4C7D">
        <w:rPr>
          <w:rFonts w:cs="Times New Roman"/>
          <w:iCs/>
          <w:szCs w:val="24"/>
        </w:rPr>
        <w:t xml:space="preserve">Viability of </w:t>
      </w:r>
      <w:r w:rsidRPr="002E4C7D">
        <w:rPr>
          <w:rFonts w:cs="Times New Roman"/>
          <w:i/>
          <w:iCs/>
          <w:szCs w:val="24"/>
        </w:rPr>
        <w:t xml:space="preserve">P. aeruginosa </w:t>
      </w:r>
      <w:r w:rsidRPr="002E4C7D">
        <w:rPr>
          <w:rFonts w:cs="Times New Roman"/>
          <w:iCs/>
          <w:szCs w:val="24"/>
        </w:rPr>
        <w:t xml:space="preserve">PAO1 cells after </w:t>
      </w:r>
      <w:r w:rsidR="00A067A4">
        <w:rPr>
          <w:rFonts w:cs="Times New Roman"/>
          <w:iCs/>
          <w:szCs w:val="24"/>
        </w:rPr>
        <w:t xml:space="preserve">a </w:t>
      </w:r>
      <w:r w:rsidRPr="002E4C7D">
        <w:rPr>
          <w:rFonts w:cs="Times New Roman"/>
          <w:iCs/>
          <w:szCs w:val="24"/>
        </w:rPr>
        <w:t>3.5</w:t>
      </w:r>
      <w:r w:rsidR="00A067A4">
        <w:rPr>
          <w:rFonts w:cs="Times New Roman"/>
          <w:iCs/>
          <w:szCs w:val="24"/>
        </w:rPr>
        <w:noBreakHyphen/>
      </w:r>
      <w:r w:rsidRPr="002E4C7D">
        <w:rPr>
          <w:rFonts w:cs="Times New Roman"/>
          <w:iCs/>
          <w:szCs w:val="24"/>
        </w:rPr>
        <w:t xml:space="preserve">h treatment of </w:t>
      </w:r>
      <w:r w:rsidR="00A067A4">
        <w:rPr>
          <w:rFonts w:cs="Times New Roman"/>
          <w:iCs/>
          <w:szCs w:val="24"/>
        </w:rPr>
        <w:t xml:space="preserve">a </w:t>
      </w:r>
      <w:r w:rsidRPr="002E4C7D">
        <w:rPr>
          <w:rFonts w:cs="Times New Roman"/>
          <w:iCs/>
          <w:szCs w:val="24"/>
        </w:rPr>
        <w:t>planktonic stationary</w:t>
      </w:r>
      <w:r w:rsidRPr="002E4C7D">
        <w:rPr>
          <w:rFonts w:cs="Times New Roman"/>
          <w:szCs w:val="24"/>
        </w:rPr>
        <w:t xml:space="preserve"> phase culture. </w:t>
      </w:r>
      <w:r w:rsidR="00A067A4">
        <w:rPr>
          <w:rFonts w:cs="Times New Roman"/>
          <w:szCs w:val="24"/>
        </w:rPr>
        <w:t>The m</w:t>
      </w:r>
      <w:r w:rsidRPr="002E4C7D">
        <w:rPr>
          <w:rFonts w:cs="Times New Roman"/>
          <w:szCs w:val="24"/>
        </w:rPr>
        <w:t xml:space="preserve">ajority of </w:t>
      </w:r>
      <w:r w:rsidRPr="002E4C7D">
        <w:rPr>
          <w:rFonts w:cs="Times New Roman"/>
          <w:i/>
          <w:szCs w:val="24"/>
        </w:rPr>
        <w:t>P. aeruginosa</w:t>
      </w:r>
      <w:r w:rsidRPr="002E4C7D">
        <w:rPr>
          <w:rFonts w:cs="Times New Roman"/>
          <w:szCs w:val="24"/>
        </w:rPr>
        <w:t xml:space="preserve"> PAO1 cells were k</w:t>
      </w:r>
      <w:r>
        <w:rPr>
          <w:rFonts w:cs="Times New Roman"/>
          <w:szCs w:val="24"/>
        </w:rPr>
        <w:t>illed by less than 50</w:t>
      </w:r>
      <w:r w:rsidR="00A067A4">
        <w:rPr>
          <w:rFonts w:cs="Times New Roman"/>
          <w:szCs w:val="24"/>
        </w:rPr>
        <w:t> </w:t>
      </w:r>
      <w:r>
        <w:rPr>
          <w:rFonts w:cs="Times New Roman"/>
          <w:szCs w:val="24"/>
        </w:rPr>
        <w:t>μg/mL of c</w:t>
      </w:r>
      <w:r w:rsidRPr="002E4C7D">
        <w:rPr>
          <w:rFonts w:cs="Times New Roman"/>
          <w:szCs w:val="24"/>
        </w:rPr>
        <w:t>ip</w:t>
      </w:r>
      <w:r>
        <w:rPr>
          <w:rFonts w:cs="Times New Roman"/>
          <w:szCs w:val="24"/>
        </w:rPr>
        <w:t>rofloxacin</w:t>
      </w:r>
      <w:r w:rsidRPr="002E4C7D">
        <w:rPr>
          <w:rFonts w:cs="Times New Roman"/>
          <w:szCs w:val="24"/>
        </w:rPr>
        <w:t xml:space="preserve">, while a small portion </w:t>
      </w:r>
      <w:r>
        <w:rPr>
          <w:rFonts w:cs="Times New Roman"/>
          <w:szCs w:val="24"/>
        </w:rPr>
        <w:t xml:space="preserve">survived </w:t>
      </w:r>
      <w:r w:rsidRPr="002E4C7D">
        <w:rPr>
          <w:rFonts w:cs="Times New Roman"/>
          <w:szCs w:val="24"/>
        </w:rPr>
        <w:t xml:space="preserve">the challenge of </w:t>
      </w:r>
      <w:r>
        <w:rPr>
          <w:rFonts w:cs="Times New Roman"/>
          <w:szCs w:val="24"/>
        </w:rPr>
        <w:t>c</w:t>
      </w:r>
      <w:r w:rsidRPr="002E4C7D">
        <w:rPr>
          <w:rFonts w:cs="Times New Roman"/>
          <w:szCs w:val="24"/>
        </w:rPr>
        <w:t>ip</w:t>
      </w:r>
      <w:r>
        <w:rPr>
          <w:rFonts w:cs="Times New Roman"/>
          <w:szCs w:val="24"/>
        </w:rPr>
        <w:t>rofloxacin</w:t>
      </w:r>
      <w:r w:rsidRPr="002E4C7D">
        <w:rPr>
          <w:rFonts w:cs="Times New Roman"/>
          <w:szCs w:val="24"/>
        </w:rPr>
        <w:t xml:space="preserve"> at concentrations up to 200 μg/mL. Thus</w:t>
      </w:r>
      <w:r w:rsidR="00A067A4">
        <w:rPr>
          <w:rFonts w:cs="Times New Roman"/>
          <w:szCs w:val="24"/>
        </w:rPr>
        <w:t>.</w:t>
      </w:r>
      <w:r w:rsidRPr="002E4C7D">
        <w:rPr>
          <w:rFonts w:cs="Times New Roman"/>
          <w:szCs w:val="24"/>
        </w:rPr>
        <w:t xml:space="preserve"> 200 μg/mL </w:t>
      </w:r>
      <w:r>
        <w:rPr>
          <w:rFonts w:cs="Times New Roman"/>
          <w:szCs w:val="24"/>
        </w:rPr>
        <w:t>c</w:t>
      </w:r>
      <w:r w:rsidRPr="002E4C7D">
        <w:rPr>
          <w:rFonts w:cs="Times New Roman"/>
          <w:szCs w:val="24"/>
        </w:rPr>
        <w:t>ip</w:t>
      </w:r>
      <w:r>
        <w:rPr>
          <w:rFonts w:cs="Times New Roman"/>
          <w:szCs w:val="24"/>
        </w:rPr>
        <w:t>rofloxacin</w:t>
      </w:r>
      <w:r w:rsidRPr="002E4C7D">
        <w:rPr>
          <w:rFonts w:cs="Times New Roman"/>
          <w:szCs w:val="24"/>
        </w:rPr>
        <w:t xml:space="preserve"> was chosen to eliminate regular cells </w:t>
      </w:r>
      <w:r w:rsidR="00A067A4" w:rsidRPr="002E4C7D">
        <w:rPr>
          <w:rFonts w:cs="Times New Roman"/>
          <w:szCs w:val="24"/>
        </w:rPr>
        <w:t xml:space="preserve">completely </w:t>
      </w:r>
      <w:r w:rsidRPr="002E4C7D">
        <w:rPr>
          <w:rFonts w:cs="Times New Roman"/>
          <w:szCs w:val="24"/>
        </w:rPr>
        <w:t xml:space="preserve">from biofilms </w:t>
      </w:r>
      <w:r w:rsidR="00A067A4">
        <w:rPr>
          <w:rFonts w:cs="Times New Roman"/>
          <w:szCs w:val="24"/>
        </w:rPr>
        <w:t xml:space="preserve">grown for 24 h </w:t>
      </w:r>
      <w:r w:rsidRPr="002E4C7D">
        <w:rPr>
          <w:rFonts w:cs="Times New Roman"/>
          <w:szCs w:val="24"/>
        </w:rPr>
        <w:t xml:space="preserve">and isolate biofilm-associated control persister cells for further experiments </w:t>
      </w:r>
      <w:r w:rsidRPr="002E4C7D">
        <w:rPr>
          <w:rFonts w:cs="Times New Roman"/>
          <w:szCs w:val="24"/>
        </w:rPr>
        <w:fldChar w:fldCharType="begin">
          <w:fldData xml:space="preserve">PEVuZE5vdGU+PENpdGU+PEF1dGhvcj5OaWVwYTwvQXV0aG9yPjxZZWFyPjIwMTI8L1llYXI+PElE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</w:fldData>
        </w:fldChar>
      </w:r>
      <w:r w:rsidR="00C83ABC">
        <w:rPr>
          <w:rFonts w:cs="Times New Roman"/>
          <w:szCs w:val="24"/>
        </w:rPr>
        <w:instrText xml:space="preserve"> ADDIN EN.CITE </w:instrText>
      </w:r>
      <w:r w:rsidR="00C83ABC">
        <w:rPr>
          <w:rFonts w:cs="Times New Roman"/>
          <w:szCs w:val="24"/>
        </w:rPr>
        <w:fldChar w:fldCharType="begin">
          <w:fldData xml:space="preserve">PEVuZE5vdGU+PENpdGU+PEF1dGhvcj5OaWVwYTwvQXV0aG9yPjxZZWFyPjIwMTI8L1llYXI+PElE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</w:fldData>
        </w:fldChar>
      </w:r>
      <w:r w:rsidR="00C83ABC">
        <w:rPr>
          <w:rFonts w:cs="Times New Roman"/>
          <w:szCs w:val="24"/>
        </w:rPr>
        <w:instrText xml:space="preserve"> ADDIN EN.CITE.DATA </w:instrText>
      </w:r>
      <w:r w:rsidR="00C83ABC">
        <w:rPr>
          <w:rFonts w:cs="Times New Roman"/>
          <w:szCs w:val="24"/>
        </w:rPr>
      </w:r>
      <w:r w:rsidR="00C83ABC">
        <w:rPr>
          <w:rFonts w:cs="Times New Roman"/>
          <w:szCs w:val="24"/>
        </w:rPr>
        <w:fldChar w:fldCharType="end"/>
      </w:r>
      <w:r w:rsidRPr="002E4C7D">
        <w:rPr>
          <w:rFonts w:cs="Times New Roman"/>
          <w:szCs w:val="24"/>
        </w:rPr>
      </w:r>
      <w:r w:rsidRPr="002E4C7D">
        <w:rPr>
          <w:rFonts w:cs="Times New Roman"/>
          <w:szCs w:val="24"/>
        </w:rPr>
        <w:fldChar w:fldCharType="separate"/>
      </w:r>
      <w:r w:rsidR="00C83ABC" w:rsidRPr="00C83ABC">
        <w:rPr>
          <w:rFonts w:cs="Times New Roman"/>
          <w:noProof/>
          <w:szCs w:val="24"/>
          <w:vertAlign w:val="superscript"/>
        </w:rPr>
        <w:t>4,5</w:t>
      </w:r>
      <w:r w:rsidRPr="002E4C7D">
        <w:rPr>
          <w:rFonts w:cs="Times New Roman"/>
          <w:szCs w:val="24"/>
        </w:rPr>
        <w:fldChar w:fldCharType="end"/>
      </w:r>
      <w:r w:rsidRPr="002E4C7D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r w:rsidRPr="002E4C7D">
        <w:rPr>
          <w:rFonts w:cs="Times New Roman"/>
          <w:szCs w:val="24"/>
        </w:rPr>
        <w:t xml:space="preserve">Error bars represent standard errors of means for at least </w:t>
      </w:r>
      <w:r w:rsidR="00A067A4">
        <w:rPr>
          <w:rFonts w:cs="Times New Roman"/>
          <w:szCs w:val="24"/>
        </w:rPr>
        <w:t>three</w:t>
      </w:r>
      <w:r w:rsidR="00A067A4" w:rsidRPr="002E4C7D">
        <w:rPr>
          <w:rFonts w:cs="Times New Roman"/>
          <w:szCs w:val="24"/>
        </w:rPr>
        <w:t xml:space="preserve"> </w:t>
      </w:r>
      <w:r w:rsidRPr="002E4C7D">
        <w:rPr>
          <w:rFonts w:cs="Times New Roman"/>
          <w:szCs w:val="24"/>
        </w:rPr>
        <w:t>biological replicates.</w:t>
      </w:r>
    </w:p>
    <w:p w:rsidR="00276C80" w:rsidRPr="002E4C7D" w:rsidRDefault="00276C80" w:rsidP="00BF778F">
      <w:pPr>
        <w:rPr>
          <w:rFonts w:cs="Times New Roman"/>
          <w:szCs w:val="24"/>
        </w:rPr>
      </w:pPr>
    </w:p>
    <w:p w:rsidR="00276C80" w:rsidRPr="002E4C7D" w:rsidRDefault="00276C80" w:rsidP="00BF778F">
      <w:pPr>
        <w:jc w:val="both"/>
        <w:rPr>
          <w:rFonts w:cs="Times New Roman"/>
          <w:szCs w:val="24"/>
        </w:rPr>
      </w:pPr>
      <w:r w:rsidRPr="002E4C7D">
        <w:rPr>
          <w:rFonts w:eastAsia="Calibri" w:cs="Times New Roman"/>
          <w:b/>
          <w:szCs w:val="24"/>
        </w:rPr>
        <w:t xml:space="preserve">Determining minimum inhibitory concentration. </w:t>
      </w:r>
      <w:r w:rsidRPr="002E4C7D">
        <w:rPr>
          <w:rFonts w:eastAsia="Calibri" w:cs="Times New Roman"/>
          <w:szCs w:val="24"/>
        </w:rPr>
        <w:t xml:space="preserve">Overnight </w:t>
      </w:r>
      <w:r w:rsidRPr="002E4C7D">
        <w:rPr>
          <w:rFonts w:cs="Times New Roman"/>
          <w:szCs w:val="24"/>
        </w:rPr>
        <w:t xml:space="preserve">cultures were prepared from untreated biofilm cells, persister cells from </w:t>
      </w:r>
      <w:r>
        <w:rPr>
          <w:rFonts w:cs="Times New Roman"/>
          <w:szCs w:val="24"/>
        </w:rPr>
        <w:t>c</w:t>
      </w:r>
      <w:r w:rsidRPr="002E4C7D">
        <w:rPr>
          <w:rFonts w:cs="Times New Roman"/>
          <w:szCs w:val="24"/>
        </w:rPr>
        <w:t>ip</w:t>
      </w:r>
      <w:r>
        <w:rPr>
          <w:rFonts w:cs="Times New Roman"/>
          <w:szCs w:val="24"/>
        </w:rPr>
        <w:t>rofloxacin</w:t>
      </w:r>
      <w:r w:rsidRPr="002E4C7D">
        <w:rPr>
          <w:rFonts w:cs="Times New Roman"/>
          <w:szCs w:val="24"/>
        </w:rPr>
        <w:t xml:space="preserve">-treated biofilms and e-scaffold treated cells. Cultures were grown to </w:t>
      </w:r>
      <w:r w:rsidR="00A067A4">
        <w:rPr>
          <w:rFonts w:cs="Times New Roman"/>
          <w:szCs w:val="24"/>
        </w:rPr>
        <w:t xml:space="preserve">the </w:t>
      </w:r>
      <w:r w:rsidRPr="002E4C7D">
        <w:rPr>
          <w:rFonts w:cs="Times New Roman"/>
          <w:szCs w:val="24"/>
        </w:rPr>
        <w:t>stationary phase (OD</w:t>
      </w:r>
      <w:r w:rsidRPr="002E4C7D">
        <w:rPr>
          <w:rFonts w:cs="Times New Roman"/>
          <w:szCs w:val="24"/>
          <w:vertAlign w:val="subscript"/>
        </w:rPr>
        <w:t>600</w:t>
      </w:r>
      <w:r w:rsidRPr="002E4C7D">
        <w:rPr>
          <w:rFonts w:cs="Times New Roman"/>
          <w:szCs w:val="24"/>
        </w:rPr>
        <w:t xml:space="preserve"> ≈ 1) </w:t>
      </w:r>
      <w:r w:rsidRPr="002E4C7D">
        <w:rPr>
          <w:rFonts w:cs="Times New Roman"/>
          <w:szCs w:val="24"/>
        </w:rPr>
        <w:fldChar w:fldCharType="begin"/>
      </w:r>
      <w:r w:rsidR="00C83ABC">
        <w:rPr>
          <w:rFonts w:cs="Times New Roman"/>
          <w:szCs w:val="24"/>
        </w:rPr>
        <w:instrText xml:space="preserve"> ADDIN EN.CITE &lt;EndNote&gt;&lt;Cite&gt;&lt;Author&gt;Mulcahy&lt;/Author&gt;&lt;Year&gt;2010&lt;/Year&gt;&lt;IDText&gt;Emergence of Pseudomonas aeruginosa strains producing high levels of persister cells in patients with cystic fibrosis&lt;/IDText&gt;&lt;DisplayText&gt;&lt;style face="superscript"&gt;6&lt;/style&gt;&lt;/DisplayText&gt;&lt;record&gt;&lt;dates&gt;&lt;pub-dates&gt;&lt;date&gt;Dec&lt;/date&gt;&lt;/pub-dates&gt;&lt;year&gt;2010&lt;/year&gt;&lt;/dates&gt;&lt;keywords&gt;&lt;keyword&gt;Anti-Bacterial Agents/pharmacology&lt;/keyword&gt;&lt;keyword&gt;Bacterial Proteins/genetics&lt;/keyword&gt;&lt;keyword&gt;Carrier State/*microbiology&lt;/keyword&gt;&lt;keyword&gt;Cystic Fibrosis/*complications/*microbiology&lt;/keyword&gt;&lt;keyword&gt;Drug Resistance, Multiple, Bacterial&lt;/keyword&gt;&lt;keyword&gt;Humans&lt;/keyword&gt;&lt;keyword&gt;Microbial Sensitivity Tests&lt;/keyword&gt;&lt;keyword&gt;MutS DNA Mismatch-Binding Protein/genetics&lt;/keyword&gt;&lt;keyword&gt;Pseudomonas Infections/*microbiology&lt;/keyword&gt;&lt;keyword&gt;Pseudomonas aeruginosa/drug effects/genetics/*growth &amp;amp; development/*pathogenicity&lt;/keyword&gt;&lt;/keywords&gt;&lt;isbn&gt;0021-9193&lt;/isbn&gt;&lt;custom2&gt;PMC2981199&lt;/custom2&gt;&lt;titles&gt;&lt;title&gt;Emergence of Pseudomonas aeruginosa strains producing high levels of persister cells in patients with cystic fibrosis&lt;/title&gt;&lt;secondary-title&gt;J Bacteriol&lt;/secondary-title&gt;&lt;alt-title&gt;Journal of bacteriology&lt;/alt-title&gt;&lt;/titles&gt;&lt;pages&gt;6191-9&lt;/pages&gt;&lt;number&gt;23&lt;/number&gt;&lt;contributors&gt;&lt;authors&gt;&lt;author&gt;Mulcahy, L. R.&lt;/author&gt;&lt;author&gt;Burns, J. L.&lt;/author&gt;&lt;author&gt;Lory, S.&lt;/author&gt;&lt;author&gt;Lewis, K.&lt;/author&gt;&lt;/authors&gt;&lt;/contributors&gt;&lt;edition&gt;2010/10/12&lt;/edition&gt;&lt;language&gt;eng&lt;/language&gt;&lt;added-date format="utc"&gt;1443684315&lt;/added-date&gt;&lt;ref-type name="Journal Article"&gt;17&lt;/ref-type&gt;&lt;auth-address&gt;Department of Biology and Antimicrobial Discovery Center, Northeastern University, Boston, Massachusetts 02115, USA.&lt;/auth-address&gt;&lt;remote-database-provider&gt;NLM&lt;/remote-database-provider&gt;&lt;rec-number&gt;1101&lt;/rec-number&gt;&lt;last-updated-date format="utc"&gt;1443684315&lt;/last-updated-date&gt;&lt;accession-num&gt;20935098&lt;/accession-num&gt;&lt;electronic-resource-num&gt;10.1128/jb.01651-09&lt;/electronic-resource-num&gt;&lt;volume&gt;192&lt;/volume&gt;&lt;/record&gt;&lt;/Cite&gt;&lt;/EndNote&gt;</w:instrText>
      </w:r>
      <w:r w:rsidRPr="002E4C7D">
        <w:rPr>
          <w:rFonts w:cs="Times New Roman"/>
          <w:szCs w:val="24"/>
        </w:rPr>
        <w:fldChar w:fldCharType="separate"/>
      </w:r>
      <w:r w:rsidR="00C83ABC" w:rsidRPr="00C83ABC">
        <w:rPr>
          <w:rFonts w:cs="Times New Roman"/>
          <w:noProof/>
          <w:szCs w:val="24"/>
          <w:vertAlign w:val="superscript"/>
        </w:rPr>
        <w:t>6</w:t>
      </w:r>
      <w:r w:rsidRPr="002E4C7D">
        <w:rPr>
          <w:rFonts w:cs="Times New Roman"/>
          <w:szCs w:val="24"/>
        </w:rPr>
        <w:fldChar w:fldCharType="end"/>
      </w:r>
      <w:r w:rsidRPr="002E4C7D">
        <w:rPr>
          <w:rFonts w:cs="Times New Roman"/>
          <w:szCs w:val="24"/>
        </w:rPr>
        <w:t>,  then diluted to OD</w:t>
      </w:r>
      <w:r w:rsidRPr="002E4C7D">
        <w:rPr>
          <w:rFonts w:cs="Times New Roman"/>
          <w:szCs w:val="24"/>
          <w:vertAlign w:val="subscript"/>
        </w:rPr>
        <w:t>600</w:t>
      </w:r>
      <w:r w:rsidRPr="002E4C7D">
        <w:rPr>
          <w:rFonts w:cs="Times New Roman"/>
          <w:szCs w:val="24"/>
        </w:rPr>
        <w:t xml:space="preserve"> ≈ 0.01</w:t>
      </w:r>
      <w:r w:rsidR="00A067A4">
        <w:rPr>
          <w:rFonts w:cs="Times New Roman"/>
          <w:szCs w:val="24"/>
        </w:rPr>
        <w:t>,</w:t>
      </w:r>
      <w:r w:rsidRPr="002E4C7D">
        <w:rPr>
          <w:rFonts w:cs="Times New Roman"/>
          <w:szCs w:val="24"/>
        </w:rPr>
        <w:t xml:space="preserve"> and the</w:t>
      </w:r>
      <w:r w:rsidR="00A067A4">
        <w:rPr>
          <w:rFonts w:cs="Times New Roman"/>
          <w:szCs w:val="24"/>
        </w:rPr>
        <w:t xml:space="preserve"> minimum inhibitory concentration</w:t>
      </w:r>
      <w:r w:rsidR="00A5779D">
        <w:rPr>
          <w:rFonts w:cs="Times New Roman"/>
          <w:szCs w:val="24"/>
        </w:rPr>
        <w:t>s</w:t>
      </w:r>
      <w:r w:rsidRPr="002E4C7D">
        <w:rPr>
          <w:rFonts w:cs="Times New Roman"/>
          <w:szCs w:val="24"/>
        </w:rPr>
        <w:t xml:space="preserve"> </w:t>
      </w:r>
      <w:r w:rsidR="00A067A4">
        <w:rPr>
          <w:rFonts w:cs="Times New Roman"/>
          <w:szCs w:val="24"/>
        </w:rPr>
        <w:t>(</w:t>
      </w:r>
      <w:r w:rsidRPr="002E4C7D">
        <w:rPr>
          <w:rFonts w:cs="Times New Roman"/>
          <w:szCs w:val="24"/>
        </w:rPr>
        <w:t>MIC</w:t>
      </w:r>
      <w:r w:rsidR="00A5779D">
        <w:rPr>
          <w:rFonts w:cs="Times New Roman"/>
          <w:szCs w:val="24"/>
        </w:rPr>
        <w:t>s</w:t>
      </w:r>
      <w:r w:rsidR="00A067A4">
        <w:rPr>
          <w:rFonts w:cs="Times New Roman"/>
          <w:szCs w:val="24"/>
        </w:rPr>
        <w:t>)</w:t>
      </w:r>
      <w:r w:rsidRPr="002E4C7D">
        <w:rPr>
          <w:rFonts w:cs="Times New Roman"/>
          <w:szCs w:val="24"/>
        </w:rPr>
        <w:t xml:space="preserve"> for ciprofloxacin and tobramycin </w:t>
      </w:r>
      <w:r w:rsidR="00A5779D" w:rsidRPr="002E4C7D">
        <w:rPr>
          <w:rFonts w:cs="Times New Roman"/>
          <w:szCs w:val="24"/>
        </w:rPr>
        <w:t>w</w:t>
      </w:r>
      <w:r w:rsidR="00A5779D">
        <w:rPr>
          <w:rFonts w:cs="Times New Roman"/>
          <w:szCs w:val="24"/>
        </w:rPr>
        <w:t>ere</w:t>
      </w:r>
      <w:r w:rsidR="00A5779D" w:rsidRPr="002E4C7D">
        <w:rPr>
          <w:rFonts w:cs="Times New Roman"/>
          <w:szCs w:val="24"/>
        </w:rPr>
        <w:t xml:space="preserve"> </w:t>
      </w:r>
      <w:r w:rsidRPr="002E4C7D">
        <w:rPr>
          <w:rFonts w:cs="Times New Roman"/>
          <w:szCs w:val="24"/>
        </w:rPr>
        <w:t xml:space="preserve">estimated </w:t>
      </w:r>
      <w:r w:rsidRPr="002E4C7D">
        <w:rPr>
          <w:rFonts w:cs="Times New Roman"/>
          <w:szCs w:val="24"/>
        </w:rPr>
        <w:fldChar w:fldCharType="begin"/>
      </w:r>
      <w:r w:rsidR="00C83ABC">
        <w:rPr>
          <w:rFonts w:cs="Times New Roman"/>
          <w:szCs w:val="24"/>
        </w:rPr>
        <w:instrText xml:space="preserve"> ADDIN EN.CITE &lt;EndNote&gt;&lt;Cite&gt;&lt;Author&gt;Cockerill&lt;/Author&gt;&lt;Year&gt;2012&lt;/Year&gt;&lt;IDText&gt;Methods for dilution antimicrobial susceptibility tests for bacteria that grow aerobically: approved standard&lt;/IDText&gt;&lt;DisplayText&gt;&lt;style face="superscript"&gt;7&lt;/style&gt;&lt;/DisplayText&gt;&lt;record&gt;&lt;isbn&gt;1562387839&lt;/isbn&gt;&lt;titles&gt;&lt;title&gt;Methods for dilution antimicrobial susceptibility tests for bacteria that grow aerobically: approved standard&lt;/title&gt;&lt;/titles&gt;&lt;contributors&gt;&lt;authors&gt;&lt;author&gt;Cockerill, Franklin&lt;/author&gt;&lt;/authors&gt;&lt;/contributors&gt;&lt;added-date format="utc"&gt;1453838363&lt;/added-date&gt;&lt;ref-type name="Book"&gt;6&lt;/ref-type&gt;&lt;dates&gt;&lt;year&gt;2012&lt;/year&gt;&lt;/dates&gt;&lt;rec-number&gt;1304&lt;/rec-number&gt;&lt;publisher&gt;Clinical and Laboratory Standards Institute&lt;/publisher&gt;&lt;last-updated-date format="utc"&gt;1453838363&lt;/last-updated-date&gt;&lt;/record&gt;&lt;/Cite&gt;&lt;/EndNote&gt;</w:instrText>
      </w:r>
      <w:r w:rsidRPr="002E4C7D">
        <w:rPr>
          <w:rFonts w:cs="Times New Roman"/>
          <w:szCs w:val="24"/>
        </w:rPr>
        <w:fldChar w:fldCharType="separate"/>
      </w:r>
      <w:r w:rsidR="00C83ABC" w:rsidRPr="00C83ABC">
        <w:rPr>
          <w:rFonts w:cs="Times New Roman"/>
          <w:noProof/>
          <w:szCs w:val="24"/>
          <w:vertAlign w:val="superscript"/>
        </w:rPr>
        <w:t>7</w:t>
      </w:r>
      <w:r w:rsidRPr="002E4C7D">
        <w:rPr>
          <w:rFonts w:cs="Times New Roman"/>
          <w:szCs w:val="24"/>
        </w:rPr>
        <w:fldChar w:fldCharType="end"/>
      </w:r>
      <w:r w:rsidRPr="002E4C7D">
        <w:rPr>
          <w:rFonts w:cs="Times New Roman"/>
          <w:szCs w:val="24"/>
        </w:rPr>
        <w:t>. Briefly, 50</w:t>
      </w:r>
      <w:r w:rsidR="00A067A4">
        <w:rPr>
          <w:rFonts w:cs="Times New Roman"/>
          <w:szCs w:val="24"/>
        </w:rPr>
        <w:noBreakHyphen/>
      </w:r>
      <w:r w:rsidRPr="002E4C7D">
        <w:rPr>
          <w:rFonts w:cs="Times New Roman"/>
          <w:szCs w:val="24"/>
        </w:rPr>
        <w:t xml:space="preserve">μl aliquots of diluted culture were challenged with serial 2-fold dilutions of ciprofloxacin and tobramycin in 96-well plates and cultured 20 hrs. Culture without antibiotic </w:t>
      </w:r>
      <w:r w:rsidRPr="002E4C7D">
        <w:rPr>
          <w:rFonts w:cs="Times New Roman"/>
          <w:szCs w:val="24"/>
        </w:rPr>
        <w:lastRenderedPageBreak/>
        <w:t xml:space="preserve">was used as </w:t>
      </w:r>
      <w:r w:rsidR="00A067A4">
        <w:rPr>
          <w:rFonts w:cs="Times New Roman"/>
          <w:szCs w:val="24"/>
        </w:rPr>
        <w:t xml:space="preserve">a </w:t>
      </w:r>
      <w:r w:rsidRPr="002E4C7D">
        <w:rPr>
          <w:rFonts w:cs="Times New Roman"/>
          <w:szCs w:val="24"/>
        </w:rPr>
        <w:t>growth control</w:t>
      </w:r>
      <w:r w:rsidR="00A067A4">
        <w:rPr>
          <w:rFonts w:cs="Times New Roman"/>
          <w:szCs w:val="24"/>
        </w:rPr>
        <w:t>,</w:t>
      </w:r>
      <w:r w:rsidRPr="002E4C7D">
        <w:rPr>
          <w:rFonts w:cs="Times New Roman"/>
          <w:szCs w:val="24"/>
        </w:rPr>
        <w:t xml:space="preserve"> and cell-free medium was considered a sterile control. The MIC was considered the lowest antibiotic concentration sufficient to inhibit growth compared to the fresh culture</w:t>
      </w:r>
      <w:r>
        <w:rPr>
          <w:rFonts w:cs="Times New Roman"/>
          <w:szCs w:val="24"/>
        </w:rPr>
        <w:t>.</w:t>
      </w:r>
      <w:r w:rsidRPr="002E4C7D">
        <w:rPr>
          <w:rFonts w:cs="Times New Roman"/>
          <w:szCs w:val="24"/>
        </w:rPr>
        <w:t xml:space="preserve"> </w:t>
      </w:r>
    </w:p>
    <w:p w:rsidR="00276C80" w:rsidRPr="002E4C7D" w:rsidRDefault="00276C80" w:rsidP="00BF778F">
      <w:pPr>
        <w:rPr>
          <w:rFonts w:cs="Times New Roman"/>
          <w:color w:val="000000" w:themeColor="text1"/>
          <w:szCs w:val="24"/>
        </w:rPr>
      </w:pPr>
    </w:p>
    <w:p w:rsidR="00276C80" w:rsidRPr="002E4C7D" w:rsidRDefault="00276C80" w:rsidP="00BF778F">
      <w:pPr>
        <w:rPr>
          <w:rFonts w:cs="Times New Roman"/>
          <w:szCs w:val="24"/>
        </w:rPr>
      </w:pPr>
      <w:r w:rsidRPr="002E4C7D">
        <w:rPr>
          <w:rFonts w:cs="Times New Roman"/>
          <w:color w:val="000000" w:themeColor="text1"/>
          <w:szCs w:val="24"/>
        </w:rPr>
        <w:t xml:space="preserve">The tobramycin and ciprofloxacin MICs for fresh culture, e-scaffold treated biofilm cells and persister cells isolated from </w:t>
      </w:r>
      <w:r>
        <w:rPr>
          <w:rFonts w:cs="Times New Roman"/>
          <w:szCs w:val="24"/>
        </w:rPr>
        <w:t>c</w:t>
      </w:r>
      <w:r w:rsidRPr="002E4C7D">
        <w:rPr>
          <w:rFonts w:cs="Times New Roman"/>
          <w:szCs w:val="24"/>
        </w:rPr>
        <w:t>ip</w:t>
      </w:r>
      <w:r>
        <w:rPr>
          <w:rFonts w:cs="Times New Roman"/>
          <w:szCs w:val="24"/>
        </w:rPr>
        <w:t>rofloxacin</w:t>
      </w:r>
      <w:r w:rsidRPr="002E4C7D">
        <w:rPr>
          <w:rFonts w:cs="Times New Roman"/>
          <w:color w:val="000000" w:themeColor="text1"/>
          <w:szCs w:val="24"/>
        </w:rPr>
        <w:t>-treated biofilms were essentially identical (</w:t>
      </w:r>
      <w:r w:rsidRPr="002E4C7D">
        <w:rPr>
          <w:rFonts w:cs="Times New Roman"/>
          <w:szCs w:val="24"/>
        </w:rPr>
        <w:t xml:space="preserve">≈ 2 µg/ml for </w:t>
      </w:r>
      <w:r>
        <w:rPr>
          <w:rFonts w:cs="Times New Roman"/>
          <w:szCs w:val="24"/>
        </w:rPr>
        <w:t>tobramycin</w:t>
      </w:r>
      <w:r w:rsidRPr="002E4C7D">
        <w:rPr>
          <w:rFonts w:cs="Times New Roman"/>
          <w:szCs w:val="24"/>
        </w:rPr>
        <w:t xml:space="preserve"> and 0.25 µg/ml for </w:t>
      </w:r>
      <w:r>
        <w:rPr>
          <w:rFonts w:cs="Times New Roman"/>
          <w:szCs w:val="24"/>
        </w:rPr>
        <w:t>c</w:t>
      </w:r>
      <w:r w:rsidRPr="002E4C7D">
        <w:rPr>
          <w:rFonts w:cs="Times New Roman"/>
          <w:szCs w:val="24"/>
        </w:rPr>
        <w:t>ip</w:t>
      </w:r>
      <w:r>
        <w:rPr>
          <w:rFonts w:cs="Times New Roman"/>
          <w:szCs w:val="24"/>
        </w:rPr>
        <w:t>rofloxacin</w:t>
      </w:r>
      <w:r w:rsidRPr="002E4C7D">
        <w:rPr>
          <w:rFonts w:cs="Times New Roman"/>
          <w:szCs w:val="24"/>
        </w:rPr>
        <w:t xml:space="preserve">), </w:t>
      </w:r>
      <w:r w:rsidR="00A067A4">
        <w:rPr>
          <w:rFonts w:cs="Times New Roman"/>
          <w:szCs w:val="24"/>
        </w:rPr>
        <w:t>which</w:t>
      </w:r>
      <w:r w:rsidR="00A067A4" w:rsidRPr="002E4C7D">
        <w:rPr>
          <w:rFonts w:cs="Times New Roman"/>
          <w:szCs w:val="24"/>
        </w:rPr>
        <w:t xml:space="preserve"> </w:t>
      </w:r>
      <w:r w:rsidRPr="002E4C7D">
        <w:rPr>
          <w:rFonts w:cs="Times New Roman"/>
          <w:szCs w:val="24"/>
        </w:rPr>
        <w:t>confirm</w:t>
      </w:r>
      <w:r w:rsidR="00A067A4">
        <w:rPr>
          <w:rFonts w:cs="Times New Roman"/>
          <w:szCs w:val="24"/>
        </w:rPr>
        <w:t>s</w:t>
      </w:r>
      <w:r w:rsidRPr="002E4C7D">
        <w:rPr>
          <w:rFonts w:cs="Times New Roman"/>
          <w:szCs w:val="24"/>
        </w:rPr>
        <w:t xml:space="preserve"> that biofilm cells from these treatments were not inherently more resistant to these antibiotics.</w:t>
      </w:r>
    </w:p>
    <w:p w:rsidR="00276C80" w:rsidRPr="002E4C7D" w:rsidRDefault="00276C80" w:rsidP="00BF778F">
      <w:pPr>
        <w:jc w:val="both"/>
        <w:rPr>
          <w:rFonts w:eastAsia="Calibri" w:cs="Times New Roman"/>
          <w:bCs/>
          <w:szCs w:val="24"/>
        </w:rPr>
      </w:pPr>
    </w:p>
    <w:p w:rsidR="00276C80" w:rsidRPr="002E4C7D" w:rsidRDefault="00276C80" w:rsidP="00BF778F">
      <w:pPr>
        <w:pStyle w:val="Caption"/>
        <w:spacing w:after="0" w:line="480" w:lineRule="auto"/>
        <w:rPr>
          <w:rFonts w:eastAsia="Calibri" w:cs="Times New Roman"/>
          <w:bCs/>
          <w:i/>
          <w:color w:val="44546A" w:themeColor="text2"/>
          <w:szCs w:val="24"/>
        </w:rPr>
      </w:pPr>
      <w:r>
        <w:t xml:space="preserve">Table S. </w:t>
      </w:r>
      <w:fldSimple w:instr=" SEQ Table_S. \* ARABIC ">
        <w:r>
          <w:rPr>
            <w:noProof/>
          </w:rPr>
          <w:t>1</w:t>
        </w:r>
      </w:fldSimple>
      <w:r w:rsidRPr="002E4C7D">
        <w:rPr>
          <w:rFonts w:cs="Times New Roman"/>
          <w:color w:val="auto"/>
          <w:szCs w:val="24"/>
        </w:rPr>
        <w:t>. Treatment and terminology for tobramycin susceptibility in biofilms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852"/>
        <w:gridCol w:w="3319"/>
        <w:gridCol w:w="3405"/>
      </w:tblGrid>
      <w:tr w:rsidR="00276C80" w:rsidRPr="00516AC7" w:rsidTr="00BF778F">
        <w:tc>
          <w:tcPr>
            <w:tcW w:w="1489" w:type="pct"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/>
                <w:bCs/>
                <w:sz w:val="22"/>
              </w:rPr>
            </w:pPr>
            <w:r w:rsidRPr="00516AC7">
              <w:rPr>
                <w:rFonts w:eastAsia="Calibri" w:cs="Times New Roman"/>
                <w:b/>
                <w:bCs/>
                <w:sz w:val="22"/>
              </w:rPr>
              <w:t>Culture source for biofilms</w:t>
            </w:r>
          </w:p>
          <w:p w:rsidR="00276C80" w:rsidRPr="00516AC7" w:rsidRDefault="00276C80" w:rsidP="006177E8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(as illustrated in Figure 1)</w:t>
            </w:r>
          </w:p>
        </w:tc>
        <w:tc>
          <w:tcPr>
            <w:tcW w:w="1733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/>
                <w:bCs/>
                <w:sz w:val="22"/>
              </w:rPr>
            </w:pPr>
            <w:r w:rsidRPr="00516AC7">
              <w:rPr>
                <w:rFonts w:eastAsia="Calibri" w:cs="Times New Roman"/>
                <w:b/>
                <w:bCs/>
                <w:sz w:val="22"/>
              </w:rPr>
              <w:t>Terminology</w:t>
            </w: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/>
                <w:bCs/>
                <w:sz w:val="22"/>
              </w:rPr>
            </w:pPr>
            <w:r w:rsidRPr="00516AC7">
              <w:rPr>
                <w:rFonts w:eastAsia="Calibri" w:cs="Times New Roman"/>
                <w:b/>
                <w:bCs/>
                <w:sz w:val="22"/>
              </w:rPr>
              <w:t>Treatment</w:t>
            </w:r>
          </w:p>
        </w:tc>
      </w:tr>
      <w:tr w:rsidR="00276C80" w:rsidRPr="00516AC7" w:rsidTr="00BF778F">
        <w:trPr>
          <w:trHeight w:val="231"/>
        </w:trPr>
        <w:tc>
          <w:tcPr>
            <w:tcW w:w="1489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Fresh culture</w:t>
            </w:r>
          </w:p>
        </w:tc>
        <w:tc>
          <w:tcPr>
            <w:tcW w:w="1733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Fresh biofilms + 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No treatment</w:t>
            </w:r>
          </w:p>
        </w:tc>
      </w:tr>
      <w:tr w:rsidR="00276C80" w:rsidRPr="00516AC7" w:rsidTr="00BF778F">
        <w:trPr>
          <w:trHeight w:val="230"/>
        </w:trPr>
        <w:tc>
          <w:tcPr>
            <w:tcW w:w="1489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33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  <w:r w:rsidRPr="00516AC7" w:rsidDel="00A47B15">
              <w:rPr>
                <w:rFonts w:eastAsia="Calibri" w:cs="Times New Roman"/>
                <w:bCs/>
                <w:sz w:val="22"/>
              </w:rPr>
              <w:t xml:space="preserve"> </w:t>
            </w:r>
            <w:r w:rsidRPr="00516AC7">
              <w:rPr>
                <w:rFonts w:eastAsia="Calibri" w:cs="Times New Roman"/>
                <w:bCs/>
                <w:sz w:val="22"/>
              </w:rPr>
              <w:t>only (5–40 µg/ml)</w:t>
            </w:r>
          </w:p>
        </w:tc>
      </w:tr>
      <w:tr w:rsidR="00276C80" w:rsidRPr="00516AC7" w:rsidTr="00BF778F">
        <w:trPr>
          <w:trHeight w:val="101"/>
        </w:trPr>
        <w:tc>
          <w:tcPr>
            <w:tcW w:w="1489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Untreated biofilm cells</w:t>
            </w:r>
          </w:p>
        </w:tc>
        <w:tc>
          <w:tcPr>
            <w:tcW w:w="1733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Untreated biofilms + 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No treatment</w:t>
            </w:r>
          </w:p>
        </w:tc>
      </w:tr>
      <w:tr w:rsidR="00276C80" w:rsidRPr="00516AC7" w:rsidTr="00BF778F">
        <w:trPr>
          <w:trHeight w:val="101"/>
        </w:trPr>
        <w:tc>
          <w:tcPr>
            <w:tcW w:w="1489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33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  <w:r w:rsidRPr="00516AC7" w:rsidDel="00A47B15">
              <w:rPr>
                <w:rFonts w:eastAsia="Calibri" w:cs="Times New Roman"/>
                <w:bCs/>
                <w:sz w:val="22"/>
              </w:rPr>
              <w:t xml:space="preserve"> </w:t>
            </w:r>
            <w:r w:rsidRPr="00516AC7">
              <w:rPr>
                <w:rFonts w:eastAsia="Calibri" w:cs="Times New Roman"/>
                <w:bCs/>
                <w:sz w:val="22"/>
              </w:rPr>
              <w:t>only (5–40 µg/ml)</w:t>
            </w:r>
          </w:p>
        </w:tc>
      </w:tr>
      <w:tr w:rsidR="00276C80" w:rsidRPr="00516AC7" w:rsidTr="00BF778F">
        <w:trPr>
          <w:trHeight w:val="231"/>
        </w:trPr>
        <w:tc>
          <w:tcPr>
            <w:tcW w:w="1489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Persister cells</w:t>
            </w:r>
          </w:p>
        </w:tc>
        <w:tc>
          <w:tcPr>
            <w:tcW w:w="1733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Persister cells + 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No treatment</w:t>
            </w:r>
          </w:p>
        </w:tc>
      </w:tr>
      <w:tr w:rsidR="00276C80" w:rsidRPr="00516AC7" w:rsidTr="00BF778F">
        <w:trPr>
          <w:trHeight w:val="230"/>
        </w:trPr>
        <w:tc>
          <w:tcPr>
            <w:tcW w:w="1489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33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  <w:r w:rsidRPr="00516AC7" w:rsidDel="00A47B15">
              <w:rPr>
                <w:rFonts w:eastAsia="Calibri" w:cs="Times New Roman"/>
                <w:bCs/>
                <w:sz w:val="22"/>
              </w:rPr>
              <w:t xml:space="preserve"> </w:t>
            </w:r>
            <w:r w:rsidRPr="00516AC7">
              <w:rPr>
                <w:rFonts w:eastAsia="Calibri" w:cs="Times New Roman"/>
                <w:bCs/>
                <w:sz w:val="22"/>
              </w:rPr>
              <w:t>only (5–40 µg/ml)</w:t>
            </w:r>
          </w:p>
        </w:tc>
      </w:tr>
      <w:tr w:rsidR="00276C80" w:rsidRPr="00516AC7" w:rsidTr="00BF778F">
        <w:trPr>
          <w:trHeight w:val="216"/>
        </w:trPr>
        <w:tc>
          <w:tcPr>
            <w:tcW w:w="1489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E-scaffold treated cells</w:t>
            </w:r>
          </w:p>
        </w:tc>
        <w:tc>
          <w:tcPr>
            <w:tcW w:w="1733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E-scaffold treated biofilms + 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E-scaffold treatment for 2 h</w:t>
            </w:r>
          </w:p>
        </w:tc>
      </w:tr>
      <w:tr w:rsidR="00276C80" w:rsidRPr="00516AC7" w:rsidTr="00BF778F">
        <w:trPr>
          <w:trHeight w:val="216"/>
        </w:trPr>
        <w:tc>
          <w:tcPr>
            <w:tcW w:w="1489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33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1778" w:type="pc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Tob</w:t>
            </w:r>
            <w:r>
              <w:rPr>
                <w:rFonts w:eastAsia="Calibri" w:cs="Times New Roman"/>
                <w:bCs/>
                <w:sz w:val="22"/>
              </w:rPr>
              <w:t>ramycin</w:t>
            </w:r>
            <w:r w:rsidRPr="00516AC7" w:rsidDel="00A47B15">
              <w:rPr>
                <w:rFonts w:eastAsia="Calibri" w:cs="Times New Roman"/>
                <w:bCs/>
                <w:sz w:val="22"/>
              </w:rPr>
              <w:t xml:space="preserve"> </w:t>
            </w:r>
            <w:r w:rsidRPr="00516AC7">
              <w:rPr>
                <w:rFonts w:eastAsia="Calibri" w:cs="Times New Roman"/>
                <w:bCs/>
                <w:sz w:val="22"/>
              </w:rPr>
              <w:t>(5–40 µg/ml)</w:t>
            </w:r>
          </w:p>
        </w:tc>
      </w:tr>
    </w:tbl>
    <w:p w:rsidR="00276C80" w:rsidRDefault="00276C80" w:rsidP="00BF778F">
      <w:pPr>
        <w:rPr>
          <w:rFonts w:cs="Times New Roman"/>
          <w:szCs w:val="24"/>
        </w:rPr>
      </w:pPr>
    </w:p>
    <w:p w:rsidR="00276C80" w:rsidRPr="002E4C7D" w:rsidRDefault="00276C80" w:rsidP="00BF778F">
      <w:pPr>
        <w:pStyle w:val="Caption"/>
        <w:spacing w:after="0" w:line="480" w:lineRule="auto"/>
        <w:rPr>
          <w:rFonts w:cs="Times New Roman"/>
          <w:b/>
          <w:color w:val="auto"/>
          <w:szCs w:val="24"/>
        </w:rPr>
      </w:pPr>
    </w:p>
    <w:p w:rsidR="00276C80" w:rsidRPr="002E4C7D" w:rsidRDefault="00276C80" w:rsidP="00BF778F">
      <w:pPr>
        <w:pStyle w:val="Caption"/>
        <w:spacing w:after="0" w:line="480" w:lineRule="auto"/>
        <w:rPr>
          <w:rFonts w:eastAsia="Calibri" w:cs="Times New Roman"/>
          <w:bCs/>
          <w:i/>
          <w:color w:val="auto"/>
          <w:szCs w:val="24"/>
        </w:rPr>
      </w:pPr>
      <w:r>
        <w:t xml:space="preserve">Table S. </w:t>
      </w:r>
      <w:fldSimple w:instr=" SEQ Table_S. \* ARABIC ">
        <w:r>
          <w:rPr>
            <w:noProof/>
          </w:rPr>
          <w:t>2</w:t>
        </w:r>
      </w:fldSimple>
      <w:r>
        <w:t>.</w:t>
      </w:r>
      <w:r w:rsidRPr="002E4C7D">
        <w:rPr>
          <w:rFonts w:cs="Times New Roman"/>
          <w:color w:val="auto"/>
          <w:szCs w:val="24"/>
        </w:rPr>
        <w:t xml:space="preserve"> Treatment and terminology for e-scaffold against persister cells in biofilms</w:t>
      </w:r>
    </w:p>
    <w:tbl>
      <w:tblPr>
        <w:tblStyle w:val="TableGrid1"/>
        <w:tblW w:w="5000" w:type="pct"/>
        <w:jc w:val="center"/>
        <w:tblLook w:val="04A0" w:firstRow="1" w:lastRow="0" w:firstColumn="1" w:lastColumn="0" w:noHBand="0" w:noVBand="1"/>
      </w:tblPr>
      <w:tblGrid>
        <w:gridCol w:w="1469"/>
        <w:gridCol w:w="4610"/>
        <w:gridCol w:w="3497"/>
      </w:tblGrid>
      <w:tr w:rsidR="00276C80" w:rsidRPr="00516AC7" w:rsidTr="00BF778F">
        <w:trPr>
          <w:trHeight w:val="176"/>
          <w:jc w:val="center"/>
        </w:trPr>
        <w:tc>
          <w:tcPr>
            <w:tcW w:w="767" w:type="pct"/>
          </w:tcPr>
          <w:p w:rsidR="00276C80" w:rsidRPr="00516AC7" w:rsidDel="00D2162C" w:rsidRDefault="00276C80" w:rsidP="006177E8">
            <w:pPr>
              <w:spacing w:line="276" w:lineRule="auto"/>
              <w:rPr>
                <w:rFonts w:eastAsia="Calibri" w:cs="Times New Roman"/>
                <w:b/>
                <w:bCs/>
                <w:sz w:val="22"/>
              </w:rPr>
            </w:pPr>
            <w:r w:rsidRPr="00516AC7">
              <w:rPr>
                <w:rFonts w:eastAsia="Calibri" w:cs="Times New Roman"/>
                <w:b/>
                <w:bCs/>
                <w:sz w:val="22"/>
              </w:rPr>
              <w:t>Terminology</w:t>
            </w:r>
          </w:p>
        </w:tc>
        <w:tc>
          <w:tcPr>
            <w:tcW w:w="2407" w:type="pct"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/>
                <w:bCs/>
                <w:sz w:val="22"/>
              </w:rPr>
              <w:t>Treated cells in biofilms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/>
                <w:bCs/>
                <w:sz w:val="22"/>
              </w:rPr>
            </w:pPr>
            <w:r w:rsidRPr="00516AC7">
              <w:rPr>
                <w:rFonts w:eastAsia="Calibri" w:cs="Times New Roman"/>
                <w:b/>
                <w:bCs/>
                <w:sz w:val="22"/>
              </w:rPr>
              <w:t>Treatment</w:t>
            </w:r>
          </w:p>
        </w:tc>
      </w:tr>
      <w:tr w:rsidR="00276C80" w:rsidRPr="00516AC7" w:rsidTr="00BF778F">
        <w:trPr>
          <w:trHeight w:val="183"/>
          <w:jc w:val="center"/>
        </w:trPr>
        <w:tc>
          <w:tcPr>
            <w:tcW w:w="767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 xml:space="preserve">Control initial </w:t>
            </w:r>
          </w:p>
        </w:tc>
        <w:tc>
          <w:tcPr>
            <w:tcW w:w="2407" w:type="pct"/>
          </w:tcPr>
          <w:p w:rsidR="00276C80" w:rsidRPr="00516AC7" w:rsidDel="00D2162C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Total biofilm cells (</w:t>
            </w:r>
            <w:r w:rsidR="00DE447E">
              <w:rPr>
                <w:rFonts w:eastAsia="Calibri" w:cs="Times New Roman"/>
                <w:bCs/>
                <w:sz w:val="22"/>
              </w:rPr>
              <w:t xml:space="preserve">grown </w:t>
            </w:r>
            <w:r w:rsidRPr="00516AC7">
              <w:rPr>
                <w:rFonts w:eastAsia="Calibri" w:cs="Times New Roman"/>
                <w:bCs/>
                <w:sz w:val="22"/>
              </w:rPr>
              <w:t>24 h)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 xml:space="preserve">No treatment </w:t>
            </w:r>
          </w:p>
        </w:tc>
      </w:tr>
      <w:tr w:rsidR="00276C80" w:rsidRPr="00516AC7" w:rsidTr="00BF778F">
        <w:trPr>
          <w:trHeight w:val="188"/>
          <w:jc w:val="center"/>
        </w:trPr>
        <w:tc>
          <w:tcPr>
            <w:tcW w:w="767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2407" w:type="pct"/>
          </w:tcPr>
          <w:p w:rsidR="00276C80" w:rsidRPr="00516AC7" w:rsidDel="00D2162C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Persister cells (isolated from total biofilm cells)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 xml:space="preserve">200 µg/ml </w:t>
            </w:r>
            <w:r>
              <w:rPr>
                <w:rFonts w:cs="Times New Roman"/>
                <w:szCs w:val="24"/>
              </w:rPr>
              <w:t>ciprofloxacin</w:t>
            </w:r>
          </w:p>
        </w:tc>
      </w:tr>
      <w:tr w:rsidR="00276C80" w:rsidRPr="00516AC7" w:rsidTr="00BF778F">
        <w:trPr>
          <w:trHeight w:val="142"/>
          <w:jc w:val="center"/>
        </w:trPr>
        <w:tc>
          <w:tcPr>
            <w:tcW w:w="767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 xml:space="preserve">Control final </w:t>
            </w:r>
          </w:p>
        </w:tc>
        <w:tc>
          <w:tcPr>
            <w:tcW w:w="2407" w:type="pct"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Total biofilm cells (</w:t>
            </w:r>
            <w:r w:rsidR="00DE447E">
              <w:rPr>
                <w:rFonts w:eastAsia="Calibri" w:cs="Times New Roman"/>
                <w:bCs/>
                <w:sz w:val="22"/>
              </w:rPr>
              <w:t xml:space="preserve">grown </w:t>
            </w:r>
            <w:r w:rsidRPr="00516AC7">
              <w:rPr>
                <w:rFonts w:eastAsia="Calibri" w:cs="Times New Roman"/>
                <w:bCs/>
                <w:sz w:val="22"/>
              </w:rPr>
              <w:t>24 h)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No treatment (after 24 h)</w:t>
            </w:r>
          </w:p>
        </w:tc>
      </w:tr>
      <w:tr w:rsidR="00276C80" w:rsidRPr="00516AC7" w:rsidTr="00BF778F">
        <w:trPr>
          <w:trHeight w:val="142"/>
          <w:jc w:val="center"/>
        </w:trPr>
        <w:tc>
          <w:tcPr>
            <w:tcW w:w="767" w:type="pct"/>
            <w:vMerge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2407" w:type="pct"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Persister cells (isolated from total biofilm cells)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 xml:space="preserve">200 µg/ml </w:t>
            </w:r>
            <w:r>
              <w:rPr>
                <w:rFonts w:cs="Times New Roman"/>
                <w:szCs w:val="24"/>
              </w:rPr>
              <w:t>ciprofloxacin</w:t>
            </w:r>
            <w:r w:rsidRPr="002E4C7D">
              <w:rPr>
                <w:rFonts w:cs="Times New Roman"/>
                <w:szCs w:val="24"/>
              </w:rPr>
              <w:t xml:space="preserve"> </w:t>
            </w:r>
            <w:r w:rsidRPr="00516AC7">
              <w:rPr>
                <w:rFonts w:eastAsia="Calibri" w:cs="Times New Roman"/>
                <w:bCs/>
                <w:sz w:val="22"/>
              </w:rPr>
              <w:t>(after 6 h)</w:t>
            </w:r>
          </w:p>
        </w:tc>
      </w:tr>
      <w:tr w:rsidR="00276C80" w:rsidRPr="00516AC7" w:rsidTr="00BF778F">
        <w:trPr>
          <w:trHeight w:val="188"/>
          <w:jc w:val="center"/>
        </w:trPr>
        <w:tc>
          <w:tcPr>
            <w:tcW w:w="767" w:type="pct"/>
            <w:vMerge w:val="restart"/>
          </w:tcPr>
          <w:p w:rsidR="00276C80" w:rsidRPr="00516AC7" w:rsidRDefault="00276C80" w:rsidP="006177E8">
            <w:pPr>
              <w:spacing w:line="276" w:lineRule="auto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 xml:space="preserve">E-scaffold </w:t>
            </w:r>
          </w:p>
        </w:tc>
        <w:tc>
          <w:tcPr>
            <w:tcW w:w="2407" w:type="pct"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Total biofilm cells (</w:t>
            </w:r>
            <w:r w:rsidR="00DE447E">
              <w:rPr>
                <w:rFonts w:eastAsia="Calibri" w:cs="Times New Roman"/>
                <w:bCs/>
                <w:sz w:val="22"/>
              </w:rPr>
              <w:t xml:space="preserve">grown </w:t>
            </w:r>
            <w:r w:rsidRPr="00516AC7">
              <w:rPr>
                <w:rFonts w:eastAsia="Calibri" w:cs="Times New Roman"/>
                <w:bCs/>
                <w:sz w:val="22"/>
              </w:rPr>
              <w:t>24 h)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E-scaffold (after 24 h)</w:t>
            </w:r>
          </w:p>
        </w:tc>
      </w:tr>
      <w:tr w:rsidR="00276C80" w:rsidRPr="00516AC7" w:rsidTr="00BF778F">
        <w:trPr>
          <w:trHeight w:val="220"/>
          <w:jc w:val="center"/>
        </w:trPr>
        <w:tc>
          <w:tcPr>
            <w:tcW w:w="767" w:type="pct"/>
            <w:vMerge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</w:p>
        </w:tc>
        <w:tc>
          <w:tcPr>
            <w:tcW w:w="2407" w:type="pct"/>
          </w:tcPr>
          <w:p w:rsidR="00276C80" w:rsidRPr="00516AC7" w:rsidRDefault="00276C80" w:rsidP="006177E8">
            <w:pPr>
              <w:spacing w:line="276" w:lineRule="auto"/>
              <w:jc w:val="center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Persister cells (isolated from total biofilm cells)</w:t>
            </w:r>
          </w:p>
        </w:tc>
        <w:tc>
          <w:tcPr>
            <w:tcW w:w="1826" w:type="pct"/>
          </w:tcPr>
          <w:p w:rsidR="00276C80" w:rsidRPr="00516AC7" w:rsidRDefault="00276C80" w:rsidP="006177E8">
            <w:pPr>
              <w:spacing w:line="276" w:lineRule="auto"/>
              <w:jc w:val="both"/>
              <w:rPr>
                <w:rFonts w:eastAsia="Calibri" w:cs="Times New Roman"/>
                <w:bCs/>
                <w:sz w:val="22"/>
              </w:rPr>
            </w:pPr>
            <w:r w:rsidRPr="00516AC7">
              <w:rPr>
                <w:rFonts w:eastAsia="Calibri" w:cs="Times New Roman"/>
                <w:bCs/>
                <w:sz w:val="22"/>
              </w:rPr>
              <w:t>E-scaffold (after 6 h)</w:t>
            </w:r>
          </w:p>
        </w:tc>
      </w:tr>
    </w:tbl>
    <w:p w:rsidR="00276C80" w:rsidRPr="002E4C7D" w:rsidRDefault="00276C80" w:rsidP="00BF778F">
      <w:pPr>
        <w:pStyle w:val="Subtitle"/>
        <w:numPr>
          <w:ilvl w:val="0"/>
          <w:numId w:val="0"/>
        </w:numPr>
        <w:rPr>
          <w:rFonts w:eastAsia="Calibri" w:cs="Times New Roman"/>
          <w:szCs w:val="24"/>
        </w:rPr>
      </w:pPr>
    </w:p>
    <w:p w:rsidR="00276C80" w:rsidRPr="002E4C7D" w:rsidRDefault="00276C80" w:rsidP="00BF778F">
      <w:pPr>
        <w:rPr>
          <w:rFonts w:cs="Times New Roman"/>
          <w:szCs w:val="24"/>
        </w:rPr>
      </w:pPr>
    </w:p>
    <w:p w:rsidR="00276C80" w:rsidRDefault="00276C80" w:rsidP="00BF778F">
      <w:pPr>
        <w:jc w:val="center"/>
      </w:pPr>
      <w:r w:rsidRPr="006E6D9F">
        <w:rPr>
          <w:noProof/>
        </w:rPr>
        <w:drawing>
          <wp:anchor distT="0" distB="0" distL="114300" distR="114300" simplePos="0" relativeHeight="251660288" behindDoc="0" locked="0" layoutInCell="1" allowOverlap="1" wp14:anchorId="6B3E916F" wp14:editId="5A5E43C3">
            <wp:simplePos x="0" y="0"/>
            <wp:positionH relativeFrom="column">
              <wp:posOffset>1045693</wp:posOffset>
            </wp:positionH>
            <wp:positionV relativeFrom="paragraph">
              <wp:posOffset>0</wp:posOffset>
            </wp:positionV>
            <wp:extent cx="4037965" cy="2513965"/>
            <wp:effectExtent l="0" t="0" r="635" b="63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" t="6486" r="2097" b="4938"/>
                    <a:stretch/>
                  </pic:blipFill>
                  <pic:spPr bwMode="auto">
                    <a:xfrm>
                      <a:off x="0" y="0"/>
                      <a:ext cx="4037965" cy="25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21338" w:rsidRPr="00021338" w:rsidRDefault="00276C80" w:rsidP="00021338">
      <w:pPr>
        <w:autoSpaceDE w:val="0"/>
        <w:autoSpaceDN w:val="0"/>
        <w:adjustRightInd w:val="0"/>
        <w:jc w:val="both"/>
        <w:rPr>
          <w:rFonts w:cs="Times New Roman"/>
          <w:color w:val="000000"/>
          <w:szCs w:val="24"/>
        </w:rPr>
      </w:pPr>
      <w:bookmarkStart w:id="0" w:name="_Ref448254127"/>
      <w:r>
        <w:t xml:space="preserve">Fig. S. </w:t>
      </w:r>
      <w:fldSimple w:instr=" SEQ Fig._S. \* ARABIC ">
        <w:r w:rsidR="00021338">
          <w:rPr>
            <w:noProof/>
          </w:rPr>
          <w:t>2</w:t>
        </w:r>
      </w:fldSimple>
      <w:bookmarkEnd w:id="0"/>
      <w:r>
        <w:t xml:space="preserve">. </w:t>
      </w:r>
      <w:r>
        <w:rPr>
          <w:rFonts w:cs="Times New Roman"/>
          <w:color w:val="000000"/>
          <w:szCs w:val="24"/>
        </w:rPr>
        <w:t xml:space="preserve">Scavenging OH• within the cell during tobramycin (Tob) treatment with e-scaffold in combination with150 mM thiourea inhibited cell death in </w:t>
      </w:r>
      <w:r>
        <w:rPr>
          <w:rFonts w:cs="Times New Roman"/>
          <w:i/>
          <w:color w:val="000000"/>
          <w:szCs w:val="24"/>
        </w:rPr>
        <w:t xml:space="preserve">P. aeruginosa </w:t>
      </w:r>
      <w:r>
        <w:rPr>
          <w:rFonts w:cs="Times New Roman"/>
          <w:color w:val="000000"/>
          <w:szCs w:val="24"/>
        </w:rPr>
        <w:t xml:space="preserve">PAO1 biofilms. </w:t>
      </w:r>
      <w:r w:rsidRPr="002E4C7D">
        <w:rPr>
          <w:rFonts w:cs="Times New Roman"/>
          <w:szCs w:val="24"/>
        </w:rPr>
        <w:t xml:space="preserve">Error bars represent standard errors of means for at least </w:t>
      </w:r>
      <w:r w:rsidR="00DE447E">
        <w:rPr>
          <w:rFonts w:cs="Times New Roman"/>
          <w:szCs w:val="24"/>
        </w:rPr>
        <w:t>three</w:t>
      </w:r>
      <w:r w:rsidR="00DE447E" w:rsidRPr="002E4C7D">
        <w:rPr>
          <w:rFonts w:cs="Times New Roman"/>
          <w:szCs w:val="24"/>
        </w:rPr>
        <w:t xml:space="preserve"> </w:t>
      </w:r>
      <w:r w:rsidRPr="002E4C7D">
        <w:rPr>
          <w:rFonts w:cs="Times New Roman"/>
          <w:szCs w:val="24"/>
        </w:rPr>
        <w:t>biological replicates.</w:t>
      </w:r>
      <w:r>
        <w:rPr>
          <w:rFonts w:cs="Times New Roman"/>
          <w:szCs w:val="24"/>
        </w:rPr>
        <w:t xml:space="preserve"> No statistically significant change in viable cells was observed in biofilms treated with tobramycin with or without e-scaffold </w:t>
      </w:r>
      <w:r w:rsidR="00687220">
        <w:rPr>
          <w:rFonts w:cs="Times New Roman"/>
          <w:szCs w:val="24"/>
        </w:rPr>
        <w:t xml:space="preserve">in </w:t>
      </w:r>
      <w:r w:rsidR="00DE447E">
        <w:rPr>
          <w:rFonts w:cs="Times New Roman"/>
          <w:szCs w:val="24"/>
        </w:rPr>
        <w:t xml:space="preserve">the </w:t>
      </w:r>
      <w:r w:rsidR="00687220">
        <w:rPr>
          <w:rFonts w:cs="Times New Roman"/>
          <w:szCs w:val="24"/>
        </w:rPr>
        <w:t>presence of</w:t>
      </w:r>
      <w:r>
        <w:rPr>
          <w:rFonts w:cs="Times New Roman"/>
          <w:szCs w:val="24"/>
        </w:rPr>
        <w:t xml:space="preserve"> thiourea as </w:t>
      </w:r>
      <w:r w:rsidR="00DE447E">
        <w:rPr>
          <w:rFonts w:cs="Times New Roman"/>
          <w:szCs w:val="24"/>
        </w:rPr>
        <w:t xml:space="preserve">an </w:t>
      </w:r>
      <w:r>
        <w:rPr>
          <w:rFonts w:cs="Times New Roman"/>
          <w:szCs w:val="24"/>
        </w:rPr>
        <w:t>OH</w:t>
      </w:r>
      <w:r>
        <w:rPr>
          <w:rFonts w:cs="Times New Roman"/>
          <w:color w:val="000000"/>
          <w:szCs w:val="24"/>
        </w:rPr>
        <w:t>• scavenger.</w:t>
      </w: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021338">
      <w:pPr>
        <w:jc w:val="center"/>
      </w:pPr>
    </w:p>
    <w:p w:rsidR="00021338" w:rsidRDefault="00021338" w:rsidP="00A34A22"/>
    <w:p w:rsidR="00C20C7F" w:rsidRPr="00C20C7F" w:rsidRDefault="00C20C7F" w:rsidP="00BF778F">
      <w:pPr>
        <w:rPr>
          <w:b/>
        </w:rPr>
      </w:pPr>
      <w:r w:rsidRPr="00C20C7F">
        <w:rPr>
          <w:b/>
        </w:rPr>
        <w:lastRenderedPageBreak/>
        <w:t>References</w:t>
      </w:r>
    </w:p>
    <w:p w:rsidR="00C83ABC" w:rsidRDefault="00C20C7F" w:rsidP="00C83ABC">
      <w:pPr>
        <w:spacing w:line="240" w:lineRule="auto"/>
        <w:ind w:left="720" w:hanging="720"/>
        <w:rPr>
          <w:rFonts w:cs="Times New Roman"/>
          <w:noProof/>
        </w:rPr>
      </w:pPr>
      <w:r>
        <w:rPr>
          <w:rFonts w:cs="Times New Roman"/>
          <w:noProof/>
        </w:rPr>
        <w:fldChar w:fldCharType="begin"/>
      </w:r>
      <w:r>
        <w:instrText xml:space="preserve"> ADDIN EN.REFLIST </w:instrText>
      </w:r>
      <w:r>
        <w:rPr>
          <w:rFonts w:cs="Times New Roman"/>
          <w:noProof/>
        </w:rPr>
        <w:fldChar w:fldCharType="separate"/>
      </w:r>
      <w:bookmarkStart w:id="1" w:name="_ENREF_1"/>
      <w:r w:rsidR="00C83ABC">
        <w:rPr>
          <w:rFonts w:cs="Times New Roman"/>
          <w:noProof/>
        </w:rPr>
        <w:t>1</w:t>
      </w:r>
      <w:r w:rsidR="00C83ABC">
        <w:rPr>
          <w:rFonts w:cs="Times New Roman"/>
          <w:noProof/>
        </w:rPr>
        <w:tab/>
        <w:t>Sultana, S. T.</w:t>
      </w:r>
      <w:r w:rsidR="00C83ABC" w:rsidRPr="00C83ABC">
        <w:rPr>
          <w:rFonts w:cs="Times New Roman"/>
          <w:i/>
          <w:noProof/>
        </w:rPr>
        <w:t xml:space="preserve"> et al.</w:t>
      </w:r>
      <w:r w:rsidR="00C83ABC">
        <w:rPr>
          <w:rFonts w:cs="Times New Roman"/>
          <w:noProof/>
        </w:rPr>
        <w:t xml:space="preserve"> Electrochemical scaffold generates localized, low concentration of hydrogen peroxide that inhibits bacterial pathogens and biofilms. </w:t>
      </w:r>
      <w:r w:rsidR="00C83ABC" w:rsidRPr="00C83ABC">
        <w:rPr>
          <w:rFonts w:cs="Times New Roman"/>
          <w:i/>
          <w:noProof/>
        </w:rPr>
        <w:t>Scientific Reports</w:t>
      </w:r>
      <w:r w:rsidR="00C83ABC">
        <w:rPr>
          <w:rFonts w:cs="Times New Roman"/>
          <w:noProof/>
        </w:rPr>
        <w:t xml:space="preserve"> </w:t>
      </w:r>
      <w:r w:rsidR="00C83ABC" w:rsidRPr="00C83ABC">
        <w:rPr>
          <w:rFonts w:cs="Times New Roman"/>
          <w:b/>
          <w:noProof/>
        </w:rPr>
        <w:t>5</w:t>
      </w:r>
      <w:r w:rsidR="00C83ABC">
        <w:rPr>
          <w:rFonts w:cs="Times New Roman"/>
          <w:noProof/>
        </w:rPr>
        <w:t>, 14908, doi:10.1038/srep14908</w:t>
      </w:r>
    </w:p>
    <w:p w:rsidR="00C83ABC" w:rsidRDefault="008B0F27" w:rsidP="00355964">
      <w:pPr>
        <w:spacing w:line="240" w:lineRule="auto"/>
        <w:ind w:left="720"/>
        <w:rPr>
          <w:rFonts w:cs="Times New Roman"/>
          <w:noProof/>
        </w:rPr>
      </w:pPr>
      <w:hyperlink r:id="rId10" w:anchor="supplementary-information" w:history="1">
        <w:r w:rsidR="00C83ABC" w:rsidRPr="00C83ABC">
          <w:rPr>
            <w:rStyle w:val="Hyperlink"/>
            <w:rFonts w:cs="Times New Roman"/>
            <w:noProof/>
          </w:rPr>
          <w:t>http://www.nature.com/articles/srep14908#supplementary-information</w:t>
        </w:r>
      </w:hyperlink>
      <w:r w:rsidR="00C83ABC">
        <w:rPr>
          <w:rFonts w:cs="Times New Roman"/>
          <w:noProof/>
        </w:rPr>
        <w:t xml:space="preserve"> (2015).</w:t>
      </w:r>
      <w:bookmarkEnd w:id="1"/>
    </w:p>
    <w:p w:rsidR="00C83ABC" w:rsidRDefault="00C83ABC" w:rsidP="00C83ABC">
      <w:pPr>
        <w:spacing w:line="240" w:lineRule="auto"/>
        <w:ind w:left="720" w:hanging="720"/>
        <w:rPr>
          <w:rFonts w:cs="Times New Roman"/>
          <w:noProof/>
        </w:rPr>
      </w:pPr>
      <w:bookmarkStart w:id="2" w:name="_ENREF_2"/>
      <w:r>
        <w:rPr>
          <w:rFonts w:cs="Times New Roman"/>
          <w:noProof/>
        </w:rPr>
        <w:t>2</w:t>
      </w:r>
      <w:r>
        <w:rPr>
          <w:rFonts w:cs="Times New Roman"/>
          <w:noProof/>
        </w:rPr>
        <w:tab/>
        <w:t xml:space="preserve">Istanbullu, O., Babauta, J., Hung Duc, N. &amp; Beyenal, H. Electrochemical biofilm control: mechanism of action. </w:t>
      </w:r>
      <w:r w:rsidRPr="00C83ABC">
        <w:rPr>
          <w:rFonts w:cs="Times New Roman"/>
          <w:i/>
          <w:noProof/>
        </w:rPr>
        <w:t>Biofouling</w:t>
      </w:r>
      <w:r>
        <w:rPr>
          <w:rFonts w:cs="Times New Roman"/>
          <w:noProof/>
        </w:rPr>
        <w:t xml:space="preserve"> </w:t>
      </w:r>
      <w:r w:rsidRPr="00C83ABC">
        <w:rPr>
          <w:rFonts w:cs="Times New Roman"/>
          <w:b/>
          <w:noProof/>
        </w:rPr>
        <w:t>28</w:t>
      </w:r>
      <w:r>
        <w:rPr>
          <w:rFonts w:cs="Times New Roman"/>
          <w:noProof/>
        </w:rPr>
        <w:t>, 769-778, doi:10.1080/08927014.2012.707651 (2012).</w:t>
      </w:r>
      <w:bookmarkEnd w:id="2"/>
    </w:p>
    <w:p w:rsidR="00C83ABC" w:rsidRDefault="00C83ABC" w:rsidP="00C83ABC">
      <w:pPr>
        <w:spacing w:line="240" w:lineRule="auto"/>
        <w:ind w:left="720" w:hanging="720"/>
        <w:rPr>
          <w:rFonts w:cs="Times New Roman"/>
          <w:noProof/>
        </w:rPr>
      </w:pPr>
      <w:bookmarkStart w:id="3" w:name="_ENREF_3"/>
      <w:r>
        <w:rPr>
          <w:rFonts w:cs="Times New Roman"/>
          <w:noProof/>
        </w:rPr>
        <w:t>3</w:t>
      </w:r>
      <w:r>
        <w:rPr>
          <w:rFonts w:cs="Times New Roman"/>
          <w:noProof/>
        </w:rPr>
        <w:tab/>
        <w:t xml:space="preserve">Lewandowski, Z. &amp; Beyenal, H. </w:t>
      </w:r>
      <w:r w:rsidRPr="00C83ABC">
        <w:rPr>
          <w:rFonts w:cs="Times New Roman"/>
          <w:i/>
          <w:noProof/>
        </w:rPr>
        <w:t>Fundamentals of Biofilm Research</w:t>
      </w:r>
      <w:r>
        <w:rPr>
          <w:rFonts w:cs="Times New Roman"/>
          <w:noProof/>
        </w:rPr>
        <w:t>.  (CRC Press, 2013).</w:t>
      </w:r>
      <w:bookmarkEnd w:id="3"/>
    </w:p>
    <w:p w:rsidR="00C83ABC" w:rsidRDefault="00C83ABC" w:rsidP="00C83ABC">
      <w:pPr>
        <w:spacing w:line="240" w:lineRule="auto"/>
        <w:ind w:left="720" w:hanging="720"/>
        <w:rPr>
          <w:rFonts w:cs="Times New Roman"/>
          <w:noProof/>
        </w:rPr>
      </w:pPr>
      <w:bookmarkStart w:id="4" w:name="_ENREF_4"/>
      <w:r>
        <w:rPr>
          <w:rFonts w:cs="Times New Roman"/>
          <w:noProof/>
        </w:rPr>
        <w:t>4</w:t>
      </w:r>
      <w:r>
        <w:rPr>
          <w:rFonts w:cs="Times New Roman"/>
          <w:noProof/>
        </w:rPr>
        <w:tab/>
        <w:t xml:space="preserve">Niepa, T. H. R., Gilbert, J. L. &amp; Ren, D. Controlling Pseudomonas aeruginosa persister cells by weak electrochemical currents and synergistic effects with tobramycin. </w:t>
      </w:r>
      <w:r w:rsidRPr="00C83ABC">
        <w:rPr>
          <w:rFonts w:cs="Times New Roman"/>
          <w:i/>
          <w:noProof/>
        </w:rPr>
        <w:t>Biomaterials</w:t>
      </w:r>
      <w:r>
        <w:rPr>
          <w:rFonts w:cs="Times New Roman"/>
          <w:noProof/>
        </w:rPr>
        <w:t xml:space="preserve"> </w:t>
      </w:r>
      <w:r w:rsidRPr="00C83ABC">
        <w:rPr>
          <w:rFonts w:cs="Times New Roman"/>
          <w:b/>
          <w:noProof/>
        </w:rPr>
        <w:t>33</w:t>
      </w:r>
      <w:r>
        <w:rPr>
          <w:rFonts w:cs="Times New Roman"/>
          <w:noProof/>
        </w:rPr>
        <w:t>, 7356-7365, doi:10.1016/j.biomaterials.2012.06.092 (2012).</w:t>
      </w:r>
      <w:bookmarkEnd w:id="4"/>
    </w:p>
    <w:p w:rsidR="00C83ABC" w:rsidRDefault="00C83ABC" w:rsidP="00C83ABC">
      <w:pPr>
        <w:spacing w:line="240" w:lineRule="auto"/>
        <w:ind w:left="720" w:hanging="720"/>
        <w:rPr>
          <w:rFonts w:cs="Times New Roman"/>
          <w:noProof/>
        </w:rPr>
      </w:pPr>
      <w:bookmarkStart w:id="5" w:name="_ENREF_5"/>
      <w:r>
        <w:rPr>
          <w:rFonts w:cs="Times New Roman"/>
          <w:noProof/>
        </w:rPr>
        <w:t>5</w:t>
      </w:r>
      <w:r>
        <w:rPr>
          <w:rFonts w:cs="Times New Roman"/>
          <w:noProof/>
        </w:rPr>
        <w:tab/>
        <w:t xml:space="preserve">Cañas-Duarte, S. J., Restrepo, S. &amp; Pedraza, J. M. Novel Protocol for Persister Cells Isolation. </w:t>
      </w:r>
      <w:r w:rsidRPr="00C83ABC">
        <w:rPr>
          <w:rFonts w:cs="Times New Roman"/>
          <w:i/>
          <w:noProof/>
        </w:rPr>
        <w:t>PLoS ONE</w:t>
      </w:r>
      <w:r>
        <w:rPr>
          <w:rFonts w:cs="Times New Roman"/>
          <w:noProof/>
        </w:rPr>
        <w:t xml:space="preserve"> </w:t>
      </w:r>
      <w:r w:rsidRPr="00C83ABC">
        <w:rPr>
          <w:rFonts w:cs="Times New Roman"/>
          <w:b/>
          <w:noProof/>
        </w:rPr>
        <w:t>9</w:t>
      </w:r>
      <w:r>
        <w:rPr>
          <w:rFonts w:cs="Times New Roman"/>
          <w:noProof/>
        </w:rPr>
        <w:t>, e88660, doi:10.1371/journal.pone.0088660 (2014).</w:t>
      </w:r>
      <w:bookmarkEnd w:id="5"/>
    </w:p>
    <w:p w:rsidR="00C83ABC" w:rsidRDefault="00C83ABC" w:rsidP="00C83ABC">
      <w:pPr>
        <w:spacing w:line="240" w:lineRule="auto"/>
        <w:ind w:left="720" w:hanging="720"/>
        <w:rPr>
          <w:rFonts w:cs="Times New Roman"/>
          <w:noProof/>
        </w:rPr>
      </w:pPr>
      <w:bookmarkStart w:id="6" w:name="_ENREF_6"/>
      <w:r>
        <w:rPr>
          <w:rFonts w:cs="Times New Roman"/>
          <w:noProof/>
        </w:rPr>
        <w:t>6</w:t>
      </w:r>
      <w:r>
        <w:rPr>
          <w:rFonts w:cs="Times New Roman"/>
          <w:noProof/>
        </w:rPr>
        <w:tab/>
        <w:t xml:space="preserve">Mulcahy, L. R., Burns, J. L., Lory, S. &amp; Lewis, K. Emergence of Pseudomonas aeruginosa strains producing high levels of persister cells in patients with cystic fibrosis. </w:t>
      </w:r>
      <w:r w:rsidRPr="00C83ABC">
        <w:rPr>
          <w:rFonts w:cs="Times New Roman"/>
          <w:i/>
          <w:noProof/>
        </w:rPr>
        <w:t>J Bacteriol</w:t>
      </w:r>
      <w:r>
        <w:rPr>
          <w:rFonts w:cs="Times New Roman"/>
          <w:noProof/>
        </w:rPr>
        <w:t xml:space="preserve"> </w:t>
      </w:r>
      <w:r w:rsidRPr="00C83ABC">
        <w:rPr>
          <w:rFonts w:cs="Times New Roman"/>
          <w:b/>
          <w:noProof/>
        </w:rPr>
        <w:t>192</w:t>
      </w:r>
      <w:r>
        <w:rPr>
          <w:rFonts w:cs="Times New Roman"/>
          <w:noProof/>
        </w:rPr>
        <w:t>, 6191-6199, doi:10.1128/jb.01651-09 (2010).</w:t>
      </w:r>
      <w:bookmarkEnd w:id="6"/>
    </w:p>
    <w:p w:rsidR="00C83ABC" w:rsidRDefault="00C83ABC" w:rsidP="00C83ABC">
      <w:pPr>
        <w:spacing w:line="240" w:lineRule="auto"/>
        <w:ind w:left="720" w:hanging="720"/>
        <w:rPr>
          <w:rFonts w:cs="Times New Roman"/>
          <w:noProof/>
        </w:rPr>
      </w:pPr>
      <w:bookmarkStart w:id="7" w:name="_ENREF_7"/>
      <w:r>
        <w:rPr>
          <w:rFonts w:cs="Times New Roman"/>
          <w:noProof/>
        </w:rPr>
        <w:t>7</w:t>
      </w:r>
      <w:r>
        <w:rPr>
          <w:rFonts w:cs="Times New Roman"/>
          <w:noProof/>
        </w:rPr>
        <w:tab/>
        <w:t xml:space="preserve">Cockerill, F. </w:t>
      </w:r>
      <w:r w:rsidRPr="00C83ABC">
        <w:rPr>
          <w:rFonts w:cs="Times New Roman"/>
          <w:i/>
          <w:noProof/>
        </w:rPr>
        <w:t>Methods for dilution antimicrobial susceptibility tests for bacteria that grow aerobically: approved standard</w:t>
      </w:r>
      <w:r>
        <w:rPr>
          <w:rFonts w:cs="Times New Roman"/>
          <w:noProof/>
        </w:rPr>
        <w:t>.  (Clinical and Laboratory Standards Institute, 2012).</w:t>
      </w:r>
      <w:bookmarkEnd w:id="7"/>
    </w:p>
    <w:p w:rsidR="00C83ABC" w:rsidRDefault="00C83ABC" w:rsidP="00C83ABC">
      <w:pPr>
        <w:spacing w:line="240" w:lineRule="auto"/>
        <w:rPr>
          <w:rFonts w:cs="Times New Roman"/>
          <w:noProof/>
        </w:rPr>
      </w:pPr>
    </w:p>
    <w:p w:rsidR="003B73F2" w:rsidRDefault="00C20C7F" w:rsidP="00BF778F">
      <w:r>
        <w:fldChar w:fldCharType="end"/>
      </w:r>
      <w:bookmarkStart w:id="8" w:name="_GoBack"/>
      <w:bookmarkEnd w:id="8"/>
    </w:p>
    <w:sectPr w:rsidR="003B73F2" w:rsidSect="006177E8"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0F27" w:rsidRDefault="008B0F27" w:rsidP="00907207">
      <w:pPr>
        <w:spacing w:line="240" w:lineRule="auto"/>
      </w:pPr>
      <w:r>
        <w:separator/>
      </w:r>
    </w:p>
  </w:endnote>
  <w:endnote w:type="continuationSeparator" w:id="0">
    <w:p w:rsidR="008B0F27" w:rsidRDefault="008B0F27" w:rsidP="009072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09357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7207" w:rsidRDefault="009072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59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07207" w:rsidRDefault="009072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0F27" w:rsidRDefault="008B0F27" w:rsidP="00907207">
      <w:pPr>
        <w:spacing w:line="240" w:lineRule="auto"/>
      </w:pPr>
      <w:r>
        <w:separator/>
      </w:r>
    </w:p>
  </w:footnote>
  <w:footnote w:type="continuationSeparator" w:id="0">
    <w:p w:rsidR="008B0F27" w:rsidRDefault="008B0F27" w:rsidP="009072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2F32"/>
    <w:multiLevelType w:val="hybridMultilevel"/>
    <w:tmpl w:val="853CCAA8"/>
    <w:lvl w:ilvl="0" w:tplc="600AB700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443B"/>
    <w:multiLevelType w:val="hybridMultilevel"/>
    <w:tmpl w:val="8AE6FAFA"/>
    <w:lvl w:ilvl="0" w:tplc="BD829C4E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778A9"/>
    <w:multiLevelType w:val="multilevel"/>
    <w:tmpl w:val="9C2E350A"/>
    <w:lvl w:ilvl="0">
      <w:start w:val="1"/>
      <w:numFmt w:val="decimal"/>
      <w:pStyle w:val="Subtit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8E26930"/>
    <w:multiLevelType w:val="hybridMultilevel"/>
    <w:tmpl w:val="2F3A48D0"/>
    <w:lvl w:ilvl="0" w:tplc="79123EE4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76344"/>
    <w:multiLevelType w:val="hybridMultilevel"/>
    <w:tmpl w:val="F08025A0"/>
    <w:lvl w:ilvl="0" w:tplc="CCAC5FC2">
      <w:start w:val="1"/>
      <w:numFmt w:val="decimal"/>
      <w:pStyle w:val="Heading2"/>
      <w:lvlText w:val="1.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F6245"/>
    <w:multiLevelType w:val="hybridMultilevel"/>
    <w:tmpl w:val="8C18F362"/>
    <w:lvl w:ilvl="0" w:tplc="ACEA123E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1789C"/>
    <w:multiLevelType w:val="multilevel"/>
    <w:tmpl w:val="73782D3C"/>
    <w:lvl w:ilvl="0">
      <w:start w:val="1"/>
      <w:numFmt w:val="decimal"/>
      <w:pStyle w:val="Style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F965ADE"/>
    <w:multiLevelType w:val="multilevel"/>
    <w:tmpl w:val="A5BED484"/>
    <w:lvl w:ilvl="0">
      <w:start w:val="1"/>
      <w:numFmt w:val="decimal"/>
      <w:pStyle w:val="Style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EED67D6"/>
    <w:multiLevelType w:val="hybridMultilevel"/>
    <w:tmpl w:val="8CAC4652"/>
    <w:lvl w:ilvl="0" w:tplc="2488BB5E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</w:num>
  <w:num w:numId="5">
    <w:abstractNumId w:val="7"/>
  </w:num>
  <w:num w:numId="6">
    <w:abstractNumId w:val="1"/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sDel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276C80"/>
    <w:rsid w:val="00021338"/>
    <w:rsid w:val="001341F5"/>
    <w:rsid w:val="0016759E"/>
    <w:rsid w:val="001934EC"/>
    <w:rsid w:val="001B53D3"/>
    <w:rsid w:val="00223854"/>
    <w:rsid w:val="00276C80"/>
    <w:rsid w:val="002A5A81"/>
    <w:rsid w:val="003216AD"/>
    <w:rsid w:val="00355964"/>
    <w:rsid w:val="00393376"/>
    <w:rsid w:val="003B73F2"/>
    <w:rsid w:val="003F435D"/>
    <w:rsid w:val="004A1B32"/>
    <w:rsid w:val="00535F15"/>
    <w:rsid w:val="006177E8"/>
    <w:rsid w:val="0064502B"/>
    <w:rsid w:val="0066699A"/>
    <w:rsid w:val="00687220"/>
    <w:rsid w:val="006B6787"/>
    <w:rsid w:val="006D718E"/>
    <w:rsid w:val="007559A0"/>
    <w:rsid w:val="007B4817"/>
    <w:rsid w:val="007D47C6"/>
    <w:rsid w:val="008807C1"/>
    <w:rsid w:val="0088397D"/>
    <w:rsid w:val="008B0F27"/>
    <w:rsid w:val="009022CE"/>
    <w:rsid w:val="00907207"/>
    <w:rsid w:val="009579BE"/>
    <w:rsid w:val="00A067A4"/>
    <w:rsid w:val="00A34A22"/>
    <w:rsid w:val="00A5779D"/>
    <w:rsid w:val="00A6035A"/>
    <w:rsid w:val="00B0758E"/>
    <w:rsid w:val="00B5728F"/>
    <w:rsid w:val="00BF778F"/>
    <w:rsid w:val="00C20C7F"/>
    <w:rsid w:val="00C42996"/>
    <w:rsid w:val="00C83ABC"/>
    <w:rsid w:val="00CA1344"/>
    <w:rsid w:val="00CA3859"/>
    <w:rsid w:val="00CA65B5"/>
    <w:rsid w:val="00D351A9"/>
    <w:rsid w:val="00D41E90"/>
    <w:rsid w:val="00DE447E"/>
    <w:rsid w:val="00DF5552"/>
    <w:rsid w:val="00E92500"/>
    <w:rsid w:val="00F24921"/>
    <w:rsid w:val="00F6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71A735-2A92-49BE-AF3A-150307C9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C80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59A0"/>
    <w:pPr>
      <w:keepNext/>
      <w:keepLines/>
      <w:numPr>
        <w:numId w:val="1"/>
      </w:numPr>
      <w:spacing w:before="240"/>
      <w:ind w:left="36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9A0"/>
    <w:pPr>
      <w:keepNext/>
      <w:keepLines/>
      <w:numPr>
        <w:numId w:val="2"/>
      </w:numPr>
      <w:spacing w:before="40"/>
      <w:jc w:val="both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559A0"/>
    <w:pPr>
      <w:spacing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9A0"/>
    <w:rPr>
      <w:rFonts w:ascii="Times New Roman" w:eastAsiaTheme="majorEastAsia" w:hAnsi="Times New Roman" w:cstheme="majorBidi"/>
      <w:b/>
      <w:caps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559A0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9A0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Style3">
    <w:name w:val="Style3"/>
    <w:basedOn w:val="Subtitle"/>
    <w:link w:val="Style3Char"/>
    <w:qFormat/>
    <w:rsid w:val="00A6035A"/>
    <w:pPr>
      <w:numPr>
        <w:numId w:val="5"/>
      </w:numPr>
      <w:ind w:left="360" w:hanging="360"/>
    </w:pPr>
    <w:rPr>
      <w:b w:val="0"/>
      <w:color w:val="auto"/>
    </w:rPr>
  </w:style>
  <w:style w:type="character" w:customStyle="1" w:styleId="Style3Char">
    <w:name w:val="Style3 Char"/>
    <w:basedOn w:val="SubtitleChar"/>
    <w:link w:val="Style3"/>
    <w:rsid w:val="00A6035A"/>
    <w:rPr>
      <w:rFonts w:ascii="Times New Roman" w:eastAsiaTheme="minorEastAsia" w:hAnsi="Times New Roman"/>
      <w:b w:val="0"/>
      <w:color w:val="5A5A5A" w:themeColor="text1" w:themeTint="A5"/>
      <w:spacing w:val="15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99A"/>
    <w:pPr>
      <w:numPr>
        <w:numId w:val="8"/>
      </w:numPr>
      <w:ind w:left="360" w:hanging="360"/>
    </w:pPr>
    <w:rPr>
      <w:rFonts w:eastAsiaTheme="minorEastAsia"/>
      <w:b/>
      <w:color w:val="000000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6699A"/>
    <w:rPr>
      <w:rFonts w:ascii="Times New Roman" w:eastAsiaTheme="minorEastAsia" w:hAnsi="Times New Roman"/>
      <w:b/>
      <w:color w:val="000000" w:themeColor="text1"/>
      <w:spacing w:val="15"/>
      <w:sz w:val="24"/>
    </w:rPr>
  </w:style>
  <w:style w:type="paragraph" w:customStyle="1" w:styleId="Style2">
    <w:name w:val="Style2"/>
    <w:basedOn w:val="Heading2"/>
    <w:link w:val="Style2Char"/>
    <w:qFormat/>
    <w:rsid w:val="0066699A"/>
    <w:pPr>
      <w:numPr>
        <w:numId w:val="0"/>
      </w:numPr>
      <w:tabs>
        <w:tab w:val="num" w:pos="720"/>
      </w:tabs>
      <w:spacing w:before="0"/>
      <w:ind w:left="720" w:hanging="720"/>
      <w:jc w:val="left"/>
    </w:pPr>
    <w:rPr>
      <w:b w:val="0"/>
      <w:color w:val="000000" w:themeColor="text1"/>
      <w:szCs w:val="24"/>
    </w:rPr>
  </w:style>
  <w:style w:type="character" w:customStyle="1" w:styleId="Style2Char">
    <w:name w:val="Style2 Char"/>
    <w:basedOn w:val="Heading2Char"/>
    <w:link w:val="Style2"/>
    <w:rsid w:val="0066699A"/>
    <w:rPr>
      <w:rFonts w:ascii="Times New Roman" w:eastAsiaTheme="majorEastAsia" w:hAnsi="Times New Roman" w:cstheme="majorBidi"/>
      <w:b w:val="0"/>
      <w:color w:val="000000" w:themeColor="text1"/>
      <w:sz w:val="24"/>
      <w:szCs w:val="24"/>
    </w:rPr>
  </w:style>
  <w:style w:type="paragraph" w:customStyle="1" w:styleId="Style4">
    <w:name w:val="Style4"/>
    <w:basedOn w:val="Normal"/>
    <w:link w:val="Style4Char"/>
    <w:qFormat/>
    <w:rsid w:val="00F24921"/>
    <w:pPr>
      <w:numPr>
        <w:numId w:val="11"/>
      </w:numPr>
      <w:ind w:left="360" w:hanging="360"/>
      <w:jc w:val="both"/>
    </w:pPr>
    <w:rPr>
      <w:b/>
    </w:rPr>
  </w:style>
  <w:style w:type="character" w:customStyle="1" w:styleId="Style4Char">
    <w:name w:val="Style4 Char"/>
    <w:basedOn w:val="DefaultParagraphFont"/>
    <w:link w:val="Style4"/>
    <w:rsid w:val="00F24921"/>
    <w:rPr>
      <w:rFonts w:ascii="Times New Roman" w:hAnsi="Times New Roman"/>
      <w:b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276C80"/>
    <w:pPr>
      <w:spacing w:after="200" w:line="240" w:lineRule="auto"/>
    </w:pPr>
    <w:rPr>
      <w:iCs/>
      <w:color w:val="000000" w:themeColor="text1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276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76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76C80"/>
  </w:style>
  <w:style w:type="paragraph" w:customStyle="1" w:styleId="EndNoteBibliographyTitle">
    <w:name w:val="EndNote Bibliography Title"/>
    <w:basedOn w:val="Normal"/>
    <w:link w:val="EndNoteBibliographyTitleChar"/>
    <w:rsid w:val="00C20C7F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20C7F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C20C7F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20C7F"/>
    <w:rPr>
      <w:rFonts w:ascii="Times New Roman" w:hAnsi="Times New Roman" w:cs="Times New Roman"/>
      <w:noProof/>
      <w:sz w:val="24"/>
    </w:rPr>
  </w:style>
  <w:style w:type="paragraph" w:styleId="Header">
    <w:name w:val="header"/>
    <w:basedOn w:val="Normal"/>
    <w:link w:val="HeaderChar"/>
    <w:uiPriority w:val="99"/>
    <w:unhideWhenUsed/>
    <w:rsid w:val="0090720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0720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20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83AB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7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7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nature.com/articles/srep1490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B3BB812-8C87-48A4-B9F0-886FB634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Sujala Sultana</dc:creator>
  <cp:lastModifiedBy>Sujala Sultana</cp:lastModifiedBy>
  <cp:revision>2</cp:revision>
  <dcterms:created xsi:type="dcterms:W3CDTF">2016-07-19T22:21:00Z</dcterms:created>
  <dcterms:modified xsi:type="dcterms:W3CDTF">2016-07-19T22:21:00Z</dcterms:modified>
</cp:coreProperties>
</file>