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F3A54" w14:textId="2D8FAE2D" w:rsidR="00D95AC2" w:rsidRDefault="00C816C5">
      <w:pPr>
        <w:rPr>
          <w:lang w:val="en-US"/>
        </w:rPr>
      </w:pPr>
      <w:r w:rsidRPr="00C816C5">
        <w:rPr>
          <w:noProof/>
          <w:lang w:val="en-US"/>
        </w:rPr>
        <w:drawing>
          <wp:inline distT="0" distB="0" distL="0" distR="0" wp14:anchorId="7C19B6BB" wp14:editId="09476625">
            <wp:extent cx="5731510" cy="3947160"/>
            <wp:effectExtent l="0" t="0" r="0" b="0"/>
            <wp:docPr id="1158916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16033" name=""/>
                    <pic:cNvPicPr/>
                  </pic:nvPicPr>
                  <pic:blipFill>
                    <a:blip r:embed="rId5"/>
                    <a:stretch>
                      <a:fillRect/>
                    </a:stretch>
                  </pic:blipFill>
                  <pic:spPr>
                    <a:xfrm>
                      <a:off x="0" y="0"/>
                      <a:ext cx="5731510" cy="3947160"/>
                    </a:xfrm>
                    <a:prstGeom prst="rect">
                      <a:avLst/>
                    </a:prstGeom>
                  </pic:spPr>
                </pic:pic>
              </a:graphicData>
            </a:graphic>
          </wp:inline>
        </w:drawing>
      </w:r>
    </w:p>
    <w:p w14:paraId="41A47F07" w14:textId="77777777" w:rsidR="00D95AC2" w:rsidRDefault="00D95AC2">
      <w:pPr>
        <w:rPr>
          <w:lang w:val="en-US"/>
        </w:rPr>
      </w:pPr>
    </w:p>
    <w:p w14:paraId="56ECA87A" w14:textId="77777777" w:rsidR="00D95AC2" w:rsidRPr="00A83A6E" w:rsidRDefault="00D95AC2">
      <w:pPr>
        <w:rPr>
          <w:rFonts w:asciiTheme="majorBidi" w:hAnsiTheme="majorBidi" w:cstheme="majorBidi"/>
          <w:lang w:val="en-US"/>
        </w:rPr>
      </w:pPr>
    </w:p>
    <w:p w14:paraId="4182C02F" w14:textId="519855EB" w:rsidR="003A2662" w:rsidRPr="00A83A6E" w:rsidRDefault="00A83A6E" w:rsidP="00A83A6E">
      <w:pPr>
        <w:jc w:val="both"/>
        <w:rPr>
          <w:rFonts w:asciiTheme="majorBidi" w:eastAsia="Times New Roman" w:hAnsiTheme="majorBidi" w:cstheme="majorBidi"/>
          <w:kern w:val="0"/>
          <w:lang w:val="en-DK" w:eastAsia="en-GB"/>
          <w14:ligatures w14:val="none"/>
        </w:rPr>
      </w:pPr>
      <w:r>
        <w:rPr>
          <w:rFonts w:asciiTheme="majorBidi" w:hAnsiTheme="majorBidi" w:cstheme="majorBidi"/>
          <w:lang w:val="en-US"/>
        </w:rPr>
        <w:t>Supplementary figure 1</w:t>
      </w:r>
      <w:r w:rsidRPr="000F2816">
        <w:rPr>
          <w:rFonts w:asciiTheme="majorBidi" w:hAnsiTheme="majorBidi" w:cstheme="majorBidi"/>
          <w:lang w:val="en-US"/>
        </w:rPr>
        <w:t xml:space="preserve">:  </w:t>
      </w:r>
      <w:r w:rsidR="003A2662" w:rsidRPr="00A83A6E">
        <w:rPr>
          <w:rFonts w:asciiTheme="majorBidi" w:hAnsiTheme="majorBidi" w:cstheme="majorBidi"/>
          <w:lang w:val="en-US"/>
        </w:rPr>
        <w:t xml:space="preserve">The growth of </w:t>
      </w:r>
      <w:proofErr w:type="spellStart"/>
      <w:r w:rsidR="003A2662" w:rsidRPr="00A83A6E">
        <w:rPr>
          <w:rFonts w:asciiTheme="majorBidi" w:hAnsiTheme="majorBidi" w:cstheme="majorBidi"/>
          <w:lang w:val="en-US"/>
        </w:rPr>
        <w:t>mCherry</w:t>
      </w:r>
      <w:proofErr w:type="spellEnd"/>
      <w:r w:rsidR="003A2662" w:rsidRPr="00A83A6E">
        <w:rPr>
          <w:rFonts w:asciiTheme="majorBidi" w:hAnsiTheme="majorBidi" w:cstheme="majorBidi"/>
          <w:lang w:val="en-US"/>
        </w:rPr>
        <w:t xml:space="preserve">-tagged PAO1 (background of PAO1-mCherry-PCD-gfp) was monitored over 24 hours in the presence of </w:t>
      </w:r>
      <w:proofErr w:type="spellStart"/>
      <w:r w:rsidR="003A2662" w:rsidRPr="00A83A6E">
        <w:rPr>
          <w:rFonts w:asciiTheme="majorBidi" w:hAnsiTheme="majorBidi" w:cstheme="majorBidi"/>
          <w:lang w:val="en-US"/>
        </w:rPr>
        <w:t>CellROX</w:t>
      </w:r>
      <w:proofErr w:type="spellEnd"/>
      <w:r w:rsidR="003A2662" w:rsidRPr="00A83A6E">
        <w:rPr>
          <w:rFonts w:asciiTheme="majorBidi" w:hAnsiTheme="majorBidi" w:cstheme="majorBidi"/>
          <w:lang w:val="en-US"/>
        </w:rPr>
        <w:t xml:space="preserve">, a ROS-detector, to measure green fluorescence signals. Bacterial cells were treated with Tobramycin (0.4 mg/L, black) alone or in combination with one of three antioxidants: N-acetyl-L-cysteine (Tobramycin + NAC, blue), </w:t>
      </w:r>
      <w:proofErr w:type="spellStart"/>
      <w:r w:rsidR="003A2662" w:rsidRPr="00A83A6E">
        <w:rPr>
          <w:rFonts w:asciiTheme="majorBidi" w:hAnsiTheme="majorBidi" w:cstheme="majorBidi"/>
          <w:lang w:val="en-US"/>
        </w:rPr>
        <w:t>Edaravone</w:t>
      </w:r>
      <w:proofErr w:type="spellEnd"/>
      <w:r w:rsidR="003A2662" w:rsidRPr="00A83A6E">
        <w:rPr>
          <w:rFonts w:asciiTheme="majorBidi" w:hAnsiTheme="majorBidi" w:cstheme="majorBidi"/>
          <w:lang w:val="en-US"/>
        </w:rPr>
        <w:t xml:space="preserve"> (Tobramycin + ED, red), or Thiourea (Tobramycin + THU, green). </w:t>
      </w:r>
      <w:r w:rsidRPr="00A83A6E">
        <w:rPr>
          <w:rFonts w:asciiTheme="majorBidi" w:hAnsiTheme="majorBidi" w:cstheme="majorBidi"/>
          <w:lang w:val="en-US"/>
        </w:rPr>
        <w:t xml:space="preserve">Consistent with the results observed with Ciprofloxacin, all antioxidant treatments significantly reduced the green fluorescence signal compared to Tobramycin alone, with </w:t>
      </w:r>
      <w:r w:rsidRPr="00A83A6E">
        <w:rPr>
          <w:rFonts w:asciiTheme="majorBidi" w:hAnsiTheme="majorBidi" w:cstheme="majorBidi"/>
          <w:i/>
          <w:iCs/>
          <w:lang w:val="en-US"/>
        </w:rPr>
        <w:t>p</w:t>
      </w:r>
      <w:r w:rsidRPr="00A83A6E">
        <w:rPr>
          <w:rFonts w:asciiTheme="majorBidi" w:hAnsiTheme="majorBidi" w:cstheme="majorBidi"/>
          <w:lang w:val="en-US"/>
        </w:rPr>
        <w:t>-values of 0.0001, 0.0407, and 0.0011, respectively.</w:t>
      </w:r>
    </w:p>
    <w:p w14:paraId="53A4A35F" w14:textId="7CE35015" w:rsidR="003A2662" w:rsidRDefault="003A2662" w:rsidP="003A2662">
      <w:pPr>
        <w:jc w:val="both"/>
        <w:rPr>
          <w:rFonts w:ascii="Arial" w:eastAsia="Times New Roman" w:hAnsi="Arial" w:cs="Arial"/>
          <w:kern w:val="0"/>
          <w:lang w:val="en-DK" w:eastAsia="en-GB"/>
          <w14:ligatures w14:val="none"/>
        </w:rPr>
      </w:pPr>
    </w:p>
    <w:p w14:paraId="5E72DDAF" w14:textId="77777777" w:rsidR="00A75013" w:rsidRDefault="00A75013" w:rsidP="00A75013">
      <w:pPr>
        <w:jc w:val="both"/>
        <w:rPr>
          <w:lang w:val="en-US"/>
        </w:rPr>
      </w:pPr>
      <w:r w:rsidRPr="00965C8D">
        <w:rPr>
          <w:noProof/>
          <w:lang w:val="en-US"/>
        </w:rPr>
        <w:lastRenderedPageBreak/>
        <w:drawing>
          <wp:inline distT="0" distB="0" distL="0" distR="0" wp14:anchorId="21B7AF4C" wp14:editId="1ECCB8C6">
            <wp:extent cx="5731510" cy="4011930"/>
            <wp:effectExtent l="0" t="0" r="0" b="1270"/>
            <wp:docPr id="5240957"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93095" name="Picture 1" descr="A screenshot of a graph&#10;&#10;Description automatically generated"/>
                    <pic:cNvPicPr/>
                  </pic:nvPicPr>
                  <pic:blipFill>
                    <a:blip r:embed="rId6"/>
                    <a:stretch>
                      <a:fillRect/>
                    </a:stretch>
                  </pic:blipFill>
                  <pic:spPr>
                    <a:xfrm>
                      <a:off x="0" y="0"/>
                      <a:ext cx="5731510" cy="4011930"/>
                    </a:xfrm>
                    <a:prstGeom prst="rect">
                      <a:avLst/>
                    </a:prstGeom>
                  </pic:spPr>
                </pic:pic>
              </a:graphicData>
            </a:graphic>
          </wp:inline>
        </w:drawing>
      </w:r>
    </w:p>
    <w:p w14:paraId="77AF78BC" w14:textId="606B68B7" w:rsidR="00A75013" w:rsidRPr="00BC5BBE" w:rsidRDefault="00A75013" w:rsidP="00A75013">
      <w:pPr>
        <w:jc w:val="both"/>
        <w:rPr>
          <w:rFonts w:ascii="Times New Roman" w:eastAsia="Times New Roman" w:hAnsi="Times New Roman" w:cs="Times New Roman"/>
          <w:kern w:val="0"/>
          <w:lang w:val="en-US" w:eastAsia="en-GB"/>
          <w14:ligatures w14:val="none"/>
        </w:rPr>
      </w:pPr>
      <w:r>
        <w:rPr>
          <w:lang w:val="en-US"/>
        </w:rPr>
        <w:t xml:space="preserve">Supplementary figure </w:t>
      </w:r>
      <w:r>
        <w:rPr>
          <w:lang w:val="en-US"/>
        </w:rPr>
        <w:t>2</w:t>
      </w:r>
      <w:r>
        <w:rPr>
          <w:lang w:val="en-US"/>
        </w:rPr>
        <w:t xml:space="preserve">: The effect of AOs alone on biofilm formation using the reporter strain </w:t>
      </w:r>
      <w:r w:rsidRPr="00F46DF7">
        <w:rPr>
          <w:color w:val="000000"/>
          <w:lang w:val="en-US"/>
        </w:rPr>
        <w:t>PAO1-</w:t>
      </w:r>
      <w:r w:rsidRPr="00F46DF7">
        <w:rPr>
          <w:i/>
          <w:color w:val="000000"/>
          <w:lang w:val="en-US"/>
        </w:rPr>
        <w:t>mCherry</w:t>
      </w:r>
      <w:r w:rsidRPr="00F46DF7">
        <w:rPr>
          <w:color w:val="000000"/>
          <w:lang w:val="en-US"/>
        </w:rPr>
        <w:t>-P</w:t>
      </w:r>
      <w:r w:rsidRPr="00F46DF7">
        <w:rPr>
          <w:i/>
          <w:color w:val="000000"/>
          <w:lang w:val="en-US"/>
        </w:rPr>
        <w:t>CD</w:t>
      </w:r>
      <w:r w:rsidRPr="00F46DF7">
        <w:rPr>
          <w:color w:val="000000"/>
          <w:lang w:val="en-US"/>
        </w:rPr>
        <w:t>-</w:t>
      </w:r>
      <w:r w:rsidRPr="00F46DF7">
        <w:rPr>
          <w:i/>
          <w:color w:val="000000"/>
          <w:lang w:val="en-US"/>
        </w:rPr>
        <w:t>gfp</w:t>
      </w:r>
      <w:r>
        <w:rPr>
          <w:lang w:val="en-US"/>
        </w:rPr>
        <w:t xml:space="preserve">. </w:t>
      </w:r>
      <w:r>
        <w:rPr>
          <w:rFonts w:ascii="Times New Roman" w:eastAsia="Times New Roman" w:hAnsi="Times New Roman" w:cs="Times New Roman"/>
          <w:kern w:val="0"/>
          <w:lang w:val="en-US" w:eastAsia="en-GB"/>
          <w14:ligatures w14:val="none"/>
        </w:rPr>
        <w:t xml:space="preserve">(a) </w:t>
      </w:r>
      <w:r w:rsidRPr="003E612B">
        <w:rPr>
          <w:rFonts w:ascii="Times New Roman" w:eastAsia="Times New Roman" w:hAnsi="Times New Roman" w:cs="Times New Roman"/>
          <w:kern w:val="0"/>
          <w:lang w:val="en-US" w:eastAsia="en-GB"/>
          <w14:ligatures w14:val="none"/>
        </w:rPr>
        <w:t>CLSM images</w:t>
      </w:r>
      <w:r w:rsidRPr="003E612B">
        <w:rPr>
          <w:rFonts w:ascii="Times New Roman" w:eastAsia="Times New Roman" w:hAnsi="Times New Roman" w:cs="Times New Roman"/>
          <w:color w:val="000000"/>
          <w:kern w:val="0"/>
          <w:lang w:val="en-US" w:eastAsia="en-GB"/>
          <w14:ligatures w14:val="none"/>
        </w:rPr>
        <w:t xml:space="preserve"> </w:t>
      </w:r>
      <w:r>
        <w:rPr>
          <w:rFonts w:ascii="Times New Roman" w:eastAsia="Times New Roman" w:hAnsi="Times New Roman" w:cs="Times New Roman"/>
          <w:color w:val="000000"/>
          <w:kern w:val="0"/>
          <w:lang w:val="en-US" w:eastAsia="en-GB"/>
          <w14:ligatures w14:val="none"/>
        </w:rPr>
        <w:t xml:space="preserve">were taken </w:t>
      </w:r>
      <w:r w:rsidRPr="003E612B">
        <w:rPr>
          <w:rFonts w:ascii="Times New Roman" w:eastAsia="Times New Roman" w:hAnsi="Times New Roman" w:cs="Times New Roman"/>
          <w:color w:val="000000"/>
          <w:kern w:val="0"/>
          <w:lang w:val="en-US" w:eastAsia="en-GB"/>
          <w14:ligatures w14:val="none"/>
        </w:rPr>
        <w:t>after 24 h of untreated (control) or</w:t>
      </w:r>
      <w:r>
        <w:rPr>
          <w:rFonts w:ascii="Times New Roman" w:eastAsia="Times New Roman" w:hAnsi="Times New Roman" w:cs="Times New Roman"/>
          <w:color w:val="000000"/>
          <w:kern w:val="0"/>
          <w:lang w:val="en-US" w:eastAsia="en-GB"/>
          <w14:ligatures w14:val="none"/>
        </w:rPr>
        <w:t xml:space="preserve"> AO-</w:t>
      </w:r>
      <w:r w:rsidRPr="003E612B">
        <w:rPr>
          <w:rFonts w:ascii="Times New Roman" w:eastAsia="Times New Roman" w:hAnsi="Times New Roman" w:cs="Times New Roman"/>
          <w:color w:val="000000"/>
          <w:kern w:val="0"/>
          <w:lang w:val="en-US" w:eastAsia="en-GB"/>
          <w14:ligatures w14:val="none"/>
        </w:rPr>
        <w:t xml:space="preserve"> treated flow-cell biofilms with either</w:t>
      </w:r>
      <w:r>
        <w:rPr>
          <w:rFonts w:ascii="Times New Roman" w:eastAsia="Times New Roman" w:hAnsi="Times New Roman" w:cs="Times New Roman"/>
          <w:color w:val="000000"/>
          <w:kern w:val="0"/>
          <w:lang w:val="en-US" w:eastAsia="en-GB"/>
          <w14:ligatures w14:val="none"/>
        </w:rPr>
        <w:t xml:space="preserve"> </w:t>
      </w:r>
      <w:proofErr w:type="spellStart"/>
      <w:r>
        <w:rPr>
          <w:rFonts w:ascii="Times New Roman" w:eastAsia="Times New Roman" w:hAnsi="Times New Roman" w:cs="Times New Roman"/>
          <w:color w:val="000000"/>
          <w:kern w:val="0"/>
          <w:lang w:val="en-US" w:eastAsia="en-GB"/>
          <w14:ligatures w14:val="none"/>
        </w:rPr>
        <w:t>Edaravone</w:t>
      </w:r>
      <w:proofErr w:type="spellEnd"/>
      <w:r>
        <w:rPr>
          <w:rFonts w:ascii="Times New Roman" w:eastAsia="Times New Roman" w:hAnsi="Times New Roman" w:cs="Times New Roman"/>
          <w:color w:val="000000"/>
          <w:kern w:val="0"/>
          <w:lang w:val="en-US" w:eastAsia="en-GB"/>
          <w14:ligatures w14:val="none"/>
        </w:rPr>
        <w:t xml:space="preserve"> (ED, 300uM), N-acetyl cysteine (NAC, 2 mM), or</w:t>
      </w:r>
      <w:r w:rsidRPr="003E612B">
        <w:rPr>
          <w:rFonts w:ascii="Times New Roman" w:eastAsia="Times New Roman" w:hAnsi="Times New Roman" w:cs="Times New Roman"/>
          <w:color w:val="000000"/>
          <w:kern w:val="0"/>
          <w:lang w:val="en-US" w:eastAsia="en-GB"/>
          <w14:ligatures w14:val="none"/>
        </w:rPr>
        <w:t xml:space="preserve"> thiourea</w:t>
      </w:r>
      <w:r>
        <w:rPr>
          <w:rFonts w:ascii="Times New Roman" w:eastAsia="Times New Roman" w:hAnsi="Times New Roman" w:cs="Times New Roman"/>
          <w:color w:val="000000"/>
          <w:kern w:val="0"/>
          <w:lang w:val="en-US" w:eastAsia="en-GB"/>
          <w14:ligatures w14:val="none"/>
        </w:rPr>
        <w:t xml:space="preserve"> </w:t>
      </w:r>
      <w:r w:rsidRPr="003E612B">
        <w:rPr>
          <w:rFonts w:ascii="Times New Roman" w:eastAsia="Times New Roman" w:hAnsi="Times New Roman" w:cs="Times New Roman"/>
          <w:color w:val="000000"/>
          <w:kern w:val="0"/>
          <w:lang w:val="en-US" w:eastAsia="en-GB"/>
          <w14:ligatures w14:val="none"/>
        </w:rPr>
        <w:t>(THU</w:t>
      </w:r>
      <w:r>
        <w:rPr>
          <w:rFonts w:ascii="Times New Roman" w:eastAsia="Times New Roman" w:hAnsi="Times New Roman" w:cs="Times New Roman"/>
          <w:color w:val="000000"/>
          <w:kern w:val="0"/>
          <w:lang w:val="en-US" w:eastAsia="en-GB"/>
          <w14:ligatures w14:val="none"/>
        </w:rPr>
        <w:t>, 100 mM)</w:t>
      </w:r>
      <w:r w:rsidRPr="003E612B">
        <w:rPr>
          <w:rFonts w:ascii="Times New Roman" w:eastAsia="Times New Roman" w:hAnsi="Times New Roman" w:cs="Times New Roman"/>
          <w:color w:val="000000"/>
          <w:kern w:val="0"/>
          <w:lang w:val="en-US" w:eastAsia="en-GB"/>
          <w14:ligatures w14:val="none"/>
        </w:rPr>
        <w:t>.</w:t>
      </w:r>
      <w:r>
        <w:rPr>
          <w:rFonts w:ascii="Times New Roman" w:eastAsia="Times New Roman" w:hAnsi="Times New Roman" w:cs="Times New Roman"/>
          <w:kern w:val="0"/>
          <w:lang w:val="en-US" w:eastAsia="en-GB"/>
          <w14:ligatures w14:val="none"/>
        </w:rPr>
        <w:t xml:space="preserve"> R</w:t>
      </w:r>
      <w:r w:rsidRPr="003E612B">
        <w:rPr>
          <w:rFonts w:ascii="Times New Roman" w:eastAsia="Times New Roman" w:hAnsi="Times New Roman" w:cs="Times New Roman"/>
          <w:kern w:val="0"/>
          <w:lang w:val="en-US" w:eastAsia="en-GB"/>
          <w14:ligatures w14:val="none"/>
        </w:rPr>
        <w:t xml:space="preserve">ed fluorescence </w:t>
      </w:r>
      <w:r>
        <w:rPr>
          <w:rFonts w:ascii="Times New Roman" w:eastAsia="Times New Roman" w:hAnsi="Times New Roman" w:cs="Times New Roman"/>
          <w:kern w:val="0"/>
          <w:lang w:val="en-US" w:eastAsia="en-GB"/>
          <w14:ligatures w14:val="none"/>
        </w:rPr>
        <w:t>indicates</w:t>
      </w:r>
      <w:r w:rsidRPr="003E612B">
        <w:rPr>
          <w:rFonts w:ascii="Times New Roman" w:eastAsia="Times New Roman" w:hAnsi="Times New Roman" w:cs="Times New Roman"/>
          <w:kern w:val="0"/>
          <w:lang w:val="en-US" w:eastAsia="en-GB"/>
          <w14:ligatures w14:val="none"/>
        </w:rPr>
        <w:t xml:space="preserve"> wild-type cells constitutively</w:t>
      </w:r>
      <w:r>
        <w:rPr>
          <w:rFonts w:ascii="Times New Roman" w:eastAsia="Times New Roman" w:hAnsi="Times New Roman" w:cs="Times New Roman"/>
          <w:kern w:val="0"/>
          <w:lang w:val="en-US" w:eastAsia="en-GB"/>
          <w14:ligatures w14:val="none"/>
        </w:rPr>
        <w:t xml:space="preserve"> expressing </w:t>
      </w:r>
      <w:proofErr w:type="spellStart"/>
      <w:r>
        <w:rPr>
          <w:rFonts w:ascii="Times New Roman" w:eastAsia="Times New Roman" w:hAnsi="Times New Roman" w:cs="Times New Roman"/>
          <w:kern w:val="0"/>
          <w:lang w:val="en-US" w:eastAsia="en-GB"/>
          <w14:ligatures w14:val="none"/>
        </w:rPr>
        <w:t>mCherry</w:t>
      </w:r>
      <w:proofErr w:type="spellEnd"/>
      <w:r>
        <w:rPr>
          <w:rFonts w:ascii="Times New Roman" w:eastAsia="Times New Roman" w:hAnsi="Times New Roman" w:cs="Times New Roman"/>
          <w:kern w:val="0"/>
          <w:lang w:val="en-US" w:eastAsia="en-GB"/>
          <w14:ligatures w14:val="none"/>
        </w:rPr>
        <w:t xml:space="preserve">. </w:t>
      </w:r>
      <w:r w:rsidRPr="003E612B">
        <w:rPr>
          <w:rFonts w:ascii="Times New Roman" w:eastAsia="Times New Roman" w:hAnsi="Times New Roman" w:cs="Times New Roman"/>
          <w:kern w:val="0"/>
          <w:lang w:val="en-US" w:eastAsia="en-GB"/>
          <w14:ligatures w14:val="none"/>
        </w:rPr>
        <w:t xml:space="preserve">Z-stacks were acquired using a Zeiss 880 microscope and processed </w:t>
      </w:r>
      <w:r>
        <w:rPr>
          <w:rFonts w:ascii="Times New Roman" w:eastAsia="Times New Roman" w:hAnsi="Times New Roman" w:cs="Times New Roman"/>
          <w:kern w:val="0"/>
          <w:lang w:val="en-US" w:eastAsia="en-GB"/>
          <w14:ligatures w14:val="none"/>
        </w:rPr>
        <w:t>with</w:t>
      </w:r>
      <w:r w:rsidRPr="003E612B">
        <w:rPr>
          <w:rFonts w:ascii="Times New Roman" w:eastAsia="Times New Roman" w:hAnsi="Times New Roman" w:cs="Times New Roman"/>
          <w:kern w:val="0"/>
          <w:lang w:val="en-US" w:eastAsia="en-GB"/>
          <w14:ligatures w14:val="none"/>
        </w:rPr>
        <w:t xml:space="preserve"> </w:t>
      </w:r>
      <w:proofErr w:type="spellStart"/>
      <w:r w:rsidRPr="003E612B">
        <w:rPr>
          <w:rFonts w:ascii="Times New Roman" w:eastAsia="Times New Roman" w:hAnsi="Times New Roman" w:cs="Times New Roman"/>
          <w:kern w:val="0"/>
          <w:lang w:val="en-US" w:eastAsia="en-GB"/>
          <w14:ligatures w14:val="none"/>
        </w:rPr>
        <w:t>Imaris</w:t>
      </w:r>
      <w:proofErr w:type="spellEnd"/>
      <w:r w:rsidRPr="003E612B">
        <w:rPr>
          <w:rFonts w:ascii="Times New Roman" w:eastAsia="Times New Roman" w:hAnsi="Times New Roman" w:cs="Times New Roman"/>
          <w:kern w:val="0"/>
          <w:lang w:val="en-US" w:eastAsia="en-GB"/>
          <w14:ligatures w14:val="none"/>
        </w:rPr>
        <w:t xml:space="preserve"> 10.1 software (</w:t>
      </w:r>
      <w:proofErr w:type="spellStart"/>
      <w:r w:rsidRPr="003E612B">
        <w:rPr>
          <w:rFonts w:ascii="Times New Roman" w:eastAsia="Times New Roman" w:hAnsi="Times New Roman" w:cs="Times New Roman"/>
          <w:kern w:val="0"/>
          <w:lang w:val="en-US" w:eastAsia="en-GB"/>
          <w14:ligatures w14:val="none"/>
        </w:rPr>
        <w:t>Bitplane</w:t>
      </w:r>
      <w:proofErr w:type="spellEnd"/>
      <w:r w:rsidRPr="003E612B">
        <w:rPr>
          <w:rFonts w:ascii="Times New Roman" w:eastAsia="Times New Roman" w:hAnsi="Times New Roman" w:cs="Times New Roman"/>
          <w:kern w:val="0"/>
          <w:lang w:val="en-US" w:eastAsia="en-GB"/>
          <w14:ligatures w14:val="none"/>
        </w:rPr>
        <w:t xml:space="preserve">). The images </w:t>
      </w:r>
      <w:r>
        <w:rPr>
          <w:rFonts w:ascii="Times New Roman" w:eastAsia="Times New Roman" w:hAnsi="Times New Roman" w:cs="Times New Roman"/>
          <w:kern w:val="0"/>
          <w:lang w:val="en-US" w:eastAsia="en-GB"/>
          <w14:ligatures w14:val="none"/>
        </w:rPr>
        <w:t xml:space="preserve">display </w:t>
      </w:r>
      <w:r w:rsidRPr="003E612B">
        <w:rPr>
          <w:rFonts w:ascii="Times New Roman" w:eastAsia="Times New Roman" w:hAnsi="Times New Roman" w:cs="Times New Roman"/>
          <w:kern w:val="0"/>
          <w:lang w:val="en-US" w:eastAsia="en-GB"/>
          <w14:ligatures w14:val="none"/>
        </w:rPr>
        <w:t>orthogonal 3D views of the biofilm (</w:t>
      </w:r>
      <w:r>
        <w:rPr>
          <w:rFonts w:ascii="Times New Roman" w:eastAsia="Times New Roman" w:hAnsi="Times New Roman" w:cs="Times New Roman"/>
          <w:kern w:val="0"/>
          <w:lang w:val="en-US" w:eastAsia="en-GB"/>
          <w14:ligatures w14:val="none"/>
        </w:rPr>
        <w:t>left panels</w:t>
      </w:r>
      <w:r w:rsidRPr="003E612B">
        <w:rPr>
          <w:rFonts w:ascii="Times New Roman" w:eastAsia="Times New Roman" w:hAnsi="Times New Roman" w:cs="Times New Roman"/>
          <w:kern w:val="0"/>
          <w:lang w:val="en-US" w:eastAsia="en-GB"/>
          <w14:ligatures w14:val="none"/>
        </w:rPr>
        <w:t>) or sections (</w:t>
      </w:r>
      <w:r>
        <w:rPr>
          <w:rFonts w:ascii="Times New Roman" w:eastAsia="Times New Roman" w:hAnsi="Times New Roman" w:cs="Times New Roman"/>
          <w:kern w:val="0"/>
          <w:lang w:val="en-US" w:eastAsia="en-GB"/>
          <w14:ligatures w14:val="none"/>
        </w:rPr>
        <w:t>right panel</w:t>
      </w:r>
      <w:r w:rsidRPr="003E612B">
        <w:rPr>
          <w:rFonts w:ascii="Times New Roman" w:eastAsia="Times New Roman" w:hAnsi="Times New Roman" w:cs="Times New Roman"/>
          <w:kern w:val="0"/>
          <w:lang w:val="en-US" w:eastAsia="en-GB"/>
          <w14:ligatures w14:val="none"/>
        </w:rPr>
        <w:t>)</w:t>
      </w:r>
      <w:r>
        <w:rPr>
          <w:rFonts w:ascii="Times New Roman" w:eastAsia="Times New Roman" w:hAnsi="Times New Roman" w:cs="Times New Roman"/>
          <w:kern w:val="0"/>
          <w:lang w:val="en-US" w:eastAsia="en-GB"/>
          <w14:ligatures w14:val="none"/>
        </w:rPr>
        <w:t xml:space="preserve">. (b) </w:t>
      </w:r>
      <w:r w:rsidRPr="00387DBA">
        <w:rPr>
          <w:lang w:val="en-DK"/>
        </w:rPr>
        <w:t>Biomass of biofilms after 24 hours of AO treatment was quantified to assess the impact of ED, NAC, and THU compared to the untreated control.</w:t>
      </w:r>
    </w:p>
    <w:p w14:paraId="10724588" w14:textId="77777777" w:rsidR="009003FC" w:rsidRPr="00A75013" w:rsidRDefault="009003FC" w:rsidP="003A2662">
      <w:pPr>
        <w:jc w:val="both"/>
        <w:rPr>
          <w:rFonts w:ascii="Arial" w:eastAsia="Times New Roman" w:hAnsi="Arial" w:cs="Arial"/>
          <w:kern w:val="0"/>
          <w:lang w:val="en-US" w:eastAsia="en-GB"/>
          <w14:ligatures w14:val="none"/>
        </w:rPr>
      </w:pPr>
    </w:p>
    <w:p w14:paraId="1FDA0C07" w14:textId="1CC9F91B" w:rsidR="009003FC" w:rsidRDefault="009003FC" w:rsidP="003A2662">
      <w:pPr>
        <w:jc w:val="both"/>
        <w:rPr>
          <w:rFonts w:ascii="Arial" w:eastAsia="Times New Roman" w:hAnsi="Arial" w:cs="Arial"/>
          <w:kern w:val="0"/>
          <w:lang w:val="en-DK" w:eastAsia="en-GB"/>
          <w14:ligatures w14:val="none"/>
        </w:rPr>
      </w:pPr>
      <w:r w:rsidRPr="00BB2B72">
        <w:rPr>
          <w:noProof/>
          <w:lang w:val="en-US"/>
        </w:rPr>
        <w:lastRenderedPageBreak/>
        <w:drawing>
          <wp:inline distT="0" distB="0" distL="0" distR="0" wp14:anchorId="0B664260" wp14:editId="6D0D0DE0">
            <wp:extent cx="5709037" cy="3347556"/>
            <wp:effectExtent l="0" t="0" r="0" b="5715"/>
            <wp:docPr id="1851306837" name="Picture 1" descr="A diagram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55157" name="Picture 1" descr="A diagram of a test tube&#10;&#10;Description automatically generated"/>
                    <pic:cNvPicPr/>
                  </pic:nvPicPr>
                  <pic:blipFill rotWithShape="1">
                    <a:blip r:embed="rId7"/>
                    <a:srcRect l="6243" t="10902" r="15917" b="23894"/>
                    <a:stretch/>
                  </pic:blipFill>
                  <pic:spPr bwMode="auto">
                    <a:xfrm>
                      <a:off x="0" y="0"/>
                      <a:ext cx="5766370" cy="3381174"/>
                    </a:xfrm>
                    <a:prstGeom prst="rect">
                      <a:avLst/>
                    </a:prstGeom>
                    <a:ln>
                      <a:noFill/>
                    </a:ln>
                    <a:extLst>
                      <a:ext uri="{53640926-AAD7-44D8-BBD7-CCE9431645EC}">
                        <a14:shadowObscured xmlns:a14="http://schemas.microsoft.com/office/drawing/2010/main"/>
                      </a:ext>
                    </a:extLst>
                  </pic:spPr>
                </pic:pic>
              </a:graphicData>
            </a:graphic>
          </wp:inline>
        </w:drawing>
      </w:r>
    </w:p>
    <w:p w14:paraId="5A94976F" w14:textId="0EBEE8FC" w:rsidR="009003FC" w:rsidRDefault="009003FC" w:rsidP="009A1E68">
      <w:pPr>
        <w:jc w:val="both"/>
        <w:rPr>
          <w:rFonts w:asciiTheme="majorBidi" w:hAnsiTheme="majorBidi" w:cstheme="majorBidi"/>
          <w:lang w:val="en-US"/>
        </w:rPr>
      </w:pPr>
      <w:r>
        <w:rPr>
          <w:rFonts w:asciiTheme="majorBidi" w:hAnsiTheme="majorBidi" w:cstheme="majorBidi"/>
          <w:lang w:val="en-US"/>
        </w:rPr>
        <w:t xml:space="preserve">Supplementary figure </w:t>
      </w:r>
      <w:r w:rsidR="00A75013">
        <w:rPr>
          <w:rFonts w:asciiTheme="majorBidi" w:hAnsiTheme="majorBidi" w:cstheme="majorBidi"/>
          <w:lang w:val="en-US"/>
        </w:rPr>
        <w:t>3</w:t>
      </w:r>
      <w:r w:rsidRPr="00FF58CE">
        <w:rPr>
          <w:rFonts w:asciiTheme="majorBidi" w:hAnsiTheme="majorBidi" w:cstheme="majorBidi"/>
          <w:lang w:val="en-US"/>
        </w:rPr>
        <w:t xml:space="preserve">: Experimental setup for glass beads evolution study. </w:t>
      </w:r>
      <w:r w:rsidR="00CD42E8" w:rsidRPr="00CD42E8">
        <w:rPr>
          <w:rFonts w:asciiTheme="majorBidi" w:hAnsiTheme="majorBidi" w:cstheme="majorBidi"/>
          <w:lang w:val="en-US"/>
        </w:rPr>
        <w:t>The experiment involved incubating inoculated LB medium with glass beads on a shaker at 37°C for 24 hours. After incubation, the beads were washed three times with saline, and fresh LB medium was added to the falcon tubes (1 mL/bead). The treatments included no treatment (control), CIP alone, or a combination of CIP with an antioxidant (CIP-AO). The tubes were then incubated for an additional 24 hours, followed by another washing step. The bacterial populations were then harvested through sonication, serially diluted, and plated for CFU counting and population analysis.</w:t>
      </w:r>
    </w:p>
    <w:p w14:paraId="5342164E" w14:textId="77777777" w:rsidR="009003FC" w:rsidRDefault="009003FC" w:rsidP="009003FC">
      <w:pPr>
        <w:jc w:val="both"/>
        <w:rPr>
          <w:rFonts w:asciiTheme="majorBidi" w:hAnsiTheme="majorBidi" w:cstheme="majorBidi"/>
          <w:lang w:val="en-US"/>
        </w:rPr>
      </w:pPr>
    </w:p>
    <w:p w14:paraId="2AF13424" w14:textId="77777777" w:rsidR="009003FC" w:rsidRDefault="009003FC" w:rsidP="009003FC">
      <w:pPr>
        <w:jc w:val="both"/>
        <w:rPr>
          <w:rFonts w:asciiTheme="majorBidi" w:hAnsiTheme="majorBidi" w:cstheme="majorBidi"/>
          <w:lang w:val="en-US"/>
        </w:rPr>
      </w:pPr>
    </w:p>
    <w:p w14:paraId="3B717290" w14:textId="77777777" w:rsidR="009003FC" w:rsidRPr="00FD074A" w:rsidRDefault="009003FC" w:rsidP="009003FC">
      <w:pPr>
        <w:jc w:val="both"/>
        <w:rPr>
          <w:noProof/>
          <w:lang w:val="en-US"/>
        </w:rPr>
      </w:pPr>
    </w:p>
    <w:p w14:paraId="74B5AD1F" w14:textId="407E7C39" w:rsidR="009003FC" w:rsidRPr="009003FC" w:rsidRDefault="009003FC" w:rsidP="003A2662">
      <w:pPr>
        <w:jc w:val="both"/>
        <w:rPr>
          <w:rFonts w:ascii="Arial" w:eastAsia="Times New Roman" w:hAnsi="Arial" w:cs="Arial"/>
          <w:kern w:val="0"/>
          <w:lang w:val="en-US" w:eastAsia="en-GB"/>
          <w14:ligatures w14:val="none"/>
        </w:rPr>
      </w:pPr>
      <w:r w:rsidRPr="00B66EB2">
        <w:rPr>
          <w:noProof/>
        </w:rPr>
        <w:drawing>
          <wp:inline distT="0" distB="0" distL="0" distR="0" wp14:anchorId="4F707CE9" wp14:editId="302C23D1">
            <wp:extent cx="5731510" cy="2991485"/>
            <wp:effectExtent l="0" t="0" r="0" b="5715"/>
            <wp:docPr id="1238037689" name="Picture 1" descr="A collage of different types of bacter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55279" name="Picture 1" descr="A collage of different types of bacteria&#10;&#10;Description automatically generated"/>
                    <pic:cNvPicPr/>
                  </pic:nvPicPr>
                  <pic:blipFill rotWithShape="1">
                    <a:blip r:embed="rId8"/>
                    <a:srcRect b="25424"/>
                    <a:stretch/>
                  </pic:blipFill>
                  <pic:spPr bwMode="auto">
                    <a:xfrm>
                      <a:off x="0" y="0"/>
                      <a:ext cx="5731510" cy="2991485"/>
                    </a:xfrm>
                    <a:prstGeom prst="rect">
                      <a:avLst/>
                    </a:prstGeom>
                    <a:ln>
                      <a:noFill/>
                    </a:ln>
                    <a:extLst>
                      <a:ext uri="{53640926-AAD7-44D8-BBD7-CCE9431645EC}">
                        <a14:shadowObscured xmlns:a14="http://schemas.microsoft.com/office/drawing/2010/main"/>
                      </a:ext>
                    </a:extLst>
                  </pic:spPr>
                </pic:pic>
              </a:graphicData>
            </a:graphic>
          </wp:inline>
        </w:drawing>
      </w:r>
    </w:p>
    <w:p w14:paraId="51CB37E8" w14:textId="1952A2AC" w:rsidR="009003FC" w:rsidRPr="009A1E68" w:rsidRDefault="009003FC" w:rsidP="009A1E68">
      <w:pPr>
        <w:jc w:val="both"/>
        <w:rPr>
          <w:lang w:val="en-US"/>
        </w:rPr>
      </w:pPr>
      <w:r>
        <w:rPr>
          <w:lang w:val="en-US"/>
        </w:rPr>
        <w:t xml:space="preserve">Supplementary figure </w:t>
      </w:r>
      <w:r w:rsidR="00A75013">
        <w:rPr>
          <w:lang w:val="en-US"/>
        </w:rPr>
        <w:t>4</w:t>
      </w:r>
      <w:r w:rsidRPr="00FD074A">
        <w:rPr>
          <w:lang w:val="en-US"/>
        </w:rPr>
        <w:t xml:space="preserve">: </w:t>
      </w:r>
      <w:r w:rsidR="009A1E68" w:rsidRPr="009A1E68">
        <w:rPr>
          <w:lang w:val="en-US"/>
        </w:rPr>
        <w:t>Gram Staining of PAO1-mCherry-PCD-gfp+ from the Final Passage of the Planktonic Evolution Experiment</w:t>
      </w:r>
      <w:r w:rsidR="009A1E68">
        <w:rPr>
          <w:lang w:val="en-US"/>
        </w:rPr>
        <w:t xml:space="preserve">. </w:t>
      </w:r>
      <w:r w:rsidR="009A1E68" w:rsidRPr="009A1E68">
        <w:rPr>
          <w:lang w:val="en-US"/>
        </w:rPr>
        <w:t>Gram staining was performed on the PAO1-</w:t>
      </w:r>
      <w:r w:rsidR="009A1E68" w:rsidRPr="009A1E68">
        <w:rPr>
          <w:i/>
          <w:iCs/>
          <w:lang w:val="en-US"/>
        </w:rPr>
        <w:t>mCherry-PCD-gfp+</w:t>
      </w:r>
      <w:r w:rsidR="009A1E68" w:rsidRPr="009A1E68">
        <w:rPr>
          <w:lang w:val="en-US"/>
        </w:rPr>
        <w:t xml:space="preserve"> strain collected from the final passage of the planktonic evolution experiment. </w:t>
      </w:r>
      <w:r w:rsidR="009A1E68" w:rsidRPr="009A1E68">
        <w:rPr>
          <w:lang w:val="en-US"/>
        </w:rPr>
        <w:lastRenderedPageBreak/>
        <w:t>Bacterial populations were exposed to various treatments, including no treatment (control), Ciprofloxacin (CIP) alone, or CIP combined with antioxidants (CIP + NAC, CIP + ED, and CIP + THU). The staining highlights the morphological differences of bacterial cells</w:t>
      </w:r>
      <w:r w:rsidR="009A1E68">
        <w:rPr>
          <w:lang w:val="en-US"/>
        </w:rPr>
        <w:t>.</w:t>
      </w:r>
      <w:r w:rsidR="009A1E68" w:rsidRPr="009A1E68">
        <w:rPr>
          <w:lang w:val="en-US"/>
        </w:rPr>
        <w:t xml:space="preserve"> Images were captured under a light microscope</w:t>
      </w:r>
      <w:r w:rsidR="009A1E68">
        <w:rPr>
          <w:lang w:val="en-US"/>
        </w:rPr>
        <w:t>.</w:t>
      </w:r>
    </w:p>
    <w:p w14:paraId="6C87475F" w14:textId="2517A335" w:rsidR="009003FC" w:rsidRPr="009003FC" w:rsidRDefault="009003FC" w:rsidP="003A2662">
      <w:pPr>
        <w:jc w:val="both"/>
        <w:rPr>
          <w:rFonts w:ascii="Arial" w:eastAsia="Times New Roman" w:hAnsi="Arial" w:cs="Arial"/>
          <w:kern w:val="0"/>
          <w:lang w:val="en-US" w:eastAsia="en-GB"/>
          <w14:ligatures w14:val="none"/>
        </w:rPr>
      </w:pPr>
      <w:r>
        <w:rPr>
          <w:rFonts w:ascii="Arial" w:eastAsia="Times New Roman" w:hAnsi="Arial" w:cs="Arial"/>
          <w:kern w:val="0"/>
          <w:lang w:val="en-US" w:eastAsia="en-GB"/>
          <w14:ligatures w14:val="none"/>
        </w:rPr>
        <w:t xml:space="preserve"> </w:t>
      </w:r>
      <w:r w:rsidR="00C816C5" w:rsidRPr="00C816C5">
        <w:rPr>
          <w:rFonts w:ascii="Arial" w:eastAsia="Times New Roman" w:hAnsi="Arial" w:cs="Arial"/>
          <w:noProof/>
          <w:kern w:val="0"/>
          <w:lang w:val="en-US" w:eastAsia="en-GB"/>
          <w14:ligatures w14:val="none"/>
        </w:rPr>
        <w:drawing>
          <wp:inline distT="0" distB="0" distL="0" distR="0" wp14:anchorId="16DCF056" wp14:editId="7002E0A0">
            <wp:extent cx="5731510" cy="2286000"/>
            <wp:effectExtent l="0" t="0" r="0" b="0"/>
            <wp:docPr id="2102084179" name="Picture 1" descr="A diagram of growth rate and growth 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084179" name="Picture 1" descr="A diagram of growth rate and growth rate&#10;&#10;Description automatically generated"/>
                    <pic:cNvPicPr/>
                  </pic:nvPicPr>
                  <pic:blipFill rotWithShape="1">
                    <a:blip r:embed="rId9"/>
                    <a:srcRect b="43020"/>
                    <a:stretch/>
                  </pic:blipFill>
                  <pic:spPr bwMode="auto">
                    <a:xfrm>
                      <a:off x="0" y="0"/>
                      <a:ext cx="5731510" cy="2286000"/>
                    </a:xfrm>
                    <a:prstGeom prst="rect">
                      <a:avLst/>
                    </a:prstGeom>
                    <a:ln>
                      <a:noFill/>
                    </a:ln>
                    <a:extLst>
                      <a:ext uri="{53640926-AAD7-44D8-BBD7-CCE9431645EC}">
                        <a14:shadowObscured xmlns:a14="http://schemas.microsoft.com/office/drawing/2010/main"/>
                      </a:ext>
                    </a:extLst>
                  </pic:spPr>
                </pic:pic>
              </a:graphicData>
            </a:graphic>
          </wp:inline>
        </w:drawing>
      </w:r>
    </w:p>
    <w:p w14:paraId="67DBB232" w14:textId="49948B1C" w:rsidR="009003FC" w:rsidRPr="00FD074A" w:rsidRDefault="009003FC" w:rsidP="009003FC">
      <w:pPr>
        <w:jc w:val="both"/>
        <w:rPr>
          <w:lang w:val="en-US"/>
        </w:rPr>
      </w:pPr>
      <w:r>
        <w:rPr>
          <w:lang w:val="en-US"/>
        </w:rPr>
        <w:t xml:space="preserve">Supplementary figure </w:t>
      </w:r>
      <w:r w:rsidR="006779FB">
        <w:rPr>
          <w:lang w:val="en-US"/>
        </w:rPr>
        <w:t>5</w:t>
      </w:r>
      <w:r w:rsidRPr="00FD074A">
        <w:rPr>
          <w:lang w:val="en-US"/>
        </w:rPr>
        <w:t xml:space="preserve">: </w:t>
      </w:r>
      <w:r w:rsidRPr="004240A8">
        <w:rPr>
          <w:lang w:val="en-US"/>
        </w:rPr>
        <w:t xml:space="preserve">Growth rates calculated from growth curves of selected isolates from the highest CIP plates of different PAP in three studied evolution experiments. </w:t>
      </w:r>
      <w:r w:rsidRPr="004240A8">
        <w:rPr>
          <w:rFonts w:asciiTheme="majorBidi" w:hAnsiTheme="majorBidi" w:cstheme="majorBidi"/>
          <w:color w:val="000000"/>
          <w:lang w:val="en-GB"/>
        </w:rPr>
        <w:t xml:space="preserve">The plate was incubated in an Infinite F200 Pro plate reader (Tecan) with the lid on, maintaining a temperature of 37 </w:t>
      </w:r>
      <w:r w:rsidRPr="004240A8">
        <w:rPr>
          <w:color w:val="000000"/>
          <w:lang w:val="en-GB"/>
        </w:rPr>
        <w:t>C</w:t>
      </w:r>
      <w:r w:rsidRPr="004240A8">
        <w:rPr>
          <w:rFonts w:asciiTheme="majorBidi" w:hAnsiTheme="majorBidi" w:cstheme="majorBidi"/>
          <w:color w:val="000000"/>
          <w:lang w:val="en-GB"/>
        </w:rPr>
        <w:t xml:space="preserve"> and shaking at 225 rpm for 24 h. Absorbance (OD</w:t>
      </w:r>
      <w:r w:rsidRPr="004240A8">
        <w:rPr>
          <w:rFonts w:asciiTheme="majorBidi" w:hAnsiTheme="majorBidi" w:cstheme="majorBidi"/>
          <w:color w:val="000000"/>
          <w:vertAlign w:val="subscript"/>
          <w:lang w:val="en-GB"/>
        </w:rPr>
        <w:t>600</w:t>
      </w:r>
      <w:r w:rsidRPr="004240A8">
        <w:rPr>
          <w:rFonts w:asciiTheme="majorBidi" w:hAnsiTheme="majorBidi" w:cstheme="majorBidi"/>
          <w:color w:val="000000"/>
          <w:lang w:val="en-GB"/>
        </w:rPr>
        <w:t xml:space="preserve"> nm) was measured using Magellan V 7.2 software, every 20 min during 24 h incubation. Growth rates were calculated from growth curves using the Gompertz fitting model.</w:t>
      </w:r>
      <w:r>
        <w:rPr>
          <w:rFonts w:asciiTheme="majorBidi" w:hAnsiTheme="majorBidi" w:cstheme="majorBidi"/>
          <w:color w:val="000000"/>
          <w:lang w:val="en-GB"/>
        </w:rPr>
        <w:t xml:space="preserve"> </w:t>
      </w:r>
    </w:p>
    <w:p w14:paraId="0F55B233" w14:textId="2EA86CE4" w:rsidR="00D95AC2" w:rsidRDefault="00D95AC2" w:rsidP="003A2662">
      <w:pPr>
        <w:jc w:val="both"/>
        <w:rPr>
          <w:lang w:val="en-US"/>
        </w:rPr>
      </w:pPr>
    </w:p>
    <w:p w14:paraId="643A02D7" w14:textId="77777777" w:rsidR="00776BA1" w:rsidRDefault="00776BA1" w:rsidP="003A2662">
      <w:pPr>
        <w:jc w:val="both"/>
        <w:rPr>
          <w:lang w:val="en-US"/>
        </w:rPr>
      </w:pPr>
    </w:p>
    <w:p w14:paraId="1D1085CD" w14:textId="3B7817FE" w:rsidR="00776BA1" w:rsidRDefault="00776BA1" w:rsidP="003A2662">
      <w:pPr>
        <w:jc w:val="both"/>
        <w:rPr>
          <w:lang w:val="en-US"/>
        </w:rPr>
      </w:pPr>
    </w:p>
    <w:p w14:paraId="4A0F1836" w14:textId="77777777" w:rsidR="00776BA1" w:rsidRDefault="00776BA1" w:rsidP="003A2662">
      <w:pPr>
        <w:jc w:val="both"/>
        <w:rPr>
          <w:lang w:val="en-US"/>
        </w:rPr>
      </w:pPr>
    </w:p>
    <w:p w14:paraId="4EE80021" w14:textId="77777777" w:rsidR="00776BA1" w:rsidRDefault="00776BA1" w:rsidP="003A2662">
      <w:pPr>
        <w:jc w:val="both"/>
        <w:rPr>
          <w:lang w:val="en-US"/>
        </w:rPr>
      </w:pPr>
    </w:p>
    <w:p w14:paraId="512C92D7" w14:textId="77777777" w:rsidR="00776BA1" w:rsidRPr="00387DBA" w:rsidRDefault="00776BA1" w:rsidP="003A2662">
      <w:pPr>
        <w:jc w:val="both"/>
        <w:rPr>
          <w:lang w:val="en-DK"/>
        </w:rPr>
      </w:pPr>
    </w:p>
    <w:p w14:paraId="14028864" w14:textId="61F1ABB9" w:rsidR="00B66EB2" w:rsidRDefault="00B66EB2">
      <w:pPr>
        <w:rPr>
          <w:lang w:val="en-US"/>
        </w:rPr>
      </w:pPr>
      <w:r w:rsidRPr="00B66EB2">
        <w:rPr>
          <w:noProof/>
        </w:rPr>
        <w:drawing>
          <wp:inline distT="0" distB="0" distL="0" distR="0" wp14:anchorId="305AE5AE" wp14:editId="7D05F6C7">
            <wp:extent cx="4327634" cy="2214126"/>
            <wp:effectExtent l="0" t="0" r="3175" b="0"/>
            <wp:docPr id="1718837736"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11344" name="Picture 1" descr="A graph of different colored bars&#10;&#10;Description automatically generated with medium confidence"/>
                    <pic:cNvPicPr/>
                  </pic:nvPicPr>
                  <pic:blipFill rotWithShape="1">
                    <a:blip r:embed="rId10"/>
                    <a:srcRect l="8942" t="11595" r="15525" b="33196"/>
                    <a:stretch/>
                  </pic:blipFill>
                  <pic:spPr bwMode="auto">
                    <a:xfrm>
                      <a:off x="0" y="0"/>
                      <a:ext cx="4329230" cy="2214943"/>
                    </a:xfrm>
                    <a:prstGeom prst="rect">
                      <a:avLst/>
                    </a:prstGeom>
                    <a:ln>
                      <a:noFill/>
                    </a:ln>
                    <a:extLst>
                      <a:ext uri="{53640926-AAD7-44D8-BBD7-CCE9431645EC}">
                        <a14:shadowObscured xmlns:a14="http://schemas.microsoft.com/office/drawing/2010/main"/>
                      </a:ext>
                    </a:extLst>
                  </pic:spPr>
                </pic:pic>
              </a:graphicData>
            </a:graphic>
          </wp:inline>
        </w:drawing>
      </w:r>
    </w:p>
    <w:p w14:paraId="206A5F8A" w14:textId="77777777" w:rsidR="00B66EB2" w:rsidRDefault="00B66EB2">
      <w:pPr>
        <w:rPr>
          <w:lang w:val="en-US"/>
        </w:rPr>
      </w:pPr>
    </w:p>
    <w:p w14:paraId="49FE2790" w14:textId="77777777" w:rsidR="00B66EB2" w:rsidRPr="000F2816" w:rsidRDefault="00B66EB2" w:rsidP="000F2816">
      <w:pPr>
        <w:jc w:val="both"/>
        <w:rPr>
          <w:rFonts w:asciiTheme="majorBidi" w:hAnsiTheme="majorBidi" w:cstheme="majorBidi"/>
          <w:lang w:val="en-US"/>
        </w:rPr>
      </w:pPr>
    </w:p>
    <w:p w14:paraId="25557391" w14:textId="7E98844C" w:rsidR="00571126" w:rsidRPr="00DF0566" w:rsidRDefault="001736B1" w:rsidP="003D5A5D">
      <w:pPr>
        <w:jc w:val="both"/>
        <w:rPr>
          <w:rFonts w:asciiTheme="majorBidi" w:hAnsiTheme="majorBidi" w:cstheme="majorBidi"/>
          <w:lang w:val="en-US"/>
        </w:rPr>
      </w:pPr>
      <w:r w:rsidRPr="00DF0566">
        <w:rPr>
          <w:rFonts w:asciiTheme="majorBidi" w:hAnsiTheme="majorBidi" w:cstheme="majorBidi"/>
          <w:lang w:val="en-US"/>
        </w:rPr>
        <w:t xml:space="preserve">Supplementary figure </w:t>
      </w:r>
      <w:r w:rsidR="00CD42E8" w:rsidRPr="00DF0566">
        <w:rPr>
          <w:rFonts w:asciiTheme="majorBidi" w:hAnsiTheme="majorBidi" w:cstheme="majorBidi"/>
          <w:lang w:val="en-US"/>
        </w:rPr>
        <w:t>6</w:t>
      </w:r>
      <w:r w:rsidR="00B66EB2" w:rsidRPr="00DF0566">
        <w:rPr>
          <w:rFonts w:asciiTheme="majorBidi" w:hAnsiTheme="majorBidi" w:cstheme="majorBidi"/>
          <w:lang w:val="en-US"/>
        </w:rPr>
        <w:t xml:space="preserve">: </w:t>
      </w:r>
      <w:r w:rsidR="003D5A5D" w:rsidRPr="003D5A5D">
        <w:rPr>
          <w:rFonts w:asciiTheme="majorBidi" w:hAnsiTheme="majorBidi" w:cstheme="majorBidi"/>
          <w:lang w:val="en-US"/>
        </w:rPr>
        <w:t>Antibacterial Activity of Ciprofloxacin (CIP) and Antioxidants in Planktonic and Biofilm Growth</w:t>
      </w:r>
      <w:r w:rsidR="003D5A5D">
        <w:rPr>
          <w:rFonts w:asciiTheme="majorBidi" w:hAnsiTheme="majorBidi" w:cstheme="majorBidi"/>
          <w:lang w:val="en-US"/>
        </w:rPr>
        <w:t xml:space="preserve">. </w:t>
      </w:r>
      <w:r w:rsidR="003D5A5D" w:rsidRPr="003D5A5D">
        <w:rPr>
          <w:rFonts w:asciiTheme="majorBidi" w:hAnsiTheme="majorBidi" w:cstheme="majorBidi"/>
          <w:lang w:val="en-US"/>
        </w:rPr>
        <w:t xml:space="preserve">(a) Planktonic Growth in LB Medium: The antibacterial activity of CIP (0.02 µg/mL) and </w:t>
      </w:r>
      <w:r w:rsidR="003D5A5D">
        <w:rPr>
          <w:rFonts w:asciiTheme="majorBidi" w:hAnsiTheme="majorBidi" w:cstheme="majorBidi"/>
          <w:lang w:val="en-US"/>
        </w:rPr>
        <w:t>the different</w:t>
      </w:r>
      <w:r w:rsidR="003D5A5D" w:rsidRPr="003D5A5D">
        <w:rPr>
          <w:rFonts w:asciiTheme="majorBidi" w:hAnsiTheme="majorBidi" w:cstheme="majorBidi"/>
          <w:lang w:val="en-US"/>
        </w:rPr>
        <w:t xml:space="preserve"> antioxidants </w:t>
      </w:r>
      <w:proofErr w:type="spellStart"/>
      <w:r w:rsidR="003D5A5D" w:rsidRPr="003D5A5D">
        <w:rPr>
          <w:rFonts w:asciiTheme="majorBidi" w:hAnsiTheme="majorBidi" w:cstheme="majorBidi"/>
          <w:lang w:val="en-US"/>
        </w:rPr>
        <w:t>edaravone</w:t>
      </w:r>
      <w:proofErr w:type="spellEnd"/>
      <w:r w:rsidR="003D5A5D" w:rsidRPr="003D5A5D">
        <w:rPr>
          <w:rFonts w:asciiTheme="majorBidi" w:hAnsiTheme="majorBidi" w:cstheme="majorBidi"/>
          <w:lang w:val="en-US"/>
        </w:rPr>
        <w:t xml:space="preserve"> (ED, 300 µM), N-acetyl cysteine (NAC, 2 mM), and thiourea (THU, 100 mM) was assessed in planktonic cultures of PAO1-</w:t>
      </w:r>
      <w:r w:rsidR="003D5A5D" w:rsidRPr="003D5A5D">
        <w:rPr>
          <w:rFonts w:asciiTheme="majorBidi" w:hAnsiTheme="majorBidi" w:cstheme="majorBidi"/>
          <w:i/>
          <w:iCs/>
          <w:lang w:val="en-US"/>
        </w:rPr>
        <w:t>mCherry-PCD-gfp.</w:t>
      </w:r>
      <w:r w:rsidR="003D5A5D">
        <w:rPr>
          <w:rFonts w:asciiTheme="majorBidi" w:hAnsiTheme="majorBidi" w:cstheme="majorBidi"/>
          <w:lang w:val="en-US"/>
        </w:rPr>
        <w:t xml:space="preserve"> </w:t>
      </w:r>
      <w:r w:rsidR="003D5A5D" w:rsidRPr="003D5A5D">
        <w:rPr>
          <w:rFonts w:asciiTheme="majorBidi" w:hAnsiTheme="majorBidi" w:cstheme="majorBidi"/>
          <w:lang w:val="en-US"/>
        </w:rPr>
        <w:t xml:space="preserve">(b) Biofilm Formation in the Calgary Device: The antibacterial </w:t>
      </w:r>
      <w:r w:rsidR="003D5A5D" w:rsidRPr="003D5A5D">
        <w:rPr>
          <w:rFonts w:asciiTheme="majorBidi" w:hAnsiTheme="majorBidi" w:cstheme="majorBidi"/>
          <w:lang w:val="en-US"/>
        </w:rPr>
        <w:lastRenderedPageBreak/>
        <w:t>effects of CIP (0.25 µg/mL) and the antioxidants ED, NAC, and THU were tested on biofilms formed on the plastic peg lids of the Calgary biofilm device. Biofilms were grown for 24 hours and then exposed to the treatments for an additional 24 hours. Following treatment, biofilms were washed and biomass was visualized using crystal violet staining</w:t>
      </w:r>
      <w:r w:rsidR="003D5A5D">
        <w:rPr>
          <w:rFonts w:asciiTheme="majorBidi" w:hAnsiTheme="majorBidi" w:cstheme="majorBidi"/>
          <w:lang w:val="en-US"/>
        </w:rPr>
        <w:t xml:space="preserve"> </w:t>
      </w:r>
      <w:r w:rsidR="00412585" w:rsidRPr="00DF0566">
        <w:rPr>
          <w:rFonts w:asciiTheme="majorBidi" w:hAnsiTheme="majorBidi" w:cstheme="majorBidi"/>
          <w:lang w:val="en-US"/>
        </w:rPr>
        <w:fldChar w:fldCharType="begin"/>
      </w:r>
      <w:r w:rsidR="00412585" w:rsidRPr="00DF0566">
        <w:rPr>
          <w:rFonts w:asciiTheme="majorBidi" w:hAnsiTheme="majorBidi" w:cstheme="majorBidi"/>
          <w:lang w:val="en-US"/>
        </w:rPr>
        <w:instrText xml:space="preserve"> ADDIN EN.CITE &lt;EndNote&gt;&lt;Cite&gt;&lt;Author&gt;Ciofu&lt;/Author&gt;&lt;Year&gt;2017&lt;/Year&gt;&lt;RecNum&gt;228&lt;/RecNum&gt;&lt;DisplayText&gt;(1)&lt;/DisplayText&gt;&lt;record&gt;&lt;rec-number&gt;228&lt;/rec-number&gt;&lt;foreign-keys&gt;&lt;key app="EN" db-id="a2pe95fecvavele50pix5df7rvz0pzrvap2x" timestamp="1730248918"&gt;228&lt;/key&gt;&lt;/foreign-keys&gt;&lt;ref-type name="Journal Article"&gt;17&lt;/ref-type&gt;&lt;contributors&gt;&lt;authors&gt;&lt;author&gt;Ciofu, O.&lt;/author&gt;&lt;author&gt;Rojo-Molinero, E.&lt;/author&gt;&lt;author&gt;Macià, M. D.&lt;/author&gt;&lt;author&gt;Oliver, A.&lt;/author&gt;&lt;/authors&gt;&lt;/contributors&gt;&lt;auth-address&gt;Department of Immunology and Microbiology, Faculty of Health and Medical Sciences, Costerton Biofilm Center, University of Copenhagen, Copenhagen, Denmark.&amp;#xD;Servicio de Microbiología, Hospital Son Espases, Instituto de Investigación Sanitaria de Palma (IdISPa), Palma de Mallorca, Spain.&lt;/auth-address&gt;&lt;titles&gt;&lt;title&gt;Antibiotic treatment of biofilm infections&lt;/title&gt;&lt;secondary-title&gt;Apmis&lt;/secondary-title&gt;&lt;/titles&gt;&lt;periodical&gt;&lt;full-title&gt;Apmis&lt;/full-title&gt;&lt;/periodical&gt;&lt;pages&gt;304-319&lt;/pages&gt;&lt;volume&gt;125&lt;/volume&gt;&lt;number&gt;4&lt;/number&gt;&lt;keywords&gt;&lt;keyword&gt;Animals&lt;/keyword&gt;&lt;keyword&gt;Anti-Bacterial Agents/*therapeutic use&lt;/keyword&gt;&lt;keyword&gt;Bacteria/*drug effects&lt;/keyword&gt;&lt;keyword&gt;Bacterial Infections/*drug therapy/microbiology&lt;/keyword&gt;&lt;keyword&gt;Bacterial Physiological Phenomena/drug effects&lt;/keyword&gt;&lt;keyword&gt;Biofilms/*drug effects&lt;/keyword&gt;&lt;keyword&gt;Drug Resistance, Bacterial&lt;/keyword&gt;&lt;keyword&gt;Humans&lt;/keyword&gt;&lt;keyword&gt;Antibiotics&lt;/keyword&gt;&lt;keyword&gt;antibiotic resistance&lt;/keyword&gt;&lt;keyword&gt;antibiotic tolerance&lt;/keyword&gt;&lt;keyword&gt;biofilms&lt;/keyword&gt;&lt;keyword&gt;combination therapy&lt;/keyword&gt;&lt;keyword&gt;topical treatment&lt;/keyword&gt;&lt;/keywords&gt;&lt;dates&gt;&lt;year&gt;2017&lt;/year&gt;&lt;pub-dates&gt;&lt;date&gt;Apr&lt;/date&gt;&lt;/pub-dates&gt;&lt;/dates&gt;&lt;isbn&gt;0903-4641&lt;/isbn&gt;&lt;accession-num&gt;28407419&lt;/accession-num&gt;&lt;urls&gt;&lt;/urls&gt;&lt;electronic-resource-num&gt;10.1111/apm.12673&lt;/electronic-resource-num&gt;&lt;remote-database-provider&gt;NLM&lt;/remote-database-provider&gt;&lt;language&gt;eng&lt;/language&gt;&lt;/record&gt;&lt;/Cite&gt;&lt;/EndNote&gt;</w:instrText>
      </w:r>
      <w:r w:rsidR="00412585" w:rsidRPr="00DF0566">
        <w:rPr>
          <w:rFonts w:asciiTheme="majorBidi" w:hAnsiTheme="majorBidi" w:cstheme="majorBidi"/>
          <w:lang w:val="en-US"/>
        </w:rPr>
        <w:fldChar w:fldCharType="separate"/>
      </w:r>
      <w:r w:rsidR="00412585" w:rsidRPr="00DF0566">
        <w:rPr>
          <w:rFonts w:asciiTheme="majorBidi" w:hAnsiTheme="majorBidi" w:cstheme="majorBidi"/>
          <w:noProof/>
          <w:lang w:val="en-US"/>
        </w:rPr>
        <w:t>(1)</w:t>
      </w:r>
      <w:r w:rsidR="00412585" w:rsidRPr="00DF0566">
        <w:rPr>
          <w:rFonts w:asciiTheme="majorBidi" w:hAnsiTheme="majorBidi" w:cstheme="majorBidi"/>
          <w:lang w:val="en-US"/>
        </w:rPr>
        <w:fldChar w:fldCharType="end"/>
      </w:r>
      <w:r w:rsidR="00DF0566" w:rsidRPr="00DF0566">
        <w:rPr>
          <w:rFonts w:asciiTheme="majorBidi" w:hAnsiTheme="majorBidi" w:cstheme="majorBidi"/>
          <w:lang w:val="en-US"/>
        </w:rPr>
        <w:t>.</w:t>
      </w:r>
    </w:p>
    <w:p w14:paraId="349F5D29" w14:textId="77777777" w:rsidR="00B66EB2" w:rsidRDefault="00B66EB2">
      <w:pPr>
        <w:rPr>
          <w:lang w:val="en-US"/>
        </w:rPr>
      </w:pPr>
    </w:p>
    <w:p w14:paraId="1D6CD5E7" w14:textId="77777777" w:rsidR="00B66EB2" w:rsidRDefault="00B66EB2">
      <w:pPr>
        <w:rPr>
          <w:lang w:val="en-US"/>
        </w:rPr>
      </w:pPr>
    </w:p>
    <w:p w14:paraId="7AAD0784" w14:textId="77777777" w:rsidR="00B66EB2" w:rsidRDefault="00B66EB2">
      <w:pPr>
        <w:rPr>
          <w:lang w:val="en-US"/>
        </w:rPr>
      </w:pPr>
    </w:p>
    <w:p w14:paraId="19809C02" w14:textId="77777777" w:rsidR="00B66EB2" w:rsidRDefault="00B66EB2">
      <w:pPr>
        <w:rPr>
          <w:lang w:val="en-US"/>
        </w:rPr>
      </w:pPr>
    </w:p>
    <w:p w14:paraId="3DD98BB0" w14:textId="77777777" w:rsidR="00B66EB2" w:rsidRDefault="00B66EB2">
      <w:pPr>
        <w:rPr>
          <w:lang w:val="en-US"/>
        </w:rPr>
      </w:pPr>
    </w:p>
    <w:p w14:paraId="29A9CED9" w14:textId="77777777" w:rsidR="00B66EB2" w:rsidRDefault="00B66EB2">
      <w:pPr>
        <w:rPr>
          <w:lang w:val="en-US"/>
        </w:rPr>
      </w:pPr>
    </w:p>
    <w:p w14:paraId="5D207F5D" w14:textId="77777777" w:rsidR="00780C79" w:rsidRPr="00FD074A" w:rsidRDefault="00512B2A">
      <w:pPr>
        <w:rPr>
          <w:noProof/>
          <w:lang w:val="en-US"/>
        </w:rPr>
      </w:pPr>
      <w:r w:rsidRPr="00512B2A">
        <w:rPr>
          <w:noProof/>
          <w:lang w:val="en-US"/>
        </w:rPr>
        <w:drawing>
          <wp:inline distT="0" distB="0" distL="0" distR="0" wp14:anchorId="23273CC9" wp14:editId="6DDA3467">
            <wp:extent cx="5731510" cy="4011930"/>
            <wp:effectExtent l="0" t="0" r="0" b="1270"/>
            <wp:docPr id="250907450" name="Picture 1" descr="A diagram of different types of laboratory equi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07450" name="Picture 1" descr="A diagram of different types of laboratory equipment&#10;&#10;Description automatically generated"/>
                    <pic:cNvPicPr/>
                  </pic:nvPicPr>
                  <pic:blipFill>
                    <a:blip r:embed="rId11"/>
                    <a:stretch>
                      <a:fillRect/>
                    </a:stretch>
                  </pic:blipFill>
                  <pic:spPr>
                    <a:xfrm>
                      <a:off x="0" y="0"/>
                      <a:ext cx="5731510" cy="4011930"/>
                    </a:xfrm>
                    <a:prstGeom prst="rect">
                      <a:avLst/>
                    </a:prstGeom>
                  </pic:spPr>
                </pic:pic>
              </a:graphicData>
            </a:graphic>
          </wp:inline>
        </w:drawing>
      </w:r>
      <w:r w:rsidR="00965C8D" w:rsidRPr="00FD074A">
        <w:rPr>
          <w:noProof/>
          <w:lang w:val="en-US"/>
        </w:rPr>
        <w:t xml:space="preserve"> </w:t>
      </w:r>
    </w:p>
    <w:p w14:paraId="4B9167CE" w14:textId="20427853" w:rsidR="0058669E" w:rsidRDefault="001736B1" w:rsidP="0058669E">
      <w:pPr>
        <w:jc w:val="both"/>
        <w:rPr>
          <w:noProof/>
          <w:lang w:val="en-US"/>
        </w:rPr>
      </w:pPr>
      <w:r>
        <w:rPr>
          <w:noProof/>
          <w:lang w:val="en-US"/>
        </w:rPr>
        <w:t xml:space="preserve">Supplementary figure </w:t>
      </w:r>
      <w:r w:rsidR="00CD42E8">
        <w:rPr>
          <w:noProof/>
          <w:lang w:val="en-US"/>
        </w:rPr>
        <w:t>7</w:t>
      </w:r>
      <w:r w:rsidR="00412585">
        <w:rPr>
          <w:noProof/>
          <w:lang w:val="en-US"/>
        </w:rPr>
        <w:t>:</w:t>
      </w:r>
      <w:r w:rsidR="00780C79" w:rsidRPr="00FD074A">
        <w:rPr>
          <w:noProof/>
          <w:lang w:val="en-US"/>
        </w:rPr>
        <w:t xml:space="preserve"> </w:t>
      </w:r>
      <w:r w:rsidR="007852AA" w:rsidRPr="00FD074A">
        <w:rPr>
          <w:noProof/>
          <w:lang w:val="en-US"/>
        </w:rPr>
        <w:t>An illustration of the different steps of the flow cells experiment</w:t>
      </w:r>
      <w:r w:rsidR="00412585">
        <w:rPr>
          <w:noProof/>
          <w:lang w:val="en-US"/>
        </w:rPr>
        <w:t xml:space="preserve"> followed in the current study. </w:t>
      </w:r>
      <w:r w:rsidR="0058669E" w:rsidRPr="0058669E">
        <w:rPr>
          <w:noProof/>
          <w:lang w:val="en-US"/>
        </w:rPr>
        <w:t>An overnight culture of PAO1-</w:t>
      </w:r>
      <w:r w:rsidR="0058669E" w:rsidRPr="0058669E">
        <w:rPr>
          <w:i/>
          <w:iCs/>
          <w:noProof/>
          <w:lang w:val="en-US"/>
        </w:rPr>
        <w:t>mCherry-PCD-gfp</w:t>
      </w:r>
      <w:r w:rsidR="0058669E" w:rsidRPr="0058669E">
        <w:rPr>
          <w:noProof/>
          <w:lang w:val="en-US"/>
        </w:rPr>
        <w:t xml:space="preserve"> was diluted to an OD₆₀₀ of 0.001, and 200 µl of the culture was used to inoculate each flow cell channel. The flow cells were positioned upside down without medium flow for 1 hour to allow bacterial attachment to the coverslip surface.</w:t>
      </w:r>
      <w:r w:rsidR="0058669E">
        <w:rPr>
          <w:noProof/>
          <w:lang w:val="en-US"/>
        </w:rPr>
        <w:t xml:space="preserve"> </w:t>
      </w:r>
      <w:r w:rsidR="0058669E" w:rsidRPr="0058669E">
        <w:rPr>
          <w:noProof/>
          <w:lang w:val="en-US"/>
        </w:rPr>
        <w:t>After the attachment phase, a continuous flow of minimal ABtrace medium was initiated at a rate of 3 ml/h. During the first 72 hours, all flow cells were fed from the same ABtrace medium bottle to allow biofilm growth. For the subsequent 72 hours of treatment, individual small bottles containing specific treatment conditions were connected to each flow cell.</w:t>
      </w:r>
      <w:r w:rsidR="0058669E">
        <w:rPr>
          <w:noProof/>
          <w:lang w:val="en-US"/>
        </w:rPr>
        <w:t xml:space="preserve"> </w:t>
      </w:r>
      <w:r w:rsidR="0058669E" w:rsidRPr="0058669E">
        <w:rPr>
          <w:noProof/>
          <w:lang w:val="en-US"/>
        </w:rPr>
        <w:t>Confocal laser scanning microscopy (Zeiss LSM 880) was used to capture biofilm images at 24, 48, and 72 hours post-treatment. Biofilms were then harvested by passing 1–1.5 ml of a sterile saline suspension containing glass beads through each channel. The harvested biofilm populations were collected into sterile Eppendorf tubes, with each channel's biofilm (three populations per experiment) kept separate.</w:t>
      </w:r>
      <w:r w:rsidR="0058669E">
        <w:rPr>
          <w:noProof/>
          <w:lang w:val="en-US"/>
        </w:rPr>
        <w:t xml:space="preserve"> </w:t>
      </w:r>
      <w:r w:rsidR="0058669E" w:rsidRPr="0058669E">
        <w:rPr>
          <w:noProof/>
          <w:lang w:val="en-US"/>
        </w:rPr>
        <w:t>The harvested biofilm populations were used to start new overnight cultures, which were subsequently analyzed for population characteristics.</w:t>
      </w:r>
    </w:p>
    <w:p w14:paraId="0050C138" w14:textId="77777777" w:rsidR="0058669E" w:rsidRDefault="0058669E" w:rsidP="00347677">
      <w:pPr>
        <w:jc w:val="both"/>
        <w:rPr>
          <w:noProof/>
          <w:lang w:val="en-US"/>
        </w:rPr>
      </w:pPr>
    </w:p>
    <w:p w14:paraId="70D945D0" w14:textId="77777777" w:rsidR="0058669E" w:rsidRDefault="0058669E" w:rsidP="00347677">
      <w:pPr>
        <w:jc w:val="both"/>
        <w:rPr>
          <w:noProof/>
          <w:lang w:val="en-US"/>
        </w:rPr>
      </w:pPr>
    </w:p>
    <w:p w14:paraId="6046FBF4" w14:textId="77777777" w:rsidR="007852AA" w:rsidRPr="00FD074A" w:rsidRDefault="007852AA">
      <w:pPr>
        <w:rPr>
          <w:noProof/>
          <w:lang w:val="en-US"/>
        </w:rPr>
      </w:pPr>
    </w:p>
    <w:p w14:paraId="42D9E605" w14:textId="0FBFE0B2" w:rsidR="007852AA" w:rsidRDefault="007852AA" w:rsidP="007852AA">
      <w:pPr>
        <w:rPr>
          <w:lang w:val="en-US"/>
        </w:rPr>
      </w:pPr>
    </w:p>
    <w:p w14:paraId="3C5A2389" w14:textId="77777777" w:rsidR="007852AA" w:rsidRDefault="007852AA" w:rsidP="007852AA">
      <w:pPr>
        <w:jc w:val="both"/>
        <w:rPr>
          <w:rFonts w:asciiTheme="majorBidi" w:hAnsiTheme="majorBidi" w:cstheme="majorBidi"/>
          <w:lang w:val="en-US"/>
        </w:rPr>
      </w:pPr>
    </w:p>
    <w:p w14:paraId="691210D0" w14:textId="77777777" w:rsidR="007852AA" w:rsidRDefault="007852AA" w:rsidP="007852AA">
      <w:pPr>
        <w:jc w:val="both"/>
        <w:rPr>
          <w:rFonts w:asciiTheme="majorBidi" w:hAnsiTheme="majorBidi" w:cstheme="majorBidi"/>
          <w:lang w:val="en-US"/>
        </w:rPr>
      </w:pPr>
    </w:p>
    <w:p w14:paraId="751BF7CA" w14:textId="77777777" w:rsidR="007852AA" w:rsidRDefault="007852AA" w:rsidP="007852AA">
      <w:pPr>
        <w:jc w:val="both"/>
        <w:rPr>
          <w:rFonts w:asciiTheme="majorBidi" w:hAnsiTheme="majorBidi" w:cstheme="majorBidi"/>
          <w:lang w:val="en-US"/>
        </w:rPr>
      </w:pPr>
    </w:p>
    <w:p w14:paraId="4CFE06BB" w14:textId="77777777" w:rsidR="007852AA" w:rsidRDefault="007852AA" w:rsidP="007852AA">
      <w:pPr>
        <w:jc w:val="both"/>
        <w:rPr>
          <w:rFonts w:asciiTheme="majorBidi" w:hAnsiTheme="majorBidi" w:cstheme="majorBidi"/>
          <w:lang w:val="en-US"/>
        </w:rPr>
      </w:pPr>
    </w:p>
    <w:p w14:paraId="076748A6" w14:textId="6D46F59B" w:rsidR="001430C1" w:rsidRPr="00FD074A" w:rsidRDefault="001430C1" w:rsidP="004240A8">
      <w:pPr>
        <w:rPr>
          <w:lang w:val="en-US"/>
        </w:rPr>
      </w:pPr>
    </w:p>
    <w:p w14:paraId="65F9E0B9" w14:textId="77777777" w:rsidR="00825114" w:rsidRPr="00FD074A" w:rsidRDefault="00825114">
      <w:pPr>
        <w:rPr>
          <w:lang w:val="en-US"/>
        </w:rPr>
      </w:pPr>
    </w:p>
    <w:p w14:paraId="658ED521" w14:textId="77777777" w:rsidR="00825114" w:rsidRPr="00FD074A" w:rsidRDefault="00825114">
      <w:pPr>
        <w:rPr>
          <w:lang w:val="en-US"/>
        </w:rPr>
      </w:pPr>
    </w:p>
    <w:p w14:paraId="3E4803DF" w14:textId="77777777" w:rsidR="00825114" w:rsidRPr="00FD074A" w:rsidRDefault="00825114">
      <w:pPr>
        <w:rPr>
          <w:lang w:val="en-US"/>
        </w:rPr>
      </w:pPr>
    </w:p>
    <w:tbl>
      <w:tblPr>
        <w:tblW w:w="5200" w:type="dxa"/>
        <w:tblLook w:val="04A0" w:firstRow="1" w:lastRow="0" w:firstColumn="1" w:lastColumn="0" w:noHBand="0" w:noVBand="1"/>
      </w:tblPr>
      <w:tblGrid>
        <w:gridCol w:w="1300"/>
        <w:gridCol w:w="1300"/>
        <w:gridCol w:w="1300"/>
        <w:gridCol w:w="1300"/>
      </w:tblGrid>
      <w:tr w:rsidR="001B7184" w:rsidRPr="001B7184" w14:paraId="0ECF0259" w14:textId="77777777" w:rsidTr="001B7184">
        <w:trPr>
          <w:trHeight w:val="32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33DEE" w14:textId="77777777" w:rsidR="001B7184" w:rsidRPr="00FD074A" w:rsidRDefault="001B7184" w:rsidP="001B7184">
            <w:pPr>
              <w:jc w:val="center"/>
              <w:rPr>
                <w:rFonts w:ascii="Aptos Narrow" w:eastAsia="Times New Roman" w:hAnsi="Aptos Narrow" w:cs="Times New Roman"/>
                <w:color w:val="000000"/>
                <w:kern w:val="0"/>
                <w:lang w:val="en-US" w:eastAsia="en-GB"/>
                <w14:ligatures w14:val="none"/>
              </w:rPr>
            </w:pPr>
            <w:r w:rsidRPr="00FD074A">
              <w:rPr>
                <w:rFonts w:ascii="Aptos Narrow" w:eastAsia="Times New Roman" w:hAnsi="Aptos Narrow" w:cs="Times New Roman"/>
                <w:color w:val="000000"/>
                <w:kern w:val="0"/>
                <w:lang w:val="en-US" w:eastAsia="en-GB"/>
                <w14:ligatures w14:val="none"/>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5BB8B48"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FD074A">
              <w:rPr>
                <w:rFonts w:ascii="Aptos Narrow" w:eastAsia="Times New Roman" w:hAnsi="Aptos Narrow" w:cs="Times New Roman"/>
                <w:color w:val="000000"/>
                <w:kern w:val="0"/>
                <w:lang w:val="en-US" w:eastAsia="en-GB"/>
                <w14:ligatures w14:val="none"/>
              </w:rPr>
              <w:t xml:space="preserve"> </w:t>
            </w:r>
            <w:proofErr w:type="spellStart"/>
            <w:r w:rsidRPr="001B7184">
              <w:rPr>
                <w:rFonts w:ascii="Aptos Narrow" w:eastAsia="Times New Roman" w:hAnsi="Aptos Narrow" w:cs="Times New Roman"/>
                <w:color w:val="000000"/>
                <w:kern w:val="0"/>
                <w:lang w:eastAsia="en-GB"/>
                <w14:ligatures w14:val="none"/>
              </w:rPr>
              <w:t>NonSyn</w:t>
            </w:r>
            <w:proofErr w:type="spellEnd"/>
            <w:r w:rsidRPr="001B7184">
              <w:rPr>
                <w:rFonts w:ascii="Aptos Narrow" w:eastAsia="Times New Roman" w:hAnsi="Aptos Narrow" w:cs="Times New Roman"/>
                <w:color w:val="000000"/>
                <w:kern w:val="0"/>
                <w:lang w:eastAsia="en-GB"/>
                <w14:ligatures w14:val="none"/>
              </w:rPr>
              <w:t xml:space="preserve"> no.</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6DB2F5C"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Syn no.</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1B4C3FA"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NS/</w:t>
            </w:r>
            <w:proofErr w:type="spellStart"/>
            <w:r w:rsidRPr="001B7184">
              <w:rPr>
                <w:rFonts w:ascii="Aptos Narrow" w:eastAsia="Times New Roman" w:hAnsi="Aptos Narrow" w:cs="Times New Roman"/>
                <w:color w:val="000000"/>
                <w:kern w:val="0"/>
                <w:lang w:eastAsia="en-GB"/>
                <w14:ligatures w14:val="none"/>
              </w:rPr>
              <w:t>dS</w:t>
            </w:r>
            <w:proofErr w:type="spellEnd"/>
            <w:r w:rsidRPr="001B7184">
              <w:rPr>
                <w:rFonts w:ascii="Aptos Narrow" w:eastAsia="Times New Roman" w:hAnsi="Aptos Narrow" w:cs="Times New Roman"/>
                <w:color w:val="000000"/>
                <w:kern w:val="0"/>
                <w:lang w:eastAsia="en-GB"/>
                <w14:ligatures w14:val="none"/>
              </w:rPr>
              <w:t xml:space="preserve"> ratio</w:t>
            </w:r>
          </w:p>
        </w:tc>
      </w:tr>
      <w:tr w:rsidR="001B7184" w:rsidRPr="001B7184" w14:paraId="2FB7CF4E" w14:textId="77777777" w:rsidTr="001B718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699D079"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CTRL</w:t>
            </w:r>
          </w:p>
        </w:tc>
        <w:tc>
          <w:tcPr>
            <w:tcW w:w="1300" w:type="dxa"/>
            <w:tcBorders>
              <w:top w:val="nil"/>
              <w:left w:val="nil"/>
              <w:bottom w:val="single" w:sz="4" w:space="0" w:color="auto"/>
              <w:right w:val="single" w:sz="4" w:space="0" w:color="auto"/>
            </w:tcBorders>
            <w:shd w:val="clear" w:color="auto" w:fill="auto"/>
            <w:noWrap/>
            <w:vAlign w:val="bottom"/>
            <w:hideMark/>
          </w:tcPr>
          <w:p w14:paraId="45DF8F05"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14</w:t>
            </w:r>
          </w:p>
        </w:tc>
        <w:tc>
          <w:tcPr>
            <w:tcW w:w="1300" w:type="dxa"/>
            <w:tcBorders>
              <w:top w:val="nil"/>
              <w:left w:val="nil"/>
              <w:bottom w:val="single" w:sz="4" w:space="0" w:color="auto"/>
              <w:right w:val="single" w:sz="4" w:space="0" w:color="auto"/>
            </w:tcBorders>
            <w:shd w:val="clear" w:color="auto" w:fill="auto"/>
            <w:noWrap/>
            <w:vAlign w:val="bottom"/>
            <w:hideMark/>
          </w:tcPr>
          <w:p w14:paraId="2C7E7D39"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12</w:t>
            </w:r>
          </w:p>
        </w:tc>
        <w:tc>
          <w:tcPr>
            <w:tcW w:w="1300" w:type="dxa"/>
            <w:tcBorders>
              <w:top w:val="nil"/>
              <w:left w:val="nil"/>
              <w:bottom w:val="single" w:sz="4" w:space="0" w:color="auto"/>
              <w:right w:val="single" w:sz="4" w:space="0" w:color="auto"/>
            </w:tcBorders>
            <w:shd w:val="clear" w:color="auto" w:fill="auto"/>
            <w:noWrap/>
            <w:vAlign w:val="bottom"/>
            <w:hideMark/>
          </w:tcPr>
          <w:p w14:paraId="0B96B559"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1,17</w:t>
            </w:r>
          </w:p>
        </w:tc>
      </w:tr>
      <w:tr w:rsidR="001B7184" w:rsidRPr="001B7184" w14:paraId="631C691A" w14:textId="77777777" w:rsidTr="001B718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998B11D"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CIP</w:t>
            </w:r>
          </w:p>
        </w:tc>
        <w:tc>
          <w:tcPr>
            <w:tcW w:w="1300" w:type="dxa"/>
            <w:tcBorders>
              <w:top w:val="nil"/>
              <w:left w:val="nil"/>
              <w:bottom w:val="single" w:sz="4" w:space="0" w:color="auto"/>
              <w:right w:val="single" w:sz="4" w:space="0" w:color="auto"/>
            </w:tcBorders>
            <w:shd w:val="clear" w:color="auto" w:fill="auto"/>
            <w:noWrap/>
            <w:vAlign w:val="bottom"/>
            <w:hideMark/>
          </w:tcPr>
          <w:p w14:paraId="31CF6DD8"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14</w:t>
            </w:r>
          </w:p>
        </w:tc>
        <w:tc>
          <w:tcPr>
            <w:tcW w:w="1300" w:type="dxa"/>
            <w:tcBorders>
              <w:top w:val="nil"/>
              <w:left w:val="nil"/>
              <w:bottom w:val="single" w:sz="4" w:space="0" w:color="auto"/>
              <w:right w:val="single" w:sz="4" w:space="0" w:color="auto"/>
            </w:tcBorders>
            <w:shd w:val="clear" w:color="auto" w:fill="auto"/>
            <w:noWrap/>
            <w:vAlign w:val="bottom"/>
            <w:hideMark/>
          </w:tcPr>
          <w:p w14:paraId="7DB5B5CE"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11</w:t>
            </w:r>
          </w:p>
        </w:tc>
        <w:tc>
          <w:tcPr>
            <w:tcW w:w="1300" w:type="dxa"/>
            <w:tcBorders>
              <w:top w:val="nil"/>
              <w:left w:val="nil"/>
              <w:bottom w:val="single" w:sz="4" w:space="0" w:color="auto"/>
              <w:right w:val="single" w:sz="4" w:space="0" w:color="auto"/>
            </w:tcBorders>
            <w:shd w:val="clear" w:color="auto" w:fill="auto"/>
            <w:noWrap/>
            <w:vAlign w:val="bottom"/>
            <w:hideMark/>
          </w:tcPr>
          <w:p w14:paraId="3F0CA4D6"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1,27</w:t>
            </w:r>
          </w:p>
        </w:tc>
      </w:tr>
      <w:tr w:rsidR="001B7184" w:rsidRPr="001B7184" w14:paraId="40DF1604" w14:textId="77777777" w:rsidTr="001B718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3F8EF99"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ED</w:t>
            </w:r>
          </w:p>
        </w:tc>
        <w:tc>
          <w:tcPr>
            <w:tcW w:w="1300" w:type="dxa"/>
            <w:tcBorders>
              <w:top w:val="nil"/>
              <w:left w:val="nil"/>
              <w:bottom w:val="single" w:sz="4" w:space="0" w:color="auto"/>
              <w:right w:val="single" w:sz="4" w:space="0" w:color="auto"/>
            </w:tcBorders>
            <w:shd w:val="clear" w:color="auto" w:fill="auto"/>
            <w:noWrap/>
            <w:vAlign w:val="bottom"/>
            <w:hideMark/>
          </w:tcPr>
          <w:p w14:paraId="100CA2AB"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14</w:t>
            </w:r>
          </w:p>
        </w:tc>
        <w:tc>
          <w:tcPr>
            <w:tcW w:w="1300" w:type="dxa"/>
            <w:tcBorders>
              <w:top w:val="nil"/>
              <w:left w:val="nil"/>
              <w:bottom w:val="single" w:sz="4" w:space="0" w:color="auto"/>
              <w:right w:val="single" w:sz="4" w:space="0" w:color="auto"/>
            </w:tcBorders>
            <w:shd w:val="clear" w:color="auto" w:fill="auto"/>
            <w:noWrap/>
            <w:vAlign w:val="bottom"/>
            <w:hideMark/>
          </w:tcPr>
          <w:p w14:paraId="4FC924AE"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17</w:t>
            </w:r>
          </w:p>
        </w:tc>
        <w:tc>
          <w:tcPr>
            <w:tcW w:w="1300" w:type="dxa"/>
            <w:tcBorders>
              <w:top w:val="nil"/>
              <w:left w:val="nil"/>
              <w:bottom w:val="single" w:sz="4" w:space="0" w:color="auto"/>
              <w:right w:val="single" w:sz="4" w:space="0" w:color="auto"/>
            </w:tcBorders>
            <w:shd w:val="clear" w:color="auto" w:fill="auto"/>
            <w:noWrap/>
            <w:vAlign w:val="bottom"/>
            <w:hideMark/>
          </w:tcPr>
          <w:p w14:paraId="729107A4"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0,82</w:t>
            </w:r>
          </w:p>
        </w:tc>
      </w:tr>
      <w:tr w:rsidR="001B7184" w:rsidRPr="001B7184" w14:paraId="63BC9FFA" w14:textId="77777777" w:rsidTr="001B718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95C5F75"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NAC</w:t>
            </w:r>
          </w:p>
        </w:tc>
        <w:tc>
          <w:tcPr>
            <w:tcW w:w="1300" w:type="dxa"/>
            <w:tcBorders>
              <w:top w:val="nil"/>
              <w:left w:val="nil"/>
              <w:bottom w:val="single" w:sz="4" w:space="0" w:color="auto"/>
              <w:right w:val="single" w:sz="4" w:space="0" w:color="auto"/>
            </w:tcBorders>
            <w:shd w:val="clear" w:color="auto" w:fill="auto"/>
            <w:noWrap/>
            <w:vAlign w:val="bottom"/>
            <w:hideMark/>
          </w:tcPr>
          <w:p w14:paraId="77C6FAB2"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12</w:t>
            </w:r>
          </w:p>
        </w:tc>
        <w:tc>
          <w:tcPr>
            <w:tcW w:w="1300" w:type="dxa"/>
            <w:tcBorders>
              <w:top w:val="nil"/>
              <w:left w:val="nil"/>
              <w:bottom w:val="single" w:sz="4" w:space="0" w:color="auto"/>
              <w:right w:val="single" w:sz="4" w:space="0" w:color="auto"/>
            </w:tcBorders>
            <w:shd w:val="clear" w:color="auto" w:fill="auto"/>
            <w:noWrap/>
            <w:vAlign w:val="bottom"/>
            <w:hideMark/>
          </w:tcPr>
          <w:p w14:paraId="278C6DC9"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15</w:t>
            </w:r>
          </w:p>
        </w:tc>
        <w:tc>
          <w:tcPr>
            <w:tcW w:w="1300" w:type="dxa"/>
            <w:tcBorders>
              <w:top w:val="nil"/>
              <w:left w:val="nil"/>
              <w:bottom w:val="single" w:sz="4" w:space="0" w:color="auto"/>
              <w:right w:val="single" w:sz="4" w:space="0" w:color="auto"/>
            </w:tcBorders>
            <w:shd w:val="clear" w:color="auto" w:fill="auto"/>
            <w:noWrap/>
            <w:vAlign w:val="bottom"/>
            <w:hideMark/>
          </w:tcPr>
          <w:p w14:paraId="515C79E1"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0,80</w:t>
            </w:r>
          </w:p>
        </w:tc>
      </w:tr>
      <w:tr w:rsidR="001B7184" w:rsidRPr="001B7184" w14:paraId="11BBD54F" w14:textId="77777777" w:rsidTr="001B7184">
        <w:trPr>
          <w:trHeight w:val="32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6522198"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THU</w:t>
            </w:r>
          </w:p>
        </w:tc>
        <w:tc>
          <w:tcPr>
            <w:tcW w:w="1300" w:type="dxa"/>
            <w:tcBorders>
              <w:top w:val="nil"/>
              <w:left w:val="nil"/>
              <w:bottom w:val="single" w:sz="4" w:space="0" w:color="auto"/>
              <w:right w:val="single" w:sz="4" w:space="0" w:color="auto"/>
            </w:tcBorders>
            <w:shd w:val="clear" w:color="auto" w:fill="auto"/>
            <w:noWrap/>
            <w:vAlign w:val="bottom"/>
            <w:hideMark/>
          </w:tcPr>
          <w:p w14:paraId="27DFB403"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14</w:t>
            </w:r>
          </w:p>
        </w:tc>
        <w:tc>
          <w:tcPr>
            <w:tcW w:w="1300" w:type="dxa"/>
            <w:tcBorders>
              <w:top w:val="nil"/>
              <w:left w:val="nil"/>
              <w:bottom w:val="single" w:sz="4" w:space="0" w:color="auto"/>
              <w:right w:val="single" w:sz="4" w:space="0" w:color="auto"/>
            </w:tcBorders>
            <w:shd w:val="clear" w:color="auto" w:fill="auto"/>
            <w:noWrap/>
            <w:vAlign w:val="bottom"/>
            <w:hideMark/>
          </w:tcPr>
          <w:p w14:paraId="4C09B13A"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16</w:t>
            </w:r>
          </w:p>
        </w:tc>
        <w:tc>
          <w:tcPr>
            <w:tcW w:w="1300" w:type="dxa"/>
            <w:tcBorders>
              <w:top w:val="nil"/>
              <w:left w:val="nil"/>
              <w:bottom w:val="single" w:sz="4" w:space="0" w:color="auto"/>
              <w:right w:val="single" w:sz="4" w:space="0" w:color="auto"/>
            </w:tcBorders>
            <w:shd w:val="clear" w:color="auto" w:fill="auto"/>
            <w:noWrap/>
            <w:vAlign w:val="bottom"/>
            <w:hideMark/>
          </w:tcPr>
          <w:p w14:paraId="2AE0EB9E" w14:textId="77777777" w:rsidR="001B7184" w:rsidRPr="001B7184" w:rsidRDefault="001B7184" w:rsidP="001B7184">
            <w:pPr>
              <w:jc w:val="center"/>
              <w:rPr>
                <w:rFonts w:ascii="Aptos Narrow" w:eastAsia="Times New Roman" w:hAnsi="Aptos Narrow" w:cs="Times New Roman"/>
                <w:color w:val="000000"/>
                <w:kern w:val="0"/>
                <w:lang w:eastAsia="en-GB"/>
                <w14:ligatures w14:val="none"/>
              </w:rPr>
            </w:pPr>
            <w:r w:rsidRPr="001B7184">
              <w:rPr>
                <w:rFonts w:ascii="Aptos Narrow" w:eastAsia="Times New Roman" w:hAnsi="Aptos Narrow" w:cs="Times New Roman"/>
                <w:color w:val="000000"/>
                <w:kern w:val="0"/>
                <w:lang w:eastAsia="en-GB"/>
                <w14:ligatures w14:val="none"/>
              </w:rPr>
              <w:t>0,88</w:t>
            </w:r>
          </w:p>
        </w:tc>
      </w:tr>
    </w:tbl>
    <w:p w14:paraId="25293F24" w14:textId="77777777" w:rsidR="00825114" w:rsidRDefault="00825114"/>
    <w:p w14:paraId="78828FF9" w14:textId="5B449853" w:rsidR="001B7184" w:rsidRPr="00FD074A" w:rsidRDefault="001736B1" w:rsidP="0058669E">
      <w:pPr>
        <w:jc w:val="both"/>
        <w:rPr>
          <w:lang w:val="en-US"/>
        </w:rPr>
      </w:pPr>
      <w:r>
        <w:rPr>
          <w:lang w:val="en-US"/>
        </w:rPr>
        <w:t xml:space="preserve">Supplementary </w:t>
      </w:r>
      <w:r w:rsidR="001B7184" w:rsidRPr="00FD074A">
        <w:rPr>
          <w:lang w:val="en-US"/>
        </w:rPr>
        <w:t xml:space="preserve">Table 1: </w:t>
      </w:r>
      <w:r w:rsidR="0058669E" w:rsidRPr="0058669E">
        <w:rPr>
          <w:rFonts w:asciiTheme="majorBidi" w:hAnsiTheme="majorBidi" w:cstheme="majorBidi"/>
          <w:lang w:val="en-US"/>
        </w:rPr>
        <w:t>The table summarizes the number of non-synonymous (</w:t>
      </w:r>
      <w:proofErr w:type="spellStart"/>
      <w:r w:rsidR="0058669E" w:rsidRPr="0058669E">
        <w:rPr>
          <w:rFonts w:asciiTheme="majorBidi" w:hAnsiTheme="majorBidi" w:cstheme="majorBidi"/>
          <w:lang w:val="en-US"/>
        </w:rPr>
        <w:t>NonSyn</w:t>
      </w:r>
      <w:proofErr w:type="spellEnd"/>
      <w:r w:rsidR="0058669E" w:rsidRPr="0058669E">
        <w:rPr>
          <w:rFonts w:asciiTheme="majorBidi" w:hAnsiTheme="majorBidi" w:cstheme="majorBidi"/>
          <w:lang w:val="en-US"/>
        </w:rPr>
        <w:t>) and synonymous (Syn) mutations observed, along with the calculated NS/</w:t>
      </w:r>
      <w:proofErr w:type="spellStart"/>
      <w:r w:rsidR="0058669E" w:rsidRPr="0058669E">
        <w:rPr>
          <w:rFonts w:asciiTheme="majorBidi" w:hAnsiTheme="majorBidi" w:cstheme="majorBidi"/>
          <w:lang w:val="en-US"/>
        </w:rPr>
        <w:t>dS</w:t>
      </w:r>
      <w:proofErr w:type="spellEnd"/>
      <w:r w:rsidR="0058669E" w:rsidRPr="0058669E">
        <w:rPr>
          <w:rFonts w:asciiTheme="majorBidi" w:hAnsiTheme="majorBidi" w:cstheme="majorBidi"/>
          <w:lang w:val="en-US"/>
        </w:rPr>
        <w:t xml:space="preserve"> ratio, for different experimental treatments. The treatments include untreated control (CTRL), ciprofloxacin alone (CIP), and combinations of ciprofloxacin with antioxidants </w:t>
      </w:r>
      <w:proofErr w:type="spellStart"/>
      <w:r w:rsidR="0058669E" w:rsidRPr="0058669E">
        <w:rPr>
          <w:rFonts w:asciiTheme="majorBidi" w:hAnsiTheme="majorBidi" w:cstheme="majorBidi"/>
          <w:lang w:val="en-US"/>
        </w:rPr>
        <w:t>edaravone</w:t>
      </w:r>
      <w:proofErr w:type="spellEnd"/>
      <w:r w:rsidR="0058669E" w:rsidRPr="0058669E">
        <w:rPr>
          <w:rFonts w:asciiTheme="majorBidi" w:hAnsiTheme="majorBidi" w:cstheme="majorBidi"/>
          <w:lang w:val="en-US"/>
        </w:rPr>
        <w:t xml:space="preserve"> (ED), N-acetyl cysteine (NAC), and thiourea (THU). The NS/</w:t>
      </w:r>
      <w:proofErr w:type="spellStart"/>
      <w:r w:rsidR="0058669E" w:rsidRPr="0058669E">
        <w:rPr>
          <w:rFonts w:asciiTheme="majorBidi" w:hAnsiTheme="majorBidi" w:cstheme="majorBidi"/>
          <w:lang w:val="en-US"/>
        </w:rPr>
        <w:t>dS</w:t>
      </w:r>
      <w:proofErr w:type="spellEnd"/>
      <w:r w:rsidR="0058669E" w:rsidRPr="0058669E">
        <w:rPr>
          <w:rFonts w:asciiTheme="majorBidi" w:hAnsiTheme="majorBidi" w:cstheme="majorBidi"/>
          <w:lang w:val="en-US"/>
        </w:rPr>
        <w:t xml:space="preserve"> ratio represents the proportion of non-synonymous mutations to synonymous mutations, indicating the potential selective pressure under each condition.</w:t>
      </w:r>
    </w:p>
    <w:p w14:paraId="42248884" w14:textId="77777777" w:rsidR="00825114" w:rsidRPr="00FD074A" w:rsidRDefault="00825114">
      <w:pPr>
        <w:rPr>
          <w:lang w:val="en-US"/>
        </w:rPr>
      </w:pPr>
    </w:p>
    <w:p w14:paraId="2E2D74F8" w14:textId="77777777" w:rsidR="00825114" w:rsidRPr="00FD074A" w:rsidRDefault="00825114">
      <w:pPr>
        <w:rPr>
          <w:lang w:val="en-US"/>
        </w:rPr>
      </w:pPr>
    </w:p>
    <w:p w14:paraId="441399A7" w14:textId="77777777" w:rsidR="00825114" w:rsidRPr="00FD074A" w:rsidRDefault="00825114">
      <w:pPr>
        <w:rPr>
          <w:lang w:val="en-US"/>
        </w:rPr>
      </w:pPr>
    </w:p>
    <w:p w14:paraId="29F94836" w14:textId="77777777" w:rsidR="00825114" w:rsidRPr="00FD074A" w:rsidRDefault="00825114">
      <w:pPr>
        <w:rPr>
          <w:lang w:val="en-US"/>
        </w:rPr>
      </w:pPr>
    </w:p>
    <w:p w14:paraId="4022E010" w14:textId="77777777" w:rsidR="00825114" w:rsidRPr="00FD074A" w:rsidRDefault="00825114">
      <w:pPr>
        <w:rPr>
          <w:lang w:val="en-US"/>
        </w:rPr>
      </w:pPr>
    </w:p>
    <w:p w14:paraId="6B75B63D" w14:textId="77777777" w:rsidR="00825114" w:rsidRPr="00FD074A" w:rsidRDefault="00825114">
      <w:pPr>
        <w:rPr>
          <w:lang w:val="en-US"/>
        </w:rPr>
      </w:pPr>
    </w:p>
    <w:p w14:paraId="4870A7C3" w14:textId="77777777" w:rsidR="00825114" w:rsidRPr="00FD074A" w:rsidRDefault="00825114">
      <w:pPr>
        <w:rPr>
          <w:lang w:val="en-US"/>
        </w:rPr>
      </w:pPr>
    </w:p>
    <w:p w14:paraId="5C5273F6" w14:textId="77777777" w:rsidR="00825114" w:rsidRPr="00FD074A" w:rsidRDefault="00825114">
      <w:pPr>
        <w:rPr>
          <w:lang w:val="en-US"/>
        </w:rPr>
      </w:pPr>
    </w:p>
    <w:p w14:paraId="52058ECC" w14:textId="584FFC60" w:rsidR="001430C1" w:rsidRPr="00FD074A" w:rsidRDefault="001430C1">
      <w:pPr>
        <w:rPr>
          <w:lang w:val="en-US"/>
        </w:rPr>
      </w:pPr>
    </w:p>
    <w:p w14:paraId="5D0324D9" w14:textId="13766470" w:rsidR="001430C1" w:rsidRPr="00FD074A" w:rsidRDefault="001430C1">
      <w:pPr>
        <w:rPr>
          <w:lang w:val="en-US"/>
        </w:rPr>
      </w:pPr>
    </w:p>
    <w:p w14:paraId="2403E362" w14:textId="77777777" w:rsidR="00AA0F5F" w:rsidRPr="00FD074A" w:rsidRDefault="00AA0F5F">
      <w:pPr>
        <w:rPr>
          <w:lang w:val="en-US"/>
        </w:rPr>
      </w:pPr>
    </w:p>
    <w:p w14:paraId="0BFF0D66" w14:textId="77777777" w:rsidR="00AA0F5F" w:rsidRPr="00FD074A" w:rsidRDefault="00AA0F5F">
      <w:pPr>
        <w:rPr>
          <w:lang w:val="en-US"/>
        </w:rPr>
      </w:pPr>
    </w:p>
    <w:p w14:paraId="0984D1F1" w14:textId="2F42BCCA" w:rsidR="00AA0F5F" w:rsidRPr="00FD074A" w:rsidRDefault="00AA0F5F">
      <w:pPr>
        <w:rPr>
          <w:lang w:val="en-US"/>
        </w:rPr>
      </w:pPr>
    </w:p>
    <w:p w14:paraId="0115E337" w14:textId="77777777" w:rsidR="00AA0F5F" w:rsidRPr="00FD074A" w:rsidRDefault="00AA0F5F">
      <w:pPr>
        <w:rPr>
          <w:lang w:val="en-US"/>
        </w:rPr>
      </w:pPr>
    </w:p>
    <w:p w14:paraId="6DB35D43" w14:textId="77777777" w:rsidR="00AA0F5F" w:rsidRPr="00FD074A" w:rsidRDefault="00AA0F5F">
      <w:pPr>
        <w:rPr>
          <w:lang w:val="en-US"/>
        </w:rPr>
      </w:pPr>
    </w:p>
    <w:p w14:paraId="49E761CE" w14:textId="77777777" w:rsidR="00AA0F5F" w:rsidRPr="00FD074A" w:rsidRDefault="00AA0F5F">
      <w:pPr>
        <w:rPr>
          <w:lang w:val="en-US"/>
        </w:rPr>
      </w:pPr>
    </w:p>
    <w:p w14:paraId="2DF472CA" w14:textId="77777777" w:rsidR="00AA0F5F" w:rsidRPr="00FD074A" w:rsidRDefault="00AA0F5F">
      <w:pPr>
        <w:rPr>
          <w:lang w:val="en-US"/>
        </w:rPr>
      </w:pPr>
    </w:p>
    <w:p w14:paraId="7B6881C3" w14:textId="77777777" w:rsidR="00AA0F5F" w:rsidRPr="00FD074A" w:rsidRDefault="00AA0F5F">
      <w:pPr>
        <w:rPr>
          <w:lang w:val="en-US"/>
        </w:rPr>
      </w:pPr>
    </w:p>
    <w:p w14:paraId="0AEE811C" w14:textId="77777777" w:rsidR="00AA0F5F" w:rsidRPr="00FD074A" w:rsidRDefault="00AA0F5F">
      <w:pPr>
        <w:rPr>
          <w:lang w:val="en-US"/>
        </w:rPr>
      </w:pPr>
    </w:p>
    <w:p w14:paraId="5B42F1ED" w14:textId="77777777" w:rsidR="00AA0F5F" w:rsidRPr="00FD074A" w:rsidRDefault="00AA0F5F">
      <w:pPr>
        <w:rPr>
          <w:lang w:val="en-US"/>
        </w:rPr>
      </w:pPr>
    </w:p>
    <w:p w14:paraId="0BA54F85" w14:textId="77777777" w:rsidR="00AA0F5F" w:rsidRPr="00FD074A" w:rsidRDefault="00AA0F5F">
      <w:pPr>
        <w:rPr>
          <w:lang w:val="en-US"/>
        </w:rPr>
      </w:pPr>
    </w:p>
    <w:p w14:paraId="6E350AFC" w14:textId="77777777" w:rsidR="00AA0F5F" w:rsidRPr="00FD074A" w:rsidRDefault="00AA0F5F">
      <w:pPr>
        <w:rPr>
          <w:lang w:val="en-US"/>
        </w:rPr>
      </w:pPr>
    </w:p>
    <w:p w14:paraId="2B374CA3" w14:textId="77777777" w:rsidR="00AA0F5F" w:rsidRPr="00FD074A" w:rsidRDefault="00AA0F5F">
      <w:pPr>
        <w:rPr>
          <w:lang w:val="en-US"/>
        </w:rPr>
      </w:pPr>
    </w:p>
    <w:p w14:paraId="73689BC0" w14:textId="77777777" w:rsidR="00AA0F5F" w:rsidRPr="00FD074A" w:rsidRDefault="00AA0F5F">
      <w:pPr>
        <w:rPr>
          <w:lang w:val="en-US"/>
        </w:rPr>
      </w:pPr>
    </w:p>
    <w:p w14:paraId="26C2A21F" w14:textId="77777777" w:rsidR="00AA0F5F" w:rsidRPr="00FD074A" w:rsidRDefault="00AA0F5F">
      <w:pPr>
        <w:rPr>
          <w:lang w:val="en-US"/>
        </w:rPr>
      </w:pPr>
    </w:p>
    <w:p w14:paraId="026CE8C6" w14:textId="77777777" w:rsidR="00AA0F5F" w:rsidRPr="00FD074A" w:rsidRDefault="00AA0F5F">
      <w:pPr>
        <w:rPr>
          <w:lang w:val="en-US"/>
        </w:rPr>
      </w:pPr>
    </w:p>
    <w:p w14:paraId="2C845A04" w14:textId="77777777" w:rsidR="00AA0F5F" w:rsidRPr="00FD074A" w:rsidRDefault="00AA0F5F">
      <w:pPr>
        <w:rPr>
          <w:lang w:val="en-US"/>
        </w:rPr>
      </w:pPr>
    </w:p>
    <w:p w14:paraId="65D6B067" w14:textId="77777777" w:rsidR="00D16A51" w:rsidRPr="00FD074A" w:rsidRDefault="00D16A51">
      <w:pPr>
        <w:rPr>
          <w:lang w:val="en-US"/>
        </w:rPr>
      </w:pPr>
    </w:p>
    <w:p w14:paraId="72452A80" w14:textId="77777777" w:rsidR="00D16A51" w:rsidRPr="00FD074A" w:rsidRDefault="00D16A51">
      <w:pPr>
        <w:rPr>
          <w:lang w:val="en-US"/>
        </w:rPr>
      </w:pPr>
    </w:p>
    <w:p w14:paraId="594D4E89" w14:textId="77777777" w:rsidR="00D16A51" w:rsidRPr="00FD074A" w:rsidRDefault="00D16A51">
      <w:pPr>
        <w:rPr>
          <w:lang w:val="en-US"/>
        </w:rPr>
      </w:pPr>
    </w:p>
    <w:p w14:paraId="4E937A97" w14:textId="77777777" w:rsidR="00D16A51" w:rsidRPr="00FD074A" w:rsidRDefault="00D16A51">
      <w:pPr>
        <w:rPr>
          <w:lang w:val="en-US"/>
        </w:rPr>
      </w:pPr>
    </w:p>
    <w:p w14:paraId="56621F0C" w14:textId="77777777" w:rsidR="00D16A51" w:rsidRPr="00FD074A" w:rsidRDefault="00D16A51">
      <w:pPr>
        <w:rPr>
          <w:lang w:val="en-US"/>
        </w:rPr>
      </w:pPr>
    </w:p>
    <w:p w14:paraId="02D265DD" w14:textId="77777777" w:rsidR="00D16A51" w:rsidRPr="00FD074A" w:rsidRDefault="00D16A51">
      <w:pPr>
        <w:rPr>
          <w:lang w:val="en-US"/>
        </w:rPr>
      </w:pPr>
    </w:p>
    <w:p w14:paraId="301B530E" w14:textId="77777777" w:rsidR="00D16A51" w:rsidRPr="00FD074A" w:rsidRDefault="00D16A51">
      <w:pPr>
        <w:rPr>
          <w:lang w:val="en-US"/>
        </w:rPr>
      </w:pPr>
    </w:p>
    <w:p w14:paraId="35BF7DC9" w14:textId="77777777" w:rsidR="00412585" w:rsidRDefault="00412585" w:rsidP="00D16A51">
      <w:pPr>
        <w:rPr>
          <w:lang w:val="en-US"/>
        </w:rPr>
      </w:pPr>
    </w:p>
    <w:p w14:paraId="318697B9" w14:textId="77777777" w:rsidR="00412585" w:rsidRDefault="00412585" w:rsidP="00D16A51">
      <w:pPr>
        <w:rPr>
          <w:lang w:val="en-US"/>
        </w:rPr>
      </w:pPr>
    </w:p>
    <w:p w14:paraId="0CF12089" w14:textId="77777777" w:rsidR="004D6F08" w:rsidRPr="004D6F08" w:rsidRDefault="00412585" w:rsidP="004D6F08">
      <w:pPr>
        <w:pStyle w:val="EndNoteBibliography"/>
        <w:rPr>
          <w:noProof/>
        </w:rPr>
      </w:pPr>
      <w:r>
        <w:fldChar w:fldCharType="begin"/>
      </w:r>
      <w:r>
        <w:instrText xml:space="preserve"> ADDIN EN.REFLIST </w:instrText>
      </w:r>
      <w:r>
        <w:fldChar w:fldCharType="separate"/>
      </w:r>
      <w:r w:rsidR="004D6F08" w:rsidRPr="004D6F08">
        <w:rPr>
          <w:noProof/>
        </w:rPr>
        <w:t>1.</w:t>
      </w:r>
      <w:r w:rsidR="004D6F08" w:rsidRPr="004D6F08">
        <w:rPr>
          <w:noProof/>
        </w:rPr>
        <w:tab/>
        <w:t>Ciofu O, Rojo-Molinero E, Macià MD, Oliver A. Antibiotic treatment of biofilm infections. Apmis. 2017;125(4):304-19.</w:t>
      </w:r>
    </w:p>
    <w:p w14:paraId="0F362731" w14:textId="37DBF920" w:rsidR="00D16A51" w:rsidRPr="00FD074A" w:rsidRDefault="00412585" w:rsidP="004D6F08">
      <w:pPr>
        <w:rPr>
          <w:lang w:val="en-US"/>
        </w:rPr>
      </w:pPr>
      <w:r>
        <w:rPr>
          <w:lang w:val="en-US"/>
        </w:rPr>
        <w:fldChar w:fldCharType="end"/>
      </w:r>
    </w:p>
    <w:sectPr w:rsidR="00D16A51" w:rsidRPr="00FD07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pe95fecvavele50pix5df7rvz0pzrvap2x&quot;&gt;My EndNote Library paper1&lt;record-ids&gt;&lt;item&gt;228&lt;/item&gt;&lt;/record-ids&gt;&lt;/item&gt;&lt;/Libraries&gt;"/>
  </w:docVars>
  <w:rsids>
    <w:rsidRoot w:val="00845821"/>
    <w:rsid w:val="00042137"/>
    <w:rsid w:val="00052B71"/>
    <w:rsid w:val="00070420"/>
    <w:rsid w:val="000B5F32"/>
    <w:rsid w:val="000C58A2"/>
    <w:rsid w:val="000D52A7"/>
    <w:rsid w:val="000F2816"/>
    <w:rsid w:val="0011281E"/>
    <w:rsid w:val="00124AC1"/>
    <w:rsid w:val="001430C1"/>
    <w:rsid w:val="001605EE"/>
    <w:rsid w:val="001736B1"/>
    <w:rsid w:val="001A2F24"/>
    <w:rsid w:val="001A4D26"/>
    <w:rsid w:val="001B7184"/>
    <w:rsid w:val="001E5C32"/>
    <w:rsid w:val="00205723"/>
    <w:rsid w:val="00234E8C"/>
    <w:rsid w:val="00251710"/>
    <w:rsid w:val="00252D82"/>
    <w:rsid w:val="00256346"/>
    <w:rsid w:val="002710F3"/>
    <w:rsid w:val="00277A60"/>
    <w:rsid w:val="002C390D"/>
    <w:rsid w:val="002E0DE2"/>
    <w:rsid w:val="003049F3"/>
    <w:rsid w:val="00337AC9"/>
    <w:rsid w:val="00347677"/>
    <w:rsid w:val="00375285"/>
    <w:rsid w:val="00384E1F"/>
    <w:rsid w:val="00387DBA"/>
    <w:rsid w:val="00392B5A"/>
    <w:rsid w:val="003A2662"/>
    <w:rsid w:val="003A62C6"/>
    <w:rsid w:val="003D5A5D"/>
    <w:rsid w:val="003E5A91"/>
    <w:rsid w:val="003E612B"/>
    <w:rsid w:val="00412585"/>
    <w:rsid w:val="004240A8"/>
    <w:rsid w:val="0043704A"/>
    <w:rsid w:val="00446803"/>
    <w:rsid w:val="00447FCA"/>
    <w:rsid w:val="00490E6E"/>
    <w:rsid w:val="0049523A"/>
    <w:rsid w:val="004B39F3"/>
    <w:rsid w:val="004C3B9C"/>
    <w:rsid w:val="004D6F08"/>
    <w:rsid w:val="00502969"/>
    <w:rsid w:val="00512B2A"/>
    <w:rsid w:val="00513679"/>
    <w:rsid w:val="00571126"/>
    <w:rsid w:val="0058669E"/>
    <w:rsid w:val="005B374D"/>
    <w:rsid w:val="005F3190"/>
    <w:rsid w:val="005F4832"/>
    <w:rsid w:val="006045AF"/>
    <w:rsid w:val="00671241"/>
    <w:rsid w:val="006779FB"/>
    <w:rsid w:val="006A0E73"/>
    <w:rsid w:val="006B4EAC"/>
    <w:rsid w:val="00715B8E"/>
    <w:rsid w:val="00715EE6"/>
    <w:rsid w:val="007221F2"/>
    <w:rsid w:val="00753528"/>
    <w:rsid w:val="00753A7C"/>
    <w:rsid w:val="00770299"/>
    <w:rsid w:val="00776BA1"/>
    <w:rsid w:val="00780C79"/>
    <w:rsid w:val="007852AA"/>
    <w:rsid w:val="007E5A43"/>
    <w:rsid w:val="00825114"/>
    <w:rsid w:val="00835849"/>
    <w:rsid w:val="00845821"/>
    <w:rsid w:val="00876362"/>
    <w:rsid w:val="008830BE"/>
    <w:rsid w:val="00894F7B"/>
    <w:rsid w:val="008B1495"/>
    <w:rsid w:val="008C4708"/>
    <w:rsid w:val="008F314A"/>
    <w:rsid w:val="008F669C"/>
    <w:rsid w:val="009003FC"/>
    <w:rsid w:val="00943871"/>
    <w:rsid w:val="00965C8D"/>
    <w:rsid w:val="009A0363"/>
    <w:rsid w:val="009A1E68"/>
    <w:rsid w:val="009A28AF"/>
    <w:rsid w:val="009D4396"/>
    <w:rsid w:val="00A06A9C"/>
    <w:rsid w:val="00A527BA"/>
    <w:rsid w:val="00A75013"/>
    <w:rsid w:val="00A83A6E"/>
    <w:rsid w:val="00A86523"/>
    <w:rsid w:val="00AA0F5F"/>
    <w:rsid w:val="00AA2FB2"/>
    <w:rsid w:val="00AE1560"/>
    <w:rsid w:val="00AF5016"/>
    <w:rsid w:val="00B32F72"/>
    <w:rsid w:val="00B4673D"/>
    <w:rsid w:val="00B530D8"/>
    <w:rsid w:val="00B6264A"/>
    <w:rsid w:val="00B66B59"/>
    <w:rsid w:val="00B66EB2"/>
    <w:rsid w:val="00B74CAB"/>
    <w:rsid w:val="00B9371E"/>
    <w:rsid w:val="00BB2B72"/>
    <w:rsid w:val="00BC55FF"/>
    <w:rsid w:val="00BC5BBE"/>
    <w:rsid w:val="00C014A1"/>
    <w:rsid w:val="00C23D75"/>
    <w:rsid w:val="00C32B2F"/>
    <w:rsid w:val="00C341CE"/>
    <w:rsid w:val="00C44CC1"/>
    <w:rsid w:val="00C474AE"/>
    <w:rsid w:val="00C816C5"/>
    <w:rsid w:val="00C94311"/>
    <w:rsid w:val="00CA77B9"/>
    <w:rsid w:val="00CA7C5F"/>
    <w:rsid w:val="00CD42E8"/>
    <w:rsid w:val="00CE66C9"/>
    <w:rsid w:val="00D16A51"/>
    <w:rsid w:val="00D3334F"/>
    <w:rsid w:val="00D35716"/>
    <w:rsid w:val="00D53D71"/>
    <w:rsid w:val="00D6467A"/>
    <w:rsid w:val="00D72962"/>
    <w:rsid w:val="00D820EC"/>
    <w:rsid w:val="00D9494F"/>
    <w:rsid w:val="00D95AC2"/>
    <w:rsid w:val="00DB2143"/>
    <w:rsid w:val="00DC6ABA"/>
    <w:rsid w:val="00DF0566"/>
    <w:rsid w:val="00E14B8C"/>
    <w:rsid w:val="00E21BED"/>
    <w:rsid w:val="00E21C3D"/>
    <w:rsid w:val="00E30B9F"/>
    <w:rsid w:val="00E53FCD"/>
    <w:rsid w:val="00E77E38"/>
    <w:rsid w:val="00E91D44"/>
    <w:rsid w:val="00E97618"/>
    <w:rsid w:val="00F46DF7"/>
    <w:rsid w:val="00F53697"/>
    <w:rsid w:val="00F76530"/>
    <w:rsid w:val="00F90BBB"/>
    <w:rsid w:val="00FA7DA9"/>
    <w:rsid w:val="00FD074A"/>
    <w:rsid w:val="00FE1724"/>
    <w:rsid w:val="00FF58C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F2D98"/>
  <w15:docId w15:val="{F6B7A25A-5703-7E4D-B458-8C15CA78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673D"/>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EndNoteBibliographyTitle">
    <w:name w:val="EndNote Bibliography Title"/>
    <w:basedOn w:val="Normal"/>
    <w:link w:val="EndNoteBibliographyTitleChar"/>
    <w:rsid w:val="000D52A7"/>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0D52A7"/>
    <w:rPr>
      <w:rFonts w:ascii="Calibri" w:hAnsi="Calibri" w:cs="Calibri"/>
      <w:lang w:val="en-US"/>
    </w:rPr>
  </w:style>
  <w:style w:type="paragraph" w:customStyle="1" w:styleId="EndNoteBibliography">
    <w:name w:val="EndNote Bibliography"/>
    <w:basedOn w:val="Normal"/>
    <w:link w:val="EndNoteBibliographyChar"/>
    <w:rsid w:val="000D52A7"/>
    <w:rPr>
      <w:rFonts w:ascii="Calibri" w:hAnsi="Calibri" w:cs="Calibri"/>
      <w:lang w:val="en-US"/>
    </w:rPr>
  </w:style>
  <w:style w:type="character" w:customStyle="1" w:styleId="EndNoteBibliographyChar">
    <w:name w:val="EndNote Bibliography Char"/>
    <w:basedOn w:val="DefaultParagraphFont"/>
    <w:link w:val="EndNoteBibliography"/>
    <w:rsid w:val="000D52A7"/>
    <w:rPr>
      <w:rFonts w:ascii="Calibri" w:hAnsi="Calibri" w:cs="Calibri"/>
      <w:lang w:val="en-US"/>
    </w:rPr>
  </w:style>
  <w:style w:type="paragraph" w:styleId="Revision">
    <w:name w:val="Revision"/>
    <w:hidden/>
    <w:uiPriority w:val="99"/>
    <w:semiHidden/>
    <w:rsid w:val="00571126"/>
  </w:style>
  <w:style w:type="paragraph" w:styleId="ListParagraph">
    <w:name w:val="List Paragraph"/>
    <w:basedOn w:val="Normal"/>
    <w:uiPriority w:val="34"/>
    <w:qFormat/>
    <w:rsid w:val="00F90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664832">
      <w:bodyDiv w:val="1"/>
      <w:marLeft w:val="0"/>
      <w:marRight w:val="0"/>
      <w:marTop w:val="0"/>
      <w:marBottom w:val="0"/>
      <w:divBdr>
        <w:top w:val="none" w:sz="0" w:space="0" w:color="auto"/>
        <w:left w:val="none" w:sz="0" w:space="0" w:color="auto"/>
        <w:bottom w:val="none" w:sz="0" w:space="0" w:color="auto"/>
        <w:right w:val="none" w:sz="0" w:space="0" w:color="auto"/>
      </w:divBdr>
    </w:div>
    <w:div w:id="513156040">
      <w:bodyDiv w:val="1"/>
      <w:marLeft w:val="0"/>
      <w:marRight w:val="0"/>
      <w:marTop w:val="0"/>
      <w:marBottom w:val="0"/>
      <w:divBdr>
        <w:top w:val="none" w:sz="0" w:space="0" w:color="auto"/>
        <w:left w:val="none" w:sz="0" w:space="0" w:color="auto"/>
        <w:bottom w:val="none" w:sz="0" w:space="0" w:color="auto"/>
        <w:right w:val="none" w:sz="0" w:space="0" w:color="auto"/>
      </w:divBdr>
    </w:div>
    <w:div w:id="585309797">
      <w:bodyDiv w:val="1"/>
      <w:marLeft w:val="0"/>
      <w:marRight w:val="0"/>
      <w:marTop w:val="0"/>
      <w:marBottom w:val="0"/>
      <w:divBdr>
        <w:top w:val="none" w:sz="0" w:space="0" w:color="auto"/>
        <w:left w:val="none" w:sz="0" w:space="0" w:color="auto"/>
        <w:bottom w:val="none" w:sz="0" w:space="0" w:color="auto"/>
        <w:right w:val="none" w:sz="0" w:space="0" w:color="auto"/>
      </w:divBdr>
    </w:div>
    <w:div w:id="627129510">
      <w:bodyDiv w:val="1"/>
      <w:marLeft w:val="0"/>
      <w:marRight w:val="0"/>
      <w:marTop w:val="0"/>
      <w:marBottom w:val="0"/>
      <w:divBdr>
        <w:top w:val="none" w:sz="0" w:space="0" w:color="auto"/>
        <w:left w:val="none" w:sz="0" w:space="0" w:color="auto"/>
        <w:bottom w:val="none" w:sz="0" w:space="0" w:color="auto"/>
        <w:right w:val="none" w:sz="0" w:space="0" w:color="auto"/>
      </w:divBdr>
    </w:div>
    <w:div w:id="739451061">
      <w:bodyDiv w:val="1"/>
      <w:marLeft w:val="0"/>
      <w:marRight w:val="0"/>
      <w:marTop w:val="0"/>
      <w:marBottom w:val="0"/>
      <w:divBdr>
        <w:top w:val="none" w:sz="0" w:space="0" w:color="auto"/>
        <w:left w:val="none" w:sz="0" w:space="0" w:color="auto"/>
        <w:bottom w:val="none" w:sz="0" w:space="0" w:color="auto"/>
        <w:right w:val="none" w:sz="0" w:space="0" w:color="auto"/>
      </w:divBdr>
    </w:div>
    <w:div w:id="1647661546">
      <w:bodyDiv w:val="1"/>
      <w:marLeft w:val="0"/>
      <w:marRight w:val="0"/>
      <w:marTop w:val="0"/>
      <w:marBottom w:val="0"/>
      <w:divBdr>
        <w:top w:val="none" w:sz="0" w:space="0" w:color="auto"/>
        <w:left w:val="none" w:sz="0" w:space="0" w:color="auto"/>
        <w:bottom w:val="none" w:sz="0" w:space="0" w:color="auto"/>
        <w:right w:val="none" w:sz="0" w:space="0" w:color="auto"/>
      </w:divBdr>
    </w:div>
    <w:div w:id="1773814981">
      <w:bodyDiv w:val="1"/>
      <w:marLeft w:val="0"/>
      <w:marRight w:val="0"/>
      <w:marTop w:val="0"/>
      <w:marBottom w:val="0"/>
      <w:divBdr>
        <w:top w:val="none" w:sz="0" w:space="0" w:color="auto"/>
        <w:left w:val="none" w:sz="0" w:space="0" w:color="auto"/>
        <w:bottom w:val="none" w:sz="0" w:space="0" w:color="auto"/>
        <w:right w:val="none" w:sz="0" w:space="0" w:color="auto"/>
      </w:divBdr>
      <w:divsChild>
        <w:div w:id="1002783498">
          <w:marLeft w:val="0"/>
          <w:marRight w:val="0"/>
          <w:marTop w:val="0"/>
          <w:marBottom w:val="0"/>
          <w:divBdr>
            <w:top w:val="none" w:sz="0" w:space="0" w:color="auto"/>
            <w:left w:val="none" w:sz="0" w:space="0" w:color="auto"/>
            <w:bottom w:val="none" w:sz="0" w:space="0" w:color="auto"/>
            <w:right w:val="none" w:sz="0" w:space="0" w:color="auto"/>
          </w:divBdr>
          <w:divsChild>
            <w:div w:id="858196597">
              <w:marLeft w:val="0"/>
              <w:marRight w:val="0"/>
              <w:marTop w:val="0"/>
              <w:marBottom w:val="0"/>
              <w:divBdr>
                <w:top w:val="none" w:sz="0" w:space="0" w:color="auto"/>
                <w:left w:val="none" w:sz="0" w:space="0" w:color="auto"/>
                <w:bottom w:val="none" w:sz="0" w:space="0" w:color="auto"/>
                <w:right w:val="none" w:sz="0" w:space="0" w:color="auto"/>
              </w:divBdr>
              <w:divsChild>
                <w:div w:id="71975825">
                  <w:marLeft w:val="0"/>
                  <w:marRight w:val="0"/>
                  <w:marTop w:val="0"/>
                  <w:marBottom w:val="0"/>
                  <w:divBdr>
                    <w:top w:val="none" w:sz="0" w:space="0" w:color="auto"/>
                    <w:left w:val="none" w:sz="0" w:space="0" w:color="auto"/>
                    <w:bottom w:val="none" w:sz="0" w:space="0" w:color="auto"/>
                    <w:right w:val="none" w:sz="0" w:space="0" w:color="auto"/>
                  </w:divBdr>
                  <w:divsChild>
                    <w:div w:id="160688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3739">
      <w:bodyDiv w:val="1"/>
      <w:marLeft w:val="0"/>
      <w:marRight w:val="0"/>
      <w:marTop w:val="0"/>
      <w:marBottom w:val="0"/>
      <w:divBdr>
        <w:top w:val="none" w:sz="0" w:space="0" w:color="auto"/>
        <w:left w:val="none" w:sz="0" w:space="0" w:color="auto"/>
        <w:bottom w:val="none" w:sz="0" w:space="0" w:color="auto"/>
        <w:right w:val="none" w:sz="0" w:space="0" w:color="auto"/>
      </w:divBdr>
    </w:div>
    <w:div w:id="1998653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16021-8B59-4213-9371-533F84329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1207</Words>
  <Characters>6885</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Doaa Mohamed Mohamed E Higazy</dc:creator>
  <cp:keywords/>
  <dc:description/>
  <cp:lastModifiedBy>Doaa Mohamed Mohamed E Higazy</cp:lastModifiedBy>
  <cp:revision>2</cp:revision>
  <dcterms:created xsi:type="dcterms:W3CDTF">2024-12-27T19:02:00Z</dcterms:created>
  <dcterms:modified xsi:type="dcterms:W3CDTF">2024-12-27T19:02:00Z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