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77747959"/>
      <w:bookmarkStart w:id="1" w:name="_Hlk63173140"/>
      <w:r>
        <w:rPr>
          <w:rFonts w:ascii="Times New Roman" w:hAnsi="Times New Roman"/>
          <w:b/>
          <w:color w:val="000000" w:themeColor="text1"/>
          <w:sz w:val="24"/>
          <w:szCs w:val="24"/>
        </w:rPr>
        <w:t>Supplementary Figure 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Objective cells for immunohistochemistry, identified using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TissueGnostics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Strata Quest 6 software.</w:t>
      </w: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Supplementary Figure 2</w:t>
      </w:r>
      <w:r>
        <w:rPr>
          <w:rFonts w:ascii="Times New Roman" w:hAnsi="Times New Roman"/>
          <w:color w:val="000000" w:themeColor="text1"/>
          <w:sz w:val="24"/>
          <w:szCs w:val="24"/>
        </w:rPr>
        <w:t>. Statistical analysis for each clinical parameter studied.</w:t>
      </w: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Supplementary Figure 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Major clinical characteristics of the five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immunoarchitectural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patterns.</w:t>
      </w: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Supplementary Figure 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(a) Tumor mutational burden (TMB) and known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oncodriver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gene mutations in each of the five IPs identified in this study. (b) Expression of immune-response genes in the IP1/2 tumor areas and IP1/4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para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-tumor areas. Genes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upregulated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in IP1/4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para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-tumor areas are represented in the left panel, and genes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upregulated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in the IP1/2 tumor area are represented in the right panel.</w:t>
      </w:r>
      <w:bookmarkEnd w:id="0"/>
      <w:bookmarkEnd w:id="1"/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046ADD" w:rsidRDefault="00046ADD" w:rsidP="00046ADD">
      <w:pPr>
        <w:spacing w:line="480" w:lineRule="auto"/>
        <w:ind w:leftChars="1118" w:left="2348"/>
        <w:jc w:val="left"/>
        <w:rPr>
          <w:rFonts w:ascii="Times New Roman" w:hAnsi="Times New Roman"/>
          <w:sz w:val="24"/>
          <w:szCs w:val="24"/>
        </w:rPr>
      </w:pPr>
    </w:p>
    <w:p w:rsidR="005E0504" w:rsidRDefault="005E0504">
      <w:bookmarkStart w:id="2" w:name="_GoBack"/>
      <w:bookmarkEnd w:id="2"/>
    </w:p>
    <w:sectPr w:rsidR="005E0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DD"/>
    <w:rsid w:val="00046ADD"/>
    <w:rsid w:val="005E0504"/>
    <w:rsid w:val="006B389B"/>
    <w:rsid w:val="00E2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ADD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ADD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rdcuser4</dc:creator>
  <cp:lastModifiedBy>rdcuser4</cp:lastModifiedBy>
  <cp:revision>1</cp:revision>
  <dcterms:created xsi:type="dcterms:W3CDTF">2022-02-11T06:16:00Z</dcterms:created>
  <dcterms:modified xsi:type="dcterms:W3CDTF">2022-02-11T06:16:00Z</dcterms:modified>
</cp:coreProperties>
</file>