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B74EB" w14:textId="4860AFC5" w:rsidR="007B00D7" w:rsidRPr="0087657C" w:rsidRDefault="007B00D7" w:rsidP="007B00D7">
      <w:pPr>
        <w:rPr>
          <w:rFonts w:ascii="Calibri" w:eastAsia="Calibri" w:hAnsi="Calibri" w:cs="Calibri"/>
          <w:b/>
          <w:bCs/>
        </w:rPr>
      </w:pPr>
      <w:r w:rsidRPr="0087657C">
        <w:rPr>
          <w:rFonts w:asciiTheme="minorHAnsi" w:hAnsiTheme="minorHAnsi" w:cstheme="minorHAnsi"/>
          <w:b/>
        </w:rPr>
        <w:t xml:space="preserve">SUPPLEMENTARY </w:t>
      </w:r>
      <w:r w:rsidR="002811E8">
        <w:rPr>
          <w:rFonts w:asciiTheme="minorHAnsi" w:hAnsiTheme="minorHAnsi" w:cstheme="minorHAnsi"/>
          <w:b/>
        </w:rPr>
        <w:t>INFORMATION</w:t>
      </w:r>
    </w:p>
    <w:p w14:paraId="7E618326" w14:textId="7DF145DB" w:rsidR="002F5B43" w:rsidRPr="0087657C" w:rsidRDefault="002F5B43" w:rsidP="007B00D7">
      <w:pPr>
        <w:rPr>
          <w:rFonts w:ascii="Calibri" w:eastAsia="Calibri" w:hAnsi="Calibri" w:cs="Calibri"/>
          <w:b/>
          <w:bCs/>
        </w:rPr>
      </w:pPr>
    </w:p>
    <w:p w14:paraId="4620D9FB" w14:textId="249D5AFA" w:rsidR="002F5B43" w:rsidRPr="0087657C" w:rsidRDefault="002F5B43" w:rsidP="002F5B43">
      <w:pPr>
        <w:rPr>
          <w:rFonts w:ascii="Calibri" w:eastAsia="Calibri" w:hAnsi="Calibri"/>
        </w:rPr>
      </w:pPr>
      <w:r w:rsidRPr="0087657C">
        <w:rPr>
          <w:rFonts w:asciiTheme="minorHAnsi" w:hAnsiTheme="minorHAnsi" w:cstheme="minorHAnsi"/>
          <w:b/>
          <w:bCs/>
        </w:rPr>
        <w:t>Title:</w:t>
      </w:r>
      <w:r w:rsidRPr="0087657C">
        <w:rPr>
          <w:rFonts w:asciiTheme="minorHAnsi" w:hAnsiTheme="minorHAnsi" w:cstheme="minorHAnsi"/>
        </w:rPr>
        <w:t xml:space="preserve"> </w:t>
      </w:r>
      <w:r w:rsidR="003871C1" w:rsidRPr="003871C1">
        <w:rPr>
          <w:rFonts w:asciiTheme="minorHAnsi" w:hAnsiTheme="minorHAnsi" w:cstheme="minorHAnsi"/>
        </w:rPr>
        <w:t xml:space="preserve">Sacituzumab govitecan as second-line treatment for metastatic triple-negative breast cancer—phase 3 ASCENT study </w:t>
      </w:r>
      <w:proofErr w:type="spellStart"/>
      <w:r w:rsidR="003871C1" w:rsidRPr="003871C1">
        <w:rPr>
          <w:rFonts w:asciiTheme="minorHAnsi" w:hAnsiTheme="minorHAnsi" w:cstheme="minorHAnsi"/>
        </w:rPr>
        <w:t>subanalysis</w:t>
      </w:r>
      <w:proofErr w:type="spellEnd"/>
      <w:r w:rsidR="003871C1">
        <w:rPr>
          <w:rFonts w:asciiTheme="minorHAnsi" w:hAnsiTheme="minorHAnsi" w:cstheme="minorHAnsi"/>
        </w:rPr>
        <w:br/>
      </w:r>
    </w:p>
    <w:p w14:paraId="755759E2" w14:textId="77777777" w:rsidR="002F5B43" w:rsidRPr="0087657C" w:rsidRDefault="002F5B43" w:rsidP="002F5B43">
      <w:pPr>
        <w:rPr>
          <w:rFonts w:ascii="Calibri" w:eastAsia="Calibri" w:hAnsi="Calibri"/>
        </w:rPr>
      </w:pPr>
      <w:r w:rsidRPr="0087657C">
        <w:rPr>
          <w:rFonts w:ascii="Calibri" w:eastAsia="Calibri" w:hAnsi="Calibri"/>
        </w:rPr>
        <w:t xml:space="preserve">Carey LA, et al. </w:t>
      </w:r>
    </w:p>
    <w:p w14:paraId="33201BED" w14:textId="77777777" w:rsidR="002F5B43" w:rsidRPr="0087657C" w:rsidRDefault="002F5B43" w:rsidP="002F5B43">
      <w:pPr>
        <w:rPr>
          <w:rFonts w:asciiTheme="minorHAnsi" w:hAnsiTheme="minorHAnsi" w:cstheme="minorHAnsi"/>
        </w:rPr>
      </w:pPr>
      <w:r w:rsidRPr="0087657C">
        <w:rPr>
          <w:rFonts w:ascii="Calibri" w:eastAsia="MS Mincho" w:hAnsi="Calibri" w:cs="Arial"/>
          <w:b/>
        </w:rPr>
        <w:tab/>
      </w:r>
    </w:p>
    <w:p w14:paraId="71DC316E" w14:textId="35DBF3EA" w:rsidR="002F5B43" w:rsidRPr="0087657C" w:rsidRDefault="005D505B" w:rsidP="002F5B43">
      <w:pPr>
        <w:spacing w:after="120" w:line="480" w:lineRule="auto"/>
        <w:rPr>
          <w:rFonts w:ascii="Calibri" w:eastAsia="Calibri" w:hAnsi="Calibri"/>
        </w:rPr>
      </w:pPr>
      <w:r>
        <w:rPr>
          <w:rFonts w:ascii="Calibri" w:eastAsia="Calibri" w:hAnsi="Calibri"/>
          <w:b/>
        </w:rPr>
        <w:t xml:space="preserve">Supplementary </w:t>
      </w:r>
      <w:r w:rsidR="002F5B43" w:rsidRPr="0087657C">
        <w:rPr>
          <w:rFonts w:ascii="Calibri" w:eastAsia="Calibri" w:hAnsi="Calibri"/>
          <w:b/>
        </w:rPr>
        <w:t>Table</w:t>
      </w:r>
      <w:r>
        <w:rPr>
          <w:rFonts w:ascii="Calibri" w:eastAsia="Calibri" w:hAnsi="Calibri"/>
          <w:b/>
        </w:rPr>
        <w:t xml:space="preserve"> 1</w:t>
      </w:r>
      <w:r w:rsidR="002F5B43" w:rsidRPr="0087657C">
        <w:rPr>
          <w:rFonts w:ascii="Calibri" w:eastAsia="Calibri" w:hAnsi="Calibri"/>
          <w:b/>
        </w:rPr>
        <w:t xml:space="preserve">. </w:t>
      </w:r>
      <w:r w:rsidR="002F5B43" w:rsidRPr="0087657C">
        <w:rPr>
          <w:rFonts w:ascii="Calibri" w:eastAsia="Calibri" w:hAnsi="Calibri"/>
          <w:b/>
          <w:bCs/>
        </w:rPr>
        <w:t xml:space="preserve">Most Common Prior Systemic Therapies by Setting </w:t>
      </w:r>
      <w:r w:rsidR="002F5B43" w:rsidRPr="0087657C">
        <w:rPr>
          <w:rFonts w:asciiTheme="minorHAnsi" w:hAnsiTheme="minorHAnsi" w:cstheme="minorHAnsi"/>
          <w:b/>
          <w:bCs/>
        </w:rPr>
        <w:t>in the Second-Line Subgroup</w:t>
      </w:r>
    </w:p>
    <w:tbl>
      <w:tblPr>
        <w:tblW w:w="92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2"/>
        <w:gridCol w:w="1462"/>
        <w:gridCol w:w="1463"/>
        <w:gridCol w:w="1462"/>
        <w:gridCol w:w="1463"/>
      </w:tblGrid>
      <w:tr w:rsidR="0087657C" w:rsidRPr="0087657C" w14:paraId="2B68DC8F" w14:textId="77777777" w:rsidTr="0087657C">
        <w:trPr>
          <w:trHeight w:val="195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7613D1A" w14:textId="4EA53B35" w:rsidR="002F5B43" w:rsidRPr="00A51A23" w:rsidRDefault="00A51A23" w:rsidP="00EA6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66F9A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Most common prior </w:t>
            </w:r>
            <w:r w:rsidRPr="00D66F9A">
              <w:rPr>
                <w:rFonts w:asciiTheme="minorHAnsi" w:hAnsiTheme="minorHAnsi" w:cstheme="minorHAnsi"/>
                <w:kern w:val="24"/>
                <w:sz w:val="22"/>
                <w:szCs w:val="22"/>
              </w:rPr>
              <w:br/>
              <w:t xml:space="preserve">systemic </w:t>
            </w:r>
            <w:proofErr w:type="spellStart"/>
            <w:r w:rsidRPr="00D66F9A">
              <w:rPr>
                <w:rFonts w:asciiTheme="minorHAnsi" w:hAnsiTheme="minorHAnsi" w:cstheme="minorHAnsi"/>
                <w:kern w:val="24"/>
                <w:sz w:val="22"/>
                <w:szCs w:val="22"/>
              </w:rPr>
              <w:t>therapies</w:t>
            </w:r>
            <w:r w:rsidRPr="00D66F9A">
              <w:rPr>
                <w:rFonts w:asciiTheme="minorHAnsi" w:hAnsiTheme="minorHAnsi" w:cstheme="minorHAnsi"/>
                <w:kern w:val="24"/>
                <w:sz w:val="22"/>
                <w:szCs w:val="22"/>
                <w:vertAlign w:val="superscript"/>
              </w:rPr>
              <w:t>a</w:t>
            </w:r>
            <w:proofErr w:type="spellEnd"/>
            <w:r w:rsidRPr="00D66F9A">
              <w:rPr>
                <w:rFonts w:asciiTheme="minorHAnsi" w:hAnsiTheme="minorHAnsi" w:cstheme="minorHAnsi"/>
                <w:kern w:val="24"/>
                <w:sz w:val="22"/>
                <w:szCs w:val="22"/>
              </w:rPr>
              <w:t>—no. (%)</w:t>
            </w:r>
          </w:p>
        </w:tc>
        <w:tc>
          <w:tcPr>
            <w:tcW w:w="29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871D6E6" w14:textId="77777777" w:rsidR="002F5B43" w:rsidRPr="002811E8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11E8">
              <w:rPr>
                <w:rFonts w:asciiTheme="minorHAnsi" w:hAnsiTheme="minorHAnsi" w:cstheme="minorHAnsi"/>
                <w:sz w:val="22"/>
                <w:szCs w:val="22"/>
              </w:rPr>
              <w:t>Early Stage Setting</w:t>
            </w:r>
          </w:p>
        </w:tc>
        <w:tc>
          <w:tcPr>
            <w:tcW w:w="29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E2832" w14:textId="77777777" w:rsidR="002F5B43" w:rsidRPr="002811E8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11E8">
              <w:rPr>
                <w:rFonts w:asciiTheme="minorHAnsi" w:hAnsiTheme="minorHAnsi" w:cstheme="minorHAnsi"/>
                <w:sz w:val="22"/>
                <w:szCs w:val="22"/>
              </w:rPr>
              <w:t>Metastatic Setting</w:t>
            </w:r>
          </w:p>
        </w:tc>
      </w:tr>
      <w:tr w:rsidR="0087657C" w:rsidRPr="0087657C" w14:paraId="31288171" w14:textId="77777777" w:rsidTr="0087657C">
        <w:trPr>
          <w:trHeight w:val="195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0E21DFB" w14:textId="77777777" w:rsidR="002F5B43" w:rsidRPr="00A51A23" w:rsidRDefault="002F5B43" w:rsidP="00EA6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DA523B1" w14:textId="77777777" w:rsidR="002F5B43" w:rsidRPr="002811E8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11E8">
              <w:rPr>
                <w:rFonts w:asciiTheme="minorHAnsi" w:hAnsiTheme="minorHAnsi" w:cstheme="minorHAnsi"/>
                <w:sz w:val="22"/>
                <w:szCs w:val="22"/>
              </w:rPr>
              <w:t xml:space="preserve">SG </w:t>
            </w:r>
            <w:r w:rsidRPr="00A51A23">
              <w:rPr>
                <w:rFonts w:asciiTheme="minorHAnsi" w:hAnsiTheme="minorHAnsi" w:cstheme="minorHAnsi"/>
                <w:sz w:val="22"/>
                <w:szCs w:val="22"/>
              </w:rPr>
              <w:t>(n=33)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356FA5E" w14:textId="77777777" w:rsidR="002F5B43" w:rsidRPr="002811E8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11E8">
              <w:rPr>
                <w:rFonts w:asciiTheme="minorHAnsi" w:hAnsiTheme="minorHAnsi" w:cstheme="minorHAnsi"/>
                <w:sz w:val="22"/>
                <w:szCs w:val="22"/>
              </w:rPr>
              <w:t xml:space="preserve">TPC </w:t>
            </w:r>
            <w:r w:rsidRPr="00A51A23">
              <w:rPr>
                <w:rFonts w:asciiTheme="minorHAnsi" w:hAnsiTheme="minorHAnsi" w:cstheme="minorHAnsi"/>
                <w:sz w:val="22"/>
                <w:szCs w:val="22"/>
              </w:rPr>
              <w:t>(n=32)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FC36A" w14:textId="77777777" w:rsidR="002F5B43" w:rsidRPr="002811E8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11E8">
              <w:rPr>
                <w:rFonts w:asciiTheme="minorHAnsi" w:hAnsiTheme="minorHAnsi" w:cstheme="minorHAnsi"/>
                <w:sz w:val="22"/>
                <w:szCs w:val="22"/>
              </w:rPr>
              <w:t xml:space="preserve">SG </w:t>
            </w:r>
            <w:r w:rsidRPr="00A51A23">
              <w:rPr>
                <w:rFonts w:asciiTheme="minorHAnsi" w:hAnsiTheme="minorHAnsi" w:cstheme="minorHAnsi"/>
                <w:sz w:val="22"/>
                <w:szCs w:val="22"/>
              </w:rPr>
              <w:t>(n=33)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8761F" w14:textId="77777777" w:rsidR="002F5B43" w:rsidRPr="002811E8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811E8">
              <w:rPr>
                <w:rFonts w:asciiTheme="minorHAnsi" w:hAnsiTheme="minorHAnsi" w:cstheme="minorHAnsi"/>
                <w:sz w:val="22"/>
                <w:szCs w:val="22"/>
              </w:rPr>
              <w:t xml:space="preserve">TPC </w:t>
            </w:r>
            <w:r w:rsidRPr="00A51A23">
              <w:rPr>
                <w:rFonts w:asciiTheme="minorHAnsi" w:hAnsiTheme="minorHAnsi" w:cstheme="minorHAnsi"/>
                <w:sz w:val="22"/>
                <w:szCs w:val="22"/>
              </w:rPr>
              <w:t>(n=32)</w:t>
            </w:r>
          </w:p>
        </w:tc>
      </w:tr>
      <w:tr w:rsidR="0087657C" w:rsidRPr="0087657C" w14:paraId="0FD3EB1B" w14:textId="77777777" w:rsidTr="0087657C">
        <w:trPr>
          <w:trHeight w:val="195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9FAA164" w14:textId="23AA1D1B" w:rsidR="002F5B43" w:rsidRPr="002811E8" w:rsidRDefault="002F5B43" w:rsidP="00EA6E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F0E7543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8B54F9A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B8CA1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ED37A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7657C" w:rsidRPr="0087657C" w14:paraId="44F80338" w14:textId="77777777" w:rsidTr="0087657C">
        <w:trPr>
          <w:trHeight w:val="195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FEF20FB" w14:textId="77777777" w:rsidR="002F5B43" w:rsidRPr="00A51A23" w:rsidRDefault="002F5B43" w:rsidP="00EA6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    Cyclophosphamide 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3D1238A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29 (88)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94D1D41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31 (97)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82254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2 (6)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9B094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1 (3)</w:t>
            </w:r>
          </w:p>
        </w:tc>
      </w:tr>
      <w:tr w:rsidR="0087657C" w:rsidRPr="0087657C" w14:paraId="0E4F7E67" w14:textId="77777777" w:rsidTr="0087657C">
        <w:trPr>
          <w:trHeight w:val="195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9A052EF" w14:textId="77777777" w:rsidR="002F5B43" w:rsidRPr="00A51A23" w:rsidRDefault="002F5B43" w:rsidP="00EA6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    Paclitaxel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69A81A1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26 (79)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06BB90E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29 (91)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7376E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5 (15)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68600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0</w:t>
            </w:r>
          </w:p>
        </w:tc>
      </w:tr>
      <w:tr w:rsidR="0087657C" w:rsidRPr="0087657C" w14:paraId="027268C9" w14:textId="77777777" w:rsidTr="0087657C">
        <w:trPr>
          <w:trHeight w:val="195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AB0E513" w14:textId="77777777" w:rsidR="002F5B43" w:rsidRPr="00A51A23" w:rsidRDefault="002F5B43" w:rsidP="00EA6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    Carboplatin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F50D176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8 (24)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A806141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11 (34)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FB5BC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13 (39)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BACD6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17 (53)</w:t>
            </w:r>
          </w:p>
        </w:tc>
      </w:tr>
      <w:tr w:rsidR="0087657C" w:rsidRPr="0087657C" w14:paraId="0F616685" w14:textId="77777777" w:rsidTr="0087657C">
        <w:trPr>
          <w:trHeight w:val="195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A2A8EBA" w14:textId="77777777" w:rsidR="002F5B43" w:rsidRPr="00A51A23" w:rsidRDefault="002F5B43" w:rsidP="00EA6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    Capecitabine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DB2801D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13 (39)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3E9C3C2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9 (28)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7C08B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6 (18)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270E2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9 (28)</w:t>
            </w:r>
          </w:p>
        </w:tc>
      </w:tr>
      <w:tr w:rsidR="0087657C" w:rsidRPr="0087657C" w14:paraId="3A74BBEC" w14:textId="77777777" w:rsidTr="0087657C">
        <w:trPr>
          <w:trHeight w:val="195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6A6BCAF" w14:textId="77777777" w:rsidR="002F5B43" w:rsidRPr="00A51A23" w:rsidRDefault="002F5B43" w:rsidP="00EA6EFF">
            <w:pPr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    </w:t>
            </w:r>
            <w:proofErr w:type="spellStart"/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Doxorubicin</w:t>
            </w: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5A13A2C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15 (45)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5419774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16 (50)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C2570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1 (3)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533E6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kern w:val="24"/>
                <w:sz w:val="22"/>
                <w:szCs w:val="22"/>
              </w:rPr>
              <w:t>1 (3)</w:t>
            </w:r>
          </w:p>
        </w:tc>
      </w:tr>
      <w:tr w:rsidR="0087657C" w:rsidRPr="0087657C" w14:paraId="06BCDF4A" w14:textId="77777777" w:rsidTr="0087657C">
        <w:trPr>
          <w:trHeight w:val="273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B5A1D82" w14:textId="77777777" w:rsidR="002F5B43" w:rsidRPr="00A51A23" w:rsidRDefault="002F5B43" w:rsidP="00EA6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proofErr w:type="spellStart"/>
            <w:r w:rsidRPr="00A51A23">
              <w:rPr>
                <w:rFonts w:asciiTheme="minorHAnsi" w:hAnsiTheme="minorHAnsi" w:cstheme="minorHAnsi"/>
                <w:sz w:val="22"/>
                <w:szCs w:val="22"/>
              </w:rPr>
              <w:t>Epirubicin</w:t>
            </w:r>
            <w:r w:rsidRPr="00A51A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c</w:t>
            </w:r>
            <w:proofErr w:type="spellEnd"/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B2AD6B9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sz w:val="22"/>
                <w:szCs w:val="22"/>
              </w:rPr>
              <w:t>12 (36)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57C5085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sz w:val="22"/>
                <w:szCs w:val="22"/>
              </w:rPr>
              <w:t>14 (44)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9EBF0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sz w:val="22"/>
                <w:szCs w:val="22"/>
              </w:rPr>
              <w:t>2 (6)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2624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sz w:val="22"/>
                <w:szCs w:val="22"/>
              </w:rPr>
              <w:t>1 (3)</w:t>
            </w:r>
          </w:p>
        </w:tc>
      </w:tr>
      <w:tr w:rsidR="0087657C" w:rsidRPr="0087657C" w14:paraId="1C87DCE0" w14:textId="77777777" w:rsidTr="0087657C">
        <w:trPr>
          <w:trHeight w:val="273"/>
        </w:trPr>
        <w:tc>
          <w:tcPr>
            <w:tcW w:w="3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6CED3CE" w14:textId="77777777" w:rsidR="002F5B43" w:rsidRPr="00A51A23" w:rsidRDefault="002F5B43" w:rsidP="00EA6E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proofErr w:type="spellStart"/>
            <w:r w:rsidRPr="00A51A23">
              <w:rPr>
                <w:rFonts w:asciiTheme="minorHAnsi" w:hAnsiTheme="minorHAnsi" w:cstheme="minorHAnsi"/>
                <w:sz w:val="22"/>
                <w:szCs w:val="22"/>
              </w:rPr>
              <w:t>Gemcitabine</w:t>
            </w:r>
            <w:r w:rsidRPr="00A51A23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d</w:t>
            </w:r>
            <w:proofErr w:type="spellEnd"/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7A048F9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B1C48B4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sz w:val="22"/>
                <w:szCs w:val="22"/>
              </w:rPr>
              <w:t>1 (3)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E0FD7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sz w:val="22"/>
                <w:szCs w:val="22"/>
              </w:rPr>
              <w:t>12 (36)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254B1" w14:textId="77777777" w:rsidR="002F5B43" w:rsidRPr="00A51A23" w:rsidRDefault="002F5B43" w:rsidP="00EA6E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51A23">
              <w:rPr>
                <w:rFonts w:asciiTheme="minorHAnsi" w:hAnsiTheme="minorHAnsi" w:cstheme="minorHAnsi"/>
                <w:sz w:val="22"/>
                <w:szCs w:val="22"/>
              </w:rPr>
              <w:t>14 (44)</w:t>
            </w:r>
          </w:p>
        </w:tc>
      </w:tr>
    </w:tbl>
    <w:p w14:paraId="2331374C" w14:textId="77777777" w:rsidR="002F5B43" w:rsidRPr="0087657C" w:rsidRDefault="002F5B43" w:rsidP="002F5B43">
      <w:pPr>
        <w:spacing w:line="216" w:lineRule="auto"/>
        <w:rPr>
          <w:rFonts w:asciiTheme="minorHAnsi" w:eastAsia="Calibri" w:hAnsiTheme="minorHAnsi" w:cstheme="minorHAnsi"/>
          <w:bCs/>
          <w:sz w:val="18"/>
          <w:szCs w:val="18"/>
        </w:rPr>
      </w:pPr>
      <w:r w:rsidRPr="0087657C">
        <w:rPr>
          <w:rFonts w:asciiTheme="minorHAnsi" w:eastAsia="Calibri" w:hAnsiTheme="minorHAnsi" w:cstheme="minorHAnsi"/>
          <w:bCs/>
          <w:sz w:val="18"/>
          <w:szCs w:val="18"/>
        </w:rPr>
        <w:br/>
        <w:t>Second-line patients were defined as those who received 1 line of therapy in the metastatic setting and recurred ≤12 months after (neo)adjuvant chemotherapy, prior to study enrollment.</w:t>
      </w:r>
    </w:p>
    <w:p w14:paraId="322321BF" w14:textId="77777777" w:rsidR="002F5B43" w:rsidRPr="0087657C" w:rsidRDefault="002F5B43" w:rsidP="002F5B43">
      <w:pPr>
        <w:spacing w:line="216" w:lineRule="auto"/>
        <w:rPr>
          <w:rFonts w:asciiTheme="minorHAnsi" w:hAnsiTheme="minorHAnsi" w:cstheme="minorHAnsi"/>
          <w:sz w:val="18"/>
          <w:szCs w:val="18"/>
        </w:rPr>
      </w:pPr>
      <w:r w:rsidRPr="0087657C">
        <w:rPr>
          <w:rFonts w:asciiTheme="minorHAnsi" w:hAnsiTheme="minorHAnsi" w:cstheme="minorHAnsi"/>
          <w:sz w:val="18"/>
          <w:szCs w:val="18"/>
          <w:vertAlign w:val="superscript"/>
        </w:rPr>
        <w:t>a</w:t>
      </w:r>
      <w:r w:rsidRPr="0087657C">
        <w:rPr>
          <w:rFonts w:asciiTheme="minorHAnsi" w:hAnsiTheme="minorHAnsi" w:cstheme="minorHAnsi"/>
          <w:sz w:val="18"/>
          <w:szCs w:val="18"/>
        </w:rPr>
        <w:t xml:space="preserve"> Most common prior therapies when all settings are combined. Patients may have received an agent in both the early stage and metastatic setting; use in each setting was counted separately</w:t>
      </w:r>
      <w:r w:rsidRPr="0087657C">
        <w:rPr>
          <w:rFonts w:asciiTheme="minorHAnsi" w:hAnsiTheme="minorHAnsi" w:cstheme="minorHAnsi"/>
          <w:sz w:val="18"/>
          <w:szCs w:val="18"/>
        </w:rPr>
        <w:br/>
      </w:r>
      <w:r w:rsidRPr="0087657C">
        <w:rPr>
          <w:rFonts w:asciiTheme="minorHAnsi" w:hAnsiTheme="minorHAnsi" w:cstheme="minorHAnsi"/>
          <w:sz w:val="18"/>
          <w:szCs w:val="18"/>
          <w:vertAlign w:val="superscript"/>
        </w:rPr>
        <w:t>b</w:t>
      </w:r>
      <w:r w:rsidRPr="0087657C">
        <w:rPr>
          <w:rFonts w:asciiTheme="minorHAnsi" w:hAnsiTheme="minorHAnsi" w:cstheme="minorHAnsi"/>
          <w:sz w:val="18"/>
          <w:szCs w:val="18"/>
        </w:rPr>
        <w:t xml:space="preserve"> Includes doxorubicin and (liposomal) doxorubicin hydrochloride.</w:t>
      </w:r>
      <w:r w:rsidRPr="0087657C">
        <w:rPr>
          <w:rFonts w:asciiTheme="minorHAnsi" w:hAnsiTheme="minorHAnsi" w:cstheme="minorHAnsi"/>
          <w:sz w:val="18"/>
          <w:szCs w:val="18"/>
        </w:rPr>
        <w:br/>
      </w:r>
      <w:r w:rsidRPr="0087657C">
        <w:rPr>
          <w:rFonts w:asciiTheme="minorHAnsi" w:hAnsiTheme="minorHAnsi" w:cstheme="minorHAnsi"/>
          <w:sz w:val="18"/>
          <w:szCs w:val="18"/>
          <w:vertAlign w:val="superscript"/>
        </w:rPr>
        <w:t>c</w:t>
      </w:r>
      <w:r w:rsidRPr="0087657C">
        <w:rPr>
          <w:rFonts w:asciiTheme="minorHAnsi" w:hAnsiTheme="minorHAnsi" w:cstheme="minorHAnsi"/>
          <w:sz w:val="18"/>
          <w:szCs w:val="18"/>
        </w:rPr>
        <w:t xml:space="preserve"> Includes </w:t>
      </w:r>
      <w:proofErr w:type="spellStart"/>
      <w:r w:rsidRPr="0087657C">
        <w:rPr>
          <w:rFonts w:asciiTheme="minorHAnsi" w:hAnsiTheme="minorHAnsi" w:cstheme="minorHAnsi"/>
          <w:sz w:val="18"/>
          <w:szCs w:val="18"/>
        </w:rPr>
        <w:t>epirubicin</w:t>
      </w:r>
      <w:proofErr w:type="spellEnd"/>
      <w:r w:rsidRPr="0087657C">
        <w:rPr>
          <w:rFonts w:asciiTheme="minorHAnsi" w:hAnsiTheme="minorHAnsi" w:cstheme="minorHAnsi"/>
          <w:sz w:val="18"/>
          <w:szCs w:val="18"/>
        </w:rPr>
        <w:t xml:space="preserve"> and </w:t>
      </w:r>
      <w:proofErr w:type="spellStart"/>
      <w:r w:rsidRPr="0087657C">
        <w:rPr>
          <w:rFonts w:asciiTheme="minorHAnsi" w:hAnsiTheme="minorHAnsi" w:cstheme="minorHAnsi"/>
          <w:sz w:val="18"/>
          <w:szCs w:val="18"/>
        </w:rPr>
        <w:t>epirubicin</w:t>
      </w:r>
      <w:proofErr w:type="spellEnd"/>
      <w:r w:rsidRPr="0087657C">
        <w:rPr>
          <w:rFonts w:asciiTheme="minorHAnsi" w:hAnsiTheme="minorHAnsi" w:cstheme="minorHAnsi"/>
          <w:sz w:val="18"/>
          <w:szCs w:val="18"/>
        </w:rPr>
        <w:t xml:space="preserve"> hydrochloride.</w:t>
      </w:r>
    </w:p>
    <w:p w14:paraId="08D26CA3" w14:textId="77777777" w:rsidR="002F5B43" w:rsidRPr="0087657C" w:rsidRDefault="002F5B43" w:rsidP="002F5B43">
      <w:pPr>
        <w:spacing w:line="216" w:lineRule="auto"/>
        <w:rPr>
          <w:rFonts w:asciiTheme="minorHAnsi" w:hAnsiTheme="minorHAnsi" w:cstheme="minorHAnsi"/>
          <w:sz w:val="18"/>
          <w:szCs w:val="18"/>
          <w:vertAlign w:val="superscript"/>
        </w:rPr>
      </w:pPr>
      <w:r w:rsidRPr="0087657C">
        <w:rPr>
          <w:rFonts w:asciiTheme="minorHAnsi" w:hAnsiTheme="minorHAnsi" w:cstheme="minorHAnsi"/>
          <w:sz w:val="18"/>
          <w:szCs w:val="18"/>
          <w:vertAlign w:val="superscript"/>
        </w:rPr>
        <w:t>d</w:t>
      </w:r>
      <w:r w:rsidRPr="0087657C">
        <w:rPr>
          <w:rFonts w:asciiTheme="minorHAnsi" w:hAnsiTheme="minorHAnsi" w:cstheme="minorHAnsi"/>
          <w:sz w:val="18"/>
          <w:szCs w:val="18"/>
        </w:rPr>
        <w:t xml:space="preserve"> Includes gemcitabine and gemcitabine hydrochloride. </w:t>
      </w:r>
    </w:p>
    <w:p w14:paraId="0B9E714D" w14:textId="77777777" w:rsidR="002F5B43" w:rsidRPr="0087657C" w:rsidRDefault="002F5B43" w:rsidP="002F5B43">
      <w:pPr>
        <w:spacing w:line="216" w:lineRule="auto"/>
        <w:rPr>
          <w:rFonts w:asciiTheme="minorHAnsi" w:hAnsiTheme="minorHAnsi" w:cstheme="minorHAnsi"/>
          <w:sz w:val="20"/>
          <w:szCs w:val="20"/>
        </w:rPr>
      </w:pPr>
      <w:r w:rsidRPr="0087657C">
        <w:rPr>
          <w:rFonts w:asciiTheme="minorHAnsi" w:hAnsiTheme="minorHAnsi" w:cstheme="minorHAnsi"/>
          <w:sz w:val="18"/>
          <w:szCs w:val="18"/>
        </w:rPr>
        <w:t>SG, sacituzumab govitecan; TPC, treatment of physician’s choice.</w:t>
      </w:r>
    </w:p>
    <w:p w14:paraId="2C11E8E8" w14:textId="77777777" w:rsidR="002F5B43" w:rsidRPr="0087657C" w:rsidRDefault="002F5B43" w:rsidP="007B00D7">
      <w:pPr>
        <w:rPr>
          <w:rFonts w:ascii="Calibri" w:eastAsia="Calibri" w:hAnsi="Calibri" w:cs="Calibri"/>
          <w:b/>
          <w:bCs/>
        </w:rPr>
      </w:pPr>
    </w:p>
    <w:p w14:paraId="16615223" w14:textId="531FBA0C" w:rsidR="002F5B43" w:rsidRPr="0087657C" w:rsidRDefault="002F5B43">
      <w:pPr>
        <w:spacing w:after="160" w:line="259" w:lineRule="auto"/>
        <w:rPr>
          <w:rFonts w:asciiTheme="minorHAnsi" w:hAnsiTheme="minorHAnsi" w:cstheme="minorHAnsi"/>
          <w:b/>
          <w:bCs/>
        </w:rPr>
      </w:pPr>
      <w:r w:rsidRPr="0087657C">
        <w:rPr>
          <w:rFonts w:asciiTheme="minorHAnsi" w:hAnsiTheme="minorHAnsi" w:cstheme="minorHAnsi"/>
          <w:b/>
          <w:bCs/>
        </w:rPr>
        <w:br w:type="page"/>
      </w:r>
    </w:p>
    <w:p w14:paraId="2E98B872" w14:textId="502B5DB7" w:rsidR="007B00D7" w:rsidRPr="0087657C" w:rsidRDefault="005D505B" w:rsidP="007B00D7">
      <w:pPr>
        <w:rPr>
          <w:rFonts w:asciiTheme="minorHAnsi" w:hAnsiTheme="minorHAnsi" w:cstheme="minorHAnsi"/>
          <w:b/>
          <w:bCs/>
        </w:rPr>
      </w:pPr>
      <w:r>
        <w:rPr>
          <w:rFonts w:ascii="Calibri" w:eastAsia="Calibri" w:hAnsi="Calibri"/>
          <w:b/>
        </w:rPr>
        <w:lastRenderedPageBreak/>
        <w:t>Supplementary</w:t>
      </w:r>
      <w:r w:rsidRPr="00AD2271">
        <w:rPr>
          <w:rFonts w:asciiTheme="minorHAnsi" w:hAnsiTheme="minorHAnsi" w:cstheme="minorHAnsi"/>
          <w:b/>
          <w:bCs/>
        </w:rPr>
        <w:t xml:space="preserve"> </w:t>
      </w:r>
      <w:r w:rsidR="007B00D7" w:rsidRPr="00AD2271">
        <w:rPr>
          <w:rFonts w:asciiTheme="minorHAnsi" w:hAnsiTheme="minorHAnsi" w:cstheme="minorHAnsi"/>
          <w:b/>
          <w:bCs/>
        </w:rPr>
        <w:t>Table</w:t>
      </w:r>
      <w:r w:rsidR="007B00D7" w:rsidRPr="0087657C">
        <w:rPr>
          <w:rFonts w:asciiTheme="minorHAnsi" w:hAnsiTheme="minorHAnsi" w:cstheme="minorHAnsi"/>
          <w:b/>
          <w:bCs/>
        </w:rPr>
        <w:t xml:space="preserve"> </w:t>
      </w:r>
      <w:r w:rsidR="002F5B43" w:rsidRPr="0087657C">
        <w:rPr>
          <w:rFonts w:asciiTheme="minorHAnsi" w:hAnsiTheme="minorHAnsi" w:cstheme="minorHAnsi"/>
          <w:b/>
          <w:bCs/>
        </w:rPr>
        <w:t>2</w:t>
      </w:r>
      <w:r w:rsidR="007B00D7" w:rsidRPr="0087657C">
        <w:rPr>
          <w:rFonts w:asciiTheme="minorHAnsi" w:hAnsiTheme="minorHAnsi" w:cstheme="minorHAnsi"/>
          <w:b/>
          <w:bCs/>
        </w:rPr>
        <w:t xml:space="preserve">. Treatment Responses in the Second-Line Subgroup of Patients </w:t>
      </w:r>
      <w:r w:rsidR="007B00D7" w:rsidRPr="0087657C">
        <w:rPr>
          <w:rFonts w:ascii="Calibri" w:eastAsia="Calibri" w:hAnsi="Calibri" w:cs="Calibri"/>
          <w:b/>
        </w:rPr>
        <w:t xml:space="preserve">Negative for Brain Metastases and With Relapse Within 12 Months of </w:t>
      </w:r>
      <w:r w:rsidR="007B00D7" w:rsidRPr="0087657C">
        <w:rPr>
          <w:rFonts w:asciiTheme="minorHAnsi" w:eastAsia="Calibri" w:hAnsiTheme="minorHAnsi" w:cstheme="minorHAnsi"/>
          <w:b/>
        </w:rPr>
        <w:t>(Neo)adjuvant Treatment</w:t>
      </w:r>
    </w:p>
    <w:p w14:paraId="33E8BBF1" w14:textId="77777777" w:rsidR="007B00D7" w:rsidRPr="0087657C" w:rsidRDefault="007B00D7" w:rsidP="007B00D7">
      <w:pPr>
        <w:rPr>
          <w:rFonts w:asciiTheme="minorHAnsi" w:hAnsiTheme="minorHAnsi" w:cstheme="minorHAnsi"/>
          <w:b/>
          <w:bCs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2643"/>
        <w:gridCol w:w="2644"/>
      </w:tblGrid>
      <w:tr w:rsidR="007B00D7" w:rsidRPr="00BF0DB7" w14:paraId="614B300C" w14:textId="77777777" w:rsidTr="00195164">
        <w:trPr>
          <w:trHeight w:val="195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7ECDD1" w14:textId="77777777" w:rsidR="007B00D7" w:rsidRPr="002811E8" w:rsidRDefault="007B00D7" w:rsidP="00195164">
            <w:pPr>
              <w:rPr>
                <w:rFonts w:asciiTheme="minorHAnsi" w:hAnsiTheme="minorHAnsi" w:cstheme="minorHAnsi"/>
              </w:rPr>
            </w:pPr>
            <w:r w:rsidRPr="002811E8">
              <w:rPr>
                <w:rFonts w:asciiTheme="minorHAnsi" w:hAnsiTheme="minorHAnsi" w:cstheme="minorHAnsi"/>
              </w:rPr>
              <w:t>BICR analysis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5AA866B" w14:textId="77777777" w:rsidR="007B00D7" w:rsidRPr="00A51A23" w:rsidRDefault="007B00D7" w:rsidP="00195164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811E8">
              <w:rPr>
                <w:rFonts w:asciiTheme="minorHAnsi" w:hAnsiTheme="minorHAnsi" w:cstheme="minorHAnsi"/>
                <w:color w:val="000000"/>
              </w:rPr>
              <w:t>SG</w:t>
            </w:r>
            <w:r w:rsidRPr="00A51A23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A51A23">
              <w:rPr>
                <w:rFonts w:asciiTheme="minorHAnsi" w:hAnsiTheme="minorHAnsi" w:cstheme="minorHAnsi"/>
                <w:color w:val="000000"/>
              </w:rPr>
              <w:br/>
              <w:t>(n = 33)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9F39942" w14:textId="77777777" w:rsidR="007B00D7" w:rsidRPr="00A51A23" w:rsidRDefault="007B00D7" w:rsidP="00195164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811E8">
              <w:rPr>
                <w:rFonts w:asciiTheme="minorHAnsi" w:hAnsiTheme="minorHAnsi" w:cstheme="minorHAnsi"/>
                <w:color w:val="000000"/>
              </w:rPr>
              <w:t xml:space="preserve">TPC </w:t>
            </w:r>
            <w:r w:rsidRPr="002811E8">
              <w:rPr>
                <w:rFonts w:asciiTheme="minorHAnsi" w:hAnsiTheme="minorHAnsi" w:cstheme="minorHAnsi"/>
                <w:color w:val="000000"/>
              </w:rPr>
              <w:br/>
            </w:r>
            <w:r w:rsidRPr="00A51A23">
              <w:rPr>
                <w:rFonts w:asciiTheme="minorHAnsi" w:hAnsiTheme="minorHAnsi" w:cstheme="minorHAnsi"/>
                <w:color w:val="000000"/>
              </w:rPr>
              <w:t>(n = 32)</w:t>
            </w:r>
          </w:p>
        </w:tc>
      </w:tr>
      <w:tr w:rsidR="007B00D7" w:rsidRPr="00BF0DB7" w14:paraId="343EA71D" w14:textId="77777777" w:rsidTr="00195164">
        <w:trPr>
          <w:trHeight w:val="210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C7F299B" w14:textId="77777777" w:rsidR="007B00D7" w:rsidRPr="00A51A23" w:rsidRDefault="007B00D7" w:rsidP="00195164">
            <w:pPr>
              <w:spacing w:after="120"/>
              <w:rPr>
                <w:rFonts w:asciiTheme="minorHAnsi" w:hAnsiTheme="minorHAnsi" w:cstheme="minorHAnsi"/>
              </w:rPr>
            </w:pPr>
            <w:r w:rsidRPr="002811E8">
              <w:rPr>
                <w:rFonts w:asciiTheme="minorHAnsi" w:hAnsiTheme="minorHAnsi" w:cstheme="minorHAnsi"/>
                <w:color w:val="000000"/>
              </w:rPr>
              <w:t>ORR</w:t>
            </w:r>
            <w:r w:rsidRPr="002811E8">
              <w:rPr>
                <w:rFonts w:asciiTheme="minorHAnsi" w:hAnsi="Arial" w:cs="Arial"/>
                <w:kern w:val="24"/>
              </w:rPr>
              <w:t>—</w:t>
            </w:r>
            <w:r w:rsidRPr="002811E8">
              <w:rPr>
                <w:rFonts w:asciiTheme="minorHAnsi" w:hAnsiTheme="minorHAnsi" w:cstheme="minorHAnsi"/>
                <w:color w:val="000000"/>
              </w:rPr>
              <w:t>no. (%)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56BF2B4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10 (30)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94AC39A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1 (3)</w:t>
            </w:r>
          </w:p>
        </w:tc>
      </w:tr>
      <w:tr w:rsidR="00A51A23" w:rsidRPr="00BF0DB7" w14:paraId="68C30B3A" w14:textId="77777777" w:rsidTr="00A870EF">
        <w:trPr>
          <w:trHeight w:val="195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29DD7E7" w14:textId="77777777" w:rsidR="00A51A23" w:rsidRPr="002811E8" w:rsidRDefault="00A51A23" w:rsidP="00195164">
            <w:pPr>
              <w:spacing w:after="120"/>
              <w:rPr>
                <w:rFonts w:asciiTheme="minorHAnsi" w:hAnsiTheme="minorHAnsi" w:cstheme="minorHAnsi"/>
              </w:rPr>
            </w:pPr>
            <w:r w:rsidRPr="002811E8">
              <w:rPr>
                <w:rFonts w:asciiTheme="minorHAnsi" w:hAnsiTheme="minorHAnsi" w:cstheme="minorHAnsi"/>
                <w:color w:val="000000"/>
              </w:rPr>
              <w:t>Best overall response</w:t>
            </w:r>
            <w:r w:rsidRPr="002811E8">
              <w:rPr>
                <w:rFonts w:asciiTheme="minorHAnsi" w:hAnsi="Arial" w:cs="Arial"/>
                <w:kern w:val="24"/>
              </w:rPr>
              <w:t>—</w:t>
            </w:r>
            <w:r w:rsidRPr="002811E8">
              <w:rPr>
                <w:rFonts w:asciiTheme="minorHAnsi" w:hAnsiTheme="minorHAnsi" w:cstheme="minorHAnsi"/>
                <w:color w:val="000000"/>
              </w:rPr>
              <w:t>no. (%)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0D2326E" w14:textId="77777777" w:rsidR="00A51A23" w:rsidRPr="00A51A23" w:rsidRDefault="00A51A23" w:rsidP="0019516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0A6FC" w14:textId="473AAB80" w:rsidR="00A51A23" w:rsidRPr="00A51A23" w:rsidRDefault="00A51A23" w:rsidP="00195164">
            <w:pPr>
              <w:rPr>
                <w:rFonts w:asciiTheme="minorHAnsi" w:hAnsiTheme="minorHAnsi" w:cstheme="minorHAnsi"/>
              </w:rPr>
            </w:pPr>
          </w:p>
        </w:tc>
      </w:tr>
      <w:tr w:rsidR="007B00D7" w:rsidRPr="00BF0DB7" w14:paraId="7B10DB58" w14:textId="77777777" w:rsidTr="00195164">
        <w:trPr>
          <w:trHeight w:val="210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D92AFAD" w14:textId="77777777" w:rsidR="007B00D7" w:rsidRPr="00A51A23" w:rsidRDefault="007B00D7" w:rsidP="00195164">
            <w:pPr>
              <w:spacing w:after="120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     CR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F6A4023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1 (3) 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A2B52B6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0</w:t>
            </w:r>
          </w:p>
        </w:tc>
      </w:tr>
      <w:tr w:rsidR="007B00D7" w:rsidRPr="00BF0DB7" w14:paraId="7A273FA7" w14:textId="77777777" w:rsidTr="00195164">
        <w:trPr>
          <w:trHeight w:val="195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0BBA6E5" w14:textId="77777777" w:rsidR="007B00D7" w:rsidRPr="00A51A23" w:rsidRDefault="007B00D7" w:rsidP="00195164">
            <w:pPr>
              <w:spacing w:after="120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     PR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9FE76A2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9 (27)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219FDB7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1 (3)</w:t>
            </w:r>
          </w:p>
        </w:tc>
      </w:tr>
      <w:tr w:rsidR="007B00D7" w:rsidRPr="00BF0DB7" w14:paraId="0693553D" w14:textId="77777777" w:rsidTr="00195164">
        <w:trPr>
          <w:trHeight w:val="195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EC1D244" w14:textId="77777777" w:rsidR="007B00D7" w:rsidRPr="00A51A23" w:rsidRDefault="007B00D7" w:rsidP="00195164">
            <w:pPr>
              <w:spacing w:after="120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     SD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CAC6A6B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13 (39)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D7B8467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7 (22)</w:t>
            </w:r>
          </w:p>
        </w:tc>
      </w:tr>
      <w:tr w:rsidR="007B00D7" w:rsidRPr="00BF0DB7" w14:paraId="01C865DE" w14:textId="77777777" w:rsidTr="00195164">
        <w:trPr>
          <w:trHeight w:val="210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D39B556" w14:textId="77777777" w:rsidR="007B00D7" w:rsidRPr="00A51A23" w:rsidRDefault="007B00D7" w:rsidP="00195164">
            <w:pPr>
              <w:spacing w:after="120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        SD &gt;6 months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9EE9C95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4 (12)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1F9A8AB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1 (3)</w:t>
            </w:r>
          </w:p>
        </w:tc>
      </w:tr>
      <w:tr w:rsidR="007B00D7" w:rsidRPr="00BF0DB7" w14:paraId="58EA3F67" w14:textId="77777777" w:rsidTr="00195164">
        <w:trPr>
          <w:trHeight w:val="195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FF89C88" w14:textId="77777777" w:rsidR="007B00D7" w:rsidRPr="00A51A23" w:rsidRDefault="007B00D7" w:rsidP="00195164">
            <w:pPr>
              <w:spacing w:after="120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     PD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F9A1806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9 (27)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5989072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18 (56)</w:t>
            </w:r>
          </w:p>
        </w:tc>
      </w:tr>
      <w:tr w:rsidR="007B00D7" w:rsidRPr="00BF0DB7" w14:paraId="24E6C881" w14:textId="77777777" w:rsidTr="00195164">
        <w:trPr>
          <w:trHeight w:val="210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D8F3207" w14:textId="77777777" w:rsidR="007B00D7" w:rsidRPr="00A51A23" w:rsidRDefault="007B00D7" w:rsidP="00195164">
            <w:pPr>
              <w:spacing w:after="120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     Not evaluable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97F07B0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1 (3) 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956E046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6 (19)</w:t>
            </w:r>
          </w:p>
        </w:tc>
      </w:tr>
      <w:tr w:rsidR="007B00D7" w:rsidRPr="00BF0DB7" w14:paraId="0C0E2FE7" w14:textId="77777777" w:rsidTr="00195164">
        <w:trPr>
          <w:trHeight w:val="195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4A6C5FE" w14:textId="77777777" w:rsidR="007B00D7" w:rsidRPr="00A51A23" w:rsidRDefault="007B00D7" w:rsidP="00195164">
            <w:pPr>
              <w:spacing w:after="120"/>
              <w:rPr>
                <w:rFonts w:asciiTheme="minorHAnsi" w:hAnsiTheme="minorHAnsi" w:cstheme="minorHAnsi"/>
              </w:rPr>
            </w:pPr>
            <w:proofErr w:type="spellStart"/>
            <w:r w:rsidRPr="002811E8">
              <w:rPr>
                <w:rFonts w:asciiTheme="minorHAnsi" w:hAnsiTheme="minorHAnsi" w:cstheme="minorHAnsi"/>
                <w:color w:val="000000"/>
              </w:rPr>
              <w:t>CBR</w:t>
            </w:r>
            <w:r w:rsidRPr="002811E8">
              <w:rPr>
                <w:rFonts w:asciiTheme="minorHAnsi" w:hAnsiTheme="minorHAnsi" w:cstheme="minorHAnsi"/>
                <w:color w:val="000000"/>
                <w:vertAlign w:val="superscript"/>
              </w:rPr>
              <w:t>a</w:t>
            </w:r>
            <w:proofErr w:type="spellEnd"/>
            <w:r w:rsidRPr="002811E8">
              <w:rPr>
                <w:rFonts w:asciiTheme="minorHAnsi" w:hAnsi="Arial" w:cs="Arial"/>
                <w:kern w:val="24"/>
              </w:rPr>
              <w:t>—</w:t>
            </w:r>
            <w:r w:rsidRPr="002811E8">
              <w:rPr>
                <w:rFonts w:asciiTheme="minorHAnsi" w:hAnsiTheme="minorHAnsi" w:cstheme="minorHAnsi"/>
                <w:color w:val="000000"/>
              </w:rPr>
              <w:t>no. (%)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D0685E7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14 (42)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E4BC696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2 (6)</w:t>
            </w:r>
          </w:p>
        </w:tc>
      </w:tr>
      <w:tr w:rsidR="007B00D7" w:rsidRPr="00BF0DB7" w14:paraId="4339B452" w14:textId="77777777" w:rsidTr="00195164">
        <w:trPr>
          <w:trHeight w:val="65"/>
        </w:trPr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750685E" w14:textId="77777777" w:rsidR="007B00D7" w:rsidRPr="00A51A23" w:rsidRDefault="007B00D7" w:rsidP="00195164">
            <w:pPr>
              <w:spacing w:after="120"/>
              <w:rPr>
                <w:rFonts w:asciiTheme="minorHAnsi" w:hAnsiTheme="minorHAnsi" w:cstheme="minorHAnsi"/>
              </w:rPr>
            </w:pPr>
            <w:r w:rsidRPr="002811E8">
              <w:rPr>
                <w:rFonts w:asciiTheme="minorHAnsi" w:hAnsiTheme="minorHAnsi" w:cstheme="minorHAnsi"/>
                <w:color w:val="000000"/>
              </w:rPr>
              <w:t>Median DOR</w:t>
            </w:r>
            <w:r w:rsidRPr="002811E8">
              <w:rPr>
                <w:rFonts w:asciiTheme="minorHAnsi" w:hAnsi="Arial" w:cs="Arial"/>
                <w:kern w:val="24"/>
              </w:rPr>
              <w:t>—</w:t>
            </w:r>
            <w:r w:rsidRPr="002811E8">
              <w:rPr>
                <w:rFonts w:asciiTheme="minorHAnsi" w:hAnsiTheme="minorHAnsi" w:cstheme="minorHAnsi"/>
                <w:color w:val="000000"/>
              </w:rPr>
              <w:t>mo. (95% CI)</w:t>
            </w:r>
          </w:p>
        </w:tc>
        <w:tc>
          <w:tcPr>
            <w:tcW w:w="2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2C0A183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  <w:color w:val="000000"/>
              </w:rPr>
              <w:t>6.7 (2.9-NE)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300DD62" w14:textId="77777777" w:rsidR="007B00D7" w:rsidRPr="00A51A23" w:rsidRDefault="007B00D7" w:rsidP="00195164">
            <w:pPr>
              <w:jc w:val="center"/>
              <w:rPr>
                <w:rFonts w:asciiTheme="minorHAnsi" w:hAnsiTheme="minorHAnsi" w:cstheme="minorHAnsi"/>
              </w:rPr>
            </w:pPr>
            <w:r w:rsidRPr="00A51A23">
              <w:rPr>
                <w:rFonts w:asciiTheme="minorHAnsi" w:hAnsiTheme="minorHAnsi" w:cstheme="minorHAnsi"/>
              </w:rPr>
              <w:t>NE</w:t>
            </w:r>
          </w:p>
        </w:tc>
      </w:tr>
    </w:tbl>
    <w:p w14:paraId="17C795B8" w14:textId="77777777" w:rsidR="007B00D7" w:rsidRPr="007A309C" w:rsidRDefault="007B00D7" w:rsidP="007B00D7">
      <w:pPr>
        <w:spacing w:line="216" w:lineRule="auto"/>
        <w:rPr>
          <w:rFonts w:asciiTheme="minorHAnsi" w:hAnsiTheme="minorHAnsi" w:cstheme="minorHAnsi"/>
          <w:sz w:val="20"/>
          <w:szCs w:val="20"/>
          <w:vertAlign w:val="superscript"/>
        </w:rPr>
      </w:pPr>
      <w:r w:rsidRPr="00D21317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 xml:space="preserve">Second-line </w:t>
      </w:r>
      <w:r w:rsidRPr="007A309C">
        <w:rPr>
          <w:rFonts w:asciiTheme="minorHAnsi" w:eastAsia="Calibri" w:hAnsiTheme="minorHAnsi" w:cstheme="minorHAnsi"/>
          <w:bCs/>
          <w:sz w:val="20"/>
          <w:szCs w:val="20"/>
        </w:rPr>
        <w:t xml:space="preserve">patients were defined as those who received </w:t>
      </w:r>
      <w:r>
        <w:rPr>
          <w:rFonts w:asciiTheme="minorHAnsi" w:eastAsia="Calibri" w:hAnsiTheme="minorHAnsi" w:cstheme="minorHAnsi"/>
          <w:bCs/>
          <w:sz w:val="20"/>
          <w:szCs w:val="20"/>
        </w:rPr>
        <w:t>one</w:t>
      </w:r>
      <w:r w:rsidRPr="007A309C">
        <w:rPr>
          <w:rFonts w:asciiTheme="minorHAnsi" w:eastAsia="Calibri" w:hAnsiTheme="minorHAnsi" w:cstheme="minorHAnsi"/>
          <w:bCs/>
          <w:sz w:val="20"/>
          <w:szCs w:val="20"/>
        </w:rPr>
        <w:t xml:space="preserve"> line of therapy in the metastatic setting and recurred ≤12 months after (neo)adjuvant chemotherapy, prior to study enrollment.</w:t>
      </w:r>
    </w:p>
    <w:p w14:paraId="5EC764D8" w14:textId="77777777" w:rsidR="007B00D7" w:rsidRDefault="007B00D7" w:rsidP="007B00D7">
      <w:pPr>
        <w:rPr>
          <w:rFonts w:asciiTheme="minorHAnsi" w:hAnsiTheme="minorHAnsi" w:cstheme="minorHAnsi"/>
          <w:sz w:val="20"/>
          <w:szCs w:val="20"/>
        </w:rPr>
      </w:pPr>
      <w:r w:rsidRPr="007A309C">
        <w:rPr>
          <w:rFonts w:asciiTheme="minorHAnsi" w:hAnsiTheme="minorHAnsi" w:cstheme="minorHAnsi"/>
          <w:sz w:val="20"/>
          <w:szCs w:val="20"/>
          <w:vertAlign w:val="superscript"/>
        </w:rPr>
        <w:t>a</w:t>
      </w:r>
      <w:r w:rsidRPr="007A309C">
        <w:rPr>
          <w:rFonts w:asciiTheme="minorHAnsi" w:hAnsiTheme="minorHAnsi" w:cstheme="minorHAnsi"/>
          <w:sz w:val="20"/>
          <w:szCs w:val="20"/>
        </w:rPr>
        <w:t xml:space="preserve"> CBR is defined as the percentage of patients with a confirmed best overall response of CR or PR and SD ≥6 months.</w:t>
      </w:r>
      <w:r w:rsidRPr="007A309C">
        <w:rPr>
          <w:rFonts w:asciiTheme="minorHAnsi" w:hAnsiTheme="minorHAnsi" w:cstheme="minorHAnsi"/>
          <w:sz w:val="20"/>
          <w:szCs w:val="20"/>
        </w:rPr>
        <w:br/>
        <w:t>BICR, blind independent central review; CBR, clinical benefit rate; CR, complete response; DOR, duration of response; NE, not evaluable; ORR, objective response rate; PD, progressive disease; PR, partial response; SD, stable disease; SG, sacituzumab govitecan; TPC, treatment of physician’s choice.</w:t>
      </w:r>
    </w:p>
    <w:p w14:paraId="2274AABB" w14:textId="77777777" w:rsidR="007B00D7" w:rsidRPr="007A309C" w:rsidRDefault="007B00D7" w:rsidP="007B00D7">
      <w:pPr>
        <w:rPr>
          <w:rFonts w:asciiTheme="minorHAnsi" w:hAnsiTheme="minorHAnsi" w:cstheme="minorHAnsi"/>
          <w:sz w:val="20"/>
          <w:szCs w:val="20"/>
        </w:rPr>
      </w:pPr>
    </w:p>
    <w:p w14:paraId="70C68FDD" w14:textId="77777777" w:rsidR="007B00D7" w:rsidRDefault="007B00D7" w:rsidP="007B00D7">
      <w:pPr>
        <w:rPr>
          <w:rFonts w:ascii="Calibri" w:eastAsia="Calibri" w:hAnsi="Calibri" w:cs="Calibri"/>
          <w:b/>
          <w:bCs/>
          <w:color w:val="4472C4" w:themeColor="accent1"/>
        </w:rPr>
      </w:pPr>
      <w:r>
        <w:rPr>
          <w:rFonts w:ascii="Calibri" w:eastAsia="Calibri" w:hAnsi="Calibri" w:cs="Calibri"/>
          <w:b/>
          <w:bCs/>
          <w:color w:val="4472C4" w:themeColor="accent1"/>
        </w:rPr>
        <w:br w:type="page"/>
      </w:r>
    </w:p>
    <w:p w14:paraId="750C074B" w14:textId="77777777" w:rsidR="00332BBC" w:rsidRDefault="00332BBC" w:rsidP="007B00D7">
      <w:pPr>
        <w:rPr>
          <w:rFonts w:ascii="Calibri" w:eastAsia="Calibri" w:hAnsi="Calibri" w:cs="Calibri"/>
          <w:b/>
          <w:bCs/>
        </w:rPr>
        <w:sectPr w:rsidR="00332BBC" w:rsidSect="00332BB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C89F984" w14:textId="2AB70535" w:rsidR="007B00D7" w:rsidRPr="009E3C96" w:rsidRDefault="007B00D7" w:rsidP="007B00D7">
      <w:pPr>
        <w:rPr>
          <w:rFonts w:asciiTheme="minorHAnsi" w:hAnsiTheme="minorHAnsi" w:cstheme="minorHAnsi"/>
          <w:b/>
          <w:bCs/>
          <w:color w:val="4472C4" w:themeColor="accent1"/>
        </w:rPr>
      </w:pPr>
      <w:r w:rsidRPr="00AD2271">
        <w:rPr>
          <w:rFonts w:ascii="Calibri" w:eastAsia="Calibri" w:hAnsi="Calibri" w:cs="Calibri"/>
          <w:b/>
          <w:bCs/>
        </w:rPr>
        <w:lastRenderedPageBreak/>
        <w:t xml:space="preserve">Supplementary Figure 1. CONSORT Diagram for </w:t>
      </w:r>
      <w:r w:rsidRPr="00AD2271">
        <w:rPr>
          <w:rFonts w:asciiTheme="minorHAnsi" w:hAnsiTheme="minorHAnsi" w:cstheme="minorHAnsi"/>
          <w:b/>
          <w:bCs/>
        </w:rPr>
        <w:t xml:space="preserve">the Second-Line Subgroup of Patients </w:t>
      </w:r>
      <w:r w:rsidRPr="00AD2271">
        <w:rPr>
          <w:rFonts w:ascii="Calibri" w:eastAsia="Calibri" w:hAnsi="Calibri" w:cs="Calibri"/>
          <w:b/>
          <w:bCs/>
        </w:rPr>
        <w:t>Negative for Brain Metastases</w:t>
      </w:r>
    </w:p>
    <w:p w14:paraId="2435E38B" w14:textId="77777777" w:rsidR="007B00D7" w:rsidRPr="009E3C96" w:rsidRDefault="007B00D7" w:rsidP="007B00D7">
      <w:pPr>
        <w:rPr>
          <w:rFonts w:ascii="Calibri" w:eastAsia="Calibri" w:hAnsi="Calibri" w:cs="Calibri"/>
          <w:b/>
          <w:bCs/>
          <w:color w:val="4472C4" w:themeColor="accent1"/>
        </w:rPr>
      </w:pPr>
    </w:p>
    <w:p w14:paraId="426713E1" w14:textId="77777777" w:rsidR="007B00D7" w:rsidRDefault="007B00D7" w:rsidP="007B00D7">
      <w:pPr>
        <w:rPr>
          <w:rFonts w:asciiTheme="minorHAnsi" w:hAnsiTheme="minorHAnsi" w:cstheme="minorHAnsi"/>
          <w:b/>
          <w:color w:val="000000" w:themeColor="text1"/>
        </w:rPr>
      </w:pPr>
    </w:p>
    <w:p w14:paraId="0772640D" w14:textId="77777777" w:rsidR="007B00D7" w:rsidRDefault="007B00D7" w:rsidP="007B00D7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noProof/>
          <w:color w:val="000000" w:themeColor="text1"/>
        </w:rPr>
        <w:drawing>
          <wp:inline distT="0" distB="0" distL="0" distR="0" wp14:anchorId="33EB5EEF" wp14:editId="67A5C86B">
            <wp:extent cx="6792053" cy="4037162"/>
            <wp:effectExtent l="0" t="0" r="0" b="1905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1551" cy="4042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74FADF" w14:textId="77777777" w:rsidR="007B00D7" w:rsidRPr="00AD2271" w:rsidRDefault="007B00D7" w:rsidP="007B00D7">
      <w:pPr>
        <w:rPr>
          <w:rFonts w:asciiTheme="minorHAnsi" w:hAnsiTheme="minorHAnsi" w:cstheme="minorHAnsi"/>
          <w:sz w:val="20"/>
          <w:szCs w:val="20"/>
          <w:vertAlign w:val="superscript"/>
        </w:rPr>
      </w:pPr>
      <w:r w:rsidRPr="00C4658C">
        <w:rPr>
          <w:rFonts w:ascii="Calibri" w:eastAsia="Calibri" w:hAnsi="Calibri" w:cs="Calibri"/>
          <w:bCs/>
        </w:rPr>
        <w:br/>
      </w:r>
      <w:r w:rsidRPr="00AD2271">
        <w:rPr>
          <w:rFonts w:asciiTheme="minorHAnsi" w:eastAsia="Calibri" w:hAnsiTheme="minorHAnsi" w:cstheme="minorHAnsi"/>
          <w:bCs/>
          <w:sz w:val="20"/>
          <w:szCs w:val="20"/>
        </w:rPr>
        <w:t>Second-line patients were defined as those who received one line of therapy in the metastatic setting and recurred ≤12 months after (neo)adjuvant chemotherapy, prior to study enrollment.</w:t>
      </w:r>
    </w:p>
    <w:p w14:paraId="04C9270A" w14:textId="77777777" w:rsidR="007B00D7" w:rsidRPr="009E3C96" w:rsidRDefault="007B00D7" w:rsidP="007B00D7">
      <w:pPr>
        <w:rPr>
          <w:rFonts w:asciiTheme="minorHAnsi" w:hAnsiTheme="minorHAnsi" w:cstheme="minorHAnsi"/>
          <w:color w:val="4472C4" w:themeColor="accent1"/>
          <w:sz w:val="20"/>
          <w:szCs w:val="20"/>
        </w:rPr>
      </w:pPr>
      <w:r w:rsidRPr="00AD2271">
        <w:rPr>
          <w:rFonts w:asciiTheme="minorHAnsi" w:hAnsiTheme="minorHAnsi" w:cstheme="minorHAnsi"/>
          <w:sz w:val="20"/>
          <w:szCs w:val="20"/>
        </w:rPr>
        <w:t>(Neo)adjuvant, neoadjuvant or adjuvant; SG, sacituzumab govitecan; TPC, treatment of physician’s choice</w:t>
      </w:r>
      <w:r w:rsidRPr="009E3C96">
        <w:rPr>
          <w:rFonts w:asciiTheme="minorHAnsi" w:hAnsiTheme="minorHAnsi" w:cstheme="minorHAnsi"/>
          <w:color w:val="4472C4" w:themeColor="accent1"/>
          <w:sz w:val="20"/>
          <w:szCs w:val="20"/>
        </w:rPr>
        <w:t>.</w:t>
      </w:r>
    </w:p>
    <w:p w14:paraId="5DBFB856" w14:textId="77777777" w:rsidR="00B96139" w:rsidRDefault="00B96139"/>
    <w:sectPr w:rsidR="00B96139" w:rsidSect="00D36BA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0D7"/>
    <w:rsid w:val="000D6781"/>
    <w:rsid w:val="002811E8"/>
    <w:rsid w:val="002F5B43"/>
    <w:rsid w:val="00332BBC"/>
    <w:rsid w:val="003871C1"/>
    <w:rsid w:val="00577EF6"/>
    <w:rsid w:val="005D505B"/>
    <w:rsid w:val="00633788"/>
    <w:rsid w:val="007B00D7"/>
    <w:rsid w:val="0087657C"/>
    <w:rsid w:val="00A51A23"/>
    <w:rsid w:val="00B36332"/>
    <w:rsid w:val="00B96139"/>
    <w:rsid w:val="00F3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FA86C"/>
  <w15:chartTrackingRefBased/>
  <w15:docId w15:val="{9A955052-29F2-425A-8ACE-BB931282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D5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T9S</dc:creator>
  <cp:keywords/>
  <dc:description/>
  <cp:lastModifiedBy>T9S</cp:lastModifiedBy>
  <cp:revision>3</cp:revision>
  <dcterms:created xsi:type="dcterms:W3CDTF">2022-04-21T17:52:00Z</dcterms:created>
  <dcterms:modified xsi:type="dcterms:W3CDTF">2022-04-21T17:52:00Z</dcterms:modified>
</cp:coreProperties>
</file>