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C07" w:rsidRDefault="00E03C0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47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2"/>
        <w:gridCol w:w="13657"/>
      </w:tblGrid>
      <w:tr w:rsidR="00E03C07" w:rsidTr="003F3152">
        <w:trPr>
          <w:trHeight w:val="401"/>
        </w:trPr>
        <w:tc>
          <w:tcPr>
            <w:tcW w:w="1072" w:type="dxa"/>
            <w:shd w:val="clear" w:color="auto" w:fill="auto"/>
          </w:tcPr>
          <w:p w:rsidR="00E03C07" w:rsidRPr="003F3152" w:rsidRDefault="008603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F3152">
              <w:rPr>
                <w:rFonts w:ascii="Arial" w:eastAsia="Arial" w:hAnsi="Arial" w:cs="Arial"/>
                <w:b/>
                <w:sz w:val="20"/>
                <w:szCs w:val="20"/>
              </w:rPr>
              <w:t>Gene</w:t>
            </w:r>
          </w:p>
        </w:tc>
        <w:tc>
          <w:tcPr>
            <w:tcW w:w="13657" w:type="dxa"/>
            <w:shd w:val="clear" w:color="auto" w:fill="auto"/>
          </w:tcPr>
          <w:p w:rsidR="00E03C07" w:rsidRPr="003F3152" w:rsidRDefault="008603AE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F3152">
              <w:rPr>
                <w:rFonts w:ascii="Arial" w:eastAsia="Arial" w:hAnsi="Arial" w:cs="Arial"/>
                <w:b/>
                <w:sz w:val="20"/>
                <w:szCs w:val="20"/>
              </w:rPr>
              <w:t>Gene function evidence in the context of cancer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AKT1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Constitutively active Akt1 negatively regulates DNA repair processes, creating a BRCA1-deficient phenotype without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BRCA1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mutations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AKT1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c.49G&gt;A (p.Glu17Lys) was reported in 3% of primary breast cancers, exclusively ER-positive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. Notably, the UM sample with the c.49G&gt;A variant had also an excessive load of DNA copy number alterations, reflecting the deleterious effect of this variant on the genome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(Supplementary Figure 6).</w:t>
            </w:r>
          </w:p>
        </w:tc>
      </w:tr>
      <w:tr w:rsidR="00E03C07">
        <w:trPr>
          <w:trHeight w:val="736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CBFB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Forms a transcriptional complex with RUNX1 and is involved in the regulation of translation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. Inactivating pathogenic variants have been associated with ER+ and lower grade tumors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CDH1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Tumor suppressor, regulates cell adhesion, prevents invasion and metastasis. Truncating variants are common in breast tumors and associated with the lobular histological type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736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MAP3K1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Involved in regulation of proliferation, growth and apoptosis, loss of MAP3K1 can render cells insensitive to death-inducing signals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MED12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Regulates RNA polymerase II transcription and gene expression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MED12 regulates signal transduction through the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Wnt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/β-catenin pathway through direct interactions with β-catenin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8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MED12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pathogenic variants were observed in malignant phyllodes tumors and fibroadenomas with a greater frequency in the latter. Pareja et al., described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MED12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pathogenic variants as early events and when followed by additional activation of oncogenes or inactivation of suppressors can cause malignant progression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</w:tr>
      <w:tr w:rsidR="00E03C07">
        <w:trPr>
          <w:trHeight w:val="736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NCOR1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One of the most frequently mutated genes in breast tumors, element of the chromatin remodeling complex found to repress ER-mediated transcription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10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RAD50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Involved in DNA damage response as a part of the Mre11-Rad50-Nbs1 complex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11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Germline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RAD50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c.2165dup p.Glu723fs variant was reported in patients with early-onset familial breast cancer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12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RB1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Tumor suppressor, coordinates cell cycle via several pathways, its loss deregulates cell cycle progression and is associated with genomic instability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13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TBX3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Regulates normal mammary gland development, truncating variants have been observed in breast tumors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4,10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In ductal carcinoma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in situ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high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 xml:space="preserve">TBX3 </w:t>
            </w:r>
            <w:r>
              <w:rPr>
                <w:rFonts w:ascii="Arial" w:eastAsia="Arial" w:hAnsi="Arial" w:cs="Arial"/>
                <w:sz w:val="20"/>
                <w:szCs w:val="20"/>
              </w:rPr>
              <w:t>expression is associated with progression from benign to invasive state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14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E03C07">
        <w:trPr>
          <w:trHeight w:val="695"/>
        </w:trPr>
        <w:tc>
          <w:tcPr>
            <w:tcW w:w="1072" w:type="dxa"/>
          </w:tcPr>
          <w:p w:rsidR="00E03C07" w:rsidRDefault="008603A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TSHR</w:t>
            </w:r>
          </w:p>
        </w:tc>
        <w:tc>
          <w:tcPr>
            <w:tcW w:w="13657" w:type="dxa"/>
          </w:tcPr>
          <w:p w:rsidR="00E03C07" w:rsidRDefault="008603A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Thyroid-stimulating hormone receptor involved in endocrine regulation of cell proliferation and differentiation. Thyroid hormone activity is associated with breast cancer risk. Breast cancer cell-based studies revealed thyroid hormone implication in ER regulation through MAPK kinases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15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E03C07" w:rsidRDefault="00E03C07">
      <w:pPr>
        <w:rPr>
          <w:rFonts w:ascii="Arial" w:eastAsia="Arial" w:hAnsi="Arial" w:cs="Arial"/>
          <w:sz w:val="20"/>
          <w:szCs w:val="20"/>
        </w:rPr>
      </w:pPr>
    </w:p>
    <w:p w:rsidR="00E03C07" w:rsidRDefault="008603AE">
      <w:pPr>
        <w:rPr>
          <w:rFonts w:ascii="Arial" w:eastAsia="Arial" w:hAnsi="Arial" w:cs="Arial"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>Supplementary Table 7</w:t>
      </w:r>
      <w:r>
        <w:rPr>
          <w:rFonts w:ascii="Arial" w:eastAsia="Arial" w:hAnsi="Arial" w:cs="Arial"/>
          <w:sz w:val="20"/>
          <w:szCs w:val="20"/>
        </w:rPr>
        <w:t xml:space="preserve">. Summary of the function of breast cancer-associated genes targeted by somatic variants in the normal mammary gland (UM). 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>References: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1. </w:t>
      </w:r>
      <w:proofErr w:type="spellStart"/>
      <w:r>
        <w:rPr>
          <w:rFonts w:ascii="Arial" w:eastAsia="Arial" w:hAnsi="Arial" w:cs="Arial"/>
          <w:sz w:val="18"/>
          <w:szCs w:val="18"/>
        </w:rPr>
        <w:t>Guirouilh-Barbat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J. K., Wilhelm, T. &amp; Lopez, B. S. AKT1/BRCA1 in the control of homologous recombination and genetic stability: the missing link between hereditary and sporadic breast cancers.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Oncotarget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1</w:t>
      </w:r>
      <w:r>
        <w:rPr>
          <w:rFonts w:ascii="Arial" w:eastAsia="Arial" w:hAnsi="Arial" w:cs="Arial"/>
          <w:sz w:val="18"/>
          <w:szCs w:val="18"/>
        </w:rPr>
        <w:t>, 691–699 (2010).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2. Yi, K. H., </w:t>
      </w:r>
      <w:proofErr w:type="spellStart"/>
      <w:r>
        <w:rPr>
          <w:rFonts w:ascii="Arial" w:eastAsia="Arial" w:hAnsi="Arial" w:cs="Arial"/>
          <w:sz w:val="18"/>
          <w:szCs w:val="18"/>
        </w:rPr>
        <w:t>Axtmayer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J., </w:t>
      </w:r>
      <w:proofErr w:type="spellStart"/>
      <w:r>
        <w:rPr>
          <w:rFonts w:ascii="Arial" w:eastAsia="Arial" w:hAnsi="Arial" w:cs="Arial"/>
          <w:sz w:val="18"/>
          <w:szCs w:val="18"/>
        </w:rPr>
        <w:t>Gustin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J. P., </w:t>
      </w:r>
      <w:proofErr w:type="spellStart"/>
      <w:r>
        <w:rPr>
          <w:rFonts w:ascii="Arial" w:eastAsia="Arial" w:hAnsi="Arial" w:cs="Arial"/>
          <w:sz w:val="18"/>
          <w:szCs w:val="18"/>
        </w:rPr>
        <w:t>Rajpurohit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A. &amp; </w:t>
      </w:r>
      <w:proofErr w:type="spellStart"/>
      <w:r>
        <w:rPr>
          <w:rFonts w:ascii="Arial" w:eastAsia="Arial" w:hAnsi="Arial" w:cs="Arial"/>
          <w:sz w:val="18"/>
          <w:szCs w:val="18"/>
        </w:rPr>
        <w:t>Lauring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J. Functional analysis of non-hotspot AKT1 mutants found in human breast cancers identifies novel driver mutations: Implications for personalized medicine.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Oncotarget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, 29–34 (2013).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3. Malik, N. et al. The transcription factor CBFB suppresses breast cancer through orchestrating translation and transcription. </w:t>
      </w:r>
      <w:r>
        <w:rPr>
          <w:rFonts w:ascii="Arial" w:eastAsia="Arial" w:hAnsi="Arial" w:cs="Arial"/>
          <w:i/>
          <w:sz w:val="18"/>
          <w:szCs w:val="18"/>
        </w:rPr>
        <w:t xml:space="preserve">Nat.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Commun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10</w:t>
      </w:r>
      <w:r>
        <w:rPr>
          <w:rFonts w:ascii="Arial" w:eastAsia="Arial" w:hAnsi="Arial" w:cs="Arial"/>
          <w:sz w:val="18"/>
          <w:szCs w:val="18"/>
        </w:rPr>
        <w:t>, 1–15 (2019).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4. Pereira, B. et al. The somatic mutation profiles of 2,433 breast cancers refines their genomic and transcriptomic landscapes. </w:t>
      </w:r>
      <w:r>
        <w:rPr>
          <w:rFonts w:ascii="Arial" w:eastAsia="Arial" w:hAnsi="Arial" w:cs="Arial"/>
          <w:i/>
          <w:sz w:val="18"/>
          <w:szCs w:val="18"/>
        </w:rPr>
        <w:t xml:space="preserve">Nat.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Commun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, 11479 (2016).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5. </w:t>
      </w:r>
      <w:proofErr w:type="spellStart"/>
      <w:r>
        <w:rPr>
          <w:rFonts w:ascii="Arial" w:eastAsia="Arial" w:hAnsi="Arial" w:cs="Arial"/>
          <w:sz w:val="18"/>
          <w:szCs w:val="18"/>
        </w:rPr>
        <w:t>Christgen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M. et al. Lobular breast cancer: Clinical, molecular and morphological characteristics.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Pathol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. Res.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Pract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212</w:t>
      </w:r>
      <w:r>
        <w:rPr>
          <w:rFonts w:ascii="Arial" w:eastAsia="Arial" w:hAnsi="Arial" w:cs="Arial"/>
          <w:sz w:val="18"/>
          <w:szCs w:val="18"/>
        </w:rPr>
        <w:t>, 583–597 (2016).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6. Pham, T. T., Angus, S. P. &amp; Johnson, G. L. MAP3K1: Genomic Alterations in Cancer and Function in Promoting Cell Survival or Apoptosis. </w:t>
      </w:r>
      <w:r>
        <w:rPr>
          <w:rFonts w:ascii="Arial" w:eastAsia="Arial" w:hAnsi="Arial" w:cs="Arial"/>
          <w:i/>
          <w:sz w:val="18"/>
          <w:szCs w:val="18"/>
        </w:rPr>
        <w:t>Genes and Cancer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4</w:t>
      </w:r>
      <w:r>
        <w:rPr>
          <w:rFonts w:ascii="Arial" w:eastAsia="Arial" w:hAnsi="Arial" w:cs="Arial"/>
          <w:sz w:val="18"/>
          <w:szCs w:val="18"/>
        </w:rPr>
        <w:t>, 419–426 (2013).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7. Chang, H. Y. et al. MED12, TERT and RARA in fibroepithelial </w:t>
      </w:r>
      <w:proofErr w:type="spellStart"/>
      <w:r>
        <w:rPr>
          <w:rFonts w:ascii="Arial" w:eastAsia="Arial" w:hAnsi="Arial" w:cs="Arial"/>
          <w:sz w:val="18"/>
          <w:szCs w:val="18"/>
        </w:rPr>
        <w:t>tumours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of the breast. </w:t>
      </w:r>
      <w:r>
        <w:rPr>
          <w:rFonts w:ascii="Arial" w:eastAsia="Arial" w:hAnsi="Arial" w:cs="Arial"/>
          <w:i/>
          <w:sz w:val="18"/>
          <w:szCs w:val="18"/>
        </w:rPr>
        <w:t xml:space="preserve">J. Clin.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Pathol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73</w:t>
      </w:r>
      <w:r>
        <w:rPr>
          <w:rFonts w:ascii="Arial" w:eastAsia="Arial" w:hAnsi="Arial" w:cs="Arial"/>
          <w:sz w:val="18"/>
          <w:szCs w:val="18"/>
        </w:rPr>
        <w:t>, 51–56 (2020).</w:t>
      </w:r>
    </w:p>
    <w:p w:rsidR="008603AE" w:rsidRDefault="008603AE" w:rsidP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8. Kim, S., Xu, X., Hecht, A. &amp; Boyer, T. G. Mediator is a transducer of </w:t>
      </w:r>
      <w:proofErr w:type="spellStart"/>
      <w:r>
        <w:rPr>
          <w:rFonts w:ascii="Arial" w:eastAsia="Arial" w:hAnsi="Arial" w:cs="Arial"/>
          <w:sz w:val="18"/>
          <w:szCs w:val="18"/>
        </w:rPr>
        <w:t>Wnt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/β-catenin signaling. </w:t>
      </w:r>
      <w:r>
        <w:rPr>
          <w:rFonts w:ascii="Arial" w:eastAsia="Arial" w:hAnsi="Arial" w:cs="Arial"/>
          <w:i/>
          <w:sz w:val="18"/>
          <w:szCs w:val="18"/>
        </w:rPr>
        <w:t>J. Biol. Chem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281</w:t>
      </w:r>
      <w:r>
        <w:rPr>
          <w:rFonts w:ascii="Arial" w:eastAsia="Arial" w:hAnsi="Arial" w:cs="Arial"/>
          <w:sz w:val="18"/>
          <w:szCs w:val="18"/>
        </w:rPr>
        <w:t>, 14066–14075 (2006).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9. Pareja, F. et al. Phyllodes tumors with and without fibroadenoma-like areas display distinct genomic features and may evolve through distinct pathways.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npj</w:t>
      </w:r>
      <w:proofErr w:type="spellEnd"/>
      <w:r>
        <w:rPr>
          <w:rFonts w:ascii="Arial" w:eastAsia="Arial" w:hAnsi="Arial" w:cs="Arial"/>
          <w:i/>
          <w:sz w:val="18"/>
          <w:szCs w:val="18"/>
        </w:rPr>
        <w:t xml:space="preserve"> Breast Cancer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, 1–7 (2017).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10. Stephens, P. J. et al. The landscape of cancer genes and mutational processes in breast cancer. </w:t>
      </w:r>
      <w:r>
        <w:rPr>
          <w:rFonts w:ascii="Arial" w:eastAsia="Arial" w:hAnsi="Arial" w:cs="Arial"/>
          <w:i/>
          <w:sz w:val="18"/>
          <w:szCs w:val="18"/>
        </w:rPr>
        <w:t>Nature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486</w:t>
      </w:r>
      <w:r>
        <w:rPr>
          <w:rFonts w:ascii="Arial" w:eastAsia="Arial" w:hAnsi="Arial" w:cs="Arial"/>
          <w:sz w:val="18"/>
          <w:szCs w:val="18"/>
        </w:rPr>
        <w:t>, 400–404 (2012).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11.  Fagan-Solis, K. D. et al. A P53-Independent DNA Damage Response Suppresses Oncogenic Proliferation and Genome Instability. </w:t>
      </w:r>
      <w:r>
        <w:rPr>
          <w:rFonts w:ascii="Arial" w:eastAsia="Arial" w:hAnsi="Arial" w:cs="Arial"/>
          <w:i/>
          <w:sz w:val="18"/>
          <w:szCs w:val="18"/>
        </w:rPr>
        <w:t>Cell Rep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30</w:t>
      </w:r>
      <w:r>
        <w:rPr>
          <w:rFonts w:ascii="Arial" w:eastAsia="Arial" w:hAnsi="Arial" w:cs="Arial"/>
          <w:sz w:val="18"/>
          <w:szCs w:val="18"/>
        </w:rPr>
        <w:t>, 1385-1399.e7 (2020).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12. Lin, P. H. et al. Multiple gene sequencing for risk assessment in patients with early-onset or familial breast cancer.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Oncotarget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, 8310–8320 (2016).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13. </w:t>
      </w:r>
      <w:proofErr w:type="spellStart"/>
      <w:r>
        <w:rPr>
          <w:rFonts w:ascii="Arial" w:eastAsia="Arial" w:hAnsi="Arial" w:cs="Arial"/>
          <w:sz w:val="18"/>
          <w:szCs w:val="18"/>
        </w:rPr>
        <w:t>Witkiewicz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A. K. &amp; Knudsen, E. S. Retinoblastoma tumor suppressor pathway in breast cancer: Prognosis, precision medicine, and therapeutic interventions. </w:t>
      </w:r>
      <w:r>
        <w:rPr>
          <w:rFonts w:ascii="Arial" w:eastAsia="Arial" w:hAnsi="Arial" w:cs="Arial"/>
          <w:i/>
          <w:sz w:val="18"/>
          <w:szCs w:val="18"/>
        </w:rPr>
        <w:t>Breast Cancer Res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i/>
          <w:sz w:val="18"/>
          <w:szCs w:val="18"/>
        </w:rPr>
        <w:t>16</w:t>
      </w:r>
      <w:r>
        <w:rPr>
          <w:rFonts w:ascii="Arial" w:eastAsia="Arial" w:hAnsi="Arial" w:cs="Arial"/>
          <w:sz w:val="18"/>
          <w:szCs w:val="18"/>
        </w:rPr>
        <w:t>, (2014).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14. </w:t>
      </w:r>
      <w:proofErr w:type="spellStart"/>
      <w:r>
        <w:rPr>
          <w:rFonts w:ascii="Arial" w:eastAsia="Arial" w:hAnsi="Arial" w:cs="Arial"/>
          <w:sz w:val="18"/>
          <w:szCs w:val="18"/>
        </w:rPr>
        <w:t>Krstic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M. et al. TBX3 promotes progression of pre-invasive breast cancer cells by inducing EMT and directly up-regulating SLUG. </w:t>
      </w:r>
      <w:r>
        <w:rPr>
          <w:rFonts w:ascii="Arial" w:eastAsia="Arial" w:hAnsi="Arial" w:cs="Arial"/>
          <w:i/>
          <w:sz w:val="18"/>
          <w:szCs w:val="18"/>
        </w:rPr>
        <w:t xml:space="preserve">J.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Pathol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248</w:t>
      </w:r>
      <w:r>
        <w:rPr>
          <w:rFonts w:ascii="Arial" w:eastAsia="Arial" w:hAnsi="Arial" w:cs="Arial"/>
          <w:sz w:val="18"/>
          <w:szCs w:val="18"/>
        </w:rPr>
        <w:t>, 191–203 (2019).</w:t>
      </w:r>
    </w:p>
    <w:p w:rsidR="00E03C07" w:rsidRDefault="008603A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15. Liu, Y. C., Yeh, C. T. &amp; Lin, K. H. Molecular functions of thyroid hormone signaling in regulation of cancer progression and anti-apoptosis. </w:t>
      </w:r>
      <w:r>
        <w:rPr>
          <w:rFonts w:ascii="Arial" w:eastAsia="Arial" w:hAnsi="Arial" w:cs="Arial"/>
          <w:i/>
          <w:sz w:val="18"/>
          <w:szCs w:val="18"/>
        </w:rPr>
        <w:t>Int. J. Mol. Sci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sz w:val="18"/>
          <w:szCs w:val="18"/>
        </w:rPr>
        <w:t>20</w:t>
      </w:r>
      <w:r>
        <w:rPr>
          <w:rFonts w:ascii="Arial" w:eastAsia="Arial" w:hAnsi="Arial" w:cs="Arial"/>
          <w:sz w:val="18"/>
          <w:szCs w:val="18"/>
        </w:rPr>
        <w:t>, 1–27 (2019).</w:t>
      </w:r>
    </w:p>
    <w:p w:rsidR="00E03C07" w:rsidRDefault="00E03C07">
      <w:pPr>
        <w:rPr>
          <w:rFonts w:ascii="Arial" w:eastAsia="Arial" w:hAnsi="Arial" w:cs="Arial"/>
          <w:sz w:val="20"/>
          <w:szCs w:val="20"/>
        </w:rPr>
      </w:pPr>
    </w:p>
    <w:sectPr w:rsidR="00E03C07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C07"/>
    <w:rsid w:val="002D38FB"/>
    <w:rsid w:val="003F3152"/>
    <w:rsid w:val="00563CE7"/>
    <w:rsid w:val="008603AE"/>
    <w:rsid w:val="0089232B"/>
    <w:rsid w:val="009E20EF"/>
    <w:rsid w:val="00E0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E5C6E-2C8E-4F7C-B89A-9F68854F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-Siatka">
    <w:name w:val="Table Grid"/>
    <w:basedOn w:val="Standardowy"/>
    <w:uiPriority w:val="39"/>
    <w:rsid w:val="00A62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9IffpjFykIHrIaGcOU5sr3VDAA==">AMUW2mXnonQ97AGiBhnB14ZaQAD8a+ypWfXMb8OAeBTULdsW2U6V53r/uDayvBDYt134gMhuAmBJFRNCcvO6X9f7mFV3PQaXOgKgtvi4lbwLkznyzobq3Hq1N9NIYBflQriSfZ0o6vBp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6</cp:revision>
  <dcterms:created xsi:type="dcterms:W3CDTF">2021-12-06T09:28:00Z</dcterms:created>
  <dcterms:modified xsi:type="dcterms:W3CDTF">2022-05-18T07:00:00Z</dcterms:modified>
</cp:coreProperties>
</file>