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509145" w14:textId="18676EF1" w:rsidR="002B4E35" w:rsidRDefault="002B4E35" w:rsidP="008819F4">
      <w:pPr>
        <w:spacing w:line="480" w:lineRule="auto"/>
        <w:rPr>
          <w:rFonts w:ascii="Arial" w:hAnsi="Arial" w:cs="Arial"/>
          <w:b/>
          <w:bCs/>
          <w:color w:val="000000" w:themeColor="text1"/>
        </w:rPr>
      </w:pPr>
      <w:r w:rsidRPr="002B4E35">
        <w:rPr>
          <w:rFonts w:ascii="Arial" w:hAnsi="Arial" w:cs="Arial"/>
          <w:b/>
          <w:bCs/>
          <w:color w:val="000000" w:themeColor="text1"/>
        </w:rPr>
        <w:t>Supplementary Figures</w:t>
      </w:r>
    </w:p>
    <w:p w14:paraId="3C379C4D" w14:textId="74517A18" w:rsidR="008819F4" w:rsidRPr="008B74F8" w:rsidRDefault="008819F4" w:rsidP="008819F4">
      <w:pPr>
        <w:spacing w:line="480" w:lineRule="auto"/>
        <w:rPr>
          <w:rFonts w:ascii="Arial" w:hAnsi="Arial" w:cs="Arial"/>
          <w:color w:val="000000" w:themeColor="text1"/>
        </w:rPr>
      </w:pPr>
      <w:r w:rsidRPr="008819F4">
        <w:rPr>
          <w:rFonts w:ascii="Arial" w:hAnsi="Arial" w:cs="Arial"/>
          <w:b/>
          <w:bCs/>
          <w:noProof/>
          <w:color w:val="000000" w:themeColor="text1"/>
        </w:rPr>
        <w:drawing>
          <wp:inline distT="0" distB="0" distL="0" distR="0" wp14:anchorId="601E22F7" wp14:editId="43B5F62F">
            <wp:extent cx="7161177" cy="3104707"/>
            <wp:effectExtent l="0" t="0" r="1905" b="0"/>
            <wp:docPr id="1228488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488105" name=""/>
                    <pic:cNvPicPr/>
                  </pic:nvPicPr>
                  <pic:blipFill>
                    <a:blip r:embed="rId6"/>
                    <a:stretch>
                      <a:fillRect/>
                    </a:stretch>
                  </pic:blipFill>
                  <pic:spPr>
                    <a:xfrm>
                      <a:off x="0" y="0"/>
                      <a:ext cx="7180526" cy="3113096"/>
                    </a:xfrm>
                    <a:prstGeom prst="rect">
                      <a:avLst/>
                    </a:prstGeom>
                  </pic:spPr>
                </pic:pic>
              </a:graphicData>
            </a:graphic>
          </wp:inline>
        </w:drawing>
      </w:r>
      <w:r w:rsidR="00FF0C78">
        <w:rPr>
          <w:rFonts w:ascii="Arial" w:hAnsi="Arial" w:cs="Arial"/>
          <w:b/>
          <w:bCs/>
          <w:color w:val="000000" w:themeColor="text1"/>
        </w:rPr>
        <w:t>Supplementary Figure 1</w:t>
      </w:r>
      <w:r w:rsidRPr="008B74F8">
        <w:rPr>
          <w:rFonts w:ascii="Arial" w:hAnsi="Arial" w:cs="Arial"/>
          <w:b/>
          <w:bCs/>
          <w:color w:val="000000" w:themeColor="text1"/>
        </w:rPr>
        <w:t>: Participants in the BEST cohort and data types available from participants included in this analysis.</w:t>
      </w:r>
      <w:r w:rsidRPr="008B74F8">
        <w:rPr>
          <w:rFonts w:ascii="Arial" w:hAnsi="Arial" w:cs="Arial"/>
          <w:color w:val="000000" w:themeColor="text1"/>
        </w:rPr>
        <w:t xml:space="preserve"> Data abstracted from medical records were supplemented with data from state cancer registries and self-reported questionnaires. 10-year survival outcomes were collected from medical records, the TransUnion </w:t>
      </w:r>
      <w:proofErr w:type="spellStart"/>
      <w:r w:rsidRPr="008B74F8">
        <w:rPr>
          <w:rFonts w:ascii="Arial" w:hAnsi="Arial" w:cs="Arial"/>
          <w:color w:val="000000" w:themeColor="text1"/>
        </w:rPr>
        <w:t>VitalChek</w:t>
      </w:r>
      <w:proofErr w:type="spellEnd"/>
      <w:r w:rsidRPr="008B74F8">
        <w:rPr>
          <w:rFonts w:ascii="Arial" w:hAnsi="Arial" w:cs="Arial"/>
          <w:color w:val="000000" w:themeColor="text1"/>
        </w:rPr>
        <w:t xml:space="preserve"> database, and follow-up data from the Florida and Tennessee state cancer registries. Participants were excluded if RNA-seq was not adequate. </w:t>
      </w:r>
    </w:p>
    <w:p w14:paraId="3C74018A" w14:textId="77777777" w:rsidR="008819F4" w:rsidRPr="008B74F8" w:rsidRDefault="008819F4" w:rsidP="008819F4">
      <w:pPr>
        <w:spacing w:line="480" w:lineRule="auto"/>
        <w:rPr>
          <w:rFonts w:ascii="Arial" w:hAnsi="Arial" w:cs="Arial"/>
          <w:color w:val="000000" w:themeColor="text1"/>
        </w:rPr>
      </w:pPr>
    </w:p>
    <w:p w14:paraId="6F5C2113" w14:textId="77777777" w:rsidR="008819F4" w:rsidRDefault="008819F4">
      <w:pPr>
        <w:rPr>
          <w:rFonts w:ascii="Arial" w:hAnsi="Arial" w:cs="Arial"/>
          <w:b/>
          <w:bCs/>
          <w:color w:val="000000" w:themeColor="text1"/>
        </w:rPr>
      </w:pPr>
      <w:r>
        <w:rPr>
          <w:rFonts w:ascii="Arial" w:hAnsi="Arial" w:cs="Arial"/>
          <w:b/>
          <w:bCs/>
          <w:color w:val="000000" w:themeColor="text1"/>
        </w:rPr>
        <w:br w:type="page"/>
      </w:r>
    </w:p>
    <w:p w14:paraId="79932730" w14:textId="77777777" w:rsidR="008819F4" w:rsidRDefault="008819F4" w:rsidP="008819F4">
      <w:pPr>
        <w:spacing w:line="480" w:lineRule="auto"/>
        <w:rPr>
          <w:rFonts w:ascii="Arial" w:hAnsi="Arial" w:cs="Arial"/>
          <w:b/>
          <w:bCs/>
          <w:color w:val="000000" w:themeColor="text1"/>
        </w:rPr>
      </w:pPr>
      <w:r w:rsidRPr="008819F4">
        <w:rPr>
          <w:rFonts w:ascii="Arial" w:hAnsi="Arial" w:cs="Arial"/>
          <w:b/>
          <w:bCs/>
          <w:noProof/>
          <w:color w:val="000000" w:themeColor="text1"/>
        </w:rPr>
        <w:lastRenderedPageBreak/>
        <w:drawing>
          <wp:inline distT="0" distB="0" distL="0" distR="0" wp14:anchorId="1872B588" wp14:editId="4E1339D3">
            <wp:extent cx="5943600" cy="5542915"/>
            <wp:effectExtent l="0" t="0" r="0" b="0"/>
            <wp:docPr id="1129305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305780" name=""/>
                    <pic:cNvPicPr/>
                  </pic:nvPicPr>
                  <pic:blipFill>
                    <a:blip r:embed="rId7"/>
                    <a:stretch>
                      <a:fillRect/>
                    </a:stretch>
                  </pic:blipFill>
                  <pic:spPr>
                    <a:xfrm>
                      <a:off x="0" y="0"/>
                      <a:ext cx="5943600" cy="5542915"/>
                    </a:xfrm>
                    <a:prstGeom prst="rect">
                      <a:avLst/>
                    </a:prstGeom>
                  </pic:spPr>
                </pic:pic>
              </a:graphicData>
            </a:graphic>
          </wp:inline>
        </w:drawing>
      </w:r>
    </w:p>
    <w:p w14:paraId="23496390" w14:textId="77777777" w:rsidR="008819F4" w:rsidRDefault="008819F4" w:rsidP="008819F4">
      <w:pPr>
        <w:spacing w:line="480" w:lineRule="auto"/>
        <w:rPr>
          <w:rFonts w:ascii="Arial" w:hAnsi="Arial" w:cs="Arial"/>
          <w:b/>
          <w:bCs/>
          <w:color w:val="000000" w:themeColor="text1"/>
        </w:rPr>
      </w:pPr>
    </w:p>
    <w:p w14:paraId="496BD8E8" w14:textId="2300486A" w:rsidR="008819F4" w:rsidRPr="008B74F8" w:rsidRDefault="00FF0C78" w:rsidP="008819F4">
      <w:pPr>
        <w:spacing w:line="480" w:lineRule="auto"/>
        <w:rPr>
          <w:rFonts w:ascii="Arial" w:hAnsi="Arial" w:cs="Arial"/>
          <w:color w:val="000000" w:themeColor="text1"/>
        </w:rPr>
      </w:pPr>
      <w:r>
        <w:rPr>
          <w:rFonts w:ascii="Arial" w:hAnsi="Arial" w:cs="Arial"/>
          <w:b/>
          <w:bCs/>
          <w:color w:val="000000" w:themeColor="text1"/>
        </w:rPr>
        <w:t>Supplementary Figure 2</w:t>
      </w:r>
      <w:r w:rsidR="008819F4" w:rsidRPr="008B74F8">
        <w:rPr>
          <w:rFonts w:ascii="Arial" w:hAnsi="Arial" w:cs="Arial"/>
          <w:b/>
          <w:bCs/>
          <w:color w:val="000000" w:themeColor="text1"/>
        </w:rPr>
        <w:t xml:space="preserve">: RNA-seq data processing and batch correction. A. </w:t>
      </w:r>
      <w:r w:rsidR="008819F4" w:rsidRPr="008B74F8">
        <w:rPr>
          <w:rFonts w:ascii="Arial" w:hAnsi="Arial" w:cs="Arial"/>
          <w:color w:val="000000" w:themeColor="text1"/>
        </w:rPr>
        <w:t xml:space="preserve">Workflow of RNA-seq quality control and batch correction. </w:t>
      </w:r>
      <w:r w:rsidR="008819F4" w:rsidRPr="008B74F8">
        <w:rPr>
          <w:rFonts w:ascii="Arial" w:hAnsi="Arial" w:cs="Arial"/>
          <w:b/>
          <w:bCs/>
          <w:color w:val="000000" w:themeColor="text1"/>
        </w:rPr>
        <w:t xml:space="preserve">B. </w:t>
      </w:r>
      <w:r w:rsidR="008819F4" w:rsidRPr="008B74F8">
        <w:rPr>
          <w:rFonts w:ascii="Arial" w:hAnsi="Arial" w:cs="Arial"/>
          <w:color w:val="000000" w:themeColor="text1"/>
        </w:rPr>
        <w:t xml:space="preserve">RNA-seq plot of mapping ratios. </w:t>
      </w:r>
      <w:r w:rsidR="008819F4" w:rsidRPr="008B74F8">
        <w:rPr>
          <w:rFonts w:ascii="Arial" w:hAnsi="Arial" w:cs="Arial"/>
          <w:b/>
          <w:bCs/>
          <w:color w:val="000000" w:themeColor="text1"/>
        </w:rPr>
        <w:t xml:space="preserve">C. </w:t>
      </w:r>
      <w:r w:rsidR="008819F4" w:rsidRPr="008B74F8">
        <w:rPr>
          <w:rFonts w:ascii="Arial" w:hAnsi="Arial" w:cs="Arial"/>
          <w:color w:val="000000" w:themeColor="text1"/>
        </w:rPr>
        <w:t xml:space="preserve">PCA of mapping quality. Batch correction by site of RNA extraction is shown in panels </w:t>
      </w:r>
      <w:r w:rsidR="008819F4" w:rsidRPr="008B74F8">
        <w:rPr>
          <w:rFonts w:ascii="Arial" w:hAnsi="Arial" w:cs="Arial"/>
          <w:b/>
          <w:bCs/>
          <w:color w:val="000000" w:themeColor="text1"/>
        </w:rPr>
        <w:t xml:space="preserve">D </w:t>
      </w:r>
      <w:r w:rsidR="008819F4" w:rsidRPr="008B74F8">
        <w:rPr>
          <w:rFonts w:ascii="Arial" w:hAnsi="Arial" w:cs="Arial"/>
          <w:color w:val="000000" w:themeColor="text1"/>
        </w:rPr>
        <w:t>(before)</w:t>
      </w:r>
      <w:r w:rsidR="008819F4" w:rsidRPr="008B74F8">
        <w:rPr>
          <w:rFonts w:ascii="Arial" w:hAnsi="Arial" w:cs="Arial"/>
          <w:b/>
          <w:bCs/>
          <w:color w:val="000000" w:themeColor="text1"/>
        </w:rPr>
        <w:t xml:space="preserve"> </w:t>
      </w:r>
      <w:r w:rsidR="008819F4" w:rsidRPr="008B74F8">
        <w:rPr>
          <w:rFonts w:ascii="Arial" w:hAnsi="Arial" w:cs="Arial"/>
          <w:color w:val="000000" w:themeColor="text1"/>
        </w:rPr>
        <w:t xml:space="preserve">and </w:t>
      </w:r>
      <w:r w:rsidR="008819F4" w:rsidRPr="008B74F8">
        <w:rPr>
          <w:rFonts w:ascii="Arial" w:hAnsi="Arial" w:cs="Arial"/>
          <w:b/>
          <w:bCs/>
          <w:color w:val="000000" w:themeColor="text1"/>
        </w:rPr>
        <w:t xml:space="preserve">H </w:t>
      </w:r>
      <w:r w:rsidR="008819F4" w:rsidRPr="008B74F8">
        <w:rPr>
          <w:rFonts w:ascii="Arial" w:hAnsi="Arial" w:cs="Arial"/>
          <w:color w:val="000000" w:themeColor="text1"/>
        </w:rPr>
        <w:t xml:space="preserve">(after), with legend of sites (Moffitt, Vanderbilt or unknown). Effect of correction by actual batch of RNA extraction is shown in panels </w:t>
      </w:r>
      <w:r w:rsidR="008819F4" w:rsidRPr="008B74F8">
        <w:rPr>
          <w:rFonts w:ascii="Arial" w:hAnsi="Arial" w:cs="Arial"/>
          <w:b/>
          <w:bCs/>
          <w:color w:val="000000" w:themeColor="text1"/>
        </w:rPr>
        <w:t>E</w:t>
      </w:r>
      <w:r w:rsidR="008819F4" w:rsidRPr="008B74F8">
        <w:rPr>
          <w:rFonts w:ascii="Arial" w:hAnsi="Arial" w:cs="Arial"/>
          <w:color w:val="000000" w:themeColor="text1"/>
        </w:rPr>
        <w:t xml:space="preserve"> (before)</w:t>
      </w:r>
      <w:r w:rsidR="008819F4" w:rsidRPr="008B74F8">
        <w:rPr>
          <w:rFonts w:ascii="Arial" w:hAnsi="Arial" w:cs="Arial"/>
          <w:b/>
          <w:bCs/>
          <w:color w:val="000000" w:themeColor="text1"/>
        </w:rPr>
        <w:t xml:space="preserve"> </w:t>
      </w:r>
      <w:r w:rsidR="008819F4" w:rsidRPr="008B74F8">
        <w:rPr>
          <w:rFonts w:ascii="Arial" w:hAnsi="Arial" w:cs="Arial"/>
          <w:color w:val="000000" w:themeColor="text1"/>
        </w:rPr>
        <w:t xml:space="preserve">and </w:t>
      </w:r>
      <w:r w:rsidR="008819F4" w:rsidRPr="008B74F8">
        <w:rPr>
          <w:rFonts w:ascii="Arial" w:hAnsi="Arial" w:cs="Arial"/>
          <w:b/>
          <w:bCs/>
          <w:color w:val="000000" w:themeColor="text1"/>
        </w:rPr>
        <w:t xml:space="preserve">I </w:t>
      </w:r>
      <w:r w:rsidR="008819F4" w:rsidRPr="008B74F8">
        <w:rPr>
          <w:rFonts w:ascii="Arial" w:hAnsi="Arial" w:cs="Arial"/>
          <w:color w:val="000000" w:themeColor="text1"/>
        </w:rPr>
        <w:t>(after), with the legend of batches A-I below</w:t>
      </w:r>
      <w:r w:rsidR="008819F4" w:rsidRPr="008B74F8">
        <w:rPr>
          <w:rFonts w:ascii="Arial" w:hAnsi="Arial" w:cs="Arial"/>
          <w:b/>
          <w:bCs/>
          <w:color w:val="000000" w:themeColor="text1"/>
        </w:rPr>
        <w:t>.</w:t>
      </w:r>
      <w:r w:rsidR="008819F4" w:rsidRPr="008B74F8">
        <w:rPr>
          <w:rFonts w:ascii="Arial" w:hAnsi="Arial" w:cs="Arial"/>
          <w:color w:val="000000" w:themeColor="text1"/>
        </w:rPr>
        <w:t xml:space="preserve"> Batch correction by TNBC subtype is </w:t>
      </w:r>
      <w:r w:rsidR="008819F4" w:rsidRPr="008B74F8">
        <w:rPr>
          <w:rFonts w:ascii="Arial" w:hAnsi="Arial" w:cs="Arial"/>
          <w:color w:val="000000" w:themeColor="text1"/>
        </w:rPr>
        <w:lastRenderedPageBreak/>
        <w:t xml:space="preserve">shown in panels </w:t>
      </w:r>
      <w:r w:rsidR="008819F4" w:rsidRPr="008B74F8">
        <w:rPr>
          <w:rFonts w:ascii="Arial" w:hAnsi="Arial" w:cs="Arial"/>
          <w:b/>
          <w:bCs/>
          <w:color w:val="000000" w:themeColor="text1"/>
        </w:rPr>
        <w:t xml:space="preserve">F </w:t>
      </w:r>
      <w:r w:rsidR="008819F4" w:rsidRPr="008B74F8">
        <w:rPr>
          <w:rFonts w:ascii="Arial" w:hAnsi="Arial" w:cs="Arial"/>
          <w:color w:val="000000" w:themeColor="text1"/>
        </w:rPr>
        <w:t>(before)</w:t>
      </w:r>
      <w:r w:rsidR="008819F4" w:rsidRPr="008B74F8">
        <w:rPr>
          <w:rFonts w:ascii="Arial" w:hAnsi="Arial" w:cs="Arial"/>
          <w:b/>
          <w:bCs/>
          <w:color w:val="000000" w:themeColor="text1"/>
        </w:rPr>
        <w:t xml:space="preserve"> </w:t>
      </w:r>
      <w:r w:rsidR="008819F4" w:rsidRPr="008B74F8">
        <w:rPr>
          <w:rFonts w:ascii="Arial" w:hAnsi="Arial" w:cs="Arial"/>
          <w:color w:val="000000" w:themeColor="text1"/>
        </w:rPr>
        <w:t xml:space="preserve">and </w:t>
      </w:r>
      <w:r w:rsidR="008819F4" w:rsidRPr="008B74F8">
        <w:rPr>
          <w:rFonts w:ascii="Arial" w:hAnsi="Arial" w:cs="Arial"/>
          <w:b/>
          <w:bCs/>
          <w:color w:val="000000" w:themeColor="text1"/>
        </w:rPr>
        <w:t xml:space="preserve">J </w:t>
      </w:r>
      <w:r w:rsidR="008819F4" w:rsidRPr="008B74F8">
        <w:rPr>
          <w:rFonts w:ascii="Arial" w:hAnsi="Arial" w:cs="Arial"/>
          <w:color w:val="000000" w:themeColor="text1"/>
        </w:rPr>
        <w:t>(after) with legend below</w:t>
      </w:r>
      <w:r w:rsidR="008819F4" w:rsidRPr="008B74F8">
        <w:rPr>
          <w:rFonts w:ascii="Arial" w:hAnsi="Arial" w:cs="Arial"/>
          <w:b/>
          <w:bCs/>
          <w:color w:val="000000" w:themeColor="text1"/>
        </w:rPr>
        <w:t>.</w:t>
      </w:r>
      <w:r w:rsidR="008819F4" w:rsidRPr="008B74F8">
        <w:rPr>
          <w:rFonts w:ascii="Arial" w:hAnsi="Arial" w:cs="Arial"/>
          <w:color w:val="000000" w:themeColor="text1"/>
        </w:rPr>
        <w:t xml:space="preserve"> Batch correction by PAM50 subtype is shown in panels </w:t>
      </w:r>
      <w:r w:rsidR="008819F4" w:rsidRPr="008B74F8">
        <w:rPr>
          <w:rFonts w:ascii="Arial" w:hAnsi="Arial" w:cs="Arial"/>
          <w:b/>
          <w:bCs/>
          <w:color w:val="000000" w:themeColor="text1"/>
        </w:rPr>
        <w:t xml:space="preserve">G </w:t>
      </w:r>
      <w:r w:rsidR="008819F4" w:rsidRPr="008B74F8">
        <w:rPr>
          <w:rFonts w:ascii="Arial" w:hAnsi="Arial" w:cs="Arial"/>
          <w:color w:val="000000" w:themeColor="text1"/>
        </w:rPr>
        <w:t xml:space="preserve">(before) and </w:t>
      </w:r>
      <w:r w:rsidR="008819F4" w:rsidRPr="008B74F8">
        <w:rPr>
          <w:rFonts w:ascii="Arial" w:hAnsi="Arial" w:cs="Arial"/>
          <w:b/>
          <w:bCs/>
          <w:color w:val="000000" w:themeColor="text1"/>
        </w:rPr>
        <w:t xml:space="preserve">K </w:t>
      </w:r>
      <w:r w:rsidR="008819F4" w:rsidRPr="008B74F8">
        <w:rPr>
          <w:rFonts w:ascii="Arial" w:hAnsi="Arial" w:cs="Arial"/>
          <w:color w:val="000000" w:themeColor="text1"/>
        </w:rPr>
        <w:t xml:space="preserve">(after) with legend below. Batch effect correction ultimately was applied to account for site of RNA extraction (as well as time between tumor fixation and RNA extraction and time from RNA extraction to sequencing). </w:t>
      </w:r>
    </w:p>
    <w:p w14:paraId="496D2AF3" w14:textId="77777777" w:rsidR="008819F4" w:rsidRPr="008B74F8" w:rsidRDefault="008819F4" w:rsidP="008819F4">
      <w:pPr>
        <w:spacing w:line="480" w:lineRule="auto"/>
        <w:rPr>
          <w:rFonts w:ascii="Arial" w:hAnsi="Arial" w:cs="Arial"/>
          <w:color w:val="000000" w:themeColor="text1"/>
        </w:rPr>
      </w:pPr>
    </w:p>
    <w:p w14:paraId="1ACAFADC" w14:textId="77777777" w:rsidR="008819F4" w:rsidRDefault="008819F4">
      <w:pPr>
        <w:rPr>
          <w:rFonts w:ascii="Arial" w:hAnsi="Arial" w:cs="Arial"/>
          <w:b/>
          <w:bCs/>
          <w:color w:val="000000" w:themeColor="text1"/>
        </w:rPr>
      </w:pPr>
      <w:r>
        <w:rPr>
          <w:rFonts w:ascii="Arial" w:hAnsi="Arial" w:cs="Arial"/>
          <w:b/>
          <w:bCs/>
          <w:color w:val="000000" w:themeColor="text1"/>
        </w:rPr>
        <w:br w:type="page"/>
      </w:r>
    </w:p>
    <w:p w14:paraId="7F650EC8" w14:textId="77777777" w:rsidR="008819F4" w:rsidRDefault="008819F4" w:rsidP="008819F4">
      <w:pPr>
        <w:spacing w:line="480" w:lineRule="auto"/>
        <w:rPr>
          <w:rFonts w:ascii="Arial" w:hAnsi="Arial" w:cs="Arial"/>
          <w:b/>
          <w:bCs/>
          <w:color w:val="000000" w:themeColor="text1"/>
        </w:rPr>
      </w:pPr>
      <w:r w:rsidRPr="008819F4">
        <w:rPr>
          <w:rFonts w:ascii="Arial" w:hAnsi="Arial" w:cs="Arial"/>
          <w:b/>
          <w:bCs/>
          <w:noProof/>
          <w:color w:val="000000" w:themeColor="text1"/>
        </w:rPr>
        <w:lastRenderedPageBreak/>
        <w:drawing>
          <wp:inline distT="0" distB="0" distL="0" distR="0" wp14:anchorId="5A0B8517" wp14:editId="6E9EC8D8">
            <wp:extent cx="3296093" cy="3677820"/>
            <wp:effectExtent l="0" t="0" r="0" b="5715"/>
            <wp:docPr id="1437642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642931" name=""/>
                    <pic:cNvPicPr/>
                  </pic:nvPicPr>
                  <pic:blipFill>
                    <a:blip r:embed="rId8"/>
                    <a:stretch>
                      <a:fillRect/>
                    </a:stretch>
                  </pic:blipFill>
                  <pic:spPr>
                    <a:xfrm>
                      <a:off x="0" y="0"/>
                      <a:ext cx="3308430" cy="3691586"/>
                    </a:xfrm>
                    <a:prstGeom prst="rect">
                      <a:avLst/>
                    </a:prstGeom>
                  </pic:spPr>
                </pic:pic>
              </a:graphicData>
            </a:graphic>
          </wp:inline>
        </w:drawing>
      </w:r>
    </w:p>
    <w:p w14:paraId="51CC8448" w14:textId="77777777" w:rsidR="008819F4" w:rsidRDefault="008819F4" w:rsidP="008819F4">
      <w:pPr>
        <w:spacing w:line="480" w:lineRule="auto"/>
        <w:rPr>
          <w:rFonts w:ascii="Arial" w:hAnsi="Arial" w:cs="Arial"/>
          <w:b/>
          <w:bCs/>
          <w:color w:val="000000" w:themeColor="text1"/>
        </w:rPr>
      </w:pPr>
    </w:p>
    <w:p w14:paraId="7C1590FA" w14:textId="6C5A8AB3" w:rsidR="008819F4" w:rsidRPr="008B74F8" w:rsidRDefault="00FF0C78" w:rsidP="008819F4">
      <w:pPr>
        <w:spacing w:line="480" w:lineRule="auto"/>
        <w:rPr>
          <w:rFonts w:ascii="Arial" w:hAnsi="Arial" w:cs="Arial"/>
          <w:color w:val="000000" w:themeColor="text1"/>
        </w:rPr>
      </w:pPr>
      <w:r>
        <w:rPr>
          <w:rFonts w:ascii="Arial" w:hAnsi="Arial" w:cs="Arial"/>
          <w:b/>
          <w:bCs/>
          <w:color w:val="000000" w:themeColor="text1"/>
        </w:rPr>
        <w:t>Supplementary Figure 3</w:t>
      </w:r>
      <w:r w:rsidR="008819F4" w:rsidRPr="008B74F8">
        <w:rPr>
          <w:rFonts w:ascii="Arial" w:hAnsi="Arial" w:cs="Arial"/>
          <w:b/>
          <w:bCs/>
          <w:color w:val="000000" w:themeColor="text1"/>
        </w:rPr>
        <w:t xml:space="preserve">: PAM50 and </w:t>
      </w:r>
      <w:r w:rsidR="008819F4" w:rsidRPr="008B74F8">
        <w:rPr>
          <w:rFonts w:ascii="Arial" w:hAnsi="Arial" w:cs="Arial"/>
          <w:b/>
          <w:bCs/>
          <w:i/>
          <w:iCs/>
          <w:color w:val="000000" w:themeColor="text1"/>
        </w:rPr>
        <w:t>ESR1</w:t>
      </w:r>
      <w:r w:rsidR="008819F4" w:rsidRPr="008B74F8">
        <w:rPr>
          <w:rFonts w:ascii="Arial" w:hAnsi="Arial" w:cs="Arial"/>
          <w:b/>
          <w:bCs/>
          <w:color w:val="000000" w:themeColor="text1"/>
        </w:rPr>
        <w:t xml:space="preserve"> expression analysis of TNBC subtypes. A. </w:t>
      </w:r>
      <w:r w:rsidR="008819F4" w:rsidRPr="008B74F8">
        <w:rPr>
          <w:rFonts w:ascii="Arial" w:hAnsi="Arial" w:cs="Arial"/>
          <w:color w:val="000000" w:themeColor="text1"/>
        </w:rPr>
        <w:t xml:space="preserve">Distribution of PAM50 subtype scores by TNBC subtypes. PAM50 subtypes were predominantly Basal across TNBC subtypes, except for the LAR subtype, which showed the most non-Basal PAM50 subtyping.  </w:t>
      </w:r>
      <w:r w:rsidR="008819F4" w:rsidRPr="008B74F8">
        <w:rPr>
          <w:rFonts w:ascii="Arial" w:hAnsi="Arial" w:cs="Arial"/>
          <w:b/>
          <w:bCs/>
          <w:color w:val="000000" w:themeColor="text1"/>
        </w:rPr>
        <w:t xml:space="preserve">B. </w:t>
      </w:r>
      <w:r w:rsidR="008819F4" w:rsidRPr="008B74F8">
        <w:rPr>
          <w:rFonts w:ascii="Arial" w:hAnsi="Arial" w:cs="Arial"/>
          <w:color w:val="000000" w:themeColor="text1"/>
        </w:rPr>
        <w:t>Violin plot of</w:t>
      </w:r>
      <w:r w:rsidR="008819F4" w:rsidRPr="008B74F8">
        <w:rPr>
          <w:rFonts w:ascii="Arial" w:hAnsi="Arial" w:cs="Arial"/>
          <w:b/>
          <w:bCs/>
          <w:color w:val="000000" w:themeColor="text1"/>
        </w:rPr>
        <w:t xml:space="preserve"> </w:t>
      </w:r>
      <w:r w:rsidR="008819F4" w:rsidRPr="008B74F8">
        <w:rPr>
          <w:rFonts w:ascii="Arial" w:hAnsi="Arial" w:cs="Arial"/>
          <w:color w:val="000000" w:themeColor="text1"/>
        </w:rPr>
        <w:t xml:space="preserve">ESR1 expression as measured by TNBC subtype to evaluate if the LAR subtype heterogeneity in PAM50 subtype was potentially mediated by estrogen, given that tumors were included based on immunohistochemistry.  </w:t>
      </w:r>
    </w:p>
    <w:p w14:paraId="6267CBD1" w14:textId="77777777" w:rsidR="008819F4" w:rsidRPr="008B74F8" w:rsidRDefault="008819F4" w:rsidP="008819F4">
      <w:pPr>
        <w:spacing w:line="480" w:lineRule="auto"/>
        <w:rPr>
          <w:rFonts w:ascii="Arial" w:hAnsi="Arial" w:cs="Arial"/>
          <w:color w:val="000000" w:themeColor="text1"/>
        </w:rPr>
      </w:pPr>
    </w:p>
    <w:p w14:paraId="440065E1" w14:textId="77777777" w:rsidR="008819F4" w:rsidRDefault="008819F4">
      <w:pPr>
        <w:rPr>
          <w:rFonts w:ascii="Arial" w:hAnsi="Arial" w:cs="Arial"/>
          <w:b/>
          <w:bCs/>
          <w:color w:val="000000" w:themeColor="text1"/>
        </w:rPr>
      </w:pPr>
      <w:r>
        <w:rPr>
          <w:rFonts w:ascii="Arial" w:hAnsi="Arial" w:cs="Arial"/>
          <w:b/>
          <w:bCs/>
          <w:color w:val="000000" w:themeColor="text1"/>
        </w:rPr>
        <w:br w:type="page"/>
      </w:r>
    </w:p>
    <w:p w14:paraId="42D49A4B" w14:textId="69012695" w:rsidR="008819F4" w:rsidRDefault="008819F4" w:rsidP="008819F4">
      <w:pPr>
        <w:spacing w:line="480" w:lineRule="auto"/>
        <w:rPr>
          <w:rFonts w:ascii="Arial" w:hAnsi="Arial" w:cs="Arial"/>
          <w:b/>
          <w:bCs/>
          <w:color w:val="000000" w:themeColor="text1"/>
        </w:rPr>
        <w:sectPr w:rsidR="008819F4" w:rsidSect="008819F4">
          <w:headerReference w:type="default" r:id="rId9"/>
          <w:footerReference w:type="even" r:id="rId10"/>
          <w:footerReference w:type="default" r:id="rId11"/>
          <w:pgSz w:w="12240" w:h="15840"/>
          <w:pgMar w:top="1440" w:right="1440" w:bottom="1440" w:left="1440" w:header="720" w:footer="720" w:gutter="0"/>
          <w:cols w:space="720"/>
          <w:docGrid w:linePitch="360"/>
        </w:sectPr>
      </w:pPr>
      <w:r w:rsidRPr="008819F4">
        <w:rPr>
          <w:rFonts w:ascii="Arial" w:hAnsi="Arial" w:cs="Arial"/>
          <w:b/>
          <w:bCs/>
          <w:noProof/>
          <w:color w:val="000000" w:themeColor="text1"/>
        </w:rPr>
        <w:lastRenderedPageBreak/>
        <w:drawing>
          <wp:inline distT="0" distB="0" distL="0" distR="0" wp14:anchorId="33FAC062" wp14:editId="33865977">
            <wp:extent cx="5528930" cy="8763098"/>
            <wp:effectExtent l="0" t="0" r="0" b="0"/>
            <wp:docPr id="1498526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526781" name=""/>
                    <pic:cNvPicPr/>
                  </pic:nvPicPr>
                  <pic:blipFill rotWithShape="1">
                    <a:blip r:embed="rId12"/>
                    <a:srcRect l="31484" t="5043" r="22352" b="15619"/>
                    <a:stretch/>
                  </pic:blipFill>
                  <pic:spPr bwMode="auto">
                    <a:xfrm>
                      <a:off x="0" y="0"/>
                      <a:ext cx="5550594" cy="8797435"/>
                    </a:xfrm>
                    <a:prstGeom prst="rect">
                      <a:avLst/>
                    </a:prstGeom>
                    <a:ln>
                      <a:noFill/>
                    </a:ln>
                    <a:extLst>
                      <a:ext uri="{53640926-AAD7-44D8-BBD7-CCE9431645EC}">
                        <a14:shadowObscured xmlns:a14="http://schemas.microsoft.com/office/drawing/2010/main"/>
                      </a:ext>
                    </a:extLst>
                  </pic:spPr>
                </pic:pic>
              </a:graphicData>
            </a:graphic>
          </wp:inline>
        </w:drawing>
      </w:r>
      <w:r w:rsidR="00FF0C78">
        <w:rPr>
          <w:rFonts w:ascii="Arial" w:hAnsi="Arial" w:cs="Arial"/>
          <w:b/>
          <w:bCs/>
          <w:color w:val="000000" w:themeColor="text1"/>
        </w:rPr>
        <w:lastRenderedPageBreak/>
        <w:t>Supplementary Figure 4</w:t>
      </w:r>
      <w:r w:rsidRPr="008B74F8">
        <w:rPr>
          <w:rFonts w:ascii="Arial" w:hAnsi="Arial" w:cs="Arial"/>
          <w:b/>
          <w:bCs/>
          <w:color w:val="000000" w:themeColor="text1"/>
        </w:rPr>
        <w:t xml:space="preserve">: Phylogenetic clustering of ancestry proportions identifies two distinct populations. </w:t>
      </w:r>
      <w:r w:rsidRPr="008B74F8">
        <w:rPr>
          <w:rFonts w:ascii="Arial" w:hAnsi="Arial" w:cs="Arial"/>
          <w:color w:val="000000" w:themeColor="text1"/>
        </w:rPr>
        <w:t xml:space="preserve">Phylogenetic clustering of BEST cohort based on germline genotyping SNPs, used to classify patients as West African ancestry proportionally “High” (in red) vs. “Low” (in blue). Clustering bifurcation corresponded to an approximate cutoff threshold of 75% or above for “High.” </w:t>
      </w:r>
    </w:p>
    <w:p w14:paraId="6132931E" w14:textId="77777777" w:rsidR="008819F4" w:rsidRDefault="008819F4" w:rsidP="008819F4">
      <w:pPr>
        <w:rPr>
          <w:rFonts w:ascii="Arial" w:hAnsi="Arial" w:cs="Arial"/>
          <w:b/>
          <w:bCs/>
          <w:color w:val="000000" w:themeColor="text1"/>
        </w:rPr>
      </w:pPr>
      <w:r w:rsidRPr="008819F4">
        <w:rPr>
          <w:rFonts w:ascii="Arial" w:hAnsi="Arial" w:cs="Arial"/>
          <w:b/>
          <w:bCs/>
          <w:noProof/>
          <w:color w:val="000000" w:themeColor="text1"/>
        </w:rPr>
        <w:lastRenderedPageBreak/>
        <w:drawing>
          <wp:inline distT="0" distB="0" distL="0" distR="0" wp14:anchorId="589D5C66" wp14:editId="2CB13126">
            <wp:extent cx="8051622" cy="3806456"/>
            <wp:effectExtent l="0" t="0" r="635" b="3810"/>
            <wp:docPr id="17604532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453296" name=""/>
                    <pic:cNvPicPr/>
                  </pic:nvPicPr>
                  <pic:blipFill>
                    <a:blip r:embed="rId13"/>
                    <a:stretch>
                      <a:fillRect/>
                    </a:stretch>
                  </pic:blipFill>
                  <pic:spPr>
                    <a:xfrm>
                      <a:off x="0" y="0"/>
                      <a:ext cx="8075896" cy="3817932"/>
                    </a:xfrm>
                    <a:prstGeom prst="rect">
                      <a:avLst/>
                    </a:prstGeom>
                  </pic:spPr>
                </pic:pic>
              </a:graphicData>
            </a:graphic>
          </wp:inline>
        </w:drawing>
      </w:r>
    </w:p>
    <w:p w14:paraId="5AD34406" w14:textId="77777777" w:rsidR="008819F4" w:rsidRDefault="008819F4" w:rsidP="008819F4">
      <w:pPr>
        <w:rPr>
          <w:rFonts w:ascii="Arial" w:hAnsi="Arial" w:cs="Arial"/>
          <w:b/>
          <w:bCs/>
          <w:color w:val="000000" w:themeColor="text1"/>
        </w:rPr>
      </w:pPr>
    </w:p>
    <w:p w14:paraId="68FD4595" w14:textId="031BF035" w:rsidR="008819F4" w:rsidRPr="008819F4" w:rsidRDefault="00FF0C78" w:rsidP="008819F4">
      <w:pPr>
        <w:rPr>
          <w:rFonts w:ascii="Arial" w:hAnsi="Arial" w:cs="Arial"/>
          <w:color w:val="000000" w:themeColor="text1"/>
        </w:rPr>
      </w:pPr>
      <w:r>
        <w:rPr>
          <w:rFonts w:ascii="Arial" w:hAnsi="Arial" w:cs="Arial"/>
          <w:b/>
          <w:bCs/>
          <w:color w:val="000000" w:themeColor="text1"/>
        </w:rPr>
        <w:t>Supplementary Figure 5</w:t>
      </w:r>
      <w:r w:rsidR="008819F4" w:rsidRPr="008B74F8">
        <w:rPr>
          <w:rFonts w:ascii="Arial" w:hAnsi="Arial" w:cs="Arial"/>
          <w:b/>
          <w:bCs/>
          <w:color w:val="000000" w:themeColor="text1"/>
        </w:rPr>
        <w:t>: Identification of cell ecotypes and states</w:t>
      </w:r>
      <w:r w:rsidR="008819F4" w:rsidRPr="008B74F8">
        <w:rPr>
          <w:rFonts w:ascii="Arial" w:hAnsi="Arial" w:cs="Arial"/>
          <w:color w:val="000000" w:themeColor="text1"/>
        </w:rPr>
        <w:t xml:space="preserve"> Heatmap generated from </w:t>
      </w:r>
      <w:proofErr w:type="spellStart"/>
      <w:r w:rsidR="008819F4" w:rsidRPr="008B74F8">
        <w:rPr>
          <w:rFonts w:ascii="Arial" w:hAnsi="Arial" w:cs="Arial"/>
          <w:color w:val="000000" w:themeColor="text1"/>
        </w:rPr>
        <w:t>Ecotyper</w:t>
      </w:r>
      <w:proofErr w:type="spellEnd"/>
      <w:r w:rsidR="008819F4" w:rsidRPr="008B74F8">
        <w:rPr>
          <w:rFonts w:ascii="Arial" w:hAnsi="Arial" w:cs="Arial"/>
          <w:color w:val="000000" w:themeColor="text1"/>
        </w:rPr>
        <w:t xml:space="preserve">. Cell states (“States”) are defined in </w:t>
      </w:r>
      <w:proofErr w:type="spellStart"/>
      <w:r w:rsidR="008819F4" w:rsidRPr="008B74F8">
        <w:rPr>
          <w:rFonts w:ascii="Arial" w:hAnsi="Arial" w:cs="Arial"/>
          <w:color w:val="000000" w:themeColor="text1"/>
        </w:rPr>
        <w:t>Ecotyper</w:t>
      </w:r>
      <w:proofErr w:type="spellEnd"/>
      <w:r w:rsidR="008819F4" w:rsidRPr="008B74F8">
        <w:rPr>
          <w:rFonts w:ascii="Arial" w:hAnsi="Arial" w:cs="Arial"/>
          <w:color w:val="000000" w:themeColor="text1"/>
        </w:rPr>
        <w:t xml:space="preserve"> as “cell-type-specific transcriptional programs.” Cell ecotypes (“CEs”) are defined in </w:t>
      </w:r>
      <w:proofErr w:type="spellStart"/>
      <w:r w:rsidR="008819F4" w:rsidRPr="008B74F8">
        <w:rPr>
          <w:rFonts w:ascii="Arial" w:hAnsi="Arial" w:cs="Arial"/>
          <w:color w:val="000000" w:themeColor="text1"/>
        </w:rPr>
        <w:t>Ecotyper</w:t>
      </w:r>
      <w:proofErr w:type="spellEnd"/>
      <w:r w:rsidR="008819F4" w:rsidRPr="008B74F8">
        <w:rPr>
          <w:rFonts w:ascii="Arial" w:hAnsi="Arial" w:cs="Arial"/>
          <w:color w:val="000000" w:themeColor="text1"/>
        </w:rPr>
        <w:t xml:space="preserve"> as “multicellular communities.” The heat map shows the distribution of cell states, inferred types associated with each ecotype, and the ecotypes associated with each TNBC subtype. </w:t>
      </w:r>
    </w:p>
    <w:p w14:paraId="57635C6A" w14:textId="430D3213" w:rsidR="008819F4" w:rsidRDefault="008819F4">
      <w:pPr>
        <w:rPr>
          <w:rFonts w:ascii="Arial" w:hAnsi="Arial" w:cs="Arial"/>
          <w:color w:val="000000" w:themeColor="text1"/>
        </w:rPr>
      </w:pPr>
      <w:r>
        <w:rPr>
          <w:rFonts w:ascii="Arial" w:hAnsi="Arial" w:cs="Arial"/>
          <w:color w:val="000000" w:themeColor="text1"/>
        </w:rPr>
        <w:br w:type="page"/>
      </w:r>
    </w:p>
    <w:p w14:paraId="6C46D073" w14:textId="77777777" w:rsidR="008819F4" w:rsidRDefault="008819F4" w:rsidP="008819F4">
      <w:pPr>
        <w:spacing w:line="480" w:lineRule="auto"/>
        <w:rPr>
          <w:rFonts w:ascii="Arial" w:hAnsi="Arial" w:cs="Arial"/>
          <w:color w:val="000000" w:themeColor="text1"/>
        </w:rPr>
      </w:pPr>
    </w:p>
    <w:p w14:paraId="3F512023" w14:textId="6025584B" w:rsidR="008819F4" w:rsidRPr="008B74F8" w:rsidRDefault="006541D9" w:rsidP="008819F4">
      <w:pPr>
        <w:spacing w:line="480" w:lineRule="auto"/>
        <w:rPr>
          <w:rFonts w:ascii="Arial" w:hAnsi="Arial" w:cs="Arial"/>
          <w:color w:val="000000" w:themeColor="text1"/>
        </w:rPr>
      </w:pPr>
      <w:r w:rsidRPr="006541D9">
        <w:rPr>
          <w:rFonts w:ascii="Arial" w:hAnsi="Arial" w:cs="Arial"/>
          <w:noProof/>
          <w:color w:val="000000" w:themeColor="text1"/>
        </w:rPr>
        <w:drawing>
          <wp:inline distT="0" distB="0" distL="0" distR="0" wp14:anchorId="38DC39FC" wp14:editId="0BB1E09F">
            <wp:extent cx="8229600" cy="3840480"/>
            <wp:effectExtent l="0" t="0" r="0" b="0"/>
            <wp:docPr id="485236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236485" name=""/>
                    <pic:cNvPicPr/>
                  </pic:nvPicPr>
                  <pic:blipFill>
                    <a:blip r:embed="rId14"/>
                    <a:stretch>
                      <a:fillRect/>
                    </a:stretch>
                  </pic:blipFill>
                  <pic:spPr>
                    <a:xfrm>
                      <a:off x="0" y="0"/>
                      <a:ext cx="8229600" cy="3840480"/>
                    </a:xfrm>
                    <a:prstGeom prst="rect">
                      <a:avLst/>
                    </a:prstGeom>
                  </pic:spPr>
                </pic:pic>
              </a:graphicData>
            </a:graphic>
          </wp:inline>
        </w:drawing>
      </w:r>
    </w:p>
    <w:p w14:paraId="3B68F716" w14:textId="77777777" w:rsidR="008819F4" w:rsidRDefault="008819F4" w:rsidP="008819F4">
      <w:pPr>
        <w:rPr>
          <w:rFonts w:ascii="Arial" w:hAnsi="Arial" w:cs="Arial"/>
          <w:b/>
          <w:bCs/>
          <w:color w:val="000000" w:themeColor="text1"/>
        </w:rPr>
      </w:pPr>
    </w:p>
    <w:p w14:paraId="555EA49F" w14:textId="337CC193" w:rsidR="00294CD9" w:rsidRDefault="00FF0C78">
      <w:pPr>
        <w:rPr>
          <w:rFonts w:ascii="Arial" w:hAnsi="Arial" w:cs="Arial"/>
          <w:color w:val="000000" w:themeColor="text1"/>
        </w:rPr>
      </w:pPr>
      <w:r>
        <w:rPr>
          <w:rFonts w:ascii="Arial" w:hAnsi="Arial" w:cs="Arial"/>
          <w:b/>
          <w:bCs/>
          <w:color w:val="000000" w:themeColor="text1"/>
        </w:rPr>
        <w:t>Supplementary Figure 6</w:t>
      </w:r>
      <w:r w:rsidR="008819F4" w:rsidRPr="008B74F8">
        <w:rPr>
          <w:rFonts w:ascii="Arial" w:hAnsi="Arial" w:cs="Arial"/>
          <w:b/>
          <w:bCs/>
          <w:color w:val="000000" w:themeColor="text1"/>
        </w:rPr>
        <w:t>: Partial effects plots for survival analysis.</w:t>
      </w:r>
      <w:r w:rsidR="008819F4" w:rsidRPr="008B74F8">
        <w:rPr>
          <w:rFonts w:ascii="Arial" w:hAnsi="Arial" w:cs="Arial"/>
          <w:color w:val="000000" w:themeColor="text1"/>
        </w:rPr>
        <w:t xml:space="preserve"> Partial effects plots that demonstrate extent to which individual regression terms contribute to the survival outcome</w:t>
      </w:r>
      <w:r w:rsidR="006541D9">
        <w:rPr>
          <w:rFonts w:ascii="Arial" w:hAnsi="Arial" w:cs="Arial"/>
          <w:color w:val="000000" w:themeColor="text1"/>
        </w:rPr>
        <w:t xml:space="preserve"> in the final model</w:t>
      </w:r>
      <w:r w:rsidR="008819F4" w:rsidRPr="008B74F8">
        <w:rPr>
          <w:rFonts w:ascii="Arial" w:hAnsi="Arial" w:cs="Arial"/>
          <w:color w:val="000000" w:themeColor="text1"/>
        </w:rPr>
        <w:t>. Partial effects plots display variable (x-axis) and partial residuals (y-axis) for (A) TNBC subtype</w:t>
      </w:r>
      <w:r w:rsidR="006541D9">
        <w:rPr>
          <w:rFonts w:ascii="Arial" w:hAnsi="Arial" w:cs="Arial"/>
          <w:color w:val="000000" w:themeColor="text1"/>
        </w:rPr>
        <w:t xml:space="preserve"> and (B) disease stage</w:t>
      </w:r>
      <w:r w:rsidR="008819F4" w:rsidRPr="008B74F8">
        <w:rPr>
          <w:rFonts w:ascii="Arial" w:hAnsi="Arial" w:cs="Arial"/>
          <w:color w:val="000000" w:themeColor="text1"/>
        </w:rPr>
        <w:t xml:space="preserve">. Variables set at 0 were used as the baseline for the model. Purple dots represent individual residual points. </w:t>
      </w:r>
      <w:r w:rsidR="006541D9">
        <w:rPr>
          <w:rFonts w:ascii="Arial" w:hAnsi="Arial" w:cs="Arial"/>
          <w:color w:val="000000" w:themeColor="text1"/>
        </w:rPr>
        <w:t>T</w:t>
      </w:r>
      <w:r w:rsidR="008819F4" w:rsidRPr="008B74F8">
        <w:rPr>
          <w:rFonts w:ascii="Arial" w:hAnsi="Arial" w:cs="Arial"/>
          <w:color w:val="000000" w:themeColor="text1"/>
        </w:rPr>
        <w:t>hese plots are in lieu of Kaplan-Meier curves.</w:t>
      </w:r>
    </w:p>
    <w:p w14:paraId="3BA102CD" w14:textId="77777777" w:rsidR="00BA1D45" w:rsidRDefault="00BA1D45">
      <w:pPr>
        <w:rPr>
          <w:rFonts w:ascii="Arial" w:hAnsi="Arial" w:cs="Arial"/>
          <w:color w:val="000000" w:themeColor="text1"/>
        </w:rPr>
      </w:pPr>
    </w:p>
    <w:p w14:paraId="216614C0" w14:textId="77777777" w:rsidR="00BA1D45" w:rsidRDefault="00BA1D45">
      <w:pPr>
        <w:rPr>
          <w:rFonts w:ascii="Arial" w:hAnsi="Arial" w:cs="Arial"/>
          <w:color w:val="000000" w:themeColor="text1"/>
        </w:rPr>
      </w:pPr>
    </w:p>
    <w:p w14:paraId="27337BA3" w14:textId="77777777" w:rsidR="00BA1D45" w:rsidRDefault="00BA1D45">
      <w:pPr>
        <w:rPr>
          <w:rFonts w:ascii="Arial" w:hAnsi="Arial" w:cs="Arial"/>
          <w:color w:val="000000" w:themeColor="text1"/>
        </w:rPr>
      </w:pPr>
    </w:p>
    <w:p w14:paraId="09829373" w14:textId="77777777" w:rsidR="0078429F" w:rsidRDefault="0078429F">
      <w:pPr>
        <w:rPr>
          <w:rFonts w:ascii="Arial" w:hAnsi="Arial" w:cs="Arial"/>
          <w:b/>
          <w:bCs/>
          <w:color w:val="000000" w:themeColor="text1"/>
        </w:rPr>
        <w:sectPr w:rsidR="0078429F" w:rsidSect="008819F4">
          <w:pgSz w:w="15840" w:h="12240" w:orient="landscape"/>
          <w:pgMar w:top="1440" w:right="1440" w:bottom="1440" w:left="1440" w:header="720" w:footer="720" w:gutter="0"/>
          <w:cols w:space="720"/>
          <w:docGrid w:linePitch="360"/>
        </w:sectPr>
      </w:pPr>
    </w:p>
    <w:p w14:paraId="6304F4E5" w14:textId="37E4D472" w:rsidR="00BA1D45" w:rsidRDefault="0078429F" w:rsidP="0078429F">
      <w:pPr>
        <w:rPr>
          <w:rFonts w:ascii="Arial" w:hAnsi="Arial" w:cs="Arial"/>
          <w:b/>
          <w:bCs/>
          <w:color w:val="000000" w:themeColor="text1"/>
        </w:rPr>
      </w:pPr>
      <w:r>
        <w:rPr>
          <w:rFonts w:ascii="Arial" w:hAnsi="Arial" w:cs="Arial"/>
          <w:b/>
          <w:bCs/>
          <w:color w:val="000000" w:themeColor="text1"/>
        </w:rPr>
        <w:lastRenderedPageBreak/>
        <w:t xml:space="preserve">Supplementary </w:t>
      </w:r>
      <w:r w:rsidR="00D54250">
        <w:rPr>
          <w:rFonts w:ascii="Arial" w:hAnsi="Arial" w:cs="Arial"/>
          <w:b/>
          <w:bCs/>
          <w:color w:val="000000" w:themeColor="text1"/>
        </w:rPr>
        <w:t>Data</w:t>
      </w:r>
    </w:p>
    <w:p w14:paraId="050D53A3" w14:textId="77777777" w:rsidR="0078429F" w:rsidRDefault="0078429F" w:rsidP="0078429F">
      <w:pPr>
        <w:rPr>
          <w:rFonts w:ascii="Arial" w:hAnsi="Arial" w:cs="Arial"/>
          <w:b/>
          <w:bCs/>
          <w:color w:val="000000" w:themeColor="text1"/>
        </w:rPr>
      </w:pPr>
    </w:p>
    <w:p w14:paraId="1C9134ED" w14:textId="3F3A8034" w:rsidR="0078429F" w:rsidRDefault="00D54250" w:rsidP="0078429F">
      <w:pPr>
        <w:rPr>
          <w:rFonts w:ascii="Arial" w:hAnsi="Arial" w:cs="Arial"/>
          <w:color w:val="000000" w:themeColor="text1"/>
        </w:rPr>
      </w:pPr>
      <w:r>
        <w:rPr>
          <w:rFonts w:ascii="Arial" w:hAnsi="Arial" w:cs="Arial"/>
          <w:b/>
          <w:bCs/>
          <w:color w:val="000000" w:themeColor="text1"/>
        </w:rPr>
        <w:t>Supplementary Data 1</w:t>
      </w:r>
      <w:r w:rsidR="005D6FD8" w:rsidRPr="005D6FD8">
        <w:rPr>
          <w:rFonts w:ascii="Arial" w:hAnsi="Arial" w:cs="Arial"/>
          <w:b/>
          <w:bCs/>
          <w:color w:val="000000" w:themeColor="text1"/>
        </w:rPr>
        <w:t>: Individual-Level Data of Analyzed BEST Cohort Participants</w:t>
      </w:r>
      <w:r w:rsidR="0078429F" w:rsidRPr="008B74F8">
        <w:rPr>
          <w:rFonts w:ascii="Arial" w:hAnsi="Arial" w:cs="Arial"/>
          <w:b/>
          <w:bCs/>
          <w:color w:val="000000" w:themeColor="text1"/>
        </w:rPr>
        <w:t>.</w:t>
      </w:r>
      <w:r w:rsidR="0078429F" w:rsidRPr="008B74F8">
        <w:rPr>
          <w:rFonts w:ascii="Arial" w:hAnsi="Arial" w:cs="Arial"/>
          <w:color w:val="000000" w:themeColor="text1"/>
        </w:rPr>
        <w:t xml:space="preserve"> </w:t>
      </w:r>
      <w:r w:rsidR="00B846DE">
        <w:rPr>
          <w:rFonts w:ascii="Arial" w:hAnsi="Arial" w:cs="Arial"/>
          <w:color w:val="000000" w:themeColor="text1"/>
        </w:rPr>
        <w:t>Clinical and translational data described in the study per participant.</w:t>
      </w:r>
    </w:p>
    <w:p w14:paraId="44CD7941" w14:textId="77777777" w:rsidR="0078429F" w:rsidRDefault="0078429F" w:rsidP="0078429F">
      <w:pPr>
        <w:rPr>
          <w:rFonts w:ascii="Arial" w:hAnsi="Arial" w:cs="Arial"/>
          <w:color w:val="000000" w:themeColor="text1"/>
        </w:rPr>
      </w:pPr>
    </w:p>
    <w:p w14:paraId="4C7CE344" w14:textId="2A719B82" w:rsidR="0078429F" w:rsidRDefault="00D54250" w:rsidP="0078429F">
      <w:pPr>
        <w:rPr>
          <w:rFonts w:ascii="Arial" w:hAnsi="Arial" w:cs="Arial"/>
          <w:color w:val="000000" w:themeColor="text1"/>
        </w:rPr>
      </w:pPr>
      <w:r>
        <w:rPr>
          <w:rFonts w:ascii="Arial" w:hAnsi="Arial" w:cs="Arial"/>
          <w:b/>
          <w:bCs/>
          <w:color w:val="000000" w:themeColor="text1"/>
        </w:rPr>
        <w:t xml:space="preserve">Supplementary Data </w:t>
      </w:r>
      <w:r>
        <w:rPr>
          <w:rFonts w:ascii="Arial" w:hAnsi="Arial" w:cs="Arial"/>
          <w:b/>
          <w:bCs/>
          <w:color w:val="000000" w:themeColor="text1"/>
        </w:rPr>
        <w:t>2</w:t>
      </w:r>
      <w:r w:rsidR="00DB1C0D" w:rsidRPr="00DB1C0D">
        <w:rPr>
          <w:rFonts w:ascii="Arial" w:hAnsi="Arial" w:cs="Arial"/>
          <w:b/>
          <w:bCs/>
          <w:color w:val="000000" w:themeColor="text1"/>
        </w:rPr>
        <w:t>: TNBC subtype scores and assignments after batch correction</w:t>
      </w:r>
      <w:r w:rsidR="0078429F" w:rsidRPr="008B74F8">
        <w:rPr>
          <w:rFonts w:ascii="Arial" w:hAnsi="Arial" w:cs="Arial"/>
          <w:b/>
          <w:bCs/>
          <w:color w:val="000000" w:themeColor="text1"/>
        </w:rPr>
        <w:t>.</w:t>
      </w:r>
      <w:r w:rsidR="0078429F" w:rsidRPr="008B74F8">
        <w:rPr>
          <w:rFonts w:ascii="Arial" w:hAnsi="Arial" w:cs="Arial"/>
          <w:color w:val="000000" w:themeColor="text1"/>
        </w:rPr>
        <w:t xml:space="preserve"> </w:t>
      </w:r>
      <w:r w:rsidR="00DB1C0D">
        <w:rPr>
          <w:rFonts w:ascii="Arial" w:hAnsi="Arial" w:cs="Arial"/>
          <w:color w:val="000000" w:themeColor="text1"/>
        </w:rPr>
        <w:t>TNBC subtypes reported per participant</w:t>
      </w:r>
      <w:r w:rsidR="00E656B0">
        <w:rPr>
          <w:rFonts w:ascii="Arial" w:hAnsi="Arial" w:cs="Arial"/>
          <w:color w:val="000000" w:themeColor="text1"/>
        </w:rPr>
        <w:t xml:space="preserve"> with calculations. </w:t>
      </w:r>
    </w:p>
    <w:p w14:paraId="3E805DDB" w14:textId="77777777" w:rsidR="0078429F" w:rsidRDefault="0078429F" w:rsidP="0078429F">
      <w:pPr>
        <w:rPr>
          <w:rFonts w:ascii="Arial" w:hAnsi="Arial" w:cs="Arial"/>
          <w:color w:val="000000" w:themeColor="text1"/>
        </w:rPr>
      </w:pPr>
    </w:p>
    <w:p w14:paraId="64C51751" w14:textId="4ED3A94C" w:rsidR="0078429F" w:rsidRDefault="00D54250" w:rsidP="0078429F">
      <w:pPr>
        <w:rPr>
          <w:rFonts w:ascii="Arial" w:hAnsi="Arial" w:cs="Arial"/>
          <w:color w:val="000000" w:themeColor="text1"/>
        </w:rPr>
      </w:pPr>
      <w:r>
        <w:rPr>
          <w:rFonts w:ascii="Arial" w:hAnsi="Arial" w:cs="Arial"/>
          <w:b/>
          <w:bCs/>
          <w:color w:val="000000" w:themeColor="text1"/>
        </w:rPr>
        <w:t xml:space="preserve">Supplementary Data </w:t>
      </w:r>
      <w:r>
        <w:rPr>
          <w:rFonts w:ascii="Arial" w:hAnsi="Arial" w:cs="Arial"/>
          <w:b/>
          <w:bCs/>
          <w:color w:val="000000" w:themeColor="text1"/>
        </w:rPr>
        <w:t>3</w:t>
      </w:r>
      <w:r w:rsidR="00AC4E1F" w:rsidRPr="00AC4E1F">
        <w:rPr>
          <w:rFonts w:ascii="Arial" w:hAnsi="Arial" w:cs="Arial"/>
          <w:b/>
          <w:bCs/>
          <w:color w:val="000000" w:themeColor="text1"/>
        </w:rPr>
        <w:t>: Manual immune scoring of participant tumors</w:t>
      </w:r>
      <w:r w:rsidR="0078429F" w:rsidRPr="008B74F8">
        <w:rPr>
          <w:rFonts w:ascii="Arial" w:hAnsi="Arial" w:cs="Arial"/>
          <w:b/>
          <w:bCs/>
          <w:color w:val="000000" w:themeColor="text1"/>
        </w:rPr>
        <w:t>.</w:t>
      </w:r>
      <w:r w:rsidR="0078429F" w:rsidRPr="008B74F8">
        <w:rPr>
          <w:rFonts w:ascii="Arial" w:hAnsi="Arial" w:cs="Arial"/>
          <w:color w:val="000000" w:themeColor="text1"/>
        </w:rPr>
        <w:t xml:space="preserve"> </w:t>
      </w:r>
      <w:r w:rsidR="002F23C5">
        <w:rPr>
          <w:rFonts w:ascii="Arial" w:hAnsi="Arial" w:cs="Arial"/>
          <w:color w:val="000000" w:themeColor="text1"/>
        </w:rPr>
        <w:t>% stromal tumor infiltrating lymphocytes (TILs) from 0</w:t>
      </w:r>
      <w:r w:rsidR="00683F60">
        <w:rPr>
          <w:rFonts w:ascii="Arial" w:hAnsi="Arial" w:cs="Arial"/>
          <w:color w:val="000000" w:themeColor="text1"/>
        </w:rPr>
        <w:t xml:space="preserve"> (&lt;1%) to </w:t>
      </w:r>
      <w:r w:rsidR="002F23C5">
        <w:rPr>
          <w:rFonts w:ascii="Arial" w:hAnsi="Arial" w:cs="Arial"/>
          <w:color w:val="000000" w:themeColor="text1"/>
        </w:rPr>
        <w:t>4</w:t>
      </w:r>
      <w:r w:rsidR="00683F60">
        <w:rPr>
          <w:rFonts w:ascii="Arial" w:hAnsi="Arial" w:cs="Arial"/>
          <w:color w:val="000000" w:themeColor="text1"/>
        </w:rPr>
        <w:t xml:space="preserve"> (&gt;50%)</w:t>
      </w:r>
      <w:r w:rsidR="002F23C5">
        <w:rPr>
          <w:rFonts w:ascii="Arial" w:hAnsi="Arial" w:cs="Arial"/>
          <w:color w:val="000000" w:themeColor="text1"/>
        </w:rPr>
        <w:t xml:space="preserve"> and tumor immune microenvironment (TME) classifications from 1</w:t>
      </w:r>
      <w:r w:rsidR="008F0577">
        <w:rPr>
          <w:rFonts w:ascii="Arial" w:hAnsi="Arial" w:cs="Arial"/>
          <w:color w:val="000000" w:themeColor="text1"/>
        </w:rPr>
        <w:t xml:space="preserve"> (immune desert) to 4 (fully inflamed). Scoring performed as per </w:t>
      </w:r>
      <w:proofErr w:type="spellStart"/>
      <w:r w:rsidR="008F0577">
        <w:rPr>
          <w:rFonts w:ascii="Arial" w:hAnsi="Arial" w:cs="Arial"/>
          <w:color w:val="000000" w:themeColor="text1"/>
        </w:rPr>
        <w:t>Grousso</w:t>
      </w:r>
      <w:proofErr w:type="spellEnd"/>
      <w:r w:rsidR="008F0577">
        <w:rPr>
          <w:rFonts w:ascii="Arial" w:hAnsi="Arial" w:cs="Arial"/>
          <w:color w:val="000000" w:themeColor="text1"/>
        </w:rPr>
        <w:t xml:space="preserve"> et al</w:t>
      </w:r>
      <w:r w:rsidR="00E53A1C">
        <w:rPr>
          <w:rFonts w:ascii="Arial" w:hAnsi="Arial" w:cs="Arial"/>
          <w:color w:val="000000" w:themeColor="text1"/>
        </w:rPr>
        <w:t xml:space="preserve"> (51). </w:t>
      </w:r>
    </w:p>
    <w:p w14:paraId="76FF25FF" w14:textId="77777777" w:rsidR="0078429F" w:rsidRDefault="0078429F" w:rsidP="0078429F">
      <w:pPr>
        <w:rPr>
          <w:rFonts w:ascii="Arial" w:hAnsi="Arial" w:cs="Arial"/>
          <w:color w:val="000000" w:themeColor="text1"/>
        </w:rPr>
      </w:pPr>
    </w:p>
    <w:p w14:paraId="3291C076" w14:textId="77777777" w:rsidR="0078429F" w:rsidRPr="008819F4" w:rsidRDefault="0078429F" w:rsidP="0078429F">
      <w:pPr>
        <w:rPr>
          <w:rFonts w:ascii="Arial" w:hAnsi="Arial" w:cs="Arial"/>
          <w:b/>
          <w:bCs/>
          <w:color w:val="000000" w:themeColor="text1"/>
        </w:rPr>
      </w:pPr>
    </w:p>
    <w:sectPr w:rsidR="0078429F" w:rsidRPr="008819F4" w:rsidSect="0078429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B358BA" w14:textId="77777777" w:rsidR="006541D9" w:rsidRDefault="006541D9">
      <w:r>
        <w:separator/>
      </w:r>
    </w:p>
  </w:endnote>
  <w:endnote w:type="continuationSeparator" w:id="0">
    <w:p w14:paraId="366794DD" w14:textId="77777777" w:rsidR="006541D9" w:rsidRDefault="00654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45823312"/>
      <w:docPartObj>
        <w:docPartGallery w:val="Page Numbers (Bottom of Page)"/>
        <w:docPartUnique/>
      </w:docPartObj>
    </w:sdtPr>
    <w:sdtEndPr>
      <w:rPr>
        <w:rStyle w:val="PageNumber"/>
      </w:rPr>
    </w:sdtEndPr>
    <w:sdtContent>
      <w:p w14:paraId="4640839B" w14:textId="77777777" w:rsidR="008819F4" w:rsidRDefault="008819F4" w:rsidP="003E621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05BD82" w14:textId="77777777" w:rsidR="008819F4" w:rsidRDefault="008819F4" w:rsidP="00DF77A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035411196"/>
      <w:docPartObj>
        <w:docPartGallery w:val="Page Numbers (Bottom of Page)"/>
        <w:docPartUnique/>
      </w:docPartObj>
    </w:sdtPr>
    <w:sdtEndPr>
      <w:rPr>
        <w:rStyle w:val="PageNumber"/>
        <w:sz w:val="20"/>
        <w:szCs w:val="20"/>
      </w:rPr>
    </w:sdtEndPr>
    <w:sdtContent>
      <w:p w14:paraId="566052EC" w14:textId="77777777" w:rsidR="008819F4" w:rsidRDefault="008819F4" w:rsidP="003E621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tbl>
    <w:tblPr>
      <w:tblW w:w="0" w:type="auto"/>
      <w:tblLayout w:type="fixed"/>
      <w:tblLook w:val="06A0" w:firstRow="1" w:lastRow="0" w:firstColumn="1" w:lastColumn="0" w:noHBand="1" w:noVBand="1"/>
    </w:tblPr>
    <w:tblGrid>
      <w:gridCol w:w="3120"/>
      <w:gridCol w:w="3120"/>
      <w:gridCol w:w="3120"/>
    </w:tblGrid>
    <w:tr w:rsidR="00E34490" w14:paraId="590984CC" w14:textId="77777777" w:rsidTr="41B76E64">
      <w:trPr>
        <w:trHeight w:val="300"/>
      </w:trPr>
      <w:tc>
        <w:tcPr>
          <w:tcW w:w="3120" w:type="dxa"/>
        </w:tcPr>
        <w:p w14:paraId="485A0505" w14:textId="77777777" w:rsidR="008819F4" w:rsidRDefault="008819F4" w:rsidP="00DF77AC">
          <w:pPr>
            <w:pStyle w:val="Header"/>
            <w:ind w:left="-115" w:right="360"/>
          </w:pPr>
        </w:p>
      </w:tc>
      <w:tc>
        <w:tcPr>
          <w:tcW w:w="3120" w:type="dxa"/>
        </w:tcPr>
        <w:p w14:paraId="407F7020" w14:textId="77777777" w:rsidR="008819F4" w:rsidRDefault="008819F4" w:rsidP="41B76E64">
          <w:pPr>
            <w:pStyle w:val="Header"/>
            <w:jc w:val="center"/>
          </w:pPr>
        </w:p>
      </w:tc>
      <w:tc>
        <w:tcPr>
          <w:tcW w:w="3120" w:type="dxa"/>
        </w:tcPr>
        <w:p w14:paraId="73FD5742" w14:textId="77777777" w:rsidR="008819F4" w:rsidRDefault="008819F4" w:rsidP="41B76E64">
          <w:pPr>
            <w:pStyle w:val="Header"/>
            <w:ind w:right="-115"/>
            <w:jc w:val="right"/>
          </w:pPr>
        </w:p>
      </w:tc>
    </w:tr>
  </w:tbl>
  <w:p w14:paraId="5D386FD5" w14:textId="77777777" w:rsidR="008819F4" w:rsidRDefault="008819F4" w:rsidP="41B76E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4EBAFB" w14:textId="77777777" w:rsidR="006541D9" w:rsidRDefault="006541D9">
      <w:r>
        <w:separator/>
      </w:r>
    </w:p>
  </w:footnote>
  <w:footnote w:type="continuationSeparator" w:id="0">
    <w:p w14:paraId="36E9A9C4" w14:textId="77777777" w:rsidR="006541D9" w:rsidRDefault="006541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00E34490" w14:paraId="26980BBD" w14:textId="77777777" w:rsidTr="41B76E64">
      <w:trPr>
        <w:trHeight w:val="300"/>
      </w:trPr>
      <w:tc>
        <w:tcPr>
          <w:tcW w:w="3120" w:type="dxa"/>
        </w:tcPr>
        <w:p w14:paraId="6FA52F4D" w14:textId="77777777" w:rsidR="008819F4" w:rsidRDefault="008819F4" w:rsidP="41B76E64">
          <w:pPr>
            <w:pStyle w:val="Header"/>
            <w:ind w:left="-115"/>
          </w:pPr>
        </w:p>
      </w:tc>
      <w:tc>
        <w:tcPr>
          <w:tcW w:w="3120" w:type="dxa"/>
        </w:tcPr>
        <w:p w14:paraId="2F14A186" w14:textId="77777777" w:rsidR="008819F4" w:rsidRDefault="008819F4" w:rsidP="41B76E64">
          <w:pPr>
            <w:pStyle w:val="Header"/>
            <w:jc w:val="center"/>
          </w:pPr>
        </w:p>
      </w:tc>
      <w:tc>
        <w:tcPr>
          <w:tcW w:w="3120" w:type="dxa"/>
        </w:tcPr>
        <w:p w14:paraId="45855198" w14:textId="77777777" w:rsidR="008819F4" w:rsidRDefault="008819F4" w:rsidP="41B76E64">
          <w:pPr>
            <w:pStyle w:val="Header"/>
            <w:ind w:right="-115"/>
            <w:jc w:val="right"/>
          </w:pPr>
        </w:p>
      </w:tc>
    </w:tr>
  </w:tbl>
  <w:p w14:paraId="32070B22" w14:textId="77777777" w:rsidR="008819F4" w:rsidRDefault="008819F4" w:rsidP="41B76E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9F4"/>
    <w:rsid w:val="00001625"/>
    <w:rsid w:val="00005791"/>
    <w:rsid w:val="00007860"/>
    <w:rsid w:val="00010799"/>
    <w:rsid w:val="00012A96"/>
    <w:rsid w:val="00012F2A"/>
    <w:rsid w:val="00015781"/>
    <w:rsid w:val="00015F06"/>
    <w:rsid w:val="00016E7A"/>
    <w:rsid w:val="0002138C"/>
    <w:rsid w:val="000225E6"/>
    <w:rsid w:val="00023565"/>
    <w:rsid w:val="000249A9"/>
    <w:rsid w:val="00030314"/>
    <w:rsid w:val="00040C8A"/>
    <w:rsid w:val="000419C6"/>
    <w:rsid w:val="0004514F"/>
    <w:rsid w:val="000507DF"/>
    <w:rsid w:val="00054ACE"/>
    <w:rsid w:val="00061061"/>
    <w:rsid w:val="0006134A"/>
    <w:rsid w:val="000630DE"/>
    <w:rsid w:val="00063BB6"/>
    <w:rsid w:val="00074359"/>
    <w:rsid w:val="00082B63"/>
    <w:rsid w:val="000830E1"/>
    <w:rsid w:val="00085F8F"/>
    <w:rsid w:val="000866A0"/>
    <w:rsid w:val="00094E4A"/>
    <w:rsid w:val="000A034F"/>
    <w:rsid w:val="000B5843"/>
    <w:rsid w:val="000B7365"/>
    <w:rsid w:val="000D2C15"/>
    <w:rsid w:val="000E2F41"/>
    <w:rsid w:val="000E68D8"/>
    <w:rsid w:val="000E711F"/>
    <w:rsid w:val="000F0B7D"/>
    <w:rsid w:val="00101689"/>
    <w:rsid w:val="00111E7E"/>
    <w:rsid w:val="00117740"/>
    <w:rsid w:val="00124A35"/>
    <w:rsid w:val="00126E11"/>
    <w:rsid w:val="00126FF5"/>
    <w:rsid w:val="001404D4"/>
    <w:rsid w:val="00144A43"/>
    <w:rsid w:val="00165447"/>
    <w:rsid w:val="00180698"/>
    <w:rsid w:val="00182147"/>
    <w:rsid w:val="00194731"/>
    <w:rsid w:val="001969F2"/>
    <w:rsid w:val="001A1BBD"/>
    <w:rsid w:val="001A1DAB"/>
    <w:rsid w:val="001A2768"/>
    <w:rsid w:val="001A5AE4"/>
    <w:rsid w:val="001A69AD"/>
    <w:rsid w:val="001B175A"/>
    <w:rsid w:val="001C2CC9"/>
    <w:rsid w:val="001C4A5E"/>
    <w:rsid w:val="001D0E95"/>
    <w:rsid w:val="001D1B54"/>
    <w:rsid w:val="001E0578"/>
    <w:rsid w:val="001E1DD7"/>
    <w:rsid w:val="001E3D79"/>
    <w:rsid w:val="001E52B8"/>
    <w:rsid w:val="001E619F"/>
    <w:rsid w:val="001F18AB"/>
    <w:rsid w:val="001F1D17"/>
    <w:rsid w:val="001F50E9"/>
    <w:rsid w:val="00201818"/>
    <w:rsid w:val="00212D0C"/>
    <w:rsid w:val="002136DA"/>
    <w:rsid w:val="00215D11"/>
    <w:rsid w:val="00224289"/>
    <w:rsid w:val="00233D2E"/>
    <w:rsid w:val="00235182"/>
    <w:rsid w:val="00243B2D"/>
    <w:rsid w:val="00250142"/>
    <w:rsid w:val="00251C31"/>
    <w:rsid w:val="00252BE0"/>
    <w:rsid w:val="00257815"/>
    <w:rsid w:val="00257FA1"/>
    <w:rsid w:val="00273906"/>
    <w:rsid w:val="00276113"/>
    <w:rsid w:val="00276B4C"/>
    <w:rsid w:val="00280D0F"/>
    <w:rsid w:val="00281128"/>
    <w:rsid w:val="00294CD9"/>
    <w:rsid w:val="0029539E"/>
    <w:rsid w:val="002A29DF"/>
    <w:rsid w:val="002A5E2A"/>
    <w:rsid w:val="002B281F"/>
    <w:rsid w:val="002B4E16"/>
    <w:rsid w:val="002B4E35"/>
    <w:rsid w:val="002B4F6D"/>
    <w:rsid w:val="002B5A45"/>
    <w:rsid w:val="002C091A"/>
    <w:rsid w:val="002C6928"/>
    <w:rsid w:val="002D7B9E"/>
    <w:rsid w:val="002F17CD"/>
    <w:rsid w:val="002F23C5"/>
    <w:rsid w:val="002F417E"/>
    <w:rsid w:val="002F5179"/>
    <w:rsid w:val="002F6633"/>
    <w:rsid w:val="00303BB2"/>
    <w:rsid w:val="00311925"/>
    <w:rsid w:val="00313D32"/>
    <w:rsid w:val="00324BF3"/>
    <w:rsid w:val="003278AC"/>
    <w:rsid w:val="00337035"/>
    <w:rsid w:val="003572F6"/>
    <w:rsid w:val="00363769"/>
    <w:rsid w:val="0036501D"/>
    <w:rsid w:val="00365358"/>
    <w:rsid w:val="0037050F"/>
    <w:rsid w:val="00380520"/>
    <w:rsid w:val="003813B8"/>
    <w:rsid w:val="00384313"/>
    <w:rsid w:val="003868C9"/>
    <w:rsid w:val="00395BA4"/>
    <w:rsid w:val="003A0E25"/>
    <w:rsid w:val="003A0FBC"/>
    <w:rsid w:val="003A238B"/>
    <w:rsid w:val="003A7C13"/>
    <w:rsid w:val="003B2474"/>
    <w:rsid w:val="003B248A"/>
    <w:rsid w:val="003B69B7"/>
    <w:rsid w:val="003B753A"/>
    <w:rsid w:val="003C0259"/>
    <w:rsid w:val="003C7F28"/>
    <w:rsid w:val="003D076A"/>
    <w:rsid w:val="003D0A54"/>
    <w:rsid w:val="003D2A12"/>
    <w:rsid w:val="003D2A2D"/>
    <w:rsid w:val="003D3454"/>
    <w:rsid w:val="003D5742"/>
    <w:rsid w:val="003E5FEF"/>
    <w:rsid w:val="003E6307"/>
    <w:rsid w:val="003F138F"/>
    <w:rsid w:val="003F220C"/>
    <w:rsid w:val="00401153"/>
    <w:rsid w:val="00401D65"/>
    <w:rsid w:val="0040384C"/>
    <w:rsid w:val="00403B52"/>
    <w:rsid w:val="004049B6"/>
    <w:rsid w:val="00410342"/>
    <w:rsid w:val="0041187A"/>
    <w:rsid w:val="00414164"/>
    <w:rsid w:val="00417148"/>
    <w:rsid w:val="0042182A"/>
    <w:rsid w:val="00421CD8"/>
    <w:rsid w:val="00426169"/>
    <w:rsid w:val="00427EEA"/>
    <w:rsid w:val="00433C23"/>
    <w:rsid w:val="0043528C"/>
    <w:rsid w:val="00450DEF"/>
    <w:rsid w:val="00453D10"/>
    <w:rsid w:val="004556B1"/>
    <w:rsid w:val="00457D67"/>
    <w:rsid w:val="0047159B"/>
    <w:rsid w:val="00472414"/>
    <w:rsid w:val="00473932"/>
    <w:rsid w:val="004756D4"/>
    <w:rsid w:val="0047593D"/>
    <w:rsid w:val="004824E0"/>
    <w:rsid w:val="0048348E"/>
    <w:rsid w:val="004849A5"/>
    <w:rsid w:val="004914B1"/>
    <w:rsid w:val="00491A76"/>
    <w:rsid w:val="00497000"/>
    <w:rsid w:val="00497862"/>
    <w:rsid w:val="004A00E9"/>
    <w:rsid w:val="004A08C1"/>
    <w:rsid w:val="004A0E6F"/>
    <w:rsid w:val="004A1E02"/>
    <w:rsid w:val="004A2237"/>
    <w:rsid w:val="004B0085"/>
    <w:rsid w:val="004C258E"/>
    <w:rsid w:val="004C3C4D"/>
    <w:rsid w:val="004C509B"/>
    <w:rsid w:val="004D3058"/>
    <w:rsid w:val="004D3D42"/>
    <w:rsid w:val="004D5F2F"/>
    <w:rsid w:val="004E053E"/>
    <w:rsid w:val="004F0B99"/>
    <w:rsid w:val="004F4875"/>
    <w:rsid w:val="0050159D"/>
    <w:rsid w:val="005035EA"/>
    <w:rsid w:val="005102E3"/>
    <w:rsid w:val="005156A7"/>
    <w:rsid w:val="00516EED"/>
    <w:rsid w:val="0052174E"/>
    <w:rsid w:val="00524F67"/>
    <w:rsid w:val="00530835"/>
    <w:rsid w:val="00532379"/>
    <w:rsid w:val="00532B2E"/>
    <w:rsid w:val="0053634E"/>
    <w:rsid w:val="0053768E"/>
    <w:rsid w:val="0054131E"/>
    <w:rsid w:val="00542F72"/>
    <w:rsid w:val="00552355"/>
    <w:rsid w:val="0055461B"/>
    <w:rsid w:val="00557436"/>
    <w:rsid w:val="00561C58"/>
    <w:rsid w:val="00565EC1"/>
    <w:rsid w:val="00567FBA"/>
    <w:rsid w:val="00572ECC"/>
    <w:rsid w:val="00581618"/>
    <w:rsid w:val="00593430"/>
    <w:rsid w:val="005935E2"/>
    <w:rsid w:val="0059430B"/>
    <w:rsid w:val="005A0940"/>
    <w:rsid w:val="005A6EDF"/>
    <w:rsid w:val="005B40F6"/>
    <w:rsid w:val="005C3249"/>
    <w:rsid w:val="005C415E"/>
    <w:rsid w:val="005C4E45"/>
    <w:rsid w:val="005C5598"/>
    <w:rsid w:val="005C7EC0"/>
    <w:rsid w:val="005D29B7"/>
    <w:rsid w:val="005D6FD8"/>
    <w:rsid w:val="005D7807"/>
    <w:rsid w:val="005F0FE7"/>
    <w:rsid w:val="005F6178"/>
    <w:rsid w:val="00602299"/>
    <w:rsid w:val="00607B39"/>
    <w:rsid w:val="00610B7E"/>
    <w:rsid w:val="0061275D"/>
    <w:rsid w:val="00617D3D"/>
    <w:rsid w:val="00617F48"/>
    <w:rsid w:val="006238CC"/>
    <w:rsid w:val="006247FC"/>
    <w:rsid w:val="00632CFD"/>
    <w:rsid w:val="00634A87"/>
    <w:rsid w:val="0064096B"/>
    <w:rsid w:val="006413AA"/>
    <w:rsid w:val="00644025"/>
    <w:rsid w:val="006443E1"/>
    <w:rsid w:val="00644EFB"/>
    <w:rsid w:val="00651B80"/>
    <w:rsid w:val="00651BDD"/>
    <w:rsid w:val="00652CDD"/>
    <w:rsid w:val="006541D9"/>
    <w:rsid w:val="006542E7"/>
    <w:rsid w:val="006577FD"/>
    <w:rsid w:val="006614A4"/>
    <w:rsid w:val="006626E9"/>
    <w:rsid w:val="006643E5"/>
    <w:rsid w:val="006658CC"/>
    <w:rsid w:val="00665E0C"/>
    <w:rsid w:val="00671C20"/>
    <w:rsid w:val="00672C8C"/>
    <w:rsid w:val="00683F60"/>
    <w:rsid w:val="00687123"/>
    <w:rsid w:val="006871DD"/>
    <w:rsid w:val="006A246F"/>
    <w:rsid w:val="006A2BD9"/>
    <w:rsid w:val="006A50AE"/>
    <w:rsid w:val="006A59FF"/>
    <w:rsid w:val="006B1524"/>
    <w:rsid w:val="006B21EB"/>
    <w:rsid w:val="006C575B"/>
    <w:rsid w:val="006D03C5"/>
    <w:rsid w:val="006D243E"/>
    <w:rsid w:val="006D61AB"/>
    <w:rsid w:val="006D6F49"/>
    <w:rsid w:val="006E2D98"/>
    <w:rsid w:val="006F0522"/>
    <w:rsid w:val="006F22FF"/>
    <w:rsid w:val="006F7970"/>
    <w:rsid w:val="00702BC8"/>
    <w:rsid w:val="0070652C"/>
    <w:rsid w:val="0072177D"/>
    <w:rsid w:val="0072343B"/>
    <w:rsid w:val="007239BB"/>
    <w:rsid w:val="007261FE"/>
    <w:rsid w:val="0072627B"/>
    <w:rsid w:val="007305E2"/>
    <w:rsid w:val="007312E7"/>
    <w:rsid w:val="00732058"/>
    <w:rsid w:val="00736D85"/>
    <w:rsid w:val="00737926"/>
    <w:rsid w:val="007500E6"/>
    <w:rsid w:val="007551DF"/>
    <w:rsid w:val="00756C69"/>
    <w:rsid w:val="00765A6B"/>
    <w:rsid w:val="00767B04"/>
    <w:rsid w:val="00770310"/>
    <w:rsid w:val="007710B4"/>
    <w:rsid w:val="00774980"/>
    <w:rsid w:val="0077536C"/>
    <w:rsid w:val="007763E5"/>
    <w:rsid w:val="00781BC2"/>
    <w:rsid w:val="0078429F"/>
    <w:rsid w:val="007938EB"/>
    <w:rsid w:val="007958FB"/>
    <w:rsid w:val="00796799"/>
    <w:rsid w:val="00797533"/>
    <w:rsid w:val="007A2C8F"/>
    <w:rsid w:val="007A4270"/>
    <w:rsid w:val="007A49AC"/>
    <w:rsid w:val="007A5B93"/>
    <w:rsid w:val="007B027B"/>
    <w:rsid w:val="007B463E"/>
    <w:rsid w:val="007B63CF"/>
    <w:rsid w:val="007B64DA"/>
    <w:rsid w:val="007B7306"/>
    <w:rsid w:val="007B7A08"/>
    <w:rsid w:val="007C7991"/>
    <w:rsid w:val="007D070B"/>
    <w:rsid w:val="007E0DBE"/>
    <w:rsid w:val="007E7C11"/>
    <w:rsid w:val="007E7EE6"/>
    <w:rsid w:val="007F406D"/>
    <w:rsid w:val="007F60CB"/>
    <w:rsid w:val="007F6F19"/>
    <w:rsid w:val="0080027F"/>
    <w:rsid w:val="00803B5A"/>
    <w:rsid w:val="008116D9"/>
    <w:rsid w:val="0082024D"/>
    <w:rsid w:val="0082317C"/>
    <w:rsid w:val="00823589"/>
    <w:rsid w:val="008316B9"/>
    <w:rsid w:val="00834ADE"/>
    <w:rsid w:val="0083760B"/>
    <w:rsid w:val="00840ED8"/>
    <w:rsid w:val="008438CB"/>
    <w:rsid w:val="00850769"/>
    <w:rsid w:val="008535CD"/>
    <w:rsid w:val="008548AB"/>
    <w:rsid w:val="0085785D"/>
    <w:rsid w:val="00862AA3"/>
    <w:rsid w:val="00864383"/>
    <w:rsid w:val="008667B9"/>
    <w:rsid w:val="00871074"/>
    <w:rsid w:val="00871D59"/>
    <w:rsid w:val="008733BD"/>
    <w:rsid w:val="008819F4"/>
    <w:rsid w:val="008849E7"/>
    <w:rsid w:val="008930BA"/>
    <w:rsid w:val="00893D70"/>
    <w:rsid w:val="008A17AC"/>
    <w:rsid w:val="008A758B"/>
    <w:rsid w:val="008B5A5A"/>
    <w:rsid w:val="008B6B7D"/>
    <w:rsid w:val="008C41CC"/>
    <w:rsid w:val="008C4A8E"/>
    <w:rsid w:val="008D1704"/>
    <w:rsid w:val="008D1C9C"/>
    <w:rsid w:val="008D3A1B"/>
    <w:rsid w:val="008D69BC"/>
    <w:rsid w:val="008E4CA6"/>
    <w:rsid w:val="008F0577"/>
    <w:rsid w:val="008F1D36"/>
    <w:rsid w:val="008F275F"/>
    <w:rsid w:val="008F2A6D"/>
    <w:rsid w:val="008F32FA"/>
    <w:rsid w:val="008F392C"/>
    <w:rsid w:val="00903888"/>
    <w:rsid w:val="009107A4"/>
    <w:rsid w:val="00913432"/>
    <w:rsid w:val="00913662"/>
    <w:rsid w:val="00922739"/>
    <w:rsid w:val="009326AE"/>
    <w:rsid w:val="00936072"/>
    <w:rsid w:val="00937DB2"/>
    <w:rsid w:val="00941675"/>
    <w:rsid w:val="00942047"/>
    <w:rsid w:val="009426DB"/>
    <w:rsid w:val="009503BD"/>
    <w:rsid w:val="00951F0F"/>
    <w:rsid w:val="00954CAD"/>
    <w:rsid w:val="0095584E"/>
    <w:rsid w:val="00960064"/>
    <w:rsid w:val="009704F8"/>
    <w:rsid w:val="00994055"/>
    <w:rsid w:val="00995F85"/>
    <w:rsid w:val="009967C9"/>
    <w:rsid w:val="009A0000"/>
    <w:rsid w:val="009A109D"/>
    <w:rsid w:val="009A17A0"/>
    <w:rsid w:val="009A1A81"/>
    <w:rsid w:val="009A24A1"/>
    <w:rsid w:val="009A4EDE"/>
    <w:rsid w:val="009B5920"/>
    <w:rsid w:val="009C2B72"/>
    <w:rsid w:val="009D1CD7"/>
    <w:rsid w:val="009D5E1D"/>
    <w:rsid w:val="009D5E6F"/>
    <w:rsid w:val="009E2616"/>
    <w:rsid w:val="009E707F"/>
    <w:rsid w:val="009F633C"/>
    <w:rsid w:val="009F63BD"/>
    <w:rsid w:val="00A03E13"/>
    <w:rsid w:val="00A118C1"/>
    <w:rsid w:val="00A14F2F"/>
    <w:rsid w:val="00A174CB"/>
    <w:rsid w:val="00A22828"/>
    <w:rsid w:val="00A26496"/>
    <w:rsid w:val="00A32A03"/>
    <w:rsid w:val="00A40845"/>
    <w:rsid w:val="00A431F0"/>
    <w:rsid w:val="00A655A8"/>
    <w:rsid w:val="00A664F5"/>
    <w:rsid w:val="00A748FA"/>
    <w:rsid w:val="00A77699"/>
    <w:rsid w:val="00A77F53"/>
    <w:rsid w:val="00A817BD"/>
    <w:rsid w:val="00A84D58"/>
    <w:rsid w:val="00A8770A"/>
    <w:rsid w:val="00A92069"/>
    <w:rsid w:val="00A96619"/>
    <w:rsid w:val="00A96D06"/>
    <w:rsid w:val="00AA0A61"/>
    <w:rsid w:val="00AA37C6"/>
    <w:rsid w:val="00AC10F1"/>
    <w:rsid w:val="00AC2928"/>
    <w:rsid w:val="00AC4E1F"/>
    <w:rsid w:val="00AD1A8A"/>
    <w:rsid w:val="00AD79C5"/>
    <w:rsid w:val="00AF138A"/>
    <w:rsid w:val="00AF1FE4"/>
    <w:rsid w:val="00B05B3D"/>
    <w:rsid w:val="00B05B74"/>
    <w:rsid w:val="00B10524"/>
    <w:rsid w:val="00B162EF"/>
    <w:rsid w:val="00B169A1"/>
    <w:rsid w:val="00B201A5"/>
    <w:rsid w:val="00B2281A"/>
    <w:rsid w:val="00B24760"/>
    <w:rsid w:val="00B40E44"/>
    <w:rsid w:val="00B51AEE"/>
    <w:rsid w:val="00B61029"/>
    <w:rsid w:val="00B62D29"/>
    <w:rsid w:val="00B642CF"/>
    <w:rsid w:val="00B67A8B"/>
    <w:rsid w:val="00B811FE"/>
    <w:rsid w:val="00B846DE"/>
    <w:rsid w:val="00B92228"/>
    <w:rsid w:val="00BA08E5"/>
    <w:rsid w:val="00BA1D45"/>
    <w:rsid w:val="00BA66DF"/>
    <w:rsid w:val="00BA7CED"/>
    <w:rsid w:val="00BB072D"/>
    <w:rsid w:val="00BB317F"/>
    <w:rsid w:val="00BC2041"/>
    <w:rsid w:val="00BC2458"/>
    <w:rsid w:val="00BC5E20"/>
    <w:rsid w:val="00BD1845"/>
    <w:rsid w:val="00BD6CE5"/>
    <w:rsid w:val="00BD7148"/>
    <w:rsid w:val="00BD71B1"/>
    <w:rsid w:val="00BE1171"/>
    <w:rsid w:val="00BE331B"/>
    <w:rsid w:val="00BE4805"/>
    <w:rsid w:val="00BE63F6"/>
    <w:rsid w:val="00BE7209"/>
    <w:rsid w:val="00BF1B69"/>
    <w:rsid w:val="00BF3D65"/>
    <w:rsid w:val="00BF4BEF"/>
    <w:rsid w:val="00BF56C6"/>
    <w:rsid w:val="00BF6BE4"/>
    <w:rsid w:val="00C16831"/>
    <w:rsid w:val="00C1767B"/>
    <w:rsid w:val="00C23F42"/>
    <w:rsid w:val="00C50C0D"/>
    <w:rsid w:val="00C5382F"/>
    <w:rsid w:val="00C54AB4"/>
    <w:rsid w:val="00C567D3"/>
    <w:rsid w:val="00C56A33"/>
    <w:rsid w:val="00C66743"/>
    <w:rsid w:val="00C71925"/>
    <w:rsid w:val="00C73427"/>
    <w:rsid w:val="00C76876"/>
    <w:rsid w:val="00C92085"/>
    <w:rsid w:val="00C935D2"/>
    <w:rsid w:val="00C94BF8"/>
    <w:rsid w:val="00CA1504"/>
    <w:rsid w:val="00CB0BC1"/>
    <w:rsid w:val="00CB1EE3"/>
    <w:rsid w:val="00CB31BB"/>
    <w:rsid w:val="00CB48B8"/>
    <w:rsid w:val="00CB79DB"/>
    <w:rsid w:val="00CC01CF"/>
    <w:rsid w:val="00CC0870"/>
    <w:rsid w:val="00CC0ECA"/>
    <w:rsid w:val="00CD128E"/>
    <w:rsid w:val="00CD736B"/>
    <w:rsid w:val="00CE67B2"/>
    <w:rsid w:val="00D01CCE"/>
    <w:rsid w:val="00D024D8"/>
    <w:rsid w:val="00D04810"/>
    <w:rsid w:val="00D12C84"/>
    <w:rsid w:val="00D176E4"/>
    <w:rsid w:val="00D2145D"/>
    <w:rsid w:val="00D22315"/>
    <w:rsid w:val="00D2342D"/>
    <w:rsid w:val="00D42092"/>
    <w:rsid w:val="00D475F1"/>
    <w:rsid w:val="00D50B64"/>
    <w:rsid w:val="00D5336D"/>
    <w:rsid w:val="00D54250"/>
    <w:rsid w:val="00D56A5C"/>
    <w:rsid w:val="00D621E6"/>
    <w:rsid w:val="00D72497"/>
    <w:rsid w:val="00D7548E"/>
    <w:rsid w:val="00D81263"/>
    <w:rsid w:val="00D83004"/>
    <w:rsid w:val="00D83342"/>
    <w:rsid w:val="00D8672B"/>
    <w:rsid w:val="00D91843"/>
    <w:rsid w:val="00D91C17"/>
    <w:rsid w:val="00D93CED"/>
    <w:rsid w:val="00D94579"/>
    <w:rsid w:val="00D958C0"/>
    <w:rsid w:val="00D97D7F"/>
    <w:rsid w:val="00DA3642"/>
    <w:rsid w:val="00DA3C20"/>
    <w:rsid w:val="00DA7D21"/>
    <w:rsid w:val="00DB088E"/>
    <w:rsid w:val="00DB128C"/>
    <w:rsid w:val="00DB1C0D"/>
    <w:rsid w:val="00DB55FB"/>
    <w:rsid w:val="00DB6209"/>
    <w:rsid w:val="00DC3032"/>
    <w:rsid w:val="00DC4A2D"/>
    <w:rsid w:val="00DD0780"/>
    <w:rsid w:val="00DD1759"/>
    <w:rsid w:val="00DD2257"/>
    <w:rsid w:val="00DD3D7E"/>
    <w:rsid w:val="00DD526E"/>
    <w:rsid w:val="00DD57C5"/>
    <w:rsid w:val="00DE4A8A"/>
    <w:rsid w:val="00DF0326"/>
    <w:rsid w:val="00DF7E88"/>
    <w:rsid w:val="00E02B76"/>
    <w:rsid w:val="00E03880"/>
    <w:rsid w:val="00E058A8"/>
    <w:rsid w:val="00E075D4"/>
    <w:rsid w:val="00E11B15"/>
    <w:rsid w:val="00E30D6E"/>
    <w:rsid w:val="00E33984"/>
    <w:rsid w:val="00E3401E"/>
    <w:rsid w:val="00E4553B"/>
    <w:rsid w:val="00E47EF5"/>
    <w:rsid w:val="00E53A1C"/>
    <w:rsid w:val="00E5589A"/>
    <w:rsid w:val="00E56808"/>
    <w:rsid w:val="00E57622"/>
    <w:rsid w:val="00E630F3"/>
    <w:rsid w:val="00E656B0"/>
    <w:rsid w:val="00E6771F"/>
    <w:rsid w:val="00E70D32"/>
    <w:rsid w:val="00E754A1"/>
    <w:rsid w:val="00E779F8"/>
    <w:rsid w:val="00E86303"/>
    <w:rsid w:val="00E87CEE"/>
    <w:rsid w:val="00E910B1"/>
    <w:rsid w:val="00E93CC0"/>
    <w:rsid w:val="00E94068"/>
    <w:rsid w:val="00E95BA5"/>
    <w:rsid w:val="00EA0725"/>
    <w:rsid w:val="00EA29DA"/>
    <w:rsid w:val="00EA37DC"/>
    <w:rsid w:val="00EA578E"/>
    <w:rsid w:val="00EC1C72"/>
    <w:rsid w:val="00EC2E50"/>
    <w:rsid w:val="00EC6EA6"/>
    <w:rsid w:val="00ED2250"/>
    <w:rsid w:val="00ED27AE"/>
    <w:rsid w:val="00ED55FA"/>
    <w:rsid w:val="00EE0AD4"/>
    <w:rsid w:val="00EE15B1"/>
    <w:rsid w:val="00EE3117"/>
    <w:rsid w:val="00EE6073"/>
    <w:rsid w:val="00EE66DF"/>
    <w:rsid w:val="00EE681C"/>
    <w:rsid w:val="00EF25ED"/>
    <w:rsid w:val="00F0580B"/>
    <w:rsid w:val="00F1330B"/>
    <w:rsid w:val="00F20B6F"/>
    <w:rsid w:val="00F23F3A"/>
    <w:rsid w:val="00F25839"/>
    <w:rsid w:val="00F30426"/>
    <w:rsid w:val="00F31CAA"/>
    <w:rsid w:val="00F32150"/>
    <w:rsid w:val="00F52BB3"/>
    <w:rsid w:val="00F5600C"/>
    <w:rsid w:val="00F621AF"/>
    <w:rsid w:val="00F63945"/>
    <w:rsid w:val="00F63EA9"/>
    <w:rsid w:val="00F6681D"/>
    <w:rsid w:val="00F73559"/>
    <w:rsid w:val="00F864F9"/>
    <w:rsid w:val="00F86CB5"/>
    <w:rsid w:val="00F965F7"/>
    <w:rsid w:val="00FA3501"/>
    <w:rsid w:val="00FB5FDB"/>
    <w:rsid w:val="00FC1747"/>
    <w:rsid w:val="00FD25D5"/>
    <w:rsid w:val="00FD624A"/>
    <w:rsid w:val="00FE166A"/>
    <w:rsid w:val="00FF0C78"/>
    <w:rsid w:val="00FF173C"/>
    <w:rsid w:val="00FF3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DCA522"/>
  <w15:chartTrackingRefBased/>
  <w15:docId w15:val="{36A194F0-820A-F847-9E26-F6A57382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9F4"/>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819F4"/>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819F4"/>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819F4"/>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819F4"/>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8819F4"/>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8819F4"/>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8819F4"/>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8819F4"/>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8819F4"/>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19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19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19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19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19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19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19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19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19F4"/>
    <w:rPr>
      <w:rFonts w:eastAsiaTheme="majorEastAsia" w:cstheme="majorBidi"/>
      <w:color w:val="272727" w:themeColor="text1" w:themeTint="D8"/>
    </w:rPr>
  </w:style>
  <w:style w:type="paragraph" w:styleId="Title">
    <w:name w:val="Title"/>
    <w:basedOn w:val="Normal"/>
    <w:next w:val="Normal"/>
    <w:link w:val="TitleChar"/>
    <w:uiPriority w:val="10"/>
    <w:qFormat/>
    <w:rsid w:val="008819F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819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19F4"/>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819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19F4"/>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8819F4"/>
    <w:rPr>
      <w:i/>
      <w:iCs/>
      <w:color w:val="404040" w:themeColor="text1" w:themeTint="BF"/>
    </w:rPr>
  </w:style>
  <w:style w:type="paragraph" w:styleId="ListParagraph">
    <w:name w:val="List Paragraph"/>
    <w:basedOn w:val="Normal"/>
    <w:uiPriority w:val="34"/>
    <w:qFormat/>
    <w:rsid w:val="008819F4"/>
    <w:pPr>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8819F4"/>
    <w:rPr>
      <w:i/>
      <w:iCs/>
      <w:color w:val="0F4761" w:themeColor="accent1" w:themeShade="BF"/>
    </w:rPr>
  </w:style>
  <w:style w:type="paragraph" w:styleId="IntenseQuote">
    <w:name w:val="Intense Quote"/>
    <w:basedOn w:val="Normal"/>
    <w:next w:val="Normal"/>
    <w:link w:val="IntenseQuoteChar"/>
    <w:uiPriority w:val="30"/>
    <w:qFormat/>
    <w:rsid w:val="008819F4"/>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8819F4"/>
    <w:rPr>
      <w:i/>
      <w:iCs/>
      <w:color w:val="0F4761" w:themeColor="accent1" w:themeShade="BF"/>
    </w:rPr>
  </w:style>
  <w:style w:type="character" w:styleId="IntenseReference">
    <w:name w:val="Intense Reference"/>
    <w:basedOn w:val="DefaultParagraphFont"/>
    <w:uiPriority w:val="32"/>
    <w:qFormat/>
    <w:rsid w:val="008819F4"/>
    <w:rPr>
      <w:b/>
      <w:bCs/>
      <w:smallCaps/>
      <w:color w:val="0F4761" w:themeColor="accent1" w:themeShade="BF"/>
      <w:spacing w:val="5"/>
    </w:rPr>
  </w:style>
  <w:style w:type="paragraph" w:styleId="Header">
    <w:name w:val="header"/>
    <w:basedOn w:val="Normal"/>
    <w:link w:val="HeaderChar"/>
    <w:uiPriority w:val="99"/>
    <w:unhideWhenUsed/>
    <w:rsid w:val="008819F4"/>
    <w:pPr>
      <w:tabs>
        <w:tab w:val="center" w:pos="4680"/>
        <w:tab w:val="right" w:pos="9360"/>
      </w:tabs>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8819F4"/>
  </w:style>
  <w:style w:type="paragraph" w:styleId="Footer">
    <w:name w:val="footer"/>
    <w:basedOn w:val="Normal"/>
    <w:link w:val="FooterChar"/>
    <w:uiPriority w:val="99"/>
    <w:unhideWhenUsed/>
    <w:rsid w:val="008819F4"/>
    <w:pPr>
      <w:tabs>
        <w:tab w:val="center" w:pos="4680"/>
        <w:tab w:val="right" w:pos="9360"/>
      </w:tabs>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8819F4"/>
  </w:style>
  <w:style w:type="character" w:styleId="PageNumber">
    <w:name w:val="page number"/>
    <w:basedOn w:val="DefaultParagraphFont"/>
    <w:uiPriority w:val="99"/>
    <w:semiHidden/>
    <w:unhideWhenUsed/>
    <w:rsid w:val="008819F4"/>
  </w:style>
  <w:style w:type="paragraph" w:styleId="Revision">
    <w:name w:val="Revision"/>
    <w:hidden/>
    <w:uiPriority w:val="99"/>
    <w:semiHidden/>
    <w:rsid w:val="006541D9"/>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2809324">
      <w:bodyDiv w:val="1"/>
      <w:marLeft w:val="0"/>
      <w:marRight w:val="0"/>
      <w:marTop w:val="0"/>
      <w:marBottom w:val="0"/>
      <w:divBdr>
        <w:top w:val="none" w:sz="0" w:space="0" w:color="auto"/>
        <w:left w:val="none" w:sz="0" w:space="0" w:color="auto"/>
        <w:bottom w:val="none" w:sz="0" w:space="0" w:color="auto"/>
        <w:right w:val="none" w:sz="0" w:space="0" w:color="auto"/>
      </w:divBdr>
    </w:div>
    <w:div w:id="1376345250">
      <w:bodyDiv w:val="1"/>
      <w:marLeft w:val="0"/>
      <w:marRight w:val="0"/>
      <w:marTop w:val="0"/>
      <w:marBottom w:val="0"/>
      <w:divBdr>
        <w:top w:val="none" w:sz="0" w:space="0" w:color="auto"/>
        <w:left w:val="none" w:sz="0" w:space="0" w:color="auto"/>
        <w:bottom w:val="none" w:sz="0" w:space="0" w:color="auto"/>
        <w:right w:val="none" w:sz="0" w:space="0" w:color="auto"/>
      </w:divBdr>
    </w:div>
    <w:div w:id="1946691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Normal.dotm</Template>
  <TotalTime>13</TotalTime>
  <Pages>9</Pages>
  <Words>567</Words>
  <Characters>3234</Characters>
  <Application>Microsoft Office Word</Application>
  <DocSecurity>0</DocSecurity>
  <Lines>26</Lines>
  <Paragraphs>7</Paragraphs>
  <ScaleCrop>false</ScaleCrop>
  <Company/>
  <LinksUpToDate>false</LinksUpToDate>
  <CharactersWithSpaces>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Rajagopal, Sheila (NIH/NCI) [E]</dc:creator>
  <cp:keywords/>
  <dc:description/>
  <cp:lastModifiedBy>Rajagopal, Sheila (NIH/NCI) [E]</cp:lastModifiedBy>
  <cp:revision>19</cp:revision>
  <cp:lastPrinted>2024-10-13T00:34:00Z</cp:lastPrinted>
  <dcterms:created xsi:type="dcterms:W3CDTF">2024-04-09T08:21:00Z</dcterms:created>
  <dcterms:modified xsi:type="dcterms:W3CDTF">2024-11-01T20:09:00Z</dcterms:modified>
</cp:coreProperties>
</file>