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34B94" w14:textId="77777777" w:rsidR="008A2099" w:rsidRDefault="008A2099" w:rsidP="008A2099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FIGURES</w:t>
      </w:r>
    </w:p>
    <w:p w14:paraId="2D37391E" w14:textId="77777777" w:rsidR="008A2099" w:rsidRPr="005C13B4" w:rsidRDefault="008A2099" w:rsidP="008A209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Supplemental Figure 1: </w:t>
      </w:r>
      <w:r w:rsidRPr="00963103">
        <w:rPr>
          <w:rFonts w:ascii="Arial" w:hAnsi="Arial" w:cs="Arial"/>
        </w:rPr>
        <w:t xml:space="preserve">Real-world </w:t>
      </w:r>
      <w:r>
        <w:rPr>
          <w:rFonts w:ascii="Arial" w:hAnsi="Arial" w:cs="Arial"/>
        </w:rPr>
        <w:t>overall survival</w:t>
      </w:r>
      <w:r w:rsidRPr="00963103">
        <w:rPr>
          <w:rFonts w:ascii="Arial" w:hAnsi="Arial" w:cs="Arial"/>
        </w:rPr>
        <w:t xml:space="preserve"> of ADC1 and ADC2</w:t>
      </w:r>
    </w:p>
    <w:p w14:paraId="3A971142" w14:textId="77777777" w:rsidR="008A2099" w:rsidRPr="005C13B4" w:rsidRDefault="008A2099" w:rsidP="008A2099">
      <w:pPr>
        <w:rPr>
          <w:rFonts w:ascii="Arial" w:hAnsi="Arial" w:cs="Arial"/>
          <w:b/>
          <w:bCs/>
          <w:sz w:val="22"/>
          <w:szCs w:val="22"/>
        </w:rPr>
      </w:pPr>
    </w:p>
    <w:p w14:paraId="507DF741" w14:textId="77777777" w:rsidR="008A2099" w:rsidRDefault="008A2099" w:rsidP="008A2099">
      <w:pPr>
        <w:rPr>
          <w:rFonts w:ascii="Arial" w:hAnsi="Arial" w:cs="Arial"/>
          <w:b/>
          <w:bCs/>
        </w:rPr>
      </w:pPr>
      <w:r w:rsidRPr="00733E9F">
        <w:rPr>
          <w:noProof/>
        </w:rPr>
        <w:drawing>
          <wp:inline distT="0" distB="0" distL="0" distR="0" wp14:anchorId="650D4897" wp14:editId="49A6C430">
            <wp:extent cx="5028565" cy="7700056"/>
            <wp:effectExtent l="0" t="0" r="635" b="0"/>
            <wp:docPr id="1665155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3801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7921" cy="772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854">
        <w:rPr>
          <w:noProof/>
        </w:rPr>
        <w:t xml:space="preserve"> </w:t>
      </w:r>
      <w:r w:rsidRPr="00733E9F">
        <w:rPr>
          <w:noProof/>
        </w:rPr>
        <w:t xml:space="preserve"> </w:t>
      </w:r>
    </w:p>
    <w:p w14:paraId="0B835022" w14:textId="77777777" w:rsidR="008A2099" w:rsidRDefault="008A2099" w:rsidP="008A2099">
      <w:pPr>
        <w:rPr>
          <w:rFonts w:ascii="Arial" w:hAnsi="Arial" w:cs="Arial"/>
          <w:b/>
          <w:bCs/>
        </w:rPr>
      </w:pPr>
    </w:p>
    <w:p w14:paraId="47A5E1D2" w14:textId="77777777" w:rsidR="008A2099" w:rsidRPr="00F20EE9" w:rsidRDefault="008A2099" w:rsidP="008A2099">
      <w:pPr>
        <w:rPr>
          <w:rFonts w:ascii="Arial" w:hAnsi="Arial" w:cs="Arial"/>
          <w:sz w:val="20"/>
          <w:szCs w:val="20"/>
        </w:rPr>
      </w:pPr>
      <w:r w:rsidRPr="00F20EE9">
        <w:rPr>
          <w:rFonts w:ascii="Arial" w:hAnsi="Arial" w:cs="Arial"/>
          <w:sz w:val="20"/>
          <w:szCs w:val="20"/>
        </w:rPr>
        <w:t>(</w:t>
      </w:r>
      <w:r w:rsidRPr="00F20EE9">
        <w:rPr>
          <w:rFonts w:ascii="Arial" w:hAnsi="Arial" w:cs="Arial"/>
          <w:b/>
          <w:bCs/>
          <w:sz w:val="20"/>
          <w:szCs w:val="20"/>
        </w:rPr>
        <w:t>A-H</w:t>
      </w:r>
      <w:r w:rsidRPr="00F20EE9">
        <w:rPr>
          <w:rFonts w:ascii="Arial" w:hAnsi="Arial" w:cs="Arial"/>
          <w:sz w:val="20"/>
          <w:szCs w:val="20"/>
        </w:rPr>
        <w:t>): Kaplan-Meier curves showing real-world overall survival (</w:t>
      </w:r>
      <w:proofErr w:type="spellStart"/>
      <w:r w:rsidRPr="00F20EE9">
        <w:rPr>
          <w:rFonts w:ascii="Arial" w:hAnsi="Arial" w:cs="Arial"/>
          <w:sz w:val="20"/>
          <w:szCs w:val="20"/>
        </w:rPr>
        <w:t>rwOS</w:t>
      </w:r>
      <w:proofErr w:type="spellEnd"/>
      <w:r w:rsidRPr="00F20EE9">
        <w:rPr>
          <w:rFonts w:ascii="Arial" w:hAnsi="Arial" w:cs="Arial"/>
          <w:sz w:val="20"/>
          <w:szCs w:val="20"/>
        </w:rPr>
        <w:t xml:space="preserve">) in months for each ADC: Sacituzumab </w:t>
      </w:r>
      <w:proofErr w:type="spellStart"/>
      <w:r w:rsidRPr="00F20EE9">
        <w:rPr>
          <w:rFonts w:ascii="Arial" w:hAnsi="Arial" w:cs="Arial"/>
          <w:sz w:val="20"/>
          <w:szCs w:val="20"/>
        </w:rPr>
        <w:t>govitecan</w:t>
      </w:r>
      <w:proofErr w:type="spellEnd"/>
      <w:r w:rsidRPr="00F20EE9">
        <w:rPr>
          <w:rFonts w:ascii="Arial" w:hAnsi="Arial" w:cs="Arial"/>
          <w:sz w:val="20"/>
          <w:szCs w:val="20"/>
        </w:rPr>
        <w:t xml:space="preserve"> (SG, red) and trastuzumab </w:t>
      </w:r>
      <w:proofErr w:type="spellStart"/>
      <w:r w:rsidRPr="00F20EE9">
        <w:rPr>
          <w:rFonts w:ascii="Arial" w:hAnsi="Arial" w:cs="Arial"/>
          <w:sz w:val="20"/>
          <w:szCs w:val="20"/>
        </w:rPr>
        <w:t>deruxtecan</w:t>
      </w:r>
      <w:proofErr w:type="spellEnd"/>
      <w:r w:rsidRPr="00F20EE9">
        <w:rPr>
          <w:rFonts w:ascii="Arial" w:hAnsi="Arial" w:cs="Arial"/>
          <w:sz w:val="20"/>
          <w:szCs w:val="20"/>
        </w:rPr>
        <w:t xml:space="preserve"> (T-</w:t>
      </w:r>
      <w:proofErr w:type="spellStart"/>
      <w:r w:rsidRPr="00F20EE9">
        <w:rPr>
          <w:rFonts w:ascii="Arial" w:hAnsi="Arial" w:cs="Arial"/>
          <w:sz w:val="20"/>
          <w:szCs w:val="20"/>
        </w:rPr>
        <w:t>DXd</w:t>
      </w:r>
      <w:proofErr w:type="spellEnd"/>
      <w:r w:rsidRPr="00F20EE9">
        <w:rPr>
          <w:rFonts w:ascii="Arial" w:hAnsi="Arial" w:cs="Arial"/>
          <w:sz w:val="20"/>
          <w:szCs w:val="20"/>
        </w:rPr>
        <w:t xml:space="preserve">, blue). The </w:t>
      </w:r>
      <w:proofErr w:type="spellStart"/>
      <w:r w:rsidRPr="00F20EE9">
        <w:rPr>
          <w:rFonts w:ascii="Arial" w:hAnsi="Arial" w:cs="Arial"/>
          <w:sz w:val="20"/>
          <w:szCs w:val="20"/>
        </w:rPr>
        <w:t>rwOS</w:t>
      </w:r>
      <w:proofErr w:type="spellEnd"/>
      <w:r w:rsidRPr="00F20EE9">
        <w:rPr>
          <w:rFonts w:ascii="Arial" w:hAnsi="Arial" w:cs="Arial"/>
          <w:sz w:val="20"/>
          <w:szCs w:val="20"/>
        </w:rPr>
        <w:t xml:space="preserve"> Kaplan-Meier curves for the first ADC (ADC1) are in the left column and the second ADC (ADC2) are in the right column</w:t>
      </w:r>
    </w:p>
    <w:p w14:paraId="41D51B57" w14:textId="77777777" w:rsidR="008A2099" w:rsidRDefault="008A2099" w:rsidP="008A2099">
      <w:pPr>
        <w:rPr>
          <w:rFonts w:ascii="Arial" w:hAnsi="Arial" w:cs="Arial"/>
          <w:sz w:val="22"/>
          <w:szCs w:val="22"/>
        </w:rPr>
      </w:pPr>
    </w:p>
    <w:p w14:paraId="2786C195" w14:textId="77777777" w:rsidR="008A2099" w:rsidRDefault="008A2099" w:rsidP="008A2099">
      <w:pPr>
        <w:rPr>
          <w:rFonts w:ascii="Arial" w:hAnsi="Arial" w:cs="Arial"/>
          <w:sz w:val="22"/>
          <w:szCs w:val="22"/>
        </w:rPr>
      </w:pPr>
    </w:p>
    <w:p w14:paraId="77BD36F6" w14:textId="77777777" w:rsidR="008A2099" w:rsidRDefault="008A2099" w:rsidP="008A2099">
      <w:pPr>
        <w:rPr>
          <w:rFonts w:ascii="Arial" w:hAnsi="Arial" w:cs="Arial"/>
          <w:b/>
          <w:bCs/>
        </w:rPr>
      </w:pPr>
      <w:r w:rsidRPr="00F20EE9">
        <w:rPr>
          <w:rFonts w:ascii="Arial" w:hAnsi="Arial" w:cs="Arial"/>
          <w:b/>
          <w:bCs/>
          <w:sz w:val="22"/>
          <w:szCs w:val="22"/>
        </w:rPr>
        <w:t xml:space="preserve">Supplemental Figure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F20EE9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717C62">
        <w:rPr>
          <w:rFonts w:ascii="Arial" w:hAnsi="Arial" w:cs="Arial"/>
          <w:sz w:val="22"/>
          <w:szCs w:val="22"/>
        </w:rPr>
        <w:t>Subgroup analyses of TTF</w:t>
      </w:r>
      <w:r>
        <w:rPr>
          <w:rFonts w:ascii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sz w:val="22"/>
          <w:szCs w:val="22"/>
        </w:rPr>
        <w:t>rwOS</w:t>
      </w:r>
      <w:proofErr w:type="spellEnd"/>
      <w:r>
        <w:rPr>
          <w:rFonts w:ascii="Arial" w:hAnsi="Arial" w:cs="Arial"/>
          <w:sz w:val="22"/>
          <w:szCs w:val="22"/>
        </w:rPr>
        <w:t xml:space="preserve"> by HR-status and ADC sequence order</w:t>
      </w:r>
    </w:p>
    <w:p w14:paraId="30F2604C" w14:textId="77777777" w:rsidR="008A2099" w:rsidRDefault="008A2099" w:rsidP="008A2099">
      <w:pPr>
        <w:rPr>
          <w:rFonts w:ascii="Arial" w:hAnsi="Arial" w:cs="Arial"/>
          <w:b/>
          <w:bCs/>
        </w:rPr>
      </w:pPr>
    </w:p>
    <w:p w14:paraId="5D6510DC" w14:textId="77777777" w:rsidR="008A2099" w:rsidRDefault="008A2099" w:rsidP="008A2099">
      <w:pPr>
        <w:rPr>
          <w:rFonts w:ascii="Arial" w:hAnsi="Arial" w:cs="Arial"/>
          <w:b/>
          <w:bCs/>
        </w:rPr>
      </w:pPr>
      <w:r w:rsidRPr="001B1D49">
        <w:rPr>
          <w:rFonts w:ascii="Arial" w:hAnsi="Arial" w:cs="Arial"/>
          <w:b/>
          <w:bCs/>
          <w:noProof/>
        </w:rPr>
        <w:drawing>
          <wp:inline distT="0" distB="0" distL="0" distR="0" wp14:anchorId="1DC13E88" wp14:editId="198899C3">
            <wp:extent cx="6858000" cy="8094980"/>
            <wp:effectExtent l="0" t="0" r="0" b="0"/>
            <wp:docPr id="802216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60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09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AC2E" w14:textId="77777777" w:rsidR="008A2099" w:rsidRDefault="008A2099" w:rsidP="008A2099"/>
    <w:p w14:paraId="2A8E1589" w14:textId="77777777" w:rsidR="008A2099" w:rsidRPr="00F20EE9" w:rsidRDefault="008A2099" w:rsidP="008A2099">
      <w:pPr>
        <w:spacing w:after="160" w:line="259" w:lineRule="auto"/>
        <w:rPr>
          <w:rFonts w:ascii="Arial" w:hAnsi="Arial" w:cs="Arial"/>
          <w:b/>
          <w:bCs/>
        </w:rPr>
      </w:pPr>
      <w:r w:rsidRPr="00F20EE9">
        <w:rPr>
          <w:rFonts w:ascii="Arial" w:hAnsi="Arial" w:cs="Arial"/>
          <w:sz w:val="20"/>
          <w:szCs w:val="20"/>
        </w:rPr>
        <w:lastRenderedPageBreak/>
        <w:t>(</w:t>
      </w:r>
      <w:r w:rsidRPr="00F20EE9">
        <w:rPr>
          <w:rFonts w:ascii="Arial" w:hAnsi="Arial" w:cs="Arial"/>
          <w:b/>
          <w:bCs/>
          <w:sz w:val="20"/>
          <w:szCs w:val="20"/>
        </w:rPr>
        <w:t>A-</w:t>
      </w:r>
      <w:r w:rsidRPr="006022D6">
        <w:rPr>
          <w:rFonts w:ascii="Arial" w:hAnsi="Arial" w:cs="Arial"/>
          <w:b/>
          <w:bCs/>
          <w:sz w:val="20"/>
          <w:szCs w:val="20"/>
        </w:rPr>
        <w:t>C</w:t>
      </w:r>
      <w:r w:rsidRPr="00F20EE9">
        <w:rPr>
          <w:rFonts w:ascii="Arial" w:hAnsi="Arial" w:cs="Arial"/>
          <w:sz w:val="20"/>
          <w:szCs w:val="20"/>
        </w:rPr>
        <w:t xml:space="preserve">): </w:t>
      </w:r>
      <w:r w:rsidRPr="006022D6">
        <w:rPr>
          <w:rFonts w:ascii="Arial" w:hAnsi="Arial" w:cs="Arial"/>
          <w:sz w:val="20"/>
          <w:szCs w:val="20"/>
        </w:rPr>
        <w:t xml:space="preserve">Bar graphs showing, from left to right, the </w:t>
      </w:r>
      <w:r>
        <w:rPr>
          <w:rFonts w:ascii="Arial" w:hAnsi="Arial" w:cs="Arial"/>
          <w:sz w:val="20"/>
          <w:szCs w:val="20"/>
        </w:rPr>
        <w:t>median time to treatment failure (TTF)</w:t>
      </w:r>
      <w:r w:rsidRPr="006022D6">
        <w:rPr>
          <w:rFonts w:ascii="Arial" w:hAnsi="Arial" w:cs="Arial"/>
          <w:sz w:val="20"/>
          <w:szCs w:val="20"/>
        </w:rPr>
        <w:t xml:space="preserve"> of ADC1, median </w:t>
      </w:r>
      <w:r>
        <w:rPr>
          <w:rFonts w:ascii="Arial" w:hAnsi="Arial" w:cs="Arial"/>
          <w:sz w:val="20"/>
          <w:szCs w:val="20"/>
        </w:rPr>
        <w:t>TTF</w:t>
      </w:r>
      <w:r w:rsidRPr="006022D6">
        <w:rPr>
          <w:rFonts w:ascii="Arial" w:hAnsi="Arial" w:cs="Arial"/>
          <w:sz w:val="20"/>
          <w:szCs w:val="20"/>
        </w:rPr>
        <w:t xml:space="preserve"> of ADC2, and the median real-world </w:t>
      </w:r>
      <w:r w:rsidRPr="00F20EE9">
        <w:rPr>
          <w:rFonts w:ascii="Arial" w:hAnsi="Arial" w:cs="Arial"/>
          <w:sz w:val="20"/>
          <w:szCs w:val="20"/>
        </w:rPr>
        <w:t>overall survival (</w:t>
      </w:r>
      <w:proofErr w:type="spellStart"/>
      <w:r w:rsidRPr="00F20EE9">
        <w:rPr>
          <w:rFonts w:ascii="Arial" w:hAnsi="Arial" w:cs="Arial"/>
          <w:sz w:val="20"/>
          <w:szCs w:val="20"/>
        </w:rPr>
        <w:t>rwOS</w:t>
      </w:r>
      <w:proofErr w:type="spellEnd"/>
      <w:r w:rsidRPr="00F20EE9">
        <w:rPr>
          <w:rFonts w:ascii="Arial" w:hAnsi="Arial" w:cs="Arial"/>
          <w:sz w:val="20"/>
          <w:szCs w:val="20"/>
        </w:rPr>
        <w:t xml:space="preserve">) </w:t>
      </w:r>
      <w:r w:rsidRPr="006022D6">
        <w:rPr>
          <w:rFonts w:ascii="Arial" w:hAnsi="Arial" w:cs="Arial"/>
          <w:sz w:val="20"/>
          <w:szCs w:val="20"/>
        </w:rPr>
        <w:t>for ADC1 for each of the following patient cohorts: (</w:t>
      </w:r>
      <w:r w:rsidRPr="00F20EE9">
        <w:rPr>
          <w:rFonts w:ascii="Arial" w:hAnsi="Arial" w:cs="Arial"/>
          <w:b/>
          <w:bCs/>
          <w:sz w:val="20"/>
          <w:szCs w:val="20"/>
        </w:rPr>
        <w:t>A</w:t>
      </w:r>
      <w:r w:rsidRPr="006022D6">
        <w:rPr>
          <w:rFonts w:ascii="Arial" w:hAnsi="Arial" w:cs="Arial"/>
          <w:sz w:val="20"/>
          <w:szCs w:val="20"/>
        </w:rPr>
        <w:t xml:space="preserve">). HR+/HER2-low metastatic breast cancer (MBC) treated with </w:t>
      </w:r>
      <w:proofErr w:type="spellStart"/>
      <w:r w:rsidRPr="006022D6">
        <w:rPr>
          <w:rFonts w:ascii="Arial" w:hAnsi="Arial" w:cs="Arial"/>
          <w:sz w:val="20"/>
          <w:szCs w:val="20"/>
        </w:rPr>
        <w:t>sacituzumab</w:t>
      </w:r>
      <w:proofErr w:type="spellEnd"/>
      <w:r w:rsidRPr="006022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22D6">
        <w:rPr>
          <w:rFonts w:ascii="Arial" w:hAnsi="Arial" w:cs="Arial"/>
          <w:sz w:val="20"/>
          <w:szCs w:val="20"/>
        </w:rPr>
        <w:t>govitecan</w:t>
      </w:r>
      <w:proofErr w:type="spellEnd"/>
      <w:r w:rsidRPr="006022D6">
        <w:rPr>
          <w:rFonts w:ascii="Arial" w:hAnsi="Arial" w:cs="Arial"/>
          <w:sz w:val="20"/>
          <w:szCs w:val="20"/>
        </w:rPr>
        <w:t xml:space="preserve"> (SG) prior to T-</w:t>
      </w:r>
      <w:proofErr w:type="spellStart"/>
      <w:r w:rsidRPr="006022D6">
        <w:rPr>
          <w:rFonts w:ascii="Arial" w:hAnsi="Arial" w:cs="Arial"/>
          <w:sz w:val="20"/>
          <w:szCs w:val="20"/>
        </w:rPr>
        <w:t>DXd</w:t>
      </w:r>
      <w:proofErr w:type="spellEnd"/>
      <w:r w:rsidRPr="006022D6">
        <w:rPr>
          <w:rFonts w:ascii="Arial" w:hAnsi="Arial" w:cs="Arial"/>
          <w:sz w:val="20"/>
          <w:szCs w:val="20"/>
        </w:rPr>
        <w:t xml:space="preserve"> (T-</w:t>
      </w:r>
      <w:proofErr w:type="spellStart"/>
      <w:r w:rsidRPr="006022D6">
        <w:rPr>
          <w:rFonts w:ascii="Arial" w:hAnsi="Arial" w:cs="Arial"/>
          <w:sz w:val="20"/>
          <w:szCs w:val="20"/>
        </w:rPr>
        <w:t>DXd</w:t>
      </w:r>
      <w:proofErr w:type="spellEnd"/>
      <w:r w:rsidRPr="006022D6">
        <w:rPr>
          <w:rFonts w:ascii="Arial" w:hAnsi="Arial" w:cs="Arial"/>
          <w:sz w:val="20"/>
          <w:szCs w:val="20"/>
        </w:rPr>
        <w:t>) (n=24). (</w:t>
      </w:r>
      <w:r w:rsidRPr="00F20EE9">
        <w:rPr>
          <w:rFonts w:ascii="Arial" w:hAnsi="Arial" w:cs="Arial"/>
          <w:b/>
          <w:bCs/>
          <w:sz w:val="20"/>
          <w:szCs w:val="20"/>
        </w:rPr>
        <w:t>B</w:t>
      </w:r>
      <w:r w:rsidRPr="006022D6">
        <w:rPr>
          <w:rFonts w:ascii="Arial" w:hAnsi="Arial" w:cs="Arial"/>
          <w:sz w:val="20"/>
          <w:szCs w:val="20"/>
        </w:rPr>
        <w:t>). HR+/HER2-low MBC treated with T-</w:t>
      </w:r>
      <w:proofErr w:type="spellStart"/>
      <w:r w:rsidRPr="006022D6">
        <w:rPr>
          <w:rFonts w:ascii="Arial" w:hAnsi="Arial" w:cs="Arial"/>
          <w:sz w:val="20"/>
          <w:szCs w:val="20"/>
        </w:rPr>
        <w:t>DXd</w:t>
      </w:r>
      <w:proofErr w:type="spellEnd"/>
      <w:r w:rsidRPr="006022D6">
        <w:rPr>
          <w:rFonts w:ascii="Arial" w:hAnsi="Arial" w:cs="Arial"/>
          <w:sz w:val="20"/>
          <w:szCs w:val="20"/>
        </w:rPr>
        <w:t xml:space="preserve"> prior to SG (n=32). (</w:t>
      </w:r>
      <w:r w:rsidRPr="00F20EE9">
        <w:rPr>
          <w:rFonts w:ascii="Arial" w:hAnsi="Arial" w:cs="Arial"/>
          <w:b/>
          <w:bCs/>
          <w:sz w:val="20"/>
          <w:szCs w:val="20"/>
        </w:rPr>
        <w:t>C</w:t>
      </w:r>
      <w:r w:rsidRPr="006022D6">
        <w:rPr>
          <w:rFonts w:ascii="Arial" w:hAnsi="Arial" w:cs="Arial"/>
          <w:sz w:val="20"/>
          <w:szCs w:val="20"/>
        </w:rPr>
        <w:t>). HR-/HER2-low MBC treated with SG prior to T-</w:t>
      </w:r>
      <w:proofErr w:type="spellStart"/>
      <w:r w:rsidRPr="006022D6">
        <w:rPr>
          <w:rFonts w:ascii="Arial" w:hAnsi="Arial" w:cs="Arial"/>
          <w:sz w:val="20"/>
          <w:szCs w:val="20"/>
        </w:rPr>
        <w:t>DXd</w:t>
      </w:r>
      <w:proofErr w:type="spellEnd"/>
      <w:r w:rsidRPr="006022D6">
        <w:rPr>
          <w:rFonts w:ascii="Arial" w:hAnsi="Arial" w:cs="Arial"/>
          <w:sz w:val="20"/>
          <w:szCs w:val="20"/>
        </w:rPr>
        <w:t xml:space="preserve"> (n=25). </w:t>
      </w:r>
      <w:r>
        <w:rPr>
          <w:rFonts w:ascii="Arial" w:hAnsi="Arial" w:cs="Arial"/>
          <w:sz w:val="20"/>
          <w:szCs w:val="20"/>
        </w:rPr>
        <w:t xml:space="preserve">The subgroups of patients in each of these cohorts are indicated by the colored bar graphs, with the legend at the top right. </w:t>
      </w:r>
      <w:r w:rsidRPr="00F20EE9">
        <w:rPr>
          <w:rFonts w:ascii="Arial" w:hAnsi="Arial" w:cs="Arial"/>
          <w:sz w:val="20"/>
          <w:szCs w:val="20"/>
        </w:rPr>
        <w:t>Subgroup analyses for patients with HR-/HER2-low treated with T-</w:t>
      </w:r>
      <w:proofErr w:type="spellStart"/>
      <w:r w:rsidRPr="00F20EE9">
        <w:rPr>
          <w:rFonts w:ascii="Arial" w:hAnsi="Arial" w:cs="Arial"/>
          <w:sz w:val="20"/>
          <w:szCs w:val="20"/>
        </w:rPr>
        <w:t>DXd</w:t>
      </w:r>
      <w:proofErr w:type="spellEnd"/>
      <w:r w:rsidRPr="00F20EE9">
        <w:rPr>
          <w:rFonts w:ascii="Arial" w:hAnsi="Arial" w:cs="Arial"/>
          <w:sz w:val="20"/>
          <w:szCs w:val="20"/>
        </w:rPr>
        <w:t xml:space="preserve"> prior to SG were possible due to the small sample size (n=3).</w:t>
      </w:r>
      <w:r w:rsidRPr="006022D6">
        <w:rPr>
          <w:rFonts w:ascii="Arial" w:hAnsi="Arial" w:cs="Arial"/>
          <w:sz w:val="20"/>
          <w:szCs w:val="20"/>
        </w:rPr>
        <w:t xml:space="preserve"> </w:t>
      </w:r>
      <w:r w:rsidRPr="00F20EE9">
        <w:rPr>
          <w:rFonts w:ascii="Arial" w:hAnsi="Arial" w:cs="Arial"/>
          <w:color w:val="000000"/>
          <w:sz w:val="20"/>
          <w:szCs w:val="20"/>
        </w:rPr>
        <w:t xml:space="preserve">P values of </w:t>
      </w:r>
      <w:r w:rsidRPr="00F20EE9">
        <w:rPr>
          <w:rFonts w:ascii="Arial" w:hAnsi="Arial" w:cs="Arial"/>
          <w:sz w:val="20"/>
          <w:szCs w:val="20"/>
        </w:rPr>
        <w:t>≤</w:t>
      </w:r>
      <w:r w:rsidRPr="00F20EE9">
        <w:rPr>
          <w:rFonts w:ascii="Arial" w:hAnsi="Arial" w:cs="Arial"/>
          <w:color w:val="000000"/>
          <w:sz w:val="20"/>
          <w:szCs w:val="20"/>
        </w:rPr>
        <w:t>0.05 was considered statistically significant and indicated with a (*) abo</w:t>
      </w:r>
      <w:r>
        <w:rPr>
          <w:rFonts w:ascii="Arial" w:hAnsi="Arial" w:cs="Arial"/>
          <w:color w:val="000000"/>
          <w:sz w:val="20"/>
          <w:szCs w:val="20"/>
        </w:rPr>
        <w:t>ve</w:t>
      </w:r>
      <w:r w:rsidRPr="00F20EE9">
        <w:rPr>
          <w:rFonts w:ascii="Arial" w:hAnsi="Arial" w:cs="Arial"/>
          <w:color w:val="000000"/>
          <w:sz w:val="20"/>
          <w:szCs w:val="20"/>
        </w:rPr>
        <w:t xml:space="preserve"> the relevant subgroup pairing.</w:t>
      </w:r>
    </w:p>
    <w:p w14:paraId="27DD04C9" w14:textId="77777777" w:rsidR="008A2099" w:rsidRPr="00782A20" w:rsidRDefault="008A2099" w:rsidP="008A2099">
      <w:pPr>
        <w:spacing w:after="160" w:line="259" w:lineRule="auto"/>
        <w:rPr>
          <w:rFonts w:ascii="Arial" w:hAnsi="Arial" w:cs="Arial"/>
          <w:b/>
          <w:bCs/>
        </w:rPr>
      </w:pPr>
    </w:p>
    <w:p w14:paraId="350C047F" w14:textId="77777777" w:rsidR="001462AC" w:rsidRDefault="001462AC"/>
    <w:sectPr w:rsidR="001462AC" w:rsidSect="008A2099">
      <w:footerReference w:type="even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434708870"/>
      <w:docPartObj>
        <w:docPartGallery w:val="Page Numbers (Bottom of Page)"/>
        <w:docPartUnique/>
      </w:docPartObj>
    </w:sdtPr>
    <w:sdtContent>
      <w:p w14:paraId="287F83B7" w14:textId="77777777" w:rsidR="00000000" w:rsidRDefault="00000000" w:rsidP="00A970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ECCDF6" w14:textId="77777777" w:rsidR="00000000" w:rsidRDefault="00000000" w:rsidP="00CD4A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697544604"/>
      <w:docPartObj>
        <w:docPartGallery w:val="Page Numbers (Bottom of Page)"/>
        <w:docPartUnique/>
      </w:docPartObj>
    </w:sdtPr>
    <w:sdtContent>
      <w:p w14:paraId="08FF10AD" w14:textId="77777777" w:rsidR="00000000" w:rsidRDefault="00000000" w:rsidP="00A970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C2F64A3" w14:textId="77777777" w:rsidR="00000000" w:rsidRDefault="00000000" w:rsidP="00CD4AAB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99"/>
    <w:rsid w:val="00125AA4"/>
    <w:rsid w:val="001462AC"/>
    <w:rsid w:val="003F4DFE"/>
    <w:rsid w:val="0088335B"/>
    <w:rsid w:val="008A2099"/>
    <w:rsid w:val="00CB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340314"/>
  <w15:chartTrackingRefBased/>
  <w15:docId w15:val="{7886670B-AB20-6E41-B98C-FDAF23DF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099"/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0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0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0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09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09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09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09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0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0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0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09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09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8A2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099"/>
    <w:pPr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8A20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0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09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A20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099"/>
    <w:rPr>
      <w:rFonts w:ascii="Times New Roman" w:eastAsia="Times New Roman" w:hAnsi="Times New Roman" w:cs="Times New Roman"/>
      <w:kern w:val="0"/>
    </w:rPr>
  </w:style>
  <w:style w:type="character" w:styleId="PageNumber">
    <w:name w:val="page number"/>
    <w:basedOn w:val="DefaultParagraphFont"/>
    <w:uiPriority w:val="99"/>
    <w:semiHidden/>
    <w:unhideWhenUsed/>
    <w:rsid w:val="008A2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Huppert, Laura</dc:creator>
  <cp:keywords/>
  <dc:description/>
  <cp:lastModifiedBy>Huppert, Laura</cp:lastModifiedBy>
  <cp:revision>1</cp:revision>
  <dcterms:created xsi:type="dcterms:W3CDTF">2025-02-22T02:38:00Z</dcterms:created>
  <dcterms:modified xsi:type="dcterms:W3CDTF">2025-02-22T02:39:00Z</dcterms:modified>
</cp:coreProperties>
</file>