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F7C41" w:rsidRDefault="00EF7C41" w:rsidP="00EF7C41">
      <w:pPr>
        <w:rPr>
          <w:b/>
          <w:bCs/>
          <w:color w:val="000000" w:themeColor="text1"/>
          <w:lang w:val="en-US"/>
        </w:rPr>
      </w:pPr>
      <w:r>
        <w:rPr>
          <w:b/>
          <w:bCs/>
          <w:noProof/>
          <w:color w:val="000000" w:themeColor="text1"/>
          <w:lang w:val="en-US"/>
          <w14:ligatures w14:val="standardContextual"/>
        </w:rPr>
        <w:drawing>
          <wp:inline distT="0" distB="0" distL="0" distR="0">
            <wp:extent cx="6109953" cy="2508932"/>
            <wp:effectExtent l="0" t="0" r="0" b="5715"/>
            <wp:docPr id="1968074209" name="Imagen 1" descr="Gráf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074209" name="Imagen 1" descr="Gráfico&#10;&#10;El contenido generado por IA puede ser incorrec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593" cy="2524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C41" w:rsidRDefault="00EF7C41" w:rsidP="00EF7C41">
      <w:pPr>
        <w:rPr>
          <w:b/>
          <w:bCs/>
          <w:color w:val="000000" w:themeColor="text1"/>
          <w:lang w:val="en-US"/>
        </w:rPr>
      </w:pPr>
    </w:p>
    <w:p w:rsidR="00EF7C41" w:rsidRDefault="00EF7C41" w:rsidP="00EF7C41">
      <w:pPr>
        <w:rPr>
          <w:b/>
          <w:bCs/>
          <w:color w:val="000000" w:themeColor="text1"/>
          <w:lang w:val="en-US"/>
        </w:rPr>
      </w:pPr>
    </w:p>
    <w:p w:rsidR="00EF7C41" w:rsidRPr="001B6697" w:rsidRDefault="00EF7C41" w:rsidP="00EF7C41">
      <w:pPr>
        <w:rPr>
          <w:color w:val="000000" w:themeColor="text1"/>
          <w:lang w:val="en-US"/>
        </w:rPr>
      </w:pPr>
      <w:r w:rsidRPr="001B6697">
        <w:rPr>
          <w:b/>
          <w:bCs/>
          <w:color w:val="000000" w:themeColor="text1"/>
          <w:lang w:val="en-US"/>
        </w:rPr>
        <w:t>Supplementary Figure 1.</w:t>
      </w:r>
      <w:r w:rsidRPr="001B6697">
        <w:rPr>
          <w:color w:val="000000" w:themeColor="text1"/>
          <w:lang w:val="en-US"/>
        </w:rPr>
        <w:t xml:space="preserve"> Association of HER2DX ERBB2 score and HER2 IHC. </w:t>
      </w:r>
      <w:r w:rsidRPr="001B6697">
        <w:rPr>
          <w:b/>
          <w:bCs/>
          <w:color w:val="000000" w:themeColor="text1"/>
          <w:lang w:val="en-US"/>
        </w:rPr>
        <w:t>(A)</w:t>
      </w:r>
      <w:r w:rsidRPr="001B6697">
        <w:rPr>
          <w:color w:val="000000" w:themeColor="text1"/>
          <w:lang w:val="en-US"/>
        </w:rPr>
        <w:t xml:space="preserve"> Correlation of HER2DX ERBB2 mRNA score as continuous variable and HER2 IHC categories (0, 1+, 2+, 3+). </w:t>
      </w:r>
      <w:r w:rsidRPr="001B6697">
        <w:rPr>
          <w:b/>
          <w:bCs/>
          <w:color w:val="000000" w:themeColor="text1"/>
          <w:lang w:val="en-US"/>
        </w:rPr>
        <w:t xml:space="preserve">(B) </w:t>
      </w:r>
      <w:r w:rsidRPr="001B6697">
        <w:rPr>
          <w:color w:val="000000" w:themeColor="text1"/>
          <w:lang w:val="en-US"/>
        </w:rPr>
        <w:t>Distribution of HER2DX ERBB2 mRNA score high, medium and low groups and HER2 IHC categories (0, 1+, 2+, 3+).</w:t>
      </w:r>
    </w:p>
    <w:p w:rsidR="00232F52" w:rsidRPr="00EF7C41" w:rsidRDefault="00232F52">
      <w:pPr>
        <w:rPr>
          <w:lang w:val="en-US"/>
        </w:rPr>
      </w:pPr>
    </w:p>
    <w:sectPr w:rsidR="00232F52" w:rsidRPr="00EF7C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 (Títulos)">
    <w:altName w:val="Calibri Light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41"/>
    <w:rsid w:val="001E693A"/>
    <w:rsid w:val="00232F52"/>
    <w:rsid w:val="005A41A4"/>
    <w:rsid w:val="00634F37"/>
    <w:rsid w:val="008770A0"/>
    <w:rsid w:val="00CD42D0"/>
    <w:rsid w:val="00D445AC"/>
    <w:rsid w:val="00EF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8B1AA9"/>
  <w15:chartTrackingRefBased/>
  <w15:docId w15:val="{74971EC5-CA49-8F42-A707-E54EBE69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="Calibri Light (Títulos)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C41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F7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7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7C4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7C4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7C4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7C4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7C4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7C4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7C4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7C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7C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7C4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7C4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7C4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7C4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7C4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7C4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7C41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7C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F7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7C4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F7C4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7C41"/>
    <w:pPr>
      <w:spacing w:before="160" w:after="160"/>
      <w:jc w:val="center"/>
    </w:pPr>
    <w:rPr>
      <w:rFonts w:ascii="Calibri Light" w:eastAsiaTheme="minorHAnsi" w:hAnsi="Calibri Light" w:cs="Calibri Light (Títulos)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F7C4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F7C41"/>
    <w:pPr>
      <w:ind w:left="720"/>
      <w:contextualSpacing/>
    </w:pPr>
    <w:rPr>
      <w:rFonts w:ascii="Calibri Light" w:eastAsiaTheme="minorHAnsi" w:hAnsi="Calibri Light" w:cs="Calibri Light (Títulos)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F7C4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7C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Calibri Light" w:eastAsiaTheme="minorHAnsi" w:hAnsi="Calibri Light" w:cs="Calibri Light (Títulos)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7C4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7C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252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Sánchez-Bayona</dc:creator>
  <cp:keywords/>
  <dc:description/>
  <cp:lastModifiedBy>Rodrigo Sánchez-Bayona</cp:lastModifiedBy>
  <cp:revision>1</cp:revision>
  <dcterms:created xsi:type="dcterms:W3CDTF">2025-01-21T18:19:00Z</dcterms:created>
  <dcterms:modified xsi:type="dcterms:W3CDTF">2025-01-21T18:22:00Z</dcterms:modified>
</cp:coreProperties>
</file>