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C9C" w:rsidRDefault="00641C9C" w:rsidP="00641C9C">
      <w:pPr>
        <w:pStyle w:val="Titolo1"/>
        <w:rPr>
          <w:rFonts w:ascii="Arial" w:hAnsi="Arial" w:cs="Arial"/>
          <w:b/>
          <w:color w:val="auto"/>
          <w:sz w:val="22"/>
          <w:szCs w:val="22"/>
        </w:rPr>
      </w:pPr>
      <w:bookmarkStart w:id="0" w:name="_GoBack"/>
      <w:bookmarkEnd w:id="0"/>
      <w:r w:rsidRPr="00CE2E5F">
        <w:rPr>
          <w:rFonts w:ascii="Arial" w:hAnsi="Arial" w:cs="Arial"/>
          <w:b/>
          <w:color w:val="auto"/>
          <w:sz w:val="22"/>
          <w:szCs w:val="22"/>
        </w:rPr>
        <w:t xml:space="preserve">Supplementary </w:t>
      </w:r>
      <w:r>
        <w:rPr>
          <w:rFonts w:ascii="Arial" w:hAnsi="Arial" w:cs="Arial"/>
          <w:b/>
          <w:color w:val="auto"/>
          <w:sz w:val="22"/>
          <w:szCs w:val="22"/>
        </w:rPr>
        <w:t>material</w:t>
      </w:r>
    </w:p>
    <w:p w:rsidR="00641C9C" w:rsidRDefault="00641C9C" w:rsidP="00641C9C">
      <w:pPr>
        <w:pStyle w:val="Titolo1"/>
        <w:rPr>
          <w:rFonts w:ascii="Arial" w:hAnsi="Arial" w:cs="Arial"/>
          <w:b/>
          <w:color w:val="auto"/>
          <w:sz w:val="22"/>
          <w:szCs w:val="22"/>
        </w:rPr>
      </w:pPr>
    </w:p>
    <w:p w:rsidR="00664E2C" w:rsidRPr="00CE2E5F" w:rsidRDefault="00664E2C" w:rsidP="00664E2C">
      <w:pPr>
        <w:pStyle w:val="Titolo1"/>
        <w:rPr>
          <w:rFonts w:ascii="Arial" w:hAnsi="Arial" w:cs="Arial"/>
          <w:b/>
          <w:color w:val="auto"/>
          <w:sz w:val="22"/>
          <w:szCs w:val="22"/>
        </w:rPr>
      </w:pPr>
      <w:r w:rsidRPr="00CE2E5F">
        <w:rPr>
          <w:rFonts w:ascii="Arial" w:hAnsi="Arial" w:cs="Arial"/>
          <w:b/>
          <w:color w:val="auto"/>
          <w:sz w:val="22"/>
          <w:szCs w:val="22"/>
        </w:rPr>
        <w:t xml:space="preserve">Supplementary Table 1 </w:t>
      </w:r>
      <w:r w:rsidRPr="007460BC">
        <w:rPr>
          <w:rFonts w:ascii="Arial" w:hAnsi="Arial" w:cs="Arial"/>
          <w:color w:val="auto"/>
          <w:sz w:val="22"/>
          <w:szCs w:val="22"/>
          <w:lang w:val="en-US"/>
        </w:rPr>
        <w:t xml:space="preserve">HER2 expression (20-gene signature) and tumor-infiltrating immune cell (TIIC) populations </w:t>
      </w:r>
      <w:r>
        <w:rPr>
          <w:rFonts w:ascii="Arial" w:hAnsi="Arial" w:cs="Arial"/>
          <w:color w:val="auto"/>
          <w:sz w:val="22"/>
          <w:szCs w:val="22"/>
          <w:lang w:val="en-US"/>
        </w:rPr>
        <w:t>(CIBERSORTx)</w:t>
      </w:r>
    </w:p>
    <w:p w:rsidR="00664E2C" w:rsidRPr="00BC10C7" w:rsidRDefault="00664E2C" w:rsidP="00664E2C">
      <w:pPr>
        <w:pStyle w:val="Titolo1"/>
        <w:rPr>
          <w:color w:val="auto"/>
          <w:sz w:val="20"/>
          <w:szCs w:val="20"/>
          <w:lang w:val="en-US"/>
        </w:rPr>
      </w:pPr>
    </w:p>
    <w:tbl>
      <w:tblPr>
        <w:tblStyle w:val="Grigliatabella"/>
        <w:tblW w:w="9801" w:type="dxa"/>
        <w:jc w:val="center"/>
        <w:tblLook w:val="04A0"/>
      </w:tblPr>
      <w:tblGrid>
        <w:gridCol w:w="2492"/>
        <w:gridCol w:w="2410"/>
        <w:gridCol w:w="2410"/>
        <w:gridCol w:w="2489"/>
      </w:tblGrid>
      <w:tr w:rsidR="00664E2C" w:rsidRPr="004F5E90" w:rsidTr="004520EF">
        <w:trPr>
          <w:trHeight w:val="272"/>
          <w:jc w:val="center"/>
        </w:trPr>
        <w:tc>
          <w:tcPr>
            <w:tcW w:w="2492" w:type="dxa"/>
            <w:vMerge w:val="restart"/>
            <w:vAlign w:val="center"/>
            <w:hideMark/>
          </w:tcPr>
          <w:p w:rsidR="00664E2C" w:rsidRPr="004F5E90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4F5E90">
              <w:rPr>
                <w:rFonts w:ascii="Arial" w:hAnsi="Arial" w:cs="Arial"/>
                <w:b/>
                <w:bCs/>
              </w:rPr>
              <w:t>TIICs</w:t>
            </w:r>
          </w:p>
        </w:tc>
        <w:tc>
          <w:tcPr>
            <w:tcW w:w="2410" w:type="dxa"/>
            <w:vAlign w:val="center"/>
            <w:hideMark/>
          </w:tcPr>
          <w:p w:rsidR="00664E2C" w:rsidRPr="004F5E90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4F5E90">
              <w:rPr>
                <w:rFonts w:ascii="Arial" w:hAnsi="Arial" w:cs="Arial"/>
                <w:b/>
                <w:bCs/>
              </w:rPr>
              <w:t>Discovery cohort</w:t>
            </w:r>
          </w:p>
        </w:tc>
        <w:tc>
          <w:tcPr>
            <w:tcW w:w="2410" w:type="dxa"/>
            <w:vAlign w:val="center"/>
            <w:hideMark/>
          </w:tcPr>
          <w:p w:rsidR="00664E2C" w:rsidRPr="004F5E90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4F5E90">
              <w:rPr>
                <w:rFonts w:ascii="Arial" w:hAnsi="Arial" w:cs="Arial"/>
                <w:b/>
                <w:bCs/>
              </w:rPr>
              <w:t>Confirmatory cohort</w:t>
            </w:r>
          </w:p>
        </w:tc>
        <w:tc>
          <w:tcPr>
            <w:tcW w:w="2489" w:type="dxa"/>
            <w:vAlign w:val="center"/>
            <w:hideMark/>
          </w:tcPr>
          <w:p w:rsidR="00664E2C" w:rsidRPr="004F5E90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External independent (ABiM) cohort</w:t>
            </w:r>
          </w:p>
        </w:tc>
      </w:tr>
      <w:tr w:rsidR="00664E2C" w:rsidRPr="004F5E90" w:rsidTr="004520EF">
        <w:trPr>
          <w:trHeight w:val="238"/>
          <w:jc w:val="center"/>
        </w:trPr>
        <w:tc>
          <w:tcPr>
            <w:tcW w:w="2492" w:type="dxa"/>
            <w:vMerge/>
            <w:vAlign w:val="center"/>
            <w:hideMark/>
          </w:tcPr>
          <w:p w:rsidR="00664E2C" w:rsidRPr="004F5E90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10" w:type="dxa"/>
            <w:vAlign w:val="center"/>
            <w:hideMark/>
          </w:tcPr>
          <w:p w:rsidR="00664E2C" w:rsidRPr="00351278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278">
              <w:rPr>
                <w:rFonts w:ascii="Arial" w:hAnsi="Arial" w:cs="Arial"/>
                <w:b/>
                <w:sz w:val="20"/>
                <w:szCs w:val="20"/>
              </w:rPr>
              <w:t>ρ (95% CI)</w:t>
            </w:r>
          </w:p>
        </w:tc>
        <w:tc>
          <w:tcPr>
            <w:tcW w:w="2410" w:type="dxa"/>
            <w:vAlign w:val="center"/>
            <w:hideMark/>
          </w:tcPr>
          <w:p w:rsidR="00664E2C" w:rsidRPr="00351278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278">
              <w:rPr>
                <w:rFonts w:ascii="Arial" w:hAnsi="Arial" w:cs="Arial"/>
                <w:b/>
                <w:sz w:val="20"/>
                <w:szCs w:val="20"/>
              </w:rPr>
              <w:t>ρ (95% CI)</w:t>
            </w:r>
          </w:p>
        </w:tc>
        <w:tc>
          <w:tcPr>
            <w:tcW w:w="2489" w:type="dxa"/>
            <w:vAlign w:val="center"/>
            <w:hideMark/>
          </w:tcPr>
          <w:p w:rsidR="00664E2C" w:rsidRPr="00351278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278">
              <w:rPr>
                <w:rFonts w:ascii="Arial" w:hAnsi="Arial" w:cs="Arial"/>
                <w:b/>
                <w:sz w:val="20"/>
                <w:szCs w:val="20"/>
              </w:rPr>
              <w:t>ρ (95% CI)</w:t>
            </w:r>
          </w:p>
        </w:tc>
      </w:tr>
      <w:tr w:rsidR="00664E2C" w:rsidRPr="00A14A1B" w:rsidTr="004520EF">
        <w:trPr>
          <w:trHeight w:val="294"/>
          <w:jc w:val="center"/>
        </w:trPr>
        <w:tc>
          <w:tcPr>
            <w:tcW w:w="2492" w:type="dxa"/>
            <w:hideMark/>
          </w:tcPr>
          <w:p w:rsidR="00664E2C" w:rsidRPr="00A14A1B" w:rsidRDefault="00664E2C" w:rsidP="004520EF">
            <w:pPr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B cells naïve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-0.15 (-0.36;0.08)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-0.07 (-0.18;0.04)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A14A1B" w:rsidRDefault="00664E2C" w:rsidP="004520EF">
            <w:pPr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B cells memory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-0.04 (-0.24;0.17)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0.654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Plasma cells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0.13 (-0.07;0.32)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-0.19 (-0.41;0.04)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-0.26 (-0.36;-0.15)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CD8</w:t>
            </w:r>
          </w:p>
        </w:tc>
        <w:tc>
          <w:tcPr>
            <w:tcW w:w="2410" w:type="dxa"/>
            <w:hideMark/>
          </w:tcPr>
          <w:p w:rsidR="00664E2C" w:rsidRPr="005E59C2" w:rsidRDefault="00664E2C" w:rsidP="004520EF">
            <w:pPr>
              <w:jc w:val="center"/>
              <w:rPr>
                <w:rFonts w:ascii="Arial" w:hAnsi="Arial" w:cs="Arial"/>
              </w:rPr>
            </w:pPr>
            <w:r w:rsidRPr="005E59C2">
              <w:rPr>
                <w:rFonts w:ascii="Arial" w:hAnsi="Arial" w:cs="Arial"/>
              </w:rPr>
              <w:t>-0.01 (-0.23;0.21)</w:t>
            </w:r>
          </w:p>
        </w:tc>
        <w:tc>
          <w:tcPr>
            <w:tcW w:w="2410" w:type="dxa"/>
            <w:hideMark/>
          </w:tcPr>
          <w:p w:rsidR="00664E2C" w:rsidRPr="0029553A" w:rsidRDefault="00664E2C" w:rsidP="004520EF">
            <w:pPr>
              <w:jc w:val="center"/>
              <w:rPr>
                <w:rFonts w:ascii="Arial" w:hAnsi="Arial" w:cs="Arial"/>
                <w:b/>
              </w:rPr>
            </w:pPr>
            <w:r w:rsidRPr="0029553A">
              <w:rPr>
                <w:rFonts w:ascii="Arial" w:hAnsi="Arial" w:cs="Arial"/>
                <w:b/>
              </w:rPr>
              <w:t>-0.34 (-0.52;-0.13)</w:t>
            </w:r>
          </w:p>
        </w:tc>
        <w:tc>
          <w:tcPr>
            <w:tcW w:w="2489" w:type="dxa"/>
            <w:hideMark/>
          </w:tcPr>
          <w:p w:rsidR="00664E2C" w:rsidRPr="0029553A" w:rsidRDefault="00664E2C" w:rsidP="004520EF">
            <w:pPr>
              <w:jc w:val="center"/>
              <w:rPr>
                <w:rFonts w:ascii="Arial" w:hAnsi="Arial" w:cs="Arial"/>
                <w:b/>
              </w:rPr>
            </w:pPr>
            <w:r w:rsidRPr="0029553A">
              <w:rPr>
                <w:rFonts w:ascii="Arial" w:hAnsi="Arial" w:cs="Arial"/>
                <w:b/>
              </w:rPr>
              <w:t>-0.30 (-0.40;-0.19)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CD4 naïve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0.513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0.733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 CD4 memory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0.062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0.076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-0.21 (-0.32;-0.1)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CD4 memory activated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0.001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follicular helper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-0.01 (-0.21;0.18)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-0.24 (-0.34;-0.13)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regulatory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0.16 (-0.05;0.35)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0.15 (-0.07;0.37)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-0.17 (-0.28;-0.06)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 xml:space="preserve">T cells </w:t>
            </w:r>
            <w:r w:rsidRPr="00E35E94">
              <w:rPr>
                <w:rFonts w:ascii="Arial" w:hAnsi="Arial" w:cs="Arial"/>
              </w:rPr>
              <w:sym w:font="Symbol" w:char="F067"/>
            </w:r>
            <w:r w:rsidRPr="00E35E94">
              <w:rPr>
                <w:rFonts w:ascii="Arial" w:hAnsi="Arial" w:cs="Arial"/>
              </w:rPr>
              <w:sym w:font="Symbol" w:char="F064"/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p=</w:t>
            </w:r>
            <w:r w:rsidRPr="00A14A1B">
              <w:rPr>
                <w:rFonts w:ascii="Arial" w:hAnsi="Arial" w:cs="Arial"/>
              </w:rPr>
              <w:t xml:space="preserve"> 0.027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p=0.002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NK cells resting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 xml:space="preserve"> p= 0.699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NK cells activated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0.01 (-0.18;0.21)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0.15 (-0.07;0.38)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-0.22 (-0.33;-0.11)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Monocytes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-0.18 (-0.37;0.03)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 xml:space="preserve"> p= 0.513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-0.01 (-0.12;0.10)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Macrophages M0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-0.11 (-0.30;0.09)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0.02 (-0.21;0.23)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-0.26 (-0.36;-0.16)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Macrophages M1</w:t>
            </w:r>
          </w:p>
        </w:tc>
        <w:tc>
          <w:tcPr>
            <w:tcW w:w="2410" w:type="dxa"/>
            <w:hideMark/>
          </w:tcPr>
          <w:p w:rsidR="00664E2C" w:rsidRPr="0029553A" w:rsidRDefault="00664E2C" w:rsidP="004520EF">
            <w:pPr>
              <w:jc w:val="center"/>
              <w:rPr>
                <w:rFonts w:ascii="Arial" w:hAnsi="Arial" w:cs="Arial"/>
                <w:b/>
              </w:rPr>
            </w:pPr>
            <w:r w:rsidRPr="0029553A">
              <w:rPr>
                <w:rFonts w:ascii="Arial" w:hAnsi="Arial" w:cs="Arial"/>
                <w:b/>
              </w:rPr>
              <w:t>-0.32 (-0.49;-0.12)</w:t>
            </w:r>
          </w:p>
        </w:tc>
        <w:tc>
          <w:tcPr>
            <w:tcW w:w="2410" w:type="dxa"/>
            <w:hideMark/>
          </w:tcPr>
          <w:p w:rsidR="00664E2C" w:rsidRPr="0029553A" w:rsidRDefault="00664E2C" w:rsidP="004520EF">
            <w:pPr>
              <w:jc w:val="center"/>
              <w:rPr>
                <w:rFonts w:ascii="Arial" w:hAnsi="Arial" w:cs="Arial"/>
                <w:b/>
              </w:rPr>
            </w:pPr>
            <w:r w:rsidRPr="0029553A">
              <w:rPr>
                <w:rFonts w:ascii="Arial" w:hAnsi="Arial" w:cs="Arial"/>
                <w:b/>
              </w:rPr>
              <w:t>-0.62 (-0.75;-0.46)</w:t>
            </w:r>
          </w:p>
        </w:tc>
        <w:tc>
          <w:tcPr>
            <w:tcW w:w="2489" w:type="dxa"/>
            <w:hideMark/>
          </w:tcPr>
          <w:p w:rsidR="00664E2C" w:rsidRPr="0029553A" w:rsidRDefault="00664E2C" w:rsidP="004520EF">
            <w:pPr>
              <w:jc w:val="center"/>
              <w:rPr>
                <w:rFonts w:ascii="Arial" w:hAnsi="Arial" w:cs="Arial"/>
                <w:b/>
              </w:rPr>
            </w:pPr>
            <w:r w:rsidRPr="0029553A">
              <w:rPr>
                <w:rFonts w:ascii="Arial" w:hAnsi="Arial" w:cs="Arial"/>
                <w:b/>
              </w:rPr>
              <w:t>-0.33 (-0.43;-0.22)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Macrophages M2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-0.07 (-0.26;0.12)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0.26 (0.03; 0.47)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0.08 (-0.04;0.19)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DC resting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0.617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 0.588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Mast cells resting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-0.04 (-0.23;0.15)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0.06 (-0.15;0.27)</w:t>
            </w: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0.17 (0.05;0.28)</w:t>
            </w: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Mast cells activated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14A1B">
              <w:rPr>
                <w:rFonts w:ascii="Arial" w:hAnsi="Arial" w:cs="Arial"/>
              </w:rPr>
              <w:t>=</w:t>
            </w:r>
            <w:r>
              <w:rPr>
                <w:rFonts w:ascii="Arial" w:hAnsi="Arial" w:cs="Arial"/>
              </w:rPr>
              <w:t xml:space="preserve"> </w:t>
            </w:r>
            <w:r w:rsidRPr="00A14A1B">
              <w:rPr>
                <w:rFonts w:ascii="Arial" w:hAnsi="Arial" w:cs="Arial"/>
              </w:rPr>
              <w:t>0.08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</w:tr>
      <w:tr w:rsidR="00664E2C" w:rsidRPr="00A14A1B" w:rsidTr="004520EF">
        <w:trPr>
          <w:trHeight w:val="226"/>
          <w:jc w:val="center"/>
        </w:trPr>
        <w:tc>
          <w:tcPr>
            <w:tcW w:w="2492" w:type="dxa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Neutrophils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p=0.783</w:t>
            </w:r>
          </w:p>
        </w:tc>
        <w:tc>
          <w:tcPr>
            <w:tcW w:w="2410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89" w:type="dxa"/>
            <w:hideMark/>
          </w:tcPr>
          <w:p w:rsidR="00664E2C" w:rsidRPr="00A14A1B" w:rsidRDefault="00664E2C" w:rsidP="004520EF">
            <w:pPr>
              <w:jc w:val="center"/>
              <w:rPr>
                <w:rFonts w:ascii="Arial" w:hAnsi="Arial" w:cs="Arial"/>
              </w:rPr>
            </w:pPr>
            <w:r w:rsidRPr="00A14A1B">
              <w:rPr>
                <w:rFonts w:ascii="Arial" w:hAnsi="Arial" w:cs="Arial"/>
              </w:rPr>
              <w:t>p=0.027</w:t>
            </w:r>
          </w:p>
        </w:tc>
      </w:tr>
    </w:tbl>
    <w:p w:rsidR="00664E2C" w:rsidRDefault="00664E2C" w:rsidP="00664E2C">
      <w:pPr>
        <w:rPr>
          <w:rFonts w:ascii="Arial" w:hAnsi="Arial" w:cs="Arial"/>
          <w:lang w:val="en-US"/>
        </w:rPr>
      </w:pPr>
    </w:p>
    <w:p w:rsidR="00664E2C" w:rsidRPr="00DB50E2" w:rsidRDefault="00664E2C" w:rsidP="00664E2C">
      <w:pPr>
        <w:rPr>
          <w:rFonts w:ascii="Arial" w:hAnsi="Arial" w:cs="Arial"/>
          <w:sz w:val="20"/>
          <w:szCs w:val="20"/>
          <w:lang w:val="en-US"/>
        </w:rPr>
      </w:pPr>
      <w:r w:rsidRPr="00DB50E2">
        <w:rPr>
          <w:rFonts w:ascii="Arial" w:hAnsi="Arial" w:cs="Arial"/>
          <w:sz w:val="20"/>
          <w:szCs w:val="20"/>
          <w:lang w:val="en-US"/>
        </w:rPr>
        <w:t xml:space="preserve">Bold values, </w:t>
      </w:r>
      <w:r w:rsidR="00DB50E2" w:rsidRPr="00DB50E2">
        <w:rPr>
          <w:rFonts w:ascii="Arial" w:hAnsi="Arial" w:cs="Arial"/>
          <w:sz w:val="20"/>
          <w:szCs w:val="20"/>
          <w:lang w:val="en-US"/>
        </w:rPr>
        <w:t xml:space="preserve">significant findings; </w:t>
      </w:r>
      <w:r w:rsidRPr="00DB50E2">
        <w:rPr>
          <w:rFonts w:ascii="Arial" w:hAnsi="Arial" w:cs="Arial"/>
          <w:sz w:val="20"/>
          <w:szCs w:val="20"/>
          <w:lang w:val="en-US"/>
        </w:rPr>
        <w:t xml:space="preserve">Spearman’s rank correlation coefficients (ρ)&gt;0.30; 95% confidence intervals (95%CI) are reported for continuous TIICs; p-values from Wilcoxon tests for dichotomous TIICs; blank cells, TIICs not estimated as reported in the Methods; NK, natural killer; DC, dendric cells. </w:t>
      </w:r>
    </w:p>
    <w:p w:rsidR="00664E2C" w:rsidRPr="00CE2E5F" w:rsidRDefault="00664E2C" w:rsidP="00664E2C">
      <w:pPr>
        <w:rPr>
          <w:rFonts w:ascii="Arial" w:hAnsi="Arial" w:cs="Arial"/>
          <w:lang w:val="en-US"/>
        </w:rPr>
      </w:pPr>
    </w:p>
    <w:p w:rsidR="00664E2C" w:rsidRPr="00664E2C" w:rsidRDefault="00664E2C" w:rsidP="00664E2C">
      <w:pPr>
        <w:rPr>
          <w:rFonts w:ascii="Arial" w:hAnsi="Arial" w:cs="Arial"/>
          <w:sz w:val="20"/>
          <w:szCs w:val="20"/>
          <w:lang w:val="en-US"/>
        </w:rPr>
      </w:pPr>
      <w:r w:rsidRPr="00664E2C">
        <w:rPr>
          <w:rFonts w:ascii="Arial" w:hAnsi="Arial" w:cs="Arial"/>
          <w:sz w:val="20"/>
          <w:szCs w:val="20"/>
          <w:lang w:val="en-US"/>
        </w:rPr>
        <w:br w:type="page"/>
      </w:r>
    </w:p>
    <w:p w:rsidR="00664E2C" w:rsidRPr="008257AC" w:rsidRDefault="00664E2C" w:rsidP="00664E2C">
      <w:pPr>
        <w:pStyle w:val="Titolo1"/>
        <w:rPr>
          <w:rFonts w:ascii="Arial" w:hAnsi="Arial" w:cs="Arial"/>
          <w:b/>
          <w:color w:val="auto"/>
          <w:sz w:val="24"/>
          <w:szCs w:val="24"/>
        </w:rPr>
      </w:pPr>
      <w:r w:rsidRPr="008257AC">
        <w:rPr>
          <w:rFonts w:ascii="Arial" w:hAnsi="Arial" w:cs="Arial"/>
          <w:b/>
          <w:color w:val="auto"/>
          <w:sz w:val="24"/>
          <w:szCs w:val="24"/>
          <w:lang w:val="en-US"/>
        </w:rPr>
        <w:lastRenderedPageBreak/>
        <w:t xml:space="preserve">Supplementary Table 2 </w:t>
      </w:r>
      <w:r w:rsidRPr="008257AC">
        <w:rPr>
          <w:rFonts w:ascii="Arial" w:hAnsi="Arial" w:cs="Arial"/>
          <w:color w:val="auto"/>
          <w:sz w:val="24"/>
          <w:szCs w:val="24"/>
          <w:lang w:val="en-US"/>
        </w:rPr>
        <w:t>HER2 expression (20-gene signature) and tumor-infiltrating immune cell (TIIC) populations (CIBERSORTx) by hormone-receptor (HR) status</w:t>
      </w:r>
    </w:p>
    <w:p w:rsidR="00664E2C" w:rsidRPr="00664E2C" w:rsidRDefault="00664E2C" w:rsidP="00664E2C">
      <w:pPr>
        <w:rPr>
          <w:lang w:val="en-US"/>
        </w:rPr>
      </w:pPr>
    </w:p>
    <w:tbl>
      <w:tblPr>
        <w:tblStyle w:val="Grigliatabella"/>
        <w:tblW w:w="8616" w:type="dxa"/>
        <w:jc w:val="center"/>
        <w:tblLook w:val="04A0"/>
      </w:tblPr>
      <w:tblGrid>
        <w:gridCol w:w="2640"/>
        <w:gridCol w:w="2945"/>
        <w:gridCol w:w="3031"/>
      </w:tblGrid>
      <w:tr w:rsidR="00664E2C" w:rsidRPr="00E35E94" w:rsidTr="004520EF">
        <w:trPr>
          <w:trHeight w:val="238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TIICs</w:t>
            </w:r>
          </w:p>
        </w:tc>
        <w:tc>
          <w:tcPr>
            <w:tcW w:w="2945" w:type="dxa"/>
            <w:vAlign w:val="center"/>
          </w:tcPr>
          <w:p w:rsidR="00664E2C" w:rsidRPr="00E35E94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HR-p</w:t>
            </w:r>
            <w:r w:rsidRPr="00E35E94">
              <w:rPr>
                <w:rFonts w:ascii="Arial" w:hAnsi="Arial" w:cs="Arial"/>
                <w:b/>
                <w:bCs/>
              </w:rPr>
              <w:t>ositive</w:t>
            </w:r>
          </w:p>
          <w:p w:rsidR="00664E2C" w:rsidRPr="00E35E94" w:rsidRDefault="00664E2C" w:rsidP="004520EF">
            <w:pPr>
              <w:jc w:val="center"/>
              <w:rPr>
                <w:rFonts w:ascii="Arial" w:hAnsi="Arial" w:cs="Arial"/>
                <w:bCs/>
              </w:rPr>
            </w:pPr>
            <w:r w:rsidRPr="00E35E94">
              <w:rPr>
                <w:rFonts w:ascii="Arial" w:hAnsi="Arial" w:cs="Arial"/>
                <w:bCs/>
              </w:rPr>
              <w:t>(n=255)</w:t>
            </w:r>
          </w:p>
        </w:tc>
        <w:tc>
          <w:tcPr>
            <w:tcW w:w="3031" w:type="dxa"/>
            <w:vAlign w:val="center"/>
          </w:tcPr>
          <w:p w:rsidR="00664E2C" w:rsidRPr="00E35E94" w:rsidRDefault="00664E2C" w:rsidP="004520E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HR-n</w:t>
            </w:r>
            <w:r w:rsidRPr="00E35E94">
              <w:rPr>
                <w:rFonts w:ascii="Arial" w:hAnsi="Arial" w:cs="Arial"/>
                <w:b/>
                <w:bCs/>
              </w:rPr>
              <w:t>egative</w:t>
            </w:r>
          </w:p>
          <w:p w:rsidR="00664E2C" w:rsidRPr="00E35E94" w:rsidRDefault="00664E2C" w:rsidP="004520EF">
            <w:pPr>
              <w:jc w:val="center"/>
              <w:rPr>
                <w:rFonts w:ascii="Arial" w:hAnsi="Arial" w:cs="Arial"/>
                <w:bCs/>
                <w:u w:val="single"/>
              </w:rPr>
            </w:pPr>
            <w:r w:rsidRPr="00E35E94">
              <w:rPr>
                <w:rFonts w:ascii="Arial" w:hAnsi="Arial" w:cs="Arial"/>
                <w:bCs/>
              </w:rPr>
              <w:t>(n=63)</w:t>
            </w:r>
          </w:p>
        </w:tc>
      </w:tr>
      <w:tr w:rsidR="00664E2C" w:rsidRPr="00E35E94" w:rsidTr="004520EF">
        <w:trPr>
          <w:trHeight w:val="294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B cells Naïve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-0.15 (-0.28;-0.03)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-0.19 (-0.43;0.07)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Plasma cells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-0.27 (-0.38;-0.15)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-0.10 (-0.33;0.16)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CD8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-0.25 (-0.37;-0.12)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-0.27 (-0.50;-0.001)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CD4 memory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-0.18 (-0.30;-0.04)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-0.16 (-0.40;0.10)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follicular helper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-0.04 (-0.16;0.08)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-0.37 (-0.56;-0.13)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T cells regulatory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-0.07 (-0.20;0.06)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-0.05 (-0.29;0.18)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NK cells activated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-0.19 (-0.31;-0.05)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-0.11 (-0.35;0.14)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Monocytes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-0.03 (-0.16;0.09)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-0.08 (-0.31;0.14)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Macrophages M0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-0.11 (-0.23;-0.001)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-0.10 (-0.36;0.17)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Macrophages M1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-0.19 (-0.30;-0.06)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-0.39 (-0.59;-0.15)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Macrophages M2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0.07 (-0.06;0.20)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0.04 (-0.22;0.28)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Mast cells resting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-0.16 (-0.28;-0.03)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0.24 (-0.001;0.44)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Neutrophils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p= 0.008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  <w:lang w:val="en-US"/>
              </w:rPr>
            </w:pPr>
            <w:r w:rsidRPr="009D1DCD">
              <w:rPr>
                <w:rFonts w:ascii="Arial" w:hAnsi="Arial" w:cs="Arial"/>
                <w:lang w:val="en-US"/>
              </w:rPr>
              <w:t>p= 0.003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>DC resting</w:t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p= 0.129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p= 0.382</w:t>
            </w:r>
          </w:p>
        </w:tc>
      </w:tr>
      <w:tr w:rsidR="00664E2C" w:rsidRPr="00E35E94" w:rsidTr="004520EF">
        <w:trPr>
          <w:trHeight w:val="226"/>
          <w:jc w:val="center"/>
        </w:trPr>
        <w:tc>
          <w:tcPr>
            <w:tcW w:w="2640" w:type="dxa"/>
            <w:vAlign w:val="center"/>
            <w:hideMark/>
          </w:tcPr>
          <w:p w:rsidR="00664E2C" w:rsidRPr="00E35E94" w:rsidRDefault="00664E2C" w:rsidP="004520EF">
            <w:pPr>
              <w:rPr>
                <w:rFonts w:ascii="Arial" w:hAnsi="Arial" w:cs="Arial"/>
              </w:rPr>
            </w:pPr>
            <w:r w:rsidRPr="00E35E94">
              <w:rPr>
                <w:rFonts w:ascii="Arial" w:hAnsi="Arial" w:cs="Arial"/>
              </w:rPr>
              <w:t xml:space="preserve">T cells </w:t>
            </w:r>
            <w:r w:rsidRPr="00E35E94">
              <w:rPr>
                <w:rFonts w:ascii="Arial" w:hAnsi="Arial" w:cs="Arial"/>
              </w:rPr>
              <w:sym w:font="Symbol" w:char="F067"/>
            </w:r>
            <w:r w:rsidRPr="00E35E94">
              <w:rPr>
                <w:rFonts w:ascii="Arial" w:hAnsi="Arial" w:cs="Arial"/>
              </w:rPr>
              <w:sym w:font="Symbol" w:char="F064"/>
            </w:r>
          </w:p>
        </w:tc>
        <w:tc>
          <w:tcPr>
            <w:tcW w:w="2945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p= 0.017</w:t>
            </w:r>
          </w:p>
        </w:tc>
        <w:tc>
          <w:tcPr>
            <w:tcW w:w="3031" w:type="dxa"/>
          </w:tcPr>
          <w:p w:rsidR="00664E2C" w:rsidRPr="009D1DCD" w:rsidRDefault="00664E2C" w:rsidP="004520EF">
            <w:pPr>
              <w:jc w:val="center"/>
              <w:rPr>
                <w:rFonts w:ascii="Arial" w:hAnsi="Arial" w:cs="Arial"/>
              </w:rPr>
            </w:pPr>
            <w:r w:rsidRPr="009D1DCD">
              <w:rPr>
                <w:rFonts w:ascii="Arial" w:hAnsi="Arial" w:cs="Arial"/>
              </w:rPr>
              <w:t>p= 0.531</w:t>
            </w:r>
          </w:p>
        </w:tc>
      </w:tr>
    </w:tbl>
    <w:p w:rsidR="00664E2C" w:rsidRPr="00DB50E2" w:rsidRDefault="00664E2C" w:rsidP="00664E2C">
      <w:pPr>
        <w:pStyle w:val="Titolo1"/>
        <w:rPr>
          <w:color w:val="auto"/>
          <w:sz w:val="20"/>
          <w:szCs w:val="20"/>
        </w:rPr>
      </w:pPr>
      <w:r w:rsidRPr="00DB50E2">
        <w:rPr>
          <w:rFonts w:ascii="Arial" w:hAnsi="Arial" w:cs="Arial"/>
          <w:color w:val="auto"/>
          <w:sz w:val="20"/>
          <w:szCs w:val="20"/>
          <w:lang w:val="en-US"/>
        </w:rPr>
        <w:t xml:space="preserve">Spearman’s rank correlation coefficients (ρ); 95% confidence intervals (95%CI) are reported for continuous TIICs; p-values  of Wilcoxon tests for dichotomous TIICs; NK, natural killer; DC, dendric cells. Data refer to the </w:t>
      </w:r>
      <w:proofErr w:type="spellStart"/>
      <w:r w:rsidRPr="00DB50E2">
        <w:rPr>
          <w:rFonts w:ascii="Arial" w:hAnsi="Arial" w:cs="Arial"/>
          <w:color w:val="auto"/>
          <w:sz w:val="20"/>
          <w:szCs w:val="20"/>
          <w:lang w:val="en-US"/>
        </w:rPr>
        <w:t>ABiM</w:t>
      </w:r>
      <w:proofErr w:type="spellEnd"/>
      <w:r w:rsidRPr="00DB50E2">
        <w:rPr>
          <w:rFonts w:ascii="Arial" w:hAnsi="Arial" w:cs="Arial"/>
          <w:color w:val="auto"/>
          <w:sz w:val="20"/>
          <w:szCs w:val="20"/>
          <w:lang w:val="en-US"/>
        </w:rPr>
        <w:t xml:space="preserve"> cohort</w:t>
      </w:r>
      <w:r w:rsidR="007D1D9B">
        <w:rPr>
          <w:rFonts w:ascii="Arial" w:hAnsi="Arial" w:cs="Arial"/>
          <w:color w:val="auto"/>
          <w:sz w:val="20"/>
          <w:szCs w:val="20"/>
          <w:lang w:val="en-US"/>
        </w:rPr>
        <w:t>.</w:t>
      </w:r>
    </w:p>
    <w:p w:rsidR="00664E2C" w:rsidRPr="00664E2C" w:rsidRDefault="00664E2C" w:rsidP="00664E2C">
      <w:pPr>
        <w:rPr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1B735C" w:rsidRDefault="001B735C" w:rsidP="00641C9C">
      <w:pPr>
        <w:rPr>
          <w:rFonts w:ascii="Arial" w:hAnsi="Arial" w:cs="Arial"/>
          <w:b/>
          <w:sz w:val="24"/>
          <w:szCs w:val="24"/>
          <w:lang w:val="en-US"/>
        </w:rPr>
      </w:pPr>
    </w:p>
    <w:p w:rsidR="00641C9C" w:rsidRPr="00F7136B" w:rsidRDefault="00641C9C" w:rsidP="00641C9C">
      <w:pPr>
        <w:rPr>
          <w:rFonts w:ascii="Arial" w:hAnsi="Arial" w:cs="Arial"/>
          <w:sz w:val="24"/>
          <w:szCs w:val="24"/>
          <w:lang w:val="en-US"/>
        </w:rPr>
      </w:pPr>
      <w:r w:rsidRPr="00F7136B">
        <w:rPr>
          <w:noProof/>
          <w:sz w:val="24"/>
          <w:szCs w:val="24"/>
          <w:lang w:eastAsia="it-IT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12436</wp:posOffset>
            </wp:positionH>
            <wp:positionV relativeFrom="paragraph">
              <wp:posOffset>520508</wp:posOffset>
            </wp:positionV>
            <wp:extent cx="6430010" cy="2605405"/>
            <wp:effectExtent l="0" t="0" r="8890" b="4445"/>
            <wp:wrapTight wrapText="bothSides">
              <wp:wrapPolygon edited="0">
                <wp:start x="0" y="0"/>
                <wp:lineTo x="0" y="21479"/>
                <wp:lineTo x="21566" y="21479"/>
                <wp:lineTo x="21566" y="0"/>
                <wp:lineTo x="0" y="0"/>
              </wp:wrapPolygon>
            </wp:wrapTight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010" cy="260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7136B">
        <w:rPr>
          <w:rFonts w:ascii="Arial" w:hAnsi="Arial" w:cs="Arial"/>
          <w:b/>
          <w:sz w:val="24"/>
          <w:szCs w:val="24"/>
          <w:lang w:val="en-US"/>
        </w:rPr>
        <w:t xml:space="preserve">Supplementary Fig. 1: </w:t>
      </w:r>
      <w:r w:rsidRPr="00F7136B">
        <w:rPr>
          <w:rFonts w:ascii="Arial" w:hAnsi="Arial" w:cs="Arial"/>
          <w:bCs/>
          <w:sz w:val="24"/>
          <w:szCs w:val="24"/>
          <w:lang w:val="en-US"/>
        </w:rPr>
        <w:t>Tumor-infiltrating immune</w:t>
      </w:r>
      <w:r w:rsidRPr="00F7136B">
        <w:rPr>
          <w:rFonts w:ascii="Arial" w:hAnsi="Arial" w:cs="Arial"/>
          <w:sz w:val="24"/>
          <w:szCs w:val="24"/>
          <w:lang w:val="en-US"/>
        </w:rPr>
        <w:t xml:space="preserve"> cell (TIIC) abundance by hormone receptor</w:t>
      </w:r>
      <w:r>
        <w:rPr>
          <w:rFonts w:ascii="Arial" w:hAnsi="Arial" w:cs="Arial"/>
          <w:sz w:val="24"/>
          <w:szCs w:val="24"/>
          <w:lang w:val="en-US"/>
        </w:rPr>
        <w:t xml:space="preserve"> (HR)</w:t>
      </w:r>
      <w:r w:rsidRPr="00F7136B">
        <w:rPr>
          <w:rFonts w:ascii="Arial" w:hAnsi="Arial" w:cs="Arial"/>
          <w:sz w:val="24"/>
          <w:szCs w:val="24"/>
          <w:lang w:val="en-US"/>
        </w:rPr>
        <w:t xml:space="preserve"> status </w:t>
      </w:r>
    </w:p>
    <w:p w:rsidR="00641C9C" w:rsidRDefault="00641C9C" w:rsidP="00641C9C">
      <w:pPr>
        <w:rPr>
          <w:rFonts w:ascii="Arial" w:hAnsi="Arial" w:cs="Arial"/>
          <w:b/>
          <w:sz w:val="24"/>
          <w:szCs w:val="24"/>
          <w:lang w:val="en-US"/>
        </w:rPr>
      </w:pPr>
      <w:r w:rsidRPr="00F7136B">
        <w:rPr>
          <w:rFonts w:ascii="Arial" w:hAnsi="Arial" w:cs="Arial"/>
          <w:b/>
          <w:sz w:val="24"/>
          <w:szCs w:val="24"/>
          <w:lang w:val="en-US"/>
        </w:rPr>
        <w:t>Supplementary Fig. 1</w:t>
      </w:r>
      <w:r w:rsidR="001D0550" w:rsidRPr="001D055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1D0550">
        <w:rPr>
          <w:rFonts w:ascii="Arial" w:hAnsi="Arial" w:cs="Arial"/>
          <w:b/>
          <w:sz w:val="24"/>
          <w:szCs w:val="24"/>
          <w:lang w:val="en-US"/>
        </w:rPr>
        <w:t>legend</w:t>
      </w:r>
    </w:p>
    <w:p w:rsidR="00641C9C" w:rsidRPr="00DB50E2" w:rsidRDefault="00641C9C" w:rsidP="00641C9C">
      <w:pPr>
        <w:rPr>
          <w:rFonts w:ascii="Arial" w:hAnsi="Arial" w:cs="Arial"/>
          <w:sz w:val="20"/>
          <w:szCs w:val="20"/>
          <w:lang w:val="en-US"/>
        </w:rPr>
      </w:pPr>
      <w:r w:rsidRPr="00DB50E2">
        <w:rPr>
          <w:rFonts w:ascii="Arial" w:hAnsi="Arial" w:cs="Arial"/>
          <w:sz w:val="20"/>
          <w:szCs w:val="20"/>
          <w:lang w:val="en-US"/>
        </w:rPr>
        <w:t xml:space="preserve">A total of 15 TIICs were estimated in the </w:t>
      </w:r>
      <w:r w:rsidRPr="00DB50E2">
        <w:rPr>
          <w:rFonts w:ascii="Arial" w:hAnsi="Arial" w:cs="Arial"/>
          <w:bCs/>
          <w:sz w:val="20"/>
          <w:szCs w:val="20"/>
          <w:lang w:val="en-US"/>
        </w:rPr>
        <w:t xml:space="preserve">ABiM cohort (n= 318). </w:t>
      </w:r>
      <w:r w:rsidRPr="00DB50E2">
        <w:rPr>
          <w:rFonts w:ascii="Arial" w:hAnsi="Arial" w:cs="Arial"/>
          <w:sz w:val="20"/>
          <w:szCs w:val="20"/>
          <w:lang w:val="en-US"/>
        </w:rPr>
        <w:t xml:space="preserve">T cells </w:t>
      </w:r>
      <w:r w:rsidRPr="00DB50E2">
        <w:rPr>
          <w:rFonts w:ascii="Arial" w:hAnsi="Arial" w:cs="Arial"/>
          <w:sz w:val="20"/>
          <w:szCs w:val="20"/>
        </w:rPr>
        <w:t>γδ</w:t>
      </w:r>
      <w:r w:rsidRPr="00DB50E2">
        <w:rPr>
          <w:rFonts w:ascii="Arial" w:hAnsi="Arial" w:cs="Arial"/>
          <w:sz w:val="20"/>
          <w:szCs w:val="20"/>
          <w:lang w:val="en-US"/>
        </w:rPr>
        <w:t>, dendric cells resting and neutrophils were considered as continuous variables. Stars indicate statistically significant differences in TIIC abundance</w:t>
      </w:r>
      <w:r w:rsidRPr="00DB50E2" w:rsidDel="00747852">
        <w:rPr>
          <w:rFonts w:ascii="Arial" w:hAnsi="Arial" w:cs="Arial"/>
          <w:sz w:val="20"/>
          <w:szCs w:val="20"/>
          <w:lang w:val="en-US"/>
        </w:rPr>
        <w:t xml:space="preserve"> </w:t>
      </w:r>
      <w:r w:rsidRPr="00DB50E2">
        <w:rPr>
          <w:rFonts w:ascii="Arial" w:hAnsi="Arial" w:cs="Arial"/>
          <w:sz w:val="20"/>
          <w:szCs w:val="20"/>
          <w:lang w:val="en-US"/>
        </w:rPr>
        <w:t xml:space="preserve">between hormone receptor (HR)-positive and negative (HR-negative) tumors (Bonferroni adjusted p&lt; 0.05). </w:t>
      </w:r>
    </w:p>
    <w:p w:rsidR="00641C9C" w:rsidRPr="00641C9C" w:rsidRDefault="00641C9C">
      <w:pPr>
        <w:rPr>
          <w:lang w:val="en-US"/>
        </w:rPr>
      </w:pPr>
    </w:p>
    <w:sectPr w:rsidR="00641C9C" w:rsidRPr="00641C9C" w:rsidSect="00270B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41C9C"/>
    <w:rsid w:val="00075D6E"/>
    <w:rsid w:val="001B735C"/>
    <w:rsid w:val="001D0550"/>
    <w:rsid w:val="00270B27"/>
    <w:rsid w:val="00382D14"/>
    <w:rsid w:val="00641C9C"/>
    <w:rsid w:val="00664E2C"/>
    <w:rsid w:val="006B4E63"/>
    <w:rsid w:val="007D1D9B"/>
    <w:rsid w:val="00C57FF5"/>
    <w:rsid w:val="00D46F35"/>
    <w:rsid w:val="00DB50E2"/>
    <w:rsid w:val="00F01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C9C"/>
  </w:style>
  <w:style w:type="paragraph" w:styleId="Titolo1">
    <w:name w:val="heading 1"/>
    <w:basedOn w:val="Normale"/>
    <w:next w:val="Normale"/>
    <w:link w:val="Titolo1Carattere"/>
    <w:uiPriority w:val="9"/>
    <w:qFormat/>
    <w:rsid w:val="00641C9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1C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Grigliatabella">
    <w:name w:val="Table Grid"/>
    <w:basedOn w:val="Tabellanormale"/>
    <w:uiPriority w:val="59"/>
    <w:rsid w:val="00641C9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appiertovalentina</dc:creator>
  <cp:lastModifiedBy>appiertovalentina</cp:lastModifiedBy>
  <cp:revision>2</cp:revision>
  <cp:lastPrinted>2025-08-06T15:25:00Z</cp:lastPrinted>
  <dcterms:created xsi:type="dcterms:W3CDTF">2025-08-07T09:56:00Z</dcterms:created>
  <dcterms:modified xsi:type="dcterms:W3CDTF">2025-08-07T09:56:00Z</dcterms:modified>
</cp:coreProperties>
</file>