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C6A0B" w14:textId="5815B642" w:rsidR="006617E0" w:rsidRPr="006617E0" w:rsidRDefault="001A268F" w:rsidP="006617E0">
      <w:pPr>
        <w:outlineLvl w:val="0"/>
      </w:pPr>
      <w:r w:rsidRPr="004E1237">
        <w:rPr>
          <w:b/>
          <w:bCs/>
          <w:color w:val="000000" w:themeColor="text1"/>
        </w:rPr>
        <w:t>Supplementary</w:t>
      </w:r>
      <w:r>
        <w:rPr>
          <w:b/>
        </w:rPr>
        <w:t xml:space="preserve"> </w:t>
      </w:r>
      <w:r w:rsidR="006617E0">
        <w:rPr>
          <w:b/>
        </w:rPr>
        <w:t xml:space="preserve">Table </w:t>
      </w:r>
      <w:r w:rsidR="006617E0">
        <w:rPr>
          <w:rFonts w:hint="eastAsia"/>
          <w:b/>
        </w:rPr>
        <w:t>1</w:t>
      </w:r>
      <w:r w:rsidR="006617E0">
        <w:rPr>
          <w:b/>
        </w:rPr>
        <w:t>.</w:t>
      </w:r>
      <w:r w:rsidR="006617E0">
        <w:t xml:space="preserve"> </w:t>
      </w:r>
      <w:r w:rsidR="006617E0" w:rsidRPr="00E2072C">
        <w:t>Distribution of Breast Cancer Molecular Subtypes by Race/Ethnicity and Age Group. Each row presents the count and percentage of cases, normalized within each racial/ethnic and age group, based on the SEER 17 Registries dataset (2010–2022).</w:t>
      </w:r>
    </w:p>
    <w:p w14:paraId="5DF4418A" w14:textId="10382A00" w:rsidR="00E84DF2" w:rsidRDefault="001A268F" w:rsidP="00771D86">
      <w:pPr>
        <w:rPr>
          <w:color w:val="000000"/>
        </w:rPr>
      </w:pPr>
      <w:r w:rsidRPr="004E1237">
        <w:rPr>
          <w:b/>
          <w:bCs/>
          <w:color w:val="000000" w:themeColor="text1"/>
        </w:rPr>
        <w:t>Supplementary</w:t>
      </w:r>
      <w:r>
        <w:rPr>
          <w:b/>
        </w:rPr>
        <w:t xml:space="preserve"> </w:t>
      </w:r>
      <w:r w:rsidR="00771D86">
        <w:rPr>
          <w:b/>
        </w:rPr>
        <w:t>Fig</w:t>
      </w:r>
      <w:r w:rsidR="00771D86">
        <w:rPr>
          <w:rFonts w:hint="eastAsia"/>
          <w:b/>
        </w:rPr>
        <w:t>ure</w:t>
      </w:r>
      <w:r w:rsidR="00771D86">
        <w:rPr>
          <w:b/>
        </w:rPr>
        <w:t xml:space="preserve"> </w:t>
      </w:r>
      <w:r>
        <w:rPr>
          <w:rFonts w:hint="eastAsia"/>
          <w:b/>
        </w:rPr>
        <w:t>1</w:t>
      </w:r>
      <w:r w:rsidR="00771D86">
        <w:rPr>
          <w:b/>
        </w:rPr>
        <w:t>.</w:t>
      </w:r>
      <w:r w:rsidR="00771D86">
        <w:t xml:space="preserve"> </w:t>
      </w:r>
      <w:r w:rsidR="000929D9" w:rsidRPr="000929D9">
        <w:rPr>
          <w:color w:val="000000"/>
        </w:rPr>
        <w:t xml:space="preserve">Distribution of Racial/Ethnic Groups and </w:t>
      </w:r>
      <w:r w:rsidR="000929D9" w:rsidRPr="000929D9">
        <w:t xml:space="preserve">non-Hispanic </w:t>
      </w:r>
      <w:r w:rsidR="000929D9" w:rsidRPr="000929D9">
        <w:rPr>
          <w:color w:val="000000"/>
        </w:rPr>
        <w:t xml:space="preserve">Asian/Pacific Islander Subgroups. Percentages represent the proportion of each racial/ethnic group (left) and the proportion of each </w:t>
      </w:r>
      <w:r w:rsidR="000929D9" w:rsidRPr="000929D9">
        <w:t xml:space="preserve">non-Hispanic </w:t>
      </w:r>
      <w:r w:rsidR="000929D9" w:rsidRPr="000929D9">
        <w:rPr>
          <w:color w:val="000000"/>
        </w:rPr>
        <w:t xml:space="preserve">Asian/Pacific Islander subgroup relative to the total </w:t>
      </w:r>
      <w:r w:rsidR="000929D9" w:rsidRPr="000929D9">
        <w:t xml:space="preserve">non-Hispanic </w:t>
      </w:r>
      <w:r w:rsidR="000929D9" w:rsidRPr="000929D9">
        <w:rPr>
          <w:color w:val="000000"/>
        </w:rPr>
        <w:t>Asian/Pacific Islander population (right) in the SEER 17 Registries dataset.</w:t>
      </w:r>
    </w:p>
    <w:p w14:paraId="3FDCD837" w14:textId="5BA82CA3" w:rsidR="007A10D0" w:rsidRPr="00CF5371" w:rsidRDefault="001A268F" w:rsidP="00771D86">
      <w:r w:rsidRPr="004E1237">
        <w:rPr>
          <w:b/>
          <w:bCs/>
          <w:color w:val="000000" w:themeColor="text1"/>
        </w:rPr>
        <w:t>Supplementary</w:t>
      </w:r>
      <w:r>
        <w:rPr>
          <w:b/>
        </w:rPr>
        <w:t xml:space="preserve"> </w:t>
      </w:r>
      <w:r w:rsidR="007A10D0">
        <w:rPr>
          <w:b/>
        </w:rPr>
        <w:t>Fig</w:t>
      </w:r>
      <w:r w:rsidR="007A10D0">
        <w:rPr>
          <w:rFonts w:hint="eastAsia"/>
          <w:b/>
        </w:rPr>
        <w:t>ure</w:t>
      </w:r>
      <w:r w:rsidR="007A10D0">
        <w:rPr>
          <w:b/>
        </w:rPr>
        <w:t xml:space="preserve"> </w:t>
      </w:r>
      <w:r>
        <w:rPr>
          <w:rFonts w:hint="eastAsia"/>
          <w:b/>
        </w:rPr>
        <w:t>2</w:t>
      </w:r>
      <w:r w:rsidR="007A10D0" w:rsidRPr="00F82FE1">
        <w:rPr>
          <w:b/>
        </w:rPr>
        <w:t>.</w:t>
      </w:r>
      <w:r w:rsidR="007A10D0" w:rsidRPr="00F82FE1">
        <w:t xml:space="preserve"> Breast cancer incidence rates by molecular subtype, age at diagnosis, and </w:t>
      </w:r>
      <w:r w:rsidR="007A10D0" w:rsidRPr="00686C1B">
        <w:rPr>
          <w:color w:val="000000" w:themeColor="text1"/>
        </w:rPr>
        <w:t>race/ethnicity</w:t>
      </w:r>
      <w:r w:rsidR="007A10D0" w:rsidRPr="00F82FE1">
        <w:t>, based on SEER*Explorer data from the most recent period (2018–2022),</w:t>
      </w:r>
      <w:r w:rsidR="007A10D0" w:rsidRPr="00F82FE1">
        <w:rPr>
          <w:rStyle w:val="Emphasis"/>
        </w:rPr>
        <w:t xml:space="preserve"> using the original data as presented in SEER*</w:t>
      </w:r>
      <w:r w:rsidR="007A10D0" w:rsidRPr="00F82FE1">
        <w:rPr>
          <w:i/>
        </w:rPr>
        <w:t>Explorer.</w:t>
      </w:r>
    </w:p>
    <w:p w14:paraId="7339E428" w14:textId="74091D7D" w:rsidR="00CF5371" w:rsidRPr="00AF275E" w:rsidRDefault="001A268F" w:rsidP="00CF5371">
      <w:pPr>
        <w:jc w:val="both"/>
      </w:pPr>
      <w:r w:rsidRPr="004E1237">
        <w:rPr>
          <w:b/>
          <w:bCs/>
          <w:color w:val="000000" w:themeColor="text1"/>
        </w:rPr>
        <w:t>Supplementary</w:t>
      </w:r>
      <w:r>
        <w:rPr>
          <w:b/>
        </w:rPr>
        <w:t xml:space="preserve"> </w:t>
      </w:r>
      <w:r w:rsidR="00771D86">
        <w:rPr>
          <w:b/>
        </w:rPr>
        <w:t xml:space="preserve">Figure </w:t>
      </w:r>
      <w:r>
        <w:rPr>
          <w:rFonts w:hint="eastAsia"/>
          <w:b/>
        </w:rPr>
        <w:t>3</w:t>
      </w:r>
      <w:r w:rsidR="00771D86">
        <w:rPr>
          <w:b/>
        </w:rPr>
        <w:t>.</w:t>
      </w:r>
      <w:r w:rsidR="00771D86" w:rsidRPr="00EB6D19">
        <w:rPr>
          <w:b/>
        </w:rPr>
        <w:t xml:space="preserve"> </w:t>
      </w:r>
      <w:r w:rsidR="00CF5371" w:rsidRPr="00AF275E">
        <w:t>Temporal trends in the proportional distribution of breast cancer cases by race/ethnicity in the SEER 8 registries (1975–2022).</w:t>
      </w:r>
      <w:r w:rsidR="00CF5371">
        <w:rPr>
          <w:rFonts w:hint="eastAsia"/>
        </w:rPr>
        <w:t xml:space="preserve"> </w:t>
      </w:r>
      <w:r w:rsidR="00CF5371" w:rsidRPr="00AF275E">
        <w:t>Non-Hispanic White (green), non-Hispanic Black (red), non-Hispanic Asian/Pacific Islander (blue), Hispanic (yellow), and Other (purple) patients are shown separately for older (left) and younger (right) age groups.</w:t>
      </w:r>
    </w:p>
    <w:p w14:paraId="429DF579" w14:textId="20CAD1B8" w:rsidR="00A5601C" w:rsidRDefault="001A268F" w:rsidP="00CF5371">
      <w:r w:rsidRPr="004E1237">
        <w:rPr>
          <w:b/>
          <w:bCs/>
          <w:color w:val="000000" w:themeColor="text1"/>
        </w:rPr>
        <w:t>Supplementary</w:t>
      </w:r>
      <w:r>
        <w:rPr>
          <w:b/>
        </w:rPr>
        <w:t xml:space="preserve"> </w:t>
      </w:r>
      <w:r w:rsidR="00771D86">
        <w:rPr>
          <w:b/>
        </w:rPr>
        <w:t>Fig</w:t>
      </w:r>
      <w:r w:rsidR="00771D86">
        <w:rPr>
          <w:rFonts w:hint="eastAsia"/>
          <w:b/>
        </w:rPr>
        <w:t>ure</w:t>
      </w:r>
      <w:r w:rsidR="00771D86">
        <w:rPr>
          <w:b/>
        </w:rPr>
        <w:t xml:space="preserve"> </w:t>
      </w:r>
      <w:r>
        <w:rPr>
          <w:rFonts w:hint="eastAsia"/>
          <w:b/>
        </w:rPr>
        <w:t>4</w:t>
      </w:r>
      <w:r w:rsidR="00771D86">
        <w:rPr>
          <w:b/>
        </w:rPr>
        <w:t>.</w:t>
      </w:r>
      <w:r w:rsidR="00771D86">
        <w:t xml:space="preserve"> </w:t>
      </w:r>
      <w:r w:rsidR="00CF5371" w:rsidRPr="00AF275E">
        <w:t>Temporal trends in the proportional distribution of breast cancer cases by race/ethnicity in the SEER 17 registries (2000–2022).</w:t>
      </w:r>
      <w:r w:rsidR="00CF5371">
        <w:rPr>
          <w:rFonts w:hint="eastAsia"/>
        </w:rPr>
        <w:t xml:space="preserve"> </w:t>
      </w:r>
      <w:r w:rsidR="00CF5371" w:rsidRPr="00AF275E">
        <w:t>Non-Hispanic White (green), non-Hispanic Black (red), non-Hispanic Asian/Pacific Islander (blue), Hispanic (yellow), and Other (purple) patients are shown separately for older (left) and younger (right) age groups.</w:t>
      </w:r>
    </w:p>
    <w:p w14:paraId="3F82C91B" w14:textId="5D78C4A8" w:rsidR="00C11CB1" w:rsidRDefault="001A268F" w:rsidP="00C11CB1">
      <w:pPr>
        <w:jc w:val="both"/>
      </w:pPr>
      <w:r w:rsidRPr="004E1237">
        <w:rPr>
          <w:b/>
          <w:bCs/>
          <w:color w:val="000000" w:themeColor="text1"/>
        </w:rPr>
        <w:t>Supplementary</w:t>
      </w:r>
      <w:r>
        <w:rPr>
          <w:b/>
        </w:rPr>
        <w:t xml:space="preserve"> </w:t>
      </w:r>
      <w:r w:rsidR="00C11CB1">
        <w:rPr>
          <w:b/>
        </w:rPr>
        <w:t>Fig</w:t>
      </w:r>
      <w:r w:rsidR="00C11CB1">
        <w:rPr>
          <w:rFonts w:hint="eastAsia"/>
          <w:b/>
        </w:rPr>
        <w:t>ure</w:t>
      </w:r>
      <w:r w:rsidR="00C11CB1">
        <w:rPr>
          <w:b/>
        </w:rPr>
        <w:t xml:space="preserve"> </w:t>
      </w:r>
      <w:r>
        <w:rPr>
          <w:rFonts w:hint="eastAsia"/>
          <w:b/>
        </w:rPr>
        <w:t>5</w:t>
      </w:r>
      <w:r w:rsidR="00C11CB1" w:rsidRPr="00F82FE1">
        <w:rPr>
          <w:b/>
        </w:rPr>
        <w:t>.</w:t>
      </w:r>
      <w:r w:rsidR="00C11CB1" w:rsidRPr="00F82FE1">
        <w:t xml:space="preserve"> </w:t>
      </w:r>
      <w:r w:rsidR="00C11CB1" w:rsidRPr="00090AEE">
        <w:t>Temporal Trends in Asian Breast Cancer Subgroup Distribution in the SEER 17 Registries</w:t>
      </w:r>
      <w:r w:rsidR="00C11CB1">
        <w:rPr>
          <w:rFonts w:hint="eastAsia"/>
        </w:rPr>
        <w:t>.</w:t>
      </w:r>
    </w:p>
    <w:p w14:paraId="53D1E5B1" w14:textId="6A16F8C1" w:rsidR="00C11CB1" w:rsidRPr="00716F3E" w:rsidRDefault="001A268F" w:rsidP="00C11CB1">
      <w:pPr>
        <w:rPr>
          <w:lang w:val="en-US"/>
        </w:rPr>
      </w:pPr>
      <w:r w:rsidRPr="004E1237">
        <w:rPr>
          <w:b/>
          <w:bCs/>
          <w:color w:val="000000" w:themeColor="text1"/>
        </w:rPr>
        <w:t>Supplementary</w:t>
      </w:r>
      <w:r>
        <w:rPr>
          <w:b/>
        </w:rPr>
        <w:t xml:space="preserve"> </w:t>
      </w:r>
      <w:r w:rsidR="00C11CB1">
        <w:rPr>
          <w:b/>
        </w:rPr>
        <w:t>Fig</w:t>
      </w:r>
      <w:r w:rsidR="00C11CB1">
        <w:rPr>
          <w:rFonts w:hint="eastAsia"/>
          <w:b/>
        </w:rPr>
        <w:t>ure</w:t>
      </w:r>
      <w:r w:rsidR="00C11CB1">
        <w:rPr>
          <w:b/>
        </w:rPr>
        <w:t xml:space="preserve"> </w:t>
      </w:r>
      <w:r>
        <w:rPr>
          <w:rFonts w:hint="eastAsia"/>
          <w:b/>
        </w:rPr>
        <w:t>6</w:t>
      </w:r>
      <w:r w:rsidR="00C11CB1" w:rsidRPr="00F82FE1">
        <w:rPr>
          <w:b/>
        </w:rPr>
        <w:t>.</w:t>
      </w:r>
      <w:r w:rsidR="00C11CB1" w:rsidRPr="00F82FE1">
        <w:t xml:space="preserve"> </w:t>
      </w:r>
      <w:r w:rsidR="00C11CB1" w:rsidRPr="00626E60">
        <w:t>Survival Analyses of Asian Subgroups Stratified by Molecular Subtype and Age Group.</w:t>
      </w:r>
      <w:r w:rsidR="00C11CB1" w:rsidRPr="00626E60">
        <w:rPr>
          <w:rFonts w:hint="eastAsia"/>
        </w:rPr>
        <w:t xml:space="preserve"> </w:t>
      </w:r>
      <w:r w:rsidR="00C11CB1" w:rsidRPr="00626E60">
        <w:t>Kaplan–Meier survival curves are presented for major Asian subgroups across molecular subtypes and age groups (18–49, 50–64, and ≥65 years). Each panel displays subgroup-specific survival comparisons within a given age–subtype stratum. Most comparisons did not demonstrate statistically significant differences between Asian subgroups. Significant differences were observed only among patients aged 18–49 and 50–64 years with HR+/HER2− tumors. Limited sample sizes within specific subgroup–age–subtype intersections may have reduced statistical power.</w:t>
      </w:r>
    </w:p>
    <w:p w14:paraId="329955F1" w14:textId="76DC1E60" w:rsidR="00C11CB1" w:rsidRPr="00D555FA" w:rsidRDefault="001A268F" w:rsidP="00436D78">
      <w:pPr>
        <w:rPr>
          <w:rFonts w:ascii="SimSun" w:eastAsia="SimSun" w:hAnsi="SimSun" w:cs="SimSun"/>
        </w:rPr>
      </w:pPr>
      <w:r w:rsidRPr="004E1237">
        <w:rPr>
          <w:b/>
          <w:bCs/>
          <w:color w:val="000000" w:themeColor="text1"/>
        </w:rPr>
        <w:t>Supplementary</w:t>
      </w:r>
      <w:r>
        <w:rPr>
          <w:b/>
        </w:rPr>
        <w:t xml:space="preserve"> </w:t>
      </w:r>
      <w:r w:rsidR="00D555FA">
        <w:rPr>
          <w:b/>
        </w:rPr>
        <w:t>Fig</w:t>
      </w:r>
      <w:r w:rsidR="00D555FA">
        <w:rPr>
          <w:rFonts w:hint="eastAsia"/>
          <w:b/>
        </w:rPr>
        <w:t>ure</w:t>
      </w:r>
      <w:r w:rsidR="00D555FA">
        <w:rPr>
          <w:b/>
        </w:rPr>
        <w:t xml:space="preserve"> </w:t>
      </w:r>
      <w:r>
        <w:rPr>
          <w:rFonts w:hint="eastAsia"/>
          <w:b/>
        </w:rPr>
        <w:t>7</w:t>
      </w:r>
      <w:r w:rsidR="00D555FA" w:rsidRPr="00F82FE1">
        <w:rPr>
          <w:b/>
        </w:rPr>
        <w:t>.</w:t>
      </w:r>
      <w:r w:rsidR="00D555FA" w:rsidRPr="00F82FE1">
        <w:t xml:space="preserve"> </w:t>
      </w:r>
      <w:r w:rsidR="00D555FA" w:rsidRPr="008F60F7">
        <w:t>Temporal Trends in Breast Cancer Stage Distribution by Race/Ethnicity (SEER 17 Registries)</w:t>
      </w:r>
      <w:r w:rsidR="00D555FA">
        <w:rPr>
          <w:rFonts w:ascii="SimSun" w:eastAsia="SimSun" w:hAnsi="SimSun" w:cs="SimSun" w:hint="eastAsia"/>
        </w:rPr>
        <w:t>.</w:t>
      </w:r>
    </w:p>
    <w:p w14:paraId="64AFD686" w14:textId="3D1885B8" w:rsidR="00D555FA" w:rsidRPr="00F82FE1" w:rsidRDefault="001A268F" w:rsidP="00D555FA">
      <w:r w:rsidRPr="004E1237">
        <w:rPr>
          <w:b/>
          <w:bCs/>
          <w:color w:val="000000" w:themeColor="text1"/>
        </w:rPr>
        <w:t>Supplementary</w:t>
      </w:r>
      <w:r>
        <w:rPr>
          <w:b/>
        </w:rPr>
        <w:t xml:space="preserve"> </w:t>
      </w:r>
      <w:r w:rsidR="00D555FA">
        <w:rPr>
          <w:b/>
        </w:rPr>
        <w:t>Fig</w:t>
      </w:r>
      <w:r w:rsidR="00D555FA">
        <w:rPr>
          <w:rFonts w:hint="eastAsia"/>
          <w:b/>
        </w:rPr>
        <w:t>ure</w:t>
      </w:r>
      <w:r w:rsidR="00D555FA">
        <w:rPr>
          <w:b/>
        </w:rPr>
        <w:t xml:space="preserve"> </w:t>
      </w:r>
      <w:r>
        <w:rPr>
          <w:rFonts w:hint="eastAsia"/>
          <w:b/>
        </w:rPr>
        <w:t>8</w:t>
      </w:r>
      <w:r w:rsidR="00D555FA" w:rsidRPr="00F82FE1">
        <w:rPr>
          <w:b/>
        </w:rPr>
        <w:t>.</w:t>
      </w:r>
      <w:r w:rsidR="00D555FA" w:rsidRPr="00F82FE1">
        <w:t xml:space="preserve"> </w:t>
      </w:r>
      <w:r w:rsidR="00D555FA" w:rsidRPr="005071CA">
        <w:t>Survival Analyses of Racial Groups Stratified by Molecular Subtypes and Age Groups. </w:t>
      </w:r>
      <w:r w:rsidR="00D555FA" w:rsidRPr="008F60F7">
        <w:t>Kaplan–Meier survival curve</w:t>
      </w:r>
      <w:r w:rsidR="00D555FA">
        <w:rPr>
          <w:rFonts w:hint="eastAsia"/>
        </w:rPr>
        <w:t>s</w:t>
      </w:r>
      <w:r w:rsidR="00D555FA" w:rsidRPr="005071CA">
        <w:t xml:space="preserve"> are shown for each molecular subtype across age groups 0–49, 50–64, and ≥65 years. Each panel displays five survival curves representing the five racial groups, stratified by age and molecular subtype. Notably, hazard ratios for Black and Hispanic patients decreased with increasing age, indicating relatively better outcomes in older patients from these groups. In addition, survival disparities across racial groups were most pronounced among younger patients.</w:t>
      </w:r>
    </w:p>
    <w:p w14:paraId="646F5C5B" w14:textId="5B99BE9D" w:rsidR="00D555FA" w:rsidRDefault="001A268F" w:rsidP="00D555FA">
      <w:pPr>
        <w:rPr>
          <w:bCs/>
        </w:rPr>
      </w:pPr>
      <w:r w:rsidRPr="004E1237">
        <w:rPr>
          <w:b/>
          <w:bCs/>
          <w:color w:val="000000" w:themeColor="text1"/>
        </w:rPr>
        <w:t>Supplementary</w:t>
      </w:r>
      <w:r w:rsidRPr="001B7FDC">
        <w:rPr>
          <w:b/>
        </w:rPr>
        <w:t xml:space="preserve"> </w:t>
      </w:r>
      <w:r w:rsidR="00D555FA" w:rsidRPr="001B7FDC">
        <w:rPr>
          <w:b/>
        </w:rPr>
        <w:t>Fig</w:t>
      </w:r>
      <w:r w:rsidR="00D555FA" w:rsidRPr="001B7FDC">
        <w:rPr>
          <w:rFonts w:hint="eastAsia"/>
          <w:b/>
        </w:rPr>
        <w:t>ure</w:t>
      </w:r>
      <w:r w:rsidR="00D555FA" w:rsidRPr="001B7FDC">
        <w:rPr>
          <w:b/>
        </w:rPr>
        <w:t xml:space="preserve"> </w:t>
      </w:r>
      <w:r>
        <w:rPr>
          <w:rFonts w:hint="eastAsia"/>
          <w:b/>
        </w:rPr>
        <w:t>9</w:t>
      </w:r>
      <w:r w:rsidR="00D555FA" w:rsidRPr="001B7FDC">
        <w:rPr>
          <w:b/>
        </w:rPr>
        <w:t>.</w:t>
      </w:r>
      <w:r w:rsidR="00D555FA" w:rsidRPr="001B7FDC">
        <w:rPr>
          <w:bCs/>
        </w:rPr>
        <w:t xml:space="preserve"> Survival Analyses of Molecular Subtypes Stratified by </w:t>
      </w:r>
      <w:r w:rsidR="00D555FA" w:rsidRPr="00CC0AAF">
        <w:rPr>
          <w:bCs/>
        </w:rPr>
        <w:t>Race</w:t>
      </w:r>
      <w:r w:rsidR="00D555FA" w:rsidRPr="00CC0AAF">
        <w:rPr>
          <w:bCs/>
          <w:color w:val="000000" w:themeColor="text1"/>
        </w:rPr>
        <w:t>/ethnicity</w:t>
      </w:r>
      <w:r w:rsidR="00D555FA" w:rsidRPr="001B7FDC">
        <w:rPr>
          <w:bCs/>
        </w:rPr>
        <w:t xml:space="preserve"> and Age Groups. </w:t>
      </w:r>
      <w:r w:rsidR="00D555FA" w:rsidRPr="008F60F7">
        <w:rPr>
          <w:bCs/>
        </w:rPr>
        <w:t>Kaplan–Meier survival curve</w:t>
      </w:r>
      <w:r w:rsidR="00D555FA">
        <w:rPr>
          <w:rFonts w:hint="eastAsia"/>
          <w:bCs/>
        </w:rPr>
        <w:t xml:space="preserve">s </w:t>
      </w:r>
      <w:r w:rsidR="00D555FA" w:rsidRPr="001B7FDC">
        <w:rPr>
          <w:bCs/>
        </w:rPr>
        <w:t>are shown for each racial group across age groups 0–49, 50–64, and ≥65 years. Each panel displays four survival curves, representing the molecular subtypes, stratified by age and racial group. Notably, outcomes for HER2-positive groups worsened with increasing age, and their survival curves approached those of triple-negative breast cancer. This indicates that age-related reductions in hazard ratios were less pronounced for these two subtypes. In addition, among younger patients, survival disparities across molecular subtypes were the most pronounced.</w:t>
      </w:r>
    </w:p>
    <w:p w14:paraId="3CF9219B" w14:textId="56C34AB3" w:rsidR="001A268F" w:rsidRPr="001A268F" w:rsidRDefault="001A268F" w:rsidP="001A268F">
      <w:pPr>
        <w:jc w:val="both"/>
      </w:pPr>
      <w:r w:rsidRPr="004E1237">
        <w:rPr>
          <w:b/>
          <w:bCs/>
          <w:color w:val="000000" w:themeColor="text1"/>
        </w:rPr>
        <w:t>Supplementary</w:t>
      </w:r>
      <w:r>
        <w:rPr>
          <w:b/>
        </w:rPr>
        <w:t xml:space="preserve"> Figure 1</w:t>
      </w:r>
      <w:r>
        <w:rPr>
          <w:rFonts w:hint="eastAsia"/>
          <w:b/>
        </w:rPr>
        <w:t>0</w:t>
      </w:r>
      <w:r>
        <w:rPr>
          <w:b/>
        </w:rPr>
        <w:t>.</w:t>
      </w:r>
      <w:r>
        <w:t xml:space="preserve"> </w:t>
      </w:r>
      <w:r w:rsidRPr="00F82FE1">
        <w:t>Flow Diagram for Study Cohort Inclusion.</w:t>
      </w:r>
    </w:p>
    <w:p w14:paraId="155D2884" w14:textId="000FD70E" w:rsidR="004A453A" w:rsidRPr="00F82FE1" w:rsidRDefault="001A268F" w:rsidP="004A453A">
      <w:r w:rsidRPr="004E1237">
        <w:rPr>
          <w:b/>
          <w:bCs/>
          <w:color w:val="000000" w:themeColor="text1"/>
        </w:rPr>
        <w:lastRenderedPageBreak/>
        <w:t>Supplementary</w:t>
      </w:r>
      <w:r w:rsidRPr="001B7FDC">
        <w:rPr>
          <w:b/>
        </w:rPr>
        <w:t xml:space="preserve"> </w:t>
      </w:r>
      <w:r w:rsidR="00E2072C">
        <w:rPr>
          <w:b/>
        </w:rPr>
        <w:t xml:space="preserve">Table </w:t>
      </w:r>
      <w:r w:rsidR="00E2072C">
        <w:rPr>
          <w:rFonts w:hint="eastAsia"/>
          <w:b/>
        </w:rPr>
        <w:t>1</w:t>
      </w:r>
      <w:r w:rsidR="004A453A" w:rsidRPr="00F82FE1">
        <w:rPr>
          <w:b/>
          <w:bCs/>
        </w:rPr>
        <w:t xml:space="preserve">. </w:t>
      </w:r>
      <w:r w:rsidR="004A453A" w:rsidRPr="00E2072C">
        <w:t>Distribution of Breast Cancer Molecular Subtypes by Race/Ethnicity and Age Group. Each row presents the count and percentage of cases, normalized within each racial/ethnic and age group, based on the SEER 17 Registries dataset (2010–2022).</w:t>
      </w:r>
    </w:p>
    <w:p w14:paraId="31E80348" w14:textId="77777777" w:rsidR="004A453A" w:rsidRPr="00F82FE1" w:rsidRDefault="004A453A" w:rsidP="004A453A"/>
    <w:tbl>
      <w:tblPr>
        <w:tblStyle w:val="3"/>
        <w:tblW w:w="9265" w:type="dxa"/>
        <w:tblBorders>
          <w:top w:val="single" w:sz="4" w:space="0" w:color="000000"/>
          <w:left w:val="single" w:sz="4" w:space="0" w:color="000000"/>
          <w:bottom w:val="single" w:sz="4" w:space="0" w:color="000000"/>
          <w:right w:val="single" w:sz="4" w:space="0" w:color="000000"/>
        </w:tblBorders>
        <w:tblLayout w:type="fixed"/>
        <w:tblLook w:val="04A0" w:firstRow="1" w:lastRow="0" w:firstColumn="1" w:lastColumn="0" w:noHBand="0" w:noVBand="1"/>
      </w:tblPr>
      <w:tblGrid>
        <w:gridCol w:w="1345"/>
        <w:gridCol w:w="1530"/>
        <w:gridCol w:w="1620"/>
        <w:gridCol w:w="2070"/>
        <w:gridCol w:w="2700"/>
      </w:tblGrid>
      <w:tr w:rsidR="004A453A" w:rsidRPr="00F82FE1" w14:paraId="71FFEE22" w14:textId="77777777" w:rsidTr="00F9342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345" w:type="dxa"/>
            <w:shd w:val="clear" w:color="auto" w:fill="FFFFFF" w:themeFill="background1"/>
          </w:tcPr>
          <w:p w14:paraId="2CD2A4E5" w14:textId="77777777" w:rsidR="004A453A" w:rsidRPr="00C62EA4" w:rsidRDefault="004A453A" w:rsidP="00F56BA9">
            <w:pPr>
              <w:pBdr>
                <w:top w:val="nil"/>
                <w:left w:val="nil"/>
                <w:bottom w:val="nil"/>
                <w:right w:val="nil"/>
                <w:between w:val="nil"/>
              </w:pBdr>
              <w:jc w:val="both"/>
              <w:rPr>
                <w:bCs/>
                <w:color w:val="000000" w:themeColor="text1"/>
              </w:rPr>
            </w:pPr>
            <w:r w:rsidRPr="00C62EA4">
              <w:rPr>
                <w:rFonts w:eastAsia="Arial"/>
                <w:bCs/>
                <w:color w:val="000000" w:themeColor="text1"/>
              </w:rPr>
              <w:t>Molecular subtype/</w:t>
            </w:r>
          </w:p>
          <w:p w14:paraId="280CA076" w14:textId="77777777" w:rsidR="004A453A" w:rsidRPr="00C62EA4" w:rsidRDefault="004A453A" w:rsidP="00F56BA9">
            <w:pPr>
              <w:jc w:val="both"/>
              <w:rPr>
                <w:bCs/>
                <w:color w:val="000000" w:themeColor="text1"/>
              </w:rPr>
            </w:pPr>
            <w:r w:rsidRPr="00C62EA4">
              <w:rPr>
                <w:rFonts w:eastAsia="Arial"/>
                <w:bCs/>
                <w:color w:val="000000" w:themeColor="text1"/>
              </w:rPr>
              <w:t>Race</w:t>
            </w:r>
          </w:p>
        </w:tc>
        <w:tc>
          <w:tcPr>
            <w:tcW w:w="1530" w:type="dxa"/>
            <w:shd w:val="clear" w:color="auto" w:fill="FFFFFF" w:themeFill="background1"/>
          </w:tcPr>
          <w:p w14:paraId="07749C59" w14:textId="77777777" w:rsidR="004A453A" w:rsidRPr="00C62EA4" w:rsidRDefault="004A453A" w:rsidP="00F56BA9">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HR+/HER2-</w:t>
            </w:r>
          </w:p>
          <w:p w14:paraId="1F9EAEC4" w14:textId="77777777" w:rsidR="004A453A" w:rsidRPr="00C62EA4" w:rsidRDefault="004A453A" w:rsidP="00F56BA9">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Luminal A</w:t>
            </w:r>
          </w:p>
          <w:p w14:paraId="25A36408" w14:textId="77777777" w:rsidR="004A453A" w:rsidRPr="00C62EA4" w:rsidRDefault="004A453A" w:rsidP="00F56BA9">
            <w:pPr>
              <w:jc w:val="both"/>
              <w:cnfStyle w:val="100000000000" w:firstRow="1" w:lastRow="0" w:firstColumn="0" w:lastColumn="0" w:oddVBand="0" w:evenVBand="0" w:oddHBand="0" w:evenHBand="0" w:firstRowFirstColumn="0" w:firstRowLastColumn="0" w:lastRowFirstColumn="0" w:lastRowLastColumn="0"/>
              <w:rPr>
                <w:bCs/>
                <w:color w:val="000000" w:themeColor="text1"/>
              </w:rPr>
            </w:pPr>
          </w:p>
        </w:tc>
        <w:tc>
          <w:tcPr>
            <w:tcW w:w="1620" w:type="dxa"/>
            <w:shd w:val="clear" w:color="auto" w:fill="FFFFFF" w:themeFill="background1"/>
          </w:tcPr>
          <w:p w14:paraId="08413DAF" w14:textId="77777777" w:rsidR="004A453A" w:rsidRPr="00C62EA4" w:rsidRDefault="004A453A" w:rsidP="00F56BA9">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HR+/HER2+</w:t>
            </w:r>
          </w:p>
          <w:p w14:paraId="49E80D95" w14:textId="77777777" w:rsidR="004A453A" w:rsidRPr="00C62EA4" w:rsidRDefault="004A453A" w:rsidP="00F56BA9">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Luminal B</w:t>
            </w:r>
          </w:p>
          <w:p w14:paraId="665DF102" w14:textId="77777777" w:rsidR="004A453A" w:rsidRPr="00C62EA4" w:rsidRDefault="004A453A" w:rsidP="00F56BA9">
            <w:pPr>
              <w:jc w:val="both"/>
              <w:cnfStyle w:val="100000000000" w:firstRow="1" w:lastRow="0" w:firstColumn="0" w:lastColumn="0" w:oddVBand="0" w:evenVBand="0" w:oddHBand="0" w:evenHBand="0" w:firstRowFirstColumn="0" w:firstRowLastColumn="0" w:lastRowFirstColumn="0" w:lastRowLastColumn="0"/>
              <w:rPr>
                <w:bCs/>
                <w:color w:val="000000" w:themeColor="text1"/>
              </w:rPr>
            </w:pPr>
          </w:p>
        </w:tc>
        <w:tc>
          <w:tcPr>
            <w:tcW w:w="2070" w:type="dxa"/>
            <w:shd w:val="clear" w:color="auto" w:fill="FFFFFF" w:themeFill="background1"/>
          </w:tcPr>
          <w:p w14:paraId="3CF3B870" w14:textId="77777777" w:rsidR="004A453A" w:rsidRPr="00C62EA4" w:rsidRDefault="004A453A" w:rsidP="00F56BA9">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HR-/HER2+</w:t>
            </w:r>
          </w:p>
          <w:p w14:paraId="6CF76AF0" w14:textId="77777777" w:rsidR="004A453A" w:rsidRPr="00C62EA4" w:rsidRDefault="004A453A" w:rsidP="00F56BA9">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Enriched HER2</w:t>
            </w:r>
          </w:p>
        </w:tc>
        <w:tc>
          <w:tcPr>
            <w:tcW w:w="2700" w:type="dxa"/>
            <w:shd w:val="clear" w:color="auto" w:fill="FFFFFF" w:themeFill="background1"/>
          </w:tcPr>
          <w:p w14:paraId="6ACE799D" w14:textId="77777777" w:rsidR="004A453A" w:rsidRPr="00C62EA4" w:rsidRDefault="004A453A" w:rsidP="00F56BA9">
            <w:pPr>
              <w:pBdr>
                <w:top w:val="nil"/>
                <w:left w:val="nil"/>
                <w:bottom w:val="nil"/>
                <w:right w:val="nil"/>
                <w:between w:val="nil"/>
              </w:pBdr>
              <w:jc w:val="both"/>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HR-/HER2-</w:t>
            </w:r>
          </w:p>
          <w:p w14:paraId="0E1C629E" w14:textId="77777777" w:rsidR="004A453A" w:rsidRPr="00C62EA4" w:rsidRDefault="004A453A" w:rsidP="00F56BA9">
            <w:pPr>
              <w:cnfStyle w:val="100000000000" w:firstRow="1" w:lastRow="0" w:firstColumn="0" w:lastColumn="0" w:oddVBand="0" w:evenVBand="0" w:oddHBand="0" w:evenHBand="0" w:firstRowFirstColumn="0" w:firstRowLastColumn="0" w:lastRowFirstColumn="0" w:lastRowLastColumn="0"/>
              <w:rPr>
                <w:bCs/>
                <w:color w:val="000000" w:themeColor="text1"/>
              </w:rPr>
            </w:pPr>
            <w:r w:rsidRPr="00C62EA4">
              <w:rPr>
                <w:rFonts w:eastAsia="Arial"/>
                <w:bCs/>
                <w:color w:val="000000" w:themeColor="text1"/>
              </w:rPr>
              <w:t>Triple Negative</w:t>
            </w:r>
          </w:p>
        </w:tc>
      </w:tr>
      <w:tr w:rsidR="004A453A" w:rsidRPr="00F82FE1" w14:paraId="22B1EA4C" w14:textId="77777777" w:rsidTr="00F56BA9">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1345" w:type="dxa"/>
          </w:tcPr>
          <w:p w14:paraId="025F8B09" w14:textId="77777777" w:rsidR="004A453A" w:rsidRPr="00F82FE1" w:rsidRDefault="004A453A" w:rsidP="00F56BA9">
            <w:pPr>
              <w:jc w:val="both"/>
              <w:rPr>
                <w:rFonts w:eastAsia="Arial"/>
                <w:color w:val="000000"/>
              </w:rPr>
            </w:pPr>
            <w:r w:rsidRPr="00F82FE1">
              <w:rPr>
                <w:rFonts w:eastAsia="Arial"/>
                <w:color w:val="000000"/>
              </w:rPr>
              <w:t xml:space="preserve">Total </w:t>
            </w:r>
          </w:p>
        </w:tc>
        <w:tc>
          <w:tcPr>
            <w:tcW w:w="1530" w:type="dxa"/>
          </w:tcPr>
          <w:p w14:paraId="26659557"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bCs/>
                <w:color w:val="000000"/>
              </w:rPr>
            </w:pPr>
            <w:r w:rsidRPr="00F82FE1">
              <w:rPr>
                <w:rFonts w:eastAsia="Arial"/>
                <w:b/>
                <w:bCs/>
              </w:rPr>
              <w:t>533112 (74.21%)</w:t>
            </w:r>
          </w:p>
        </w:tc>
        <w:tc>
          <w:tcPr>
            <w:tcW w:w="1620" w:type="dxa"/>
          </w:tcPr>
          <w:p w14:paraId="221EDF82"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bCs/>
                <w:color w:val="000000"/>
              </w:rPr>
            </w:pPr>
            <w:r w:rsidRPr="00F82FE1">
              <w:rPr>
                <w:rFonts w:eastAsia="Arial"/>
                <w:b/>
                <w:bCs/>
              </w:rPr>
              <w:t>75122 (10.46%)</w:t>
            </w:r>
          </w:p>
        </w:tc>
        <w:tc>
          <w:tcPr>
            <w:tcW w:w="2070" w:type="dxa"/>
          </w:tcPr>
          <w:p w14:paraId="157151D9"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bCs/>
                <w:color w:val="000000"/>
              </w:rPr>
            </w:pPr>
            <w:r w:rsidRPr="00F82FE1">
              <w:rPr>
                <w:rFonts w:eastAsia="Arial"/>
                <w:b/>
                <w:bCs/>
              </w:rPr>
              <w:t>31854(4.43%)</w:t>
            </w:r>
          </w:p>
        </w:tc>
        <w:tc>
          <w:tcPr>
            <w:tcW w:w="2700" w:type="dxa"/>
          </w:tcPr>
          <w:p w14:paraId="375DC095" w14:textId="77777777" w:rsidR="004A453A" w:rsidRPr="00F82FE1" w:rsidRDefault="004A453A" w:rsidP="00F56BA9">
            <w:pPr>
              <w:pBdr>
                <w:top w:val="nil"/>
                <w:left w:val="nil"/>
                <w:bottom w:val="nil"/>
                <w:right w:val="nil"/>
                <w:between w:val="nil"/>
              </w:pBdr>
              <w:jc w:val="both"/>
              <w:cnfStyle w:val="000000100000" w:firstRow="0" w:lastRow="0" w:firstColumn="0" w:lastColumn="0" w:oddVBand="0" w:evenVBand="0" w:oddHBand="1" w:evenHBand="0" w:firstRowFirstColumn="0" w:firstRowLastColumn="0" w:lastRowFirstColumn="0" w:lastRowLastColumn="0"/>
              <w:rPr>
                <w:b/>
                <w:bCs/>
                <w:color w:val="000000"/>
              </w:rPr>
            </w:pPr>
            <w:r w:rsidRPr="00F82FE1">
              <w:rPr>
                <w:rFonts w:eastAsia="Arial"/>
                <w:b/>
                <w:bCs/>
              </w:rPr>
              <w:t>78277 (10.90%)</w:t>
            </w:r>
          </w:p>
        </w:tc>
      </w:tr>
      <w:tr w:rsidR="004A453A" w:rsidRPr="00F82FE1" w14:paraId="536BFDE5" w14:textId="77777777" w:rsidTr="00F56BA9">
        <w:trPr>
          <w:trHeight w:val="665"/>
        </w:trPr>
        <w:tc>
          <w:tcPr>
            <w:cnfStyle w:val="001000000000" w:firstRow="0" w:lastRow="0" w:firstColumn="1" w:lastColumn="0" w:oddVBand="0" w:evenVBand="0" w:oddHBand="0" w:evenHBand="0" w:firstRowFirstColumn="0" w:firstRowLastColumn="0" w:lastRowFirstColumn="0" w:lastRowLastColumn="0"/>
            <w:tcW w:w="1345" w:type="dxa"/>
          </w:tcPr>
          <w:p w14:paraId="1E763B1B" w14:textId="77777777" w:rsidR="004A453A" w:rsidRPr="00F82FE1" w:rsidRDefault="004A453A" w:rsidP="00F56BA9">
            <w:pPr>
              <w:jc w:val="both"/>
            </w:pPr>
            <w:r w:rsidRPr="00F82FE1">
              <w:rPr>
                <w:rFonts w:eastAsia="Arial"/>
                <w:b w:val="0"/>
                <w:color w:val="000000"/>
              </w:rPr>
              <w:t>non-Hispanic White: 473,265</w:t>
            </w:r>
          </w:p>
        </w:tc>
        <w:tc>
          <w:tcPr>
            <w:tcW w:w="1530" w:type="dxa"/>
          </w:tcPr>
          <w:p w14:paraId="38C637F3"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364700 (77.06%)</w:t>
            </w:r>
          </w:p>
        </w:tc>
        <w:tc>
          <w:tcPr>
            <w:tcW w:w="1620" w:type="dxa"/>
          </w:tcPr>
          <w:p w14:paraId="275D4783"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46333 (9.79%)</w:t>
            </w:r>
          </w:p>
        </w:tc>
        <w:tc>
          <w:tcPr>
            <w:tcW w:w="2070" w:type="dxa"/>
          </w:tcPr>
          <w:p w14:paraId="408D2516"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17686 (3.74%)</w:t>
            </w:r>
          </w:p>
        </w:tc>
        <w:tc>
          <w:tcPr>
            <w:tcW w:w="2700" w:type="dxa"/>
          </w:tcPr>
          <w:p w14:paraId="01D49530"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44546 (9.41%)</w:t>
            </w:r>
          </w:p>
        </w:tc>
      </w:tr>
      <w:tr w:rsidR="004A453A" w:rsidRPr="00F82FE1" w14:paraId="73A1FCC0" w14:textId="77777777" w:rsidTr="00F56BA9">
        <w:trPr>
          <w:cnfStyle w:val="000000100000" w:firstRow="0" w:lastRow="0" w:firstColumn="0" w:lastColumn="0" w:oddVBand="0" w:evenVBand="0" w:oddHBand="1" w:evenHBand="0" w:firstRowFirstColumn="0" w:firstRowLastColumn="0" w:lastRowFirstColumn="0" w:lastRowLastColumn="0"/>
          <w:trHeight w:val="521"/>
        </w:trPr>
        <w:tc>
          <w:tcPr>
            <w:cnfStyle w:val="001000000000" w:firstRow="0" w:lastRow="0" w:firstColumn="1" w:lastColumn="0" w:oddVBand="0" w:evenVBand="0" w:oddHBand="0" w:evenHBand="0" w:firstRowFirstColumn="0" w:firstRowLastColumn="0" w:lastRowFirstColumn="0" w:lastRowLastColumn="0"/>
            <w:tcW w:w="1345" w:type="dxa"/>
          </w:tcPr>
          <w:p w14:paraId="70F82184" w14:textId="77777777" w:rsidR="004A453A" w:rsidRPr="00F82FE1" w:rsidRDefault="004A453A" w:rsidP="00F56BA9">
            <w:pPr>
              <w:jc w:val="both"/>
              <w:rPr>
                <w:rFonts w:eastAsia="Arial"/>
                <w:b w:val="0"/>
                <w:color w:val="000000"/>
              </w:rPr>
            </w:pPr>
            <w:r w:rsidRPr="00F82FE1">
              <w:rPr>
                <w:rFonts w:eastAsia="Arial"/>
                <w:b w:val="0"/>
                <w:color w:val="000000"/>
              </w:rPr>
              <w:t>non-Hispanic Black: 75148</w:t>
            </w:r>
          </w:p>
        </w:tc>
        <w:tc>
          <w:tcPr>
            <w:tcW w:w="1530" w:type="dxa"/>
          </w:tcPr>
          <w:p w14:paraId="7A2AC84D"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47232 (62.85%)</w:t>
            </w:r>
          </w:p>
        </w:tc>
        <w:tc>
          <w:tcPr>
            <w:tcW w:w="1620" w:type="dxa"/>
          </w:tcPr>
          <w:p w14:paraId="56531BD8"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8372 (11.14%)</w:t>
            </w:r>
          </w:p>
        </w:tc>
        <w:tc>
          <w:tcPr>
            <w:tcW w:w="2070" w:type="dxa"/>
          </w:tcPr>
          <w:p w14:paraId="4D6020A2"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4199 (5.59%)</w:t>
            </w:r>
          </w:p>
        </w:tc>
        <w:tc>
          <w:tcPr>
            <w:tcW w:w="2700" w:type="dxa"/>
          </w:tcPr>
          <w:p w14:paraId="7BD0C7A8" w14:textId="77777777" w:rsidR="004A453A" w:rsidRPr="00F82FE1" w:rsidRDefault="004A453A" w:rsidP="00F56BA9">
            <w:pPr>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15345 (20.42%)</w:t>
            </w:r>
          </w:p>
          <w:p w14:paraId="13886BF3" w14:textId="77777777" w:rsidR="004A453A" w:rsidRPr="00F82FE1" w:rsidRDefault="004A453A" w:rsidP="00F56BA9">
            <w:pPr>
              <w:cnfStyle w:val="000000100000" w:firstRow="0" w:lastRow="0" w:firstColumn="0" w:lastColumn="0" w:oddVBand="0" w:evenVBand="0" w:oddHBand="1" w:evenHBand="0" w:firstRowFirstColumn="0" w:firstRowLastColumn="0" w:lastRowFirstColumn="0" w:lastRowLastColumn="0"/>
              <w:rPr>
                <w:rFonts w:eastAsia="Arial"/>
                <w:b/>
                <w:color w:val="000000"/>
              </w:rPr>
            </w:pPr>
          </w:p>
        </w:tc>
      </w:tr>
      <w:tr w:rsidR="004A453A" w:rsidRPr="00F82FE1" w14:paraId="30468718" w14:textId="77777777" w:rsidTr="00F56BA9">
        <w:trPr>
          <w:trHeight w:val="521"/>
        </w:trPr>
        <w:tc>
          <w:tcPr>
            <w:cnfStyle w:val="001000000000" w:firstRow="0" w:lastRow="0" w:firstColumn="1" w:lastColumn="0" w:oddVBand="0" w:evenVBand="0" w:oddHBand="0" w:evenHBand="0" w:firstRowFirstColumn="0" w:firstRowLastColumn="0" w:lastRowFirstColumn="0" w:lastRowLastColumn="0"/>
            <w:tcW w:w="1345" w:type="dxa"/>
          </w:tcPr>
          <w:p w14:paraId="286A49C9" w14:textId="77777777" w:rsidR="004A453A" w:rsidRPr="00F82FE1" w:rsidRDefault="004A453A" w:rsidP="00F56BA9">
            <w:pPr>
              <w:jc w:val="both"/>
              <w:rPr>
                <w:b w:val="0"/>
              </w:rPr>
            </w:pPr>
            <w:r w:rsidRPr="00F82FE1">
              <w:rPr>
                <w:rFonts w:eastAsia="Arial"/>
                <w:b w:val="0"/>
                <w:color w:val="000000"/>
              </w:rPr>
              <w:t>Asian/Pacific Islander: 70196</w:t>
            </w:r>
          </w:p>
        </w:tc>
        <w:tc>
          <w:tcPr>
            <w:tcW w:w="1530" w:type="dxa"/>
          </w:tcPr>
          <w:p w14:paraId="109D7D6A"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51045 (72.72%)</w:t>
            </w:r>
          </w:p>
        </w:tc>
        <w:tc>
          <w:tcPr>
            <w:tcW w:w="1620" w:type="dxa"/>
          </w:tcPr>
          <w:p w14:paraId="04E0F360"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8419(11.99%)</w:t>
            </w:r>
          </w:p>
        </w:tc>
        <w:tc>
          <w:tcPr>
            <w:tcW w:w="2070" w:type="dxa"/>
          </w:tcPr>
          <w:p w14:paraId="44E54F44"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4436 (6.32%%)</w:t>
            </w:r>
          </w:p>
        </w:tc>
        <w:tc>
          <w:tcPr>
            <w:tcW w:w="2700" w:type="dxa"/>
          </w:tcPr>
          <w:p w14:paraId="2C1EAFAF" w14:textId="77777777" w:rsidR="004A453A" w:rsidRPr="00F82FE1" w:rsidRDefault="004A453A" w:rsidP="00F56BA9">
            <w:pPr>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6296 (8.97%)</w:t>
            </w:r>
          </w:p>
        </w:tc>
      </w:tr>
      <w:tr w:rsidR="004A453A" w:rsidRPr="00F82FE1" w14:paraId="3F1FA809"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1CB9783E" w14:textId="77777777" w:rsidR="004A453A" w:rsidRPr="00F82FE1" w:rsidRDefault="004A453A" w:rsidP="00F56BA9">
            <w:pPr>
              <w:jc w:val="both"/>
              <w:rPr>
                <w:b w:val="0"/>
              </w:rPr>
            </w:pPr>
            <w:r w:rsidRPr="00F82FE1">
              <w:rPr>
                <w:rFonts w:eastAsia="Arial"/>
                <w:b w:val="0"/>
                <w:bCs/>
                <w:color w:val="000000"/>
              </w:rPr>
              <w:t>Hispanic: 91946</w:t>
            </w:r>
          </w:p>
        </w:tc>
        <w:tc>
          <w:tcPr>
            <w:tcW w:w="1530" w:type="dxa"/>
          </w:tcPr>
          <w:p w14:paraId="124691CE"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64382 (70.02%)</w:t>
            </w:r>
          </w:p>
        </w:tc>
        <w:tc>
          <w:tcPr>
            <w:tcW w:w="1620" w:type="dxa"/>
          </w:tcPr>
          <w:p w14:paraId="385456EA"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11125 (12.10%)</w:t>
            </w:r>
          </w:p>
        </w:tc>
        <w:tc>
          <w:tcPr>
            <w:tcW w:w="2070" w:type="dxa"/>
          </w:tcPr>
          <w:p w14:paraId="16972900"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5145 (5.60%)</w:t>
            </w:r>
          </w:p>
        </w:tc>
        <w:tc>
          <w:tcPr>
            <w:tcW w:w="2700" w:type="dxa"/>
          </w:tcPr>
          <w:p w14:paraId="400C9E3F" w14:textId="77777777" w:rsidR="004A453A" w:rsidRPr="00F82FE1" w:rsidRDefault="004A453A" w:rsidP="00F56BA9">
            <w:pPr>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11294 (12.28%)</w:t>
            </w:r>
          </w:p>
        </w:tc>
      </w:tr>
      <w:tr w:rsidR="004A453A" w:rsidRPr="00F82FE1" w14:paraId="58BD587E"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3C7E303F" w14:textId="77777777" w:rsidR="004A453A" w:rsidRPr="00F82FE1" w:rsidRDefault="004A453A" w:rsidP="00F56BA9">
            <w:pPr>
              <w:pBdr>
                <w:top w:val="nil"/>
                <w:left w:val="nil"/>
                <w:bottom w:val="nil"/>
                <w:right w:val="nil"/>
                <w:between w:val="nil"/>
              </w:pBdr>
              <w:jc w:val="both"/>
              <w:rPr>
                <w:color w:val="000000"/>
              </w:rPr>
            </w:pPr>
            <w:r w:rsidRPr="00F82FE1">
              <w:rPr>
                <w:rFonts w:eastAsia="Arial"/>
                <w:b w:val="0"/>
                <w:color w:val="000000"/>
              </w:rPr>
              <w:t xml:space="preserve">Other: </w:t>
            </w:r>
            <w:r w:rsidRPr="00F82FE1">
              <w:rPr>
                <w:rFonts w:eastAsia="Arial"/>
                <w:b w:val="0"/>
                <w:bCs/>
                <w:color w:val="000000"/>
              </w:rPr>
              <w:t>7810</w:t>
            </w:r>
          </w:p>
        </w:tc>
        <w:tc>
          <w:tcPr>
            <w:tcW w:w="1530" w:type="dxa"/>
          </w:tcPr>
          <w:p w14:paraId="500DA598"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5753 (73.66%)</w:t>
            </w:r>
          </w:p>
        </w:tc>
        <w:tc>
          <w:tcPr>
            <w:tcW w:w="1620" w:type="dxa"/>
          </w:tcPr>
          <w:p w14:paraId="3696A7B7"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873 (11.18%)</w:t>
            </w:r>
          </w:p>
        </w:tc>
        <w:tc>
          <w:tcPr>
            <w:tcW w:w="2070" w:type="dxa"/>
          </w:tcPr>
          <w:p w14:paraId="4CACD5BF"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388 (4.97%)</w:t>
            </w:r>
          </w:p>
        </w:tc>
        <w:tc>
          <w:tcPr>
            <w:tcW w:w="2700" w:type="dxa"/>
          </w:tcPr>
          <w:p w14:paraId="1D90D80E"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796 (10.19%)</w:t>
            </w:r>
          </w:p>
        </w:tc>
      </w:tr>
      <w:tr w:rsidR="004A453A" w:rsidRPr="00F82FE1" w14:paraId="63AFB3AB"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72F8B795" w14:textId="77777777" w:rsidR="004A453A" w:rsidRPr="00F82FE1" w:rsidRDefault="004A453A" w:rsidP="00F56BA9">
            <w:pPr>
              <w:jc w:val="both"/>
            </w:pPr>
            <w:r w:rsidRPr="00F82FE1">
              <w:rPr>
                <w:rFonts w:eastAsia="Arial"/>
                <w:b w:val="0"/>
                <w:color w:val="000000"/>
              </w:rPr>
              <w:t>non-Hispanic White: 18-49</w:t>
            </w:r>
          </w:p>
        </w:tc>
        <w:tc>
          <w:tcPr>
            <w:tcW w:w="1530" w:type="dxa"/>
          </w:tcPr>
          <w:p w14:paraId="4AA7B8DA"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51882 (68.20%)</w:t>
            </w:r>
          </w:p>
        </w:tc>
        <w:tc>
          <w:tcPr>
            <w:tcW w:w="1620" w:type="dxa"/>
          </w:tcPr>
          <w:p w14:paraId="1F6B686D"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11052 (14.53%)</w:t>
            </w:r>
          </w:p>
        </w:tc>
        <w:tc>
          <w:tcPr>
            <w:tcW w:w="2070" w:type="dxa"/>
          </w:tcPr>
          <w:p w14:paraId="7691E048"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3758 (4.94%)</w:t>
            </w:r>
          </w:p>
        </w:tc>
        <w:tc>
          <w:tcPr>
            <w:tcW w:w="2700" w:type="dxa"/>
          </w:tcPr>
          <w:p w14:paraId="55561D52"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9377 (12.33%)</w:t>
            </w:r>
          </w:p>
        </w:tc>
      </w:tr>
      <w:tr w:rsidR="004A453A" w:rsidRPr="00F82FE1" w14:paraId="5181427D"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668CA200" w14:textId="77777777" w:rsidR="004A453A" w:rsidRPr="00F82FE1" w:rsidRDefault="004A453A" w:rsidP="00F56BA9">
            <w:pPr>
              <w:jc w:val="both"/>
            </w:pPr>
            <w:r w:rsidRPr="00F82FE1">
              <w:rPr>
                <w:rFonts w:eastAsia="Arial"/>
                <w:b w:val="0"/>
                <w:color w:val="000000"/>
              </w:rPr>
              <w:t>50-64</w:t>
            </w:r>
          </w:p>
        </w:tc>
        <w:tc>
          <w:tcPr>
            <w:tcW w:w="1530" w:type="dxa"/>
          </w:tcPr>
          <w:p w14:paraId="3C2FD602"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125511 (75.32%)</w:t>
            </w:r>
          </w:p>
        </w:tc>
        <w:tc>
          <w:tcPr>
            <w:tcW w:w="1620" w:type="dxa"/>
          </w:tcPr>
          <w:p w14:paraId="1231D5CF"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17701 (10.62%)</w:t>
            </w:r>
          </w:p>
        </w:tc>
        <w:tc>
          <w:tcPr>
            <w:tcW w:w="2070" w:type="dxa"/>
          </w:tcPr>
          <w:p w14:paraId="1CE419D4"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7438 (4.46%)</w:t>
            </w:r>
          </w:p>
        </w:tc>
        <w:tc>
          <w:tcPr>
            <w:tcW w:w="2700" w:type="dxa"/>
          </w:tcPr>
          <w:p w14:paraId="75BF9342"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15988 (9.59%)</w:t>
            </w:r>
          </w:p>
        </w:tc>
      </w:tr>
      <w:tr w:rsidR="004A453A" w:rsidRPr="00F82FE1" w14:paraId="686DF0CD"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66E08475" w14:textId="77777777" w:rsidR="004A453A" w:rsidRPr="00F82FE1" w:rsidRDefault="00000000" w:rsidP="00F56BA9">
            <w:pPr>
              <w:jc w:val="both"/>
            </w:pPr>
            <w:sdt>
              <w:sdtPr>
                <w:tag w:val="goog_rdk_32"/>
                <w:id w:val="-1793740618"/>
              </w:sdtPr>
              <w:sdtContent>
                <w:r w:rsidR="004A453A" w:rsidRPr="00F82FE1">
                  <w:rPr>
                    <w:rFonts w:eastAsia="Arial Unicode MS"/>
                    <w:b w:val="0"/>
                    <w:color w:val="000000"/>
                  </w:rPr>
                  <w:t>≥65</w:t>
                </w:r>
              </w:sdtContent>
            </w:sdt>
          </w:p>
        </w:tc>
        <w:tc>
          <w:tcPr>
            <w:tcW w:w="1530" w:type="dxa"/>
          </w:tcPr>
          <w:p w14:paraId="4E466E8B"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187307 (81.24%)</w:t>
            </w:r>
          </w:p>
        </w:tc>
        <w:tc>
          <w:tcPr>
            <w:tcW w:w="1620" w:type="dxa"/>
          </w:tcPr>
          <w:p w14:paraId="7F0BB5DD"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17580 (7.62%)</w:t>
            </w:r>
          </w:p>
        </w:tc>
        <w:tc>
          <w:tcPr>
            <w:tcW w:w="2070" w:type="dxa"/>
          </w:tcPr>
          <w:p w14:paraId="7F4CEAA6"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6490 (2.81%)</w:t>
            </w:r>
          </w:p>
        </w:tc>
        <w:tc>
          <w:tcPr>
            <w:tcW w:w="2700" w:type="dxa"/>
          </w:tcPr>
          <w:p w14:paraId="44D2DCD0"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19181 (8.32%)</w:t>
            </w:r>
          </w:p>
        </w:tc>
      </w:tr>
      <w:tr w:rsidR="004A453A" w:rsidRPr="00F82FE1" w14:paraId="58932A03"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5CBBCF1F" w14:textId="77777777" w:rsidR="004A453A" w:rsidRPr="00F82FE1" w:rsidRDefault="004A453A" w:rsidP="00F56BA9">
            <w:pPr>
              <w:jc w:val="both"/>
              <w:rPr>
                <w:rFonts w:eastAsia="Arial"/>
                <w:color w:val="000000"/>
              </w:rPr>
            </w:pPr>
            <w:r w:rsidRPr="00F82FE1">
              <w:rPr>
                <w:rFonts w:eastAsia="Arial"/>
                <w:b w:val="0"/>
                <w:color w:val="000000"/>
              </w:rPr>
              <w:t>Black: 18-49</w:t>
            </w:r>
          </w:p>
        </w:tc>
        <w:tc>
          <w:tcPr>
            <w:tcW w:w="1530" w:type="dxa"/>
          </w:tcPr>
          <w:p w14:paraId="2C05D29F"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9887 (56.14%)</w:t>
            </w:r>
          </w:p>
        </w:tc>
        <w:tc>
          <w:tcPr>
            <w:tcW w:w="1620" w:type="dxa"/>
          </w:tcPr>
          <w:p w14:paraId="766DE8FD"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2616 (14.85%)</w:t>
            </w:r>
          </w:p>
        </w:tc>
        <w:tc>
          <w:tcPr>
            <w:tcW w:w="2070" w:type="dxa"/>
          </w:tcPr>
          <w:p w14:paraId="719019D5"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1116 (6.34%)</w:t>
            </w:r>
          </w:p>
        </w:tc>
        <w:tc>
          <w:tcPr>
            <w:tcW w:w="2700" w:type="dxa"/>
          </w:tcPr>
          <w:p w14:paraId="403BFE2F"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3993 (22.67%)</w:t>
            </w:r>
          </w:p>
        </w:tc>
      </w:tr>
      <w:tr w:rsidR="004A453A" w:rsidRPr="00F82FE1" w14:paraId="63A9573E"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20BFA63C" w14:textId="77777777" w:rsidR="004A453A" w:rsidRPr="00F82FE1" w:rsidRDefault="004A453A" w:rsidP="00F56BA9">
            <w:pPr>
              <w:jc w:val="both"/>
              <w:rPr>
                <w:rFonts w:eastAsia="Arial"/>
                <w:color w:val="000000"/>
              </w:rPr>
            </w:pPr>
            <w:r w:rsidRPr="00F82FE1">
              <w:rPr>
                <w:rFonts w:eastAsia="Arial"/>
                <w:b w:val="0"/>
                <w:color w:val="000000"/>
              </w:rPr>
              <w:t>50-64</w:t>
            </w:r>
          </w:p>
        </w:tc>
        <w:tc>
          <w:tcPr>
            <w:tcW w:w="1530" w:type="dxa"/>
          </w:tcPr>
          <w:p w14:paraId="735909E9"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17905 (60.19%)</w:t>
            </w:r>
          </w:p>
        </w:tc>
        <w:tc>
          <w:tcPr>
            <w:tcW w:w="1620" w:type="dxa"/>
          </w:tcPr>
          <w:p w14:paraId="39DE1FBD"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3447 (11.59%)</w:t>
            </w:r>
          </w:p>
        </w:tc>
        <w:tc>
          <w:tcPr>
            <w:tcW w:w="2070" w:type="dxa"/>
          </w:tcPr>
          <w:p w14:paraId="19746550"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1872 (6.29%)</w:t>
            </w:r>
          </w:p>
        </w:tc>
        <w:tc>
          <w:tcPr>
            <w:tcW w:w="2700" w:type="dxa"/>
          </w:tcPr>
          <w:p w14:paraId="215F64C3"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6522 (21.93%)</w:t>
            </w:r>
          </w:p>
        </w:tc>
      </w:tr>
      <w:tr w:rsidR="004A453A" w:rsidRPr="00F82FE1" w14:paraId="25D54D18"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7284CD85" w14:textId="77777777" w:rsidR="004A453A" w:rsidRPr="00F82FE1" w:rsidRDefault="00000000" w:rsidP="00F56BA9">
            <w:pPr>
              <w:jc w:val="both"/>
              <w:rPr>
                <w:rFonts w:eastAsia="Arial"/>
                <w:color w:val="000000"/>
              </w:rPr>
            </w:pPr>
            <w:sdt>
              <w:sdtPr>
                <w:tag w:val="goog_rdk_34"/>
                <w:id w:val="-1868205914"/>
              </w:sdtPr>
              <w:sdtContent>
                <w:r w:rsidR="004A453A" w:rsidRPr="00F82FE1">
                  <w:rPr>
                    <w:rFonts w:eastAsia="Arial Unicode MS"/>
                    <w:b w:val="0"/>
                    <w:color w:val="000000"/>
                  </w:rPr>
                  <w:t>≥65</w:t>
                </w:r>
              </w:sdtContent>
            </w:sdt>
          </w:p>
        </w:tc>
        <w:tc>
          <w:tcPr>
            <w:tcW w:w="1530" w:type="dxa"/>
          </w:tcPr>
          <w:p w14:paraId="6BCD6C03"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19440</w:t>
            </w:r>
          </w:p>
          <w:p w14:paraId="42B5A34E"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(69.95%)</w:t>
            </w:r>
          </w:p>
        </w:tc>
        <w:tc>
          <w:tcPr>
            <w:tcW w:w="1620" w:type="dxa"/>
          </w:tcPr>
          <w:p w14:paraId="4D46B6AF"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2309 (8.31%)</w:t>
            </w:r>
          </w:p>
        </w:tc>
        <w:tc>
          <w:tcPr>
            <w:tcW w:w="2070" w:type="dxa"/>
          </w:tcPr>
          <w:p w14:paraId="2CDB3F20"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1211 (4.36%)</w:t>
            </w:r>
          </w:p>
        </w:tc>
        <w:tc>
          <w:tcPr>
            <w:tcW w:w="2700" w:type="dxa"/>
          </w:tcPr>
          <w:p w14:paraId="72118983"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4830 (17.38%)</w:t>
            </w:r>
          </w:p>
        </w:tc>
      </w:tr>
      <w:tr w:rsidR="004A453A" w:rsidRPr="00C3145F" w14:paraId="42498986"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02FB57C8" w14:textId="77777777" w:rsidR="004A453A" w:rsidRPr="00F82FE1" w:rsidRDefault="004A453A" w:rsidP="00F56BA9">
            <w:pPr>
              <w:jc w:val="both"/>
            </w:pPr>
            <w:r w:rsidRPr="00F82FE1">
              <w:rPr>
                <w:rFonts w:eastAsia="Arial"/>
                <w:b w:val="0"/>
                <w:color w:val="000000"/>
              </w:rPr>
              <w:t>Asian/Pacific Islander: 18-49</w:t>
            </w:r>
          </w:p>
        </w:tc>
        <w:tc>
          <w:tcPr>
            <w:tcW w:w="1530" w:type="dxa"/>
          </w:tcPr>
          <w:p w14:paraId="7F6340C2"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13475 (68.87%)</w:t>
            </w:r>
          </w:p>
        </w:tc>
        <w:tc>
          <w:tcPr>
            <w:tcW w:w="1620" w:type="dxa"/>
          </w:tcPr>
          <w:p w14:paraId="1DB86005"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2982 (15.24%)</w:t>
            </w:r>
          </w:p>
        </w:tc>
        <w:tc>
          <w:tcPr>
            <w:tcW w:w="2070" w:type="dxa"/>
          </w:tcPr>
          <w:p w14:paraId="45486EDE"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1291 (6.60%)</w:t>
            </w:r>
          </w:p>
        </w:tc>
        <w:tc>
          <w:tcPr>
            <w:tcW w:w="2700" w:type="dxa"/>
          </w:tcPr>
          <w:p w14:paraId="06D20654"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1818 (9.29%)</w:t>
            </w:r>
          </w:p>
        </w:tc>
      </w:tr>
      <w:tr w:rsidR="004A453A" w:rsidRPr="00F82FE1" w14:paraId="166BC432"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1A2DBEB0" w14:textId="77777777" w:rsidR="004A453A" w:rsidRPr="00F82FE1" w:rsidRDefault="004A453A" w:rsidP="00F56BA9">
            <w:pPr>
              <w:jc w:val="both"/>
            </w:pPr>
            <w:r w:rsidRPr="00F82FE1">
              <w:rPr>
                <w:rFonts w:eastAsia="Arial"/>
                <w:b w:val="0"/>
                <w:color w:val="000000"/>
              </w:rPr>
              <w:t>50-64</w:t>
            </w:r>
          </w:p>
        </w:tc>
        <w:tc>
          <w:tcPr>
            <w:tcW w:w="1530" w:type="dxa"/>
          </w:tcPr>
          <w:p w14:paraId="67F913B7"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19113 (70.73%)</w:t>
            </w:r>
          </w:p>
        </w:tc>
        <w:tc>
          <w:tcPr>
            <w:tcW w:w="1620" w:type="dxa"/>
          </w:tcPr>
          <w:p w14:paraId="59765302"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3444 (12.74%)</w:t>
            </w:r>
          </w:p>
        </w:tc>
        <w:tc>
          <w:tcPr>
            <w:tcW w:w="2070" w:type="dxa"/>
          </w:tcPr>
          <w:p w14:paraId="2B5B5369"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2107 (7.80%)</w:t>
            </w:r>
          </w:p>
        </w:tc>
        <w:tc>
          <w:tcPr>
            <w:tcW w:w="2700" w:type="dxa"/>
          </w:tcPr>
          <w:p w14:paraId="699BBB42"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2359 (8.73%)</w:t>
            </w:r>
          </w:p>
        </w:tc>
      </w:tr>
      <w:tr w:rsidR="004A453A" w:rsidRPr="00F82FE1" w14:paraId="2E9FE8D9"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3F527740" w14:textId="77777777" w:rsidR="004A453A" w:rsidRPr="00F82FE1" w:rsidRDefault="00000000" w:rsidP="00F56BA9">
            <w:pPr>
              <w:jc w:val="both"/>
            </w:pPr>
            <w:sdt>
              <w:sdtPr>
                <w:tag w:val="goog_rdk_33"/>
                <w:id w:val="-398291477"/>
              </w:sdtPr>
              <w:sdtContent>
                <w:r w:rsidR="004A453A" w:rsidRPr="00F82FE1">
                  <w:rPr>
                    <w:rFonts w:eastAsia="Arial Unicode MS"/>
                    <w:b w:val="0"/>
                    <w:color w:val="000000"/>
                  </w:rPr>
                  <w:t>≥65</w:t>
                </w:r>
              </w:sdtContent>
            </w:sdt>
          </w:p>
        </w:tc>
        <w:tc>
          <w:tcPr>
            <w:tcW w:w="1530" w:type="dxa"/>
          </w:tcPr>
          <w:p w14:paraId="59B597DB"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18457 (78.18%)</w:t>
            </w:r>
          </w:p>
        </w:tc>
        <w:tc>
          <w:tcPr>
            <w:tcW w:w="1620" w:type="dxa"/>
          </w:tcPr>
          <w:p w14:paraId="268FA2F2"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1993 (8.44%)</w:t>
            </w:r>
          </w:p>
        </w:tc>
        <w:tc>
          <w:tcPr>
            <w:tcW w:w="2070" w:type="dxa"/>
          </w:tcPr>
          <w:p w14:paraId="6F6AF773"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1038 (4.40%)</w:t>
            </w:r>
          </w:p>
        </w:tc>
        <w:tc>
          <w:tcPr>
            <w:tcW w:w="2700" w:type="dxa"/>
          </w:tcPr>
          <w:p w14:paraId="75A3F94D"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2119 (8.98%)</w:t>
            </w:r>
          </w:p>
        </w:tc>
      </w:tr>
      <w:tr w:rsidR="004A453A" w:rsidRPr="00F82FE1" w14:paraId="17AD8269"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47B499A2" w14:textId="77777777" w:rsidR="004A453A" w:rsidRPr="00F82FE1" w:rsidRDefault="004A453A" w:rsidP="00F56BA9">
            <w:pPr>
              <w:jc w:val="both"/>
            </w:pPr>
            <w:r w:rsidRPr="00F82FE1">
              <w:rPr>
                <w:rFonts w:eastAsia="Arial"/>
                <w:b w:val="0"/>
                <w:color w:val="000000"/>
              </w:rPr>
              <w:lastRenderedPageBreak/>
              <w:t>Hispanic: 18-49</w:t>
            </w:r>
          </w:p>
        </w:tc>
        <w:tc>
          <w:tcPr>
            <w:tcW w:w="1530" w:type="dxa"/>
          </w:tcPr>
          <w:p w14:paraId="7676BCA8"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17500 (62.22%)</w:t>
            </w:r>
          </w:p>
        </w:tc>
        <w:tc>
          <w:tcPr>
            <w:tcW w:w="1620" w:type="dxa"/>
          </w:tcPr>
          <w:p w14:paraId="44306CF2"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4267 (15.17%)</w:t>
            </w:r>
          </w:p>
        </w:tc>
        <w:tc>
          <w:tcPr>
            <w:tcW w:w="2070" w:type="dxa"/>
          </w:tcPr>
          <w:p w14:paraId="10D059C2"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1811 (6.44%)</w:t>
            </w:r>
          </w:p>
        </w:tc>
        <w:tc>
          <w:tcPr>
            <w:tcW w:w="2700" w:type="dxa"/>
          </w:tcPr>
          <w:p w14:paraId="241012CA"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4549 (16.17%)</w:t>
            </w:r>
          </w:p>
        </w:tc>
      </w:tr>
      <w:tr w:rsidR="004A453A" w:rsidRPr="00F82FE1" w14:paraId="63335F01"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7670C45E" w14:textId="77777777" w:rsidR="004A453A" w:rsidRPr="00F82FE1" w:rsidRDefault="004A453A" w:rsidP="00F56BA9">
            <w:pPr>
              <w:jc w:val="both"/>
            </w:pPr>
            <w:r w:rsidRPr="00F82FE1">
              <w:rPr>
                <w:rFonts w:eastAsia="Arial"/>
                <w:b w:val="0"/>
                <w:color w:val="000000"/>
              </w:rPr>
              <w:t>50-64</w:t>
            </w:r>
          </w:p>
        </w:tc>
        <w:tc>
          <w:tcPr>
            <w:tcW w:w="1530" w:type="dxa"/>
          </w:tcPr>
          <w:p w14:paraId="5F2A3C43"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24825 (69.72%)</w:t>
            </w:r>
          </w:p>
        </w:tc>
        <w:tc>
          <w:tcPr>
            <w:tcW w:w="1620" w:type="dxa"/>
          </w:tcPr>
          <w:p w14:paraId="7256C8C1"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4472 (12.56%)</w:t>
            </w:r>
          </w:p>
        </w:tc>
        <w:tc>
          <w:tcPr>
            <w:tcW w:w="2070" w:type="dxa"/>
          </w:tcPr>
          <w:p w14:paraId="06607BF8"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2261 (6.35%)</w:t>
            </w:r>
          </w:p>
        </w:tc>
        <w:tc>
          <w:tcPr>
            <w:tcW w:w="2700" w:type="dxa"/>
          </w:tcPr>
          <w:p w14:paraId="3E808321"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pPr>
            <w:r w:rsidRPr="00F82FE1">
              <w:rPr>
                <w:rFonts w:eastAsia="Arial"/>
                <w:b/>
                <w:color w:val="000000"/>
              </w:rPr>
              <w:t>4051 (11.38%)</w:t>
            </w:r>
          </w:p>
        </w:tc>
      </w:tr>
      <w:tr w:rsidR="004A453A" w:rsidRPr="00F82FE1" w14:paraId="5F25A712"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44D09748" w14:textId="77777777" w:rsidR="004A453A" w:rsidRPr="00F82FE1" w:rsidRDefault="00000000" w:rsidP="00F56BA9">
            <w:pPr>
              <w:jc w:val="both"/>
            </w:pPr>
            <w:sdt>
              <w:sdtPr>
                <w:rPr>
                  <w:rFonts w:eastAsia="Arial"/>
                  <w:color w:val="000000"/>
                </w:rPr>
                <w:tag w:val="goog_rdk_34"/>
                <w:id w:val="-840543969"/>
              </w:sdtPr>
              <w:sdtContent>
                <w:r w:rsidR="004A453A" w:rsidRPr="00F82FE1">
                  <w:rPr>
                    <w:rFonts w:eastAsia="Arial"/>
                    <w:b w:val="0"/>
                    <w:color w:val="000000"/>
                  </w:rPr>
                  <w:t>≥65</w:t>
                </w:r>
              </w:sdtContent>
            </w:sdt>
          </w:p>
        </w:tc>
        <w:tc>
          <w:tcPr>
            <w:tcW w:w="1530" w:type="dxa"/>
          </w:tcPr>
          <w:p w14:paraId="114890E8"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22057 (78.19%)</w:t>
            </w:r>
          </w:p>
        </w:tc>
        <w:tc>
          <w:tcPr>
            <w:tcW w:w="1620" w:type="dxa"/>
          </w:tcPr>
          <w:p w14:paraId="27EBCF67"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2386 (8.46%)</w:t>
            </w:r>
          </w:p>
        </w:tc>
        <w:tc>
          <w:tcPr>
            <w:tcW w:w="2070" w:type="dxa"/>
          </w:tcPr>
          <w:p w14:paraId="1C8061F6"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1073 (3.80%)</w:t>
            </w:r>
          </w:p>
        </w:tc>
        <w:tc>
          <w:tcPr>
            <w:tcW w:w="2700" w:type="dxa"/>
          </w:tcPr>
          <w:p w14:paraId="043ACF0C"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pPr>
            <w:r w:rsidRPr="00F82FE1">
              <w:rPr>
                <w:rFonts w:eastAsia="Arial"/>
                <w:b/>
                <w:color w:val="000000"/>
              </w:rPr>
              <w:t>2694 (9.55%)</w:t>
            </w:r>
          </w:p>
        </w:tc>
      </w:tr>
      <w:tr w:rsidR="004A453A" w:rsidRPr="00F82FE1" w14:paraId="0D4386E6"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428741B8" w14:textId="77777777" w:rsidR="004A453A" w:rsidRPr="00F82FE1" w:rsidRDefault="004A453A" w:rsidP="00F56BA9">
            <w:pPr>
              <w:jc w:val="both"/>
              <w:rPr>
                <w:rFonts w:eastAsia="Arial"/>
                <w:b w:val="0"/>
                <w:color w:val="000000"/>
              </w:rPr>
            </w:pPr>
            <w:r w:rsidRPr="00F82FE1">
              <w:rPr>
                <w:rFonts w:eastAsia="Arial"/>
                <w:b w:val="0"/>
                <w:color w:val="000000"/>
              </w:rPr>
              <w:t>Other: 18-49</w:t>
            </w:r>
          </w:p>
        </w:tc>
        <w:tc>
          <w:tcPr>
            <w:tcW w:w="1530" w:type="dxa"/>
          </w:tcPr>
          <w:p w14:paraId="59F10410"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SimSun"/>
                <w:b/>
                <w:color w:val="000000"/>
              </w:rPr>
            </w:pPr>
            <w:r w:rsidRPr="00F82FE1">
              <w:rPr>
                <w:rFonts w:eastAsia="Arial"/>
                <w:b/>
                <w:color w:val="000000"/>
              </w:rPr>
              <w:t>1130 (63.41%)</w:t>
            </w:r>
          </w:p>
        </w:tc>
        <w:tc>
          <w:tcPr>
            <w:tcW w:w="1620" w:type="dxa"/>
          </w:tcPr>
          <w:p w14:paraId="0E35B9F3"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290 (16.27%)</w:t>
            </w:r>
          </w:p>
        </w:tc>
        <w:tc>
          <w:tcPr>
            <w:tcW w:w="2070" w:type="dxa"/>
          </w:tcPr>
          <w:p w14:paraId="3E2B547A"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115 (6.45%)</w:t>
            </w:r>
          </w:p>
        </w:tc>
        <w:tc>
          <w:tcPr>
            <w:tcW w:w="2700" w:type="dxa"/>
          </w:tcPr>
          <w:p w14:paraId="1F54A4D0"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247 (13.86%)</w:t>
            </w:r>
          </w:p>
        </w:tc>
      </w:tr>
      <w:tr w:rsidR="004A453A" w:rsidRPr="00F82FE1" w14:paraId="698E4D27" w14:textId="77777777" w:rsidTr="00F56BA9">
        <w:tc>
          <w:tcPr>
            <w:cnfStyle w:val="001000000000" w:firstRow="0" w:lastRow="0" w:firstColumn="1" w:lastColumn="0" w:oddVBand="0" w:evenVBand="0" w:oddHBand="0" w:evenHBand="0" w:firstRowFirstColumn="0" w:firstRowLastColumn="0" w:lastRowFirstColumn="0" w:lastRowLastColumn="0"/>
            <w:tcW w:w="1345" w:type="dxa"/>
          </w:tcPr>
          <w:p w14:paraId="729AD608" w14:textId="77777777" w:rsidR="004A453A" w:rsidRPr="00F82FE1" w:rsidRDefault="004A453A" w:rsidP="00F56BA9">
            <w:pPr>
              <w:jc w:val="both"/>
              <w:rPr>
                <w:rFonts w:eastAsia="Arial"/>
                <w:b w:val="0"/>
                <w:color w:val="000000"/>
              </w:rPr>
            </w:pPr>
            <w:r w:rsidRPr="00F82FE1">
              <w:rPr>
                <w:rFonts w:eastAsia="Arial"/>
                <w:b w:val="0"/>
                <w:color w:val="000000"/>
              </w:rPr>
              <w:t>50-64</w:t>
            </w:r>
          </w:p>
        </w:tc>
        <w:tc>
          <w:tcPr>
            <w:tcW w:w="1530" w:type="dxa"/>
          </w:tcPr>
          <w:p w14:paraId="3911DEC0"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2296 (73.28%)</w:t>
            </w:r>
          </w:p>
        </w:tc>
        <w:tc>
          <w:tcPr>
            <w:tcW w:w="1620" w:type="dxa"/>
          </w:tcPr>
          <w:p w14:paraId="7D9B5086"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368 (11.75%)</w:t>
            </w:r>
          </w:p>
        </w:tc>
        <w:tc>
          <w:tcPr>
            <w:tcW w:w="2070" w:type="dxa"/>
          </w:tcPr>
          <w:p w14:paraId="4A6D30A5"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180 (5.75%)</w:t>
            </w:r>
          </w:p>
        </w:tc>
        <w:tc>
          <w:tcPr>
            <w:tcW w:w="2700" w:type="dxa"/>
          </w:tcPr>
          <w:p w14:paraId="59F00F78" w14:textId="77777777" w:rsidR="004A453A" w:rsidRPr="00F82FE1" w:rsidRDefault="004A453A" w:rsidP="00F56BA9">
            <w:pPr>
              <w:jc w:val="both"/>
              <w:cnfStyle w:val="000000000000" w:firstRow="0" w:lastRow="0" w:firstColumn="0" w:lastColumn="0" w:oddVBand="0" w:evenVBand="0" w:oddHBand="0" w:evenHBand="0" w:firstRowFirstColumn="0" w:firstRowLastColumn="0" w:lastRowFirstColumn="0" w:lastRowLastColumn="0"/>
              <w:rPr>
                <w:rFonts w:eastAsia="Arial"/>
                <w:b/>
                <w:color w:val="000000"/>
              </w:rPr>
            </w:pPr>
            <w:r w:rsidRPr="00F82FE1">
              <w:rPr>
                <w:rFonts w:eastAsia="Arial"/>
                <w:b/>
                <w:color w:val="000000"/>
              </w:rPr>
              <w:t>289 (9.22%)</w:t>
            </w:r>
          </w:p>
        </w:tc>
      </w:tr>
      <w:tr w:rsidR="004A453A" w:rsidRPr="00F82FE1" w14:paraId="755894D0" w14:textId="77777777" w:rsidTr="00F56BA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45" w:type="dxa"/>
          </w:tcPr>
          <w:p w14:paraId="1332B3DA" w14:textId="77777777" w:rsidR="004A453A" w:rsidRPr="00F82FE1" w:rsidRDefault="00000000" w:rsidP="00F56BA9">
            <w:pPr>
              <w:jc w:val="both"/>
              <w:rPr>
                <w:rFonts w:eastAsia="Arial"/>
                <w:b w:val="0"/>
                <w:color w:val="000000"/>
              </w:rPr>
            </w:pPr>
            <w:sdt>
              <w:sdtPr>
                <w:rPr>
                  <w:rFonts w:eastAsia="Arial"/>
                  <w:color w:val="000000"/>
                </w:rPr>
                <w:tag w:val="goog_rdk_34"/>
                <w:id w:val="1435715627"/>
              </w:sdtPr>
              <w:sdtContent>
                <w:r w:rsidR="004A453A" w:rsidRPr="00F82FE1">
                  <w:rPr>
                    <w:rFonts w:eastAsia="Arial"/>
                    <w:b w:val="0"/>
                    <w:color w:val="000000"/>
                  </w:rPr>
                  <w:t>≥65</w:t>
                </w:r>
              </w:sdtContent>
            </w:sdt>
          </w:p>
        </w:tc>
        <w:tc>
          <w:tcPr>
            <w:tcW w:w="1530" w:type="dxa"/>
          </w:tcPr>
          <w:p w14:paraId="1B2A6E24"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2327 (80.38%)</w:t>
            </w:r>
          </w:p>
        </w:tc>
        <w:tc>
          <w:tcPr>
            <w:tcW w:w="1620" w:type="dxa"/>
          </w:tcPr>
          <w:p w14:paraId="45D01A8B"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215 (</w:t>
            </w:r>
            <w:r w:rsidRPr="00F82FE1">
              <w:rPr>
                <w:rFonts w:eastAsia="Arial"/>
                <w:b/>
                <w:color w:val="000000"/>
                <w:lang w:val="en-US"/>
              </w:rPr>
              <w:t>7.43%</w:t>
            </w:r>
            <w:r w:rsidRPr="00F82FE1">
              <w:rPr>
                <w:rFonts w:eastAsia="Arial"/>
                <w:b/>
                <w:color w:val="000000"/>
              </w:rPr>
              <w:t>)</w:t>
            </w:r>
          </w:p>
        </w:tc>
        <w:tc>
          <w:tcPr>
            <w:tcW w:w="2070" w:type="dxa"/>
          </w:tcPr>
          <w:p w14:paraId="5B971A90"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93 (3.21%)</w:t>
            </w:r>
          </w:p>
        </w:tc>
        <w:tc>
          <w:tcPr>
            <w:tcW w:w="2700" w:type="dxa"/>
          </w:tcPr>
          <w:p w14:paraId="4EE2FEDF" w14:textId="77777777" w:rsidR="004A453A" w:rsidRPr="00F82FE1" w:rsidRDefault="004A453A" w:rsidP="00F56BA9">
            <w:pPr>
              <w:jc w:val="both"/>
              <w:cnfStyle w:val="000000100000" w:firstRow="0" w:lastRow="0" w:firstColumn="0" w:lastColumn="0" w:oddVBand="0" w:evenVBand="0" w:oddHBand="1" w:evenHBand="0" w:firstRowFirstColumn="0" w:firstRowLastColumn="0" w:lastRowFirstColumn="0" w:lastRowLastColumn="0"/>
              <w:rPr>
                <w:rFonts w:eastAsia="Arial"/>
                <w:b/>
                <w:color w:val="000000"/>
              </w:rPr>
            </w:pPr>
            <w:r w:rsidRPr="00F82FE1">
              <w:rPr>
                <w:rFonts w:eastAsia="Arial"/>
                <w:b/>
                <w:color w:val="000000"/>
              </w:rPr>
              <w:t>260 (8.98%)</w:t>
            </w:r>
          </w:p>
        </w:tc>
      </w:tr>
    </w:tbl>
    <w:p w14:paraId="6251EDAA" w14:textId="77777777" w:rsidR="004A453A" w:rsidRDefault="004A453A" w:rsidP="004A453A"/>
    <w:p w14:paraId="7C178791" w14:textId="77777777" w:rsidR="004A453A" w:rsidRPr="00F82FE1" w:rsidRDefault="004A453A" w:rsidP="004A453A">
      <w:r>
        <w:br w:type="page"/>
      </w:r>
    </w:p>
    <w:p w14:paraId="65F46372" w14:textId="5F67EF36" w:rsidR="004A453A" w:rsidRPr="00F82FE1" w:rsidRDefault="00B75B9D" w:rsidP="004A453A">
      <w:r>
        <w:rPr>
          <w:noProof/>
          <w14:ligatures w14:val="standardContextual"/>
        </w:rPr>
        <w:lastRenderedPageBreak/>
        <w:drawing>
          <wp:inline distT="0" distB="0" distL="0" distR="0" wp14:anchorId="3150C25C" wp14:editId="31CD2D3C">
            <wp:extent cx="5943600" cy="2541270"/>
            <wp:effectExtent l="0" t="0" r="0" b="0"/>
            <wp:docPr id="1742432428" name="Picture 3" descr="A pie chart showing the distribution of the count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432428" name="Picture 3" descr="A pie chart showing the distribution of the country&#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541270"/>
                    </a:xfrm>
                    <a:prstGeom prst="rect">
                      <a:avLst/>
                    </a:prstGeom>
                  </pic:spPr>
                </pic:pic>
              </a:graphicData>
            </a:graphic>
          </wp:inline>
        </w:drawing>
      </w:r>
    </w:p>
    <w:p w14:paraId="6B97F0F7" w14:textId="0AD9E875" w:rsidR="004A453A" w:rsidRPr="00F82FE1" w:rsidRDefault="00FD636B" w:rsidP="004A453A">
      <w:pPr>
        <w:jc w:val="both"/>
        <w:rPr>
          <w:color w:val="000000"/>
        </w:rPr>
      </w:pPr>
      <w:bookmarkStart w:id="0" w:name="OLE_LINK1"/>
      <w:r w:rsidRPr="004E1237">
        <w:rPr>
          <w:b/>
          <w:bCs/>
          <w:color w:val="000000" w:themeColor="text1"/>
        </w:rPr>
        <w:t>Supplementary</w:t>
      </w:r>
      <w:r>
        <w:rPr>
          <w:rFonts w:hint="eastAsia"/>
          <w:b/>
        </w:rPr>
        <w:t xml:space="preserve"> </w:t>
      </w:r>
      <w:r w:rsidR="00E84DF2">
        <w:rPr>
          <w:b/>
        </w:rPr>
        <w:t>Fig</w:t>
      </w:r>
      <w:r w:rsidR="00E84DF2">
        <w:rPr>
          <w:rFonts w:hint="eastAsia"/>
          <w:b/>
        </w:rPr>
        <w:t>ure</w:t>
      </w:r>
      <w:r w:rsidR="002833B9">
        <w:rPr>
          <w:b/>
        </w:rPr>
        <w:t xml:space="preserve"> </w:t>
      </w:r>
      <w:r>
        <w:rPr>
          <w:rFonts w:hint="eastAsia"/>
          <w:b/>
        </w:rPr>
        <w:t>1</w:t>
      </w:r>
      <w:bookmarkEnd w:id="0"/>
      <w:r w:rsidR="004A453A" w:rsidRPr="00F82FE1">
        <w:rPr>
          <w:b/>
          <w:bCs/>
          <w:color w:val="000000"/>
        </w:rPr>
        <w:t xml:space="preserve">. </w:t>
      </w:r>
      <w:r w:rsidR="004A453A" w:rsidRPr="000929D9">
        <w:rPr>
          <w:color w:val="000000"/>
        </w:rPr>
        <w:t xml:space="preserve">Distribution of Racial/Ethnic Groups and </w:t>
      </w:r>
      <w:r w:rsidR="004A453A" w:rsidRPr="000929D9">
        <w:t xml:space="preserve">non-Hispanic </w:t>
      </w:r>
      <w:r w:rsidR="004A453A" w:rsidRPr="000929D9">
        <w:rPr>
          <w:color w:val="000000"/>
        </w:rPr>
        <w:t xml:space="preserve">Asian/Pacific Islander Subgroups. Percentages represent the proportion of each racial/ethnic group (left) and the proportion of each </w:t>
      </w:r>
      <w:r w:rsidR="004A453A" w:rsidRPr="000929D9">
        <w:t xml:space="preserve">non-Hispanic </w:t>
      </w:r>
      <w:r w:rsidR="004A453A" w:rsidRPr="000929D9">
        <w:rPr>
          <w:color w:val="000000"/>
        </w:rPr>
        <w:t xml:space="preserve">Asian/Pacific Islander subgroup relative to the total </w:t>
      </w:r>
      <w:r w:rsidR="004A453A" w:rsidRPr="000929D9">
        <w:t xml:space="preserve">non-Hispanic </w:t>
      </w:r>
      <w:r w:rsidR="004A453A" w:rsidRPr="000929D9">
        <w:rPr>
          <w:color w:val="000000"/>
        </w:rPr>
        <w:t>Asian/Pacific Islander population (right) in the SEER 17 Registries dataset.</w:t>
      </w:r>
    </w:p>
    <w:p w14:paraId="3F042ACB" w14:textId="77777777" w:rsidR="004A453A" w:rsidRPr="00F82FE1" w:rsidRDefault="004A453A" w:rsidP="004A453A">
      <w:pPr>
        <w:jc w:val="both"/>
        <w:rPr>
          <w:color w:val="000000"/>
        </w:rPr>
      </w:pPr>
    </w:p>
    <w:p w14:paraId="1DEA795A" w14:textId="77777777" w:rsidR="004A453A" w:rsidRPr="00F82FE1" w:rsidRDefault="004A453A" w:rsidP="004A453A">
      <w:pPr>
        <w:jc w:val="both"/>
        <w:rPr>
          <w:color w:val="000000"/>
        </w:rPr>
      </w:pPr>
    </w:p>
    <w:p w14:paraId="473E2FBC" w14:textId="77777777" w:rsidR="004A453A" w:rsidRPr="00F82FE1" w:rsidRDefault="004A453A" w:rsidP="004A453A">
      <w:pPr>
        <w:jc w:val="both"/>
        <w:rPr>
          <w:color w:val="000000"/>
        </w:rPr>
      </w:pPr>
    </w:p>
    <w:p w14:paraId="37BA286C" w14:textId="77777777" w:rsidR="004A453A" w:rsidRPr="00F82FE1" w:rsidRDefault="004A453A" w:rsidP="004A453A">
      <w:pPr>
        <w:jc w:val="both"/>
        <w:rPr>
          <w:color w:val="000000"/>
        </w:rPr>
      </w:pPr>
    </w:p>
    <w:p w14:paraId="7BAD8B00" w14:textId="77777777" w:rsidR="004A453A" w:rsidRPr="00F82FE1" w:rsidRDefault="004A453A" w:rsidP="004A453A">
      <w:pPr>
        <w:jc w:val="both"/>
        <w:rPr>
          <w:color w:val="000000"/>
        </w:rPr>
      </w:pPr>
    </w:p>
    <w:p w14:paraId="4BBA820D" w14:textId="77777777" w:rsidR="004A453A" w:rsidRPr="00F82FE1" w:rsidRDefault="004A453A" w:rsidP="004A453A">
      <w:pPr>
        <w:jc w:val="both"/>
        <w:rPr>
          <w:color w:val="000000"/>
        </w:rPr>
      </w:pPr>
    </w:p>
    <w:p w14:paraId="4D1BFAB9" w14:textId="77777777" w:rsidR="004A453A" w:rsidRPr="00F82FE1" w:rsidRDefault="004A453A" w:rsidP="004A453A">
      <w:pPr>
        <w:jc w:val="both"/>
        <w:rPr>
          <w:color w:val="000000"/>
        </w:rPr>
      </w:pPr>
    </w:p>
    <w:p w14:paraId="456E686B" w14:textId="77777777" w:rsidR="004A453A" w:rsidRPr="00F82FE1" w:rsidRDefault="004A453A" w:rsidP="004A453A">
      <w:pPr>
        <w:jc w:val="both"/>
        <w:rPr>
          <w:color w:val="000000"/>
        </w:rPr>
      </w:pPr>
    </w:p>
    <w:p w14:paraId="37A8A936" w14:textId="77777777" w:rsidR="004A453A" w:rsidRPr="00F82FE1" w:rsidRDefault="004A453A" w:rsidP="004A453A">
      <w:pPr>
        <w:jc w:val="both"/>
        <w:rPr>
          <w:color w:val="000000"/>
        </w:rPr>
      </w:pPr>
    </w:p>
    <w:p w14:paraId="5C705C60" w14:textId="77777777" w:rsidR="004A453A" w:rsidRDefault="004A453A" w:rsidP="004A453A">
      <w:pPr>
        <w:jc w:val="both"/>
        <w:rPr>
          <w:rFonts w:eastAsia="SimSun"/>
          <w:sz w:val="26"/>
          <w:szCs w:val="26"/>
          <w:lang w:val="en-US"/>
        </w:rPr>
      </w:pPr>
    </w:p>
    <w:p w14:paraId="5D94ADF5" w14:textId="77777777" w:rsidR="004A453A" w:rsidRDefault="004A453A" w:rsidP="004A453A">
      <w:pPr>
        <w:jc w:val="both"/>
        <w:rPr>
          <w:rFonts w:eastAsia="SimSun"/>
          <w:sz w:val="26"/>
          <w:szCs w:val="26"/>
          <w:lang w:val="en-US"/>
        </w:rPr>
      </w:pPr>
    </w:p>
    <w:p w14:paraId="2BE27D1A" w14:textId="77777777" w:rsidR="004A453A" w:rsidRDefault="004A453A" w:rsidP="004A453A">
      <w:pPr>
        <w:jc w:val="both"/>
        <w:rPr>
          <w:rFonts w:eastAsia="SimSun"/>
          <w:sz w:val="26"/>
          <w:szCs w:val="26"/>
          <w:lang w:val="en-US"/>
        </w:rPr>
      </w:pPr>
    </w:p>
    <w:p w14:paraId="2AE613E8" w14:textId="77777777" w:rsidR="004A453A" w:rsidRDefault="004A453A" w:rsidP="004A453A">
      <w:pPr>
        <w:jc w:val="both"/>
        <w:rPr>
          <w:rFonts w:eastAsia="SimSun"/>
          <w:sz w:val="26"/>
          <w:szCs w:val="26"/>
          <w:lang w:val="en-US"/>
        </w:rPr>
      </w:pPr>
    </w:p>
    <w:p w14:paraId="57966D5E" w14:textId="77777777" w:rsidR="004A453A" w:rsidRDefault="004A453A" w:rsidP="004A453A">
      <w:pPr>
        <w:jc w:val="both"/>
        <w:rPr>
          <w:rFonts w:eastAsia="SimSun"/>
          <w:sz w:val="26"/>
          <w:szCs w:val="26"/>
          <w:lang w:val="en-US"/>
        </w:rPr>
      </w:pPr>
    </w:p>
    <w:p w14:paraId="40EE90EE" w14:textId="77777777" w:rsidR="004A453A" w:rsidRDefault="004A453A" w:rsidP="004A453A">
      <w:pPr>
        <w:jc w:val="both"/>
        <w:rPr>
          <w:rFonts w:eastAsia="SimSun"/>
          <w:sz w:val="26"/>
          <w:szCs w:val="26"/>
          <w:lang w:val="en-US"/>
        </w:rPr>
      </w:pPr>
    </w:p>
    <w:p w14:paraId="1B3AD5E0" w14:textId="77777777" w:rsidR="004A453A" w:rsidRDefault="004A453A" w:rsidP="004A453A">
      <w:pPr>
        <w:jc w:val="both"/>
        <w:rPr>
          <w:rFonts w:eastAsia="SimSun"/>
          <w:sz w:val="26"/>
          <w:szCs w:val="26"/>
          <w:lang w:val="en-US"/>
        </w:rPr>
      </w:pPr>
    </w:p>
    <w:p w14:paraId="3B2BBCEE" w14:textId="77777777" w:rsidR="004A453A" w:rsidRDefault="004A453A" w:rsidP="004A453A">
      <w:pPr>
        <w:jc w:val="both"/>
        <w:rPr>
          <w:rFonts w:eastAsia="SimSun"/>
          <w:sz w:val="26"/>
          <w:szCs w:val="26"/>
          <w:lang w:val="en-US"/>
        </w:rPr>
      </w:pPr>
    </w:p>
    <w:p w14:paraId="17FBC60A" w14:textId="77777777" w:rsidR="004A453A" w:rsidRDefault="004A453A" w:rsidP="004A453A">
      <w:pPr>
        <w:jc w:val="both"/>
        <w:rPr>
          <w:rFonts w:eastAsia="SimSun"/>
          <w:sz w:val="26"/>
          <w:szCs w:val="26"/>
          <w:lang w:val="en-US"/>
        </w:rPr>
      </w:pPr>
    </w:p>
    <w:p w14:paraId="30E91D5D" w14:textId="77777777" w:rsidR="004A453A" w:rsidRDefault="004A453A" w:rsidP="004A453A">
      <w:pPr>
        <w:jc w:val="both"/>
        <w:rPr>
          <w:rFonts w:eastAsia="SimSun"/>
          <w:sz w:val="26"/>
          <w:szCs w:val="26"/>
          <w:lang w:val="en-US"/>
        </w:rPr>
      </w:pPr>
    </w:p>
    <w:p w14:paraId="7A18474F" w14:textId="77777777" w:rsidR="004A453A" w:rsidRDefault="004A453A" w:rsidP="004A453A">
      <w:pPr>
        <w:jc w:val="both"/>
        <w:rPr>
          <w:rFonts w:eastAsia="SimSun"/>
          <w:sz w:val="26"/>
          <w:szCs w:val="26"/>
          <w:lang w:val="en-US"/>
        </w:rPr>
      </w:pPr>
    </w:p>
    <w:p w14:paraId="02886D92" w14:textId="46E02AF8" w:rsidR="0024716E" w:rsidRDefault="0024716E">
      <w:pPr>
        <w:spacing w:after="160" w:line="278" w:lineRule="auto"/>
        <w:rPr>
          <w:rFonts w:eastAsia="SimSun"/>
          <w:sz w:val="26"/>
          <w:szCs w:val="26"/>
          <w:lang w:val="en-US"/>
        </w:rPr>
      </w:pPr>
      <w:r>
        <w:rPr>
          <w:rFonts w:eastAsia="SimSun"/>
          <w:sz w:val="26"/>
          <w:szCs w:val="26"/>
          <w:lang w:val="en-US"/>
        </w:rPr>
        <w:br w:type="page"/>
      </w:r>
    </w:p>
    <w:p w14:paraId="2C677B2B" w14:textId="77777777" w:rsidR="0024716E" w:rsidRPr="00F82FE1" w:rsidRDefault="0024716E" w:rsidP="0024716E">
      <w:pPr>
        <w:jc w:val="center"/>
      </w:pPr>
      <w:r w:rsidRPr="00F82FE1">
        <w:rPr>
          <w:noProof/>
        </w:rPr>
        <w:lastRenderedPageBreak/>
        <w:drawing>
          <wp:inline distT="0" distB="0" distL="0" distR="0" wp14:anchorId="53DEAEBB" wp14:editId="20E2255C">
            <wp:extent cx="5943600" cy="4605655"/>
            <wp:effectExtent l="0" t="0" r="0" b="4445"/>
            <wp:docPr id="220198655" name="Picture 2" descr="A graph of can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503086" name="Picture 2" descr="A graph of cancer&#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4605655"/>
                    </a:xfrm>
                    <a:prstGeom prst="rect">
                      <a:avLst/>
                    </a:prstGeom>
                  </pic:spPr>
                </pic:pic>
              </a:graphicData>
            </a:graphic>
          </wp:inline>
        </w:drawing>
      </w:r>
    </w:p>
    <w:p w14:paraId="18ECEA21" w14:textId="5B26B215" w:rsidR="0024716E" w:rsidRPr="00F82FE1" w:rsidRDefault="00FD636B" w:rsidP="0024716E">
      <w:r w:rsidRPr="004E1237">
        <w:rPr>
          <w:b/>
          <w:bCs/>
          <w:color w:val="000000" w:themeColor="text1"/>
        </w:rPr>
        <w:t>Supplementary</w:t>
      </w:r>
      <w:r w:rsidRPr="001B7FDC">
        <w:rPr>
          <w:b/>
        </w:rPr>
        <w:t xml:space="preserve"> </w:t>
      </w:r>
      <w:r w:rsidR="0024716E">
        <w:rPr>
          <w:b/>
        </w:rPr>
        <w:t>Fig</w:t>
      </w:r>
      <w:r w:rsidR="0024716E">
        <w:rPr>
          <w:rFonts w:hint="eastAsia"/>
          <w:b/>
        </w:rPr>
        <w:t>ure</w:t>
      </w:r>
      <w:r w:rsidR="0024716E">
        <w:rPr>
          <w:b/>
        </w:rPr>
        <w:t xml:space="preserve"> </w:t>
      </w:r>
      <w:r>
        <w:rPr>
          <w:rFonts w:hint="eastAsia"/>
          <w:b/>
        </w:rPr>
        <w:t>2</w:t>
      </w:r>
      <w:r w:rsidR="0024716E" w:rsidRPr="00F82FE1">
        <w:rPr>
          <w:b/>
        </w:rPr>
        <w:t>.</w:t>
      </w:r>
      <w:r w:rsidR="0024716E" w:rsidRPr="00F82FE1">
        <w:t xml:space="preserve"> Breast cancer incidence rates by molecular subtype, age at diagnosis, and </w:t>
      </w:r>
      <w:r w:rsidR="0024716E" w:rsidRPr="00686C1B">
        <w:rPr>
          <w:color w:val="000000" w:themeColor="text1"/>
        </w:rPr>
        <w:t>race/ethnicity</w:t>
      </w:r>
      <w:r w:rsidR="0024716E" w:rsidRPr="00F82FE1">
        <w:t>, based on SEER*Explorer data from the most recent period (2018–2022),</w:t>
      </w:r>
      <w:r w:rsidR="0024716E" w:rsidRPr="00F82FE1">
        <w:rPr>
          <w:rStyle w:val="Emphasis"/>
        </w:rPr>
        <w:t xml:space="preserve"> using the original data as presented in SEER*</w:t>
      </w:r>
      <w:r w:rsidR="0024716E" w:rsidRPr="00F82FE1">
        <w:rPr>
          <w:i/>
        </w:rPr>
        <w:t>Explorer.</w:t>
      </w:r>
    </w:p>
    <w:p w14:paraId="20DD3707" w14:textId="1EC003B4" w:rsidR="0024716E" w:rsidRDefault="0024716E">
      <w:pPr>
        <w:spacing w:after="160" w:line="278" w:lineRule="auto"/>
        <w:rPr>
          <w:rFonts w:eastAsia="SimSun"/>
          <w:sz w:val="26"/>
          <w:szCs w:val="26"/>
        </w:rPr>
      </w:pPr>
      <w:r>
        <w:rPr>
          <w:rFonts w:eastAsia="SimSun"/>
          <w:sz w:val="26"/>
          <w:szCs w:val="26"/>
        </w:rPr>
        <w:br w:type="page"/>
      </w:r>
    </w:p>
    <w:p w14:paraId="10748954" w14:textId="77777777" w:rsidR="004A453A" w:rsidRPr="00F82FE1" w:rsidRDefault="004A453A" w:rsidP="004A453A">
      <w:pPr>
        <w:jc w:val="both"/>
        <w:rPr>
          <w:color w:val="000000"/>
        </w:rPr>
      </w:pPr>
      <w:r>
        <w:rPr>
          <w:noProof/>
          <w:color w:val="000000"/>
        </w:rPr>
        <w:lastRenderedPageBreak/>
        <w:drawing>
          <wp:inline distT="0" distB="0" distL="0" distR="0" wp14:anchorId="026E68E9" wp14:editId="60BB5124">
            <wp:extent cx="5943600" cy="2418080"/>
            <wp:effectExtent l="0" t="0" r="0" b="0"/>
            <wp:docPr id="84423095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230953" name="Picture 844230953"/>
                    <pic:cNvPicPr/>
                  </pic:nvPicPr>
                  <pic:blipFill>
                    <a:blip r:embed="rId6"/>
                    <a:stretch>
                      <a:fillRect/>
                    </a:stretch>
                  </pic:blipFill>
                  <pic:spPr>
                    <a:xfrm>
                      <a:off x="0" y="0"/>
                      <a:ext cx="5943600" cy="2418080"/>
                    </a:xfrm>
                    <a:prstGeom prst="rect">
                      <a:avLst/>
                    </a:prstGeom>
                  </pic:spPr>
                </pic:pic>
              </a:graphicData>
            </a:graphic>
          </wp:inline>
        </w:drawing>
      </w:r>
    </w:p>
    <w:p w14:paraId="1AF531D1" w14:textId="615E9362" w:rsidR="00AF275E" w:rsidRPr="00AF275E" w:rsidRDefault="00FD636B" w:rsidP="004A453A">
      <w:pPr>
        <w:jc w:val="both"/>
      </w:pPr>
      <w:r w:rsidRPr="004E1237">
        <w:rPr>
          <w:b/>
          <w:bCs/>
          <w:color w:val="000000" w:themeColor="text1"/>
        </w:rPr>
        <w:t>Supplementary</w:t>
      </w:r>
      <w:r w:rsidRPr="001B7FDC">
        <w:rPr>
          <w:b/>
        </w:rPr>
        <w:t xml:space="preserve"> </w:t>
      </w:r>
      <w:r w:rsidR="00675D3C">
        <w:rPr>
          <w:b/>
        </w:rPr>
        <w:t xml:space="preserve">Figure </w:t>
      </w:r>
      <w:r>
        <w:rPr>
          <w:rFonts w:hint="eastAsia"/>
          <w:b/>
        </w:rPr>
        <w:t>3</w:t>
      </w:r>
      <w:r w:rsidR="00675D3C">
        <w:rPr>
          <w:b/>
        </w:rPr>
        <w:t>.</w:t>
      </w:r>
      <w:r w:rsidR="00675D3C">
        <w:t xml:space="preserve"> </w:t>
      </w:r>
      <w:r w:rsidR="00AF275E" w:rsidRPr="00AF275E">
        <w:t>Temporal trends in the proportional distribution of breast cancer cases by race/ethnicity in the SEER 8 registries (1975–2022).</w:t>
      </w:r>
      <w:r w:rsidR="00AF275E">
        <w:rPr>
          <w:rFonts w:hint="eastAsia"/>
        </w:rPr>
        <w:t xml:space="preserve"> </w:t>
      </w:r>
      <w:r w:rsidR="00AF275E" w:rsidRPr="00AF275E">
        <w:t>Non-Hispanic White (green), non-Hispanic Black (red), non-Hispanic Asian/Pacific Islander (blue), Hispanic (yellow), and Other (purple) patients are shown separately for older (left) and younger (right) age groups.</w:t>
      </w:r>
    </w:p>
    <w:p w14:paraId="611369FA" w14:textId="77777777" w:rsidR="004A453A" w:rsidRPr="00F82FE1" w:rsidRDefault="004A453A" w:rsidP="004A453A">
      <w:pPr>
        <w:rPr>
          <w:color w:val="000000"/>
        </w:rPr>
      </w:pPr>
      <w:r>
        <w:rPr>
          <w:color w:val="000000"/>
        </w:rPr>
        <w:br w:type="page"/>
      </w:r>
    </w:p>
    <w:p w14:paraId="40D5847F" w14:textId="07D665BF" w:rsidR="004A453A" w:rsidRPr="00F82FE1" w:rsidRDefault="00436D78" w:rsidP="004A453A">
      <w:pPr>
        <w:jc w:val="both"/>
        <w:rPr>
          <w:b/>
        </w:rPr>
      </w:pPr>
      <w:r>
        <w:rPr>
          <w:b/>
          <w:noProof/>
          <w14:ligatures w14:val="standardContextual"/>
        </w:rPr>
        <w:lastRenderedPageBreak/>
        <w:drawing>
          <wp:inline distT="0" distB="0" distL="0" distR="0" wp14:anchorId="470A08E2" wp14:editId="0547BEDA">
            <wp:extent cx="5943600" cy="2546350"/>
            <wp:effectExtent l="0" t="0" r="0" b="6350"/>
            <wp:docPr id="2102951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951540" name="Picture 2102951540"/>
                    <pic:cNvPicPr/>
                  </pic:nvPicPr>
                  <pic:blipFill>
                    <a:blip r:embed="rId7"/>
                    <a:stretch>
                      <a:fillRect/>
                    </a:stretch>
                  </pic:blipFill>
                  <pic:spPr>
                    <a:xfrm>
                      <a:off x="0" y="0"/>
                      <a:ext cx="5943600" cy="2546350"/>
                    </a:xfrm>
                    <a:prstGeom prst="rect">
                      <a:avLst/>
                    </a:prstGeom>
                  </pic:spPr>
                </pic:pic>
              </a:graphicData>
            </a:graphic>
          </wp:inline>
        </w:drawing>
      </w:r>
    </w:p>
    <w:p w14:paraId="1A3FDB54" w14:textId="6817D4B4" w:rsidR="00AF275E" w:rsidRPr="00F82FE1" w:rsidRDefault="00FD636B" w:rsidP="00AF275E">
      <w:pPr>
        <w:jc w:val="both"/>
      </w:pPr>
      <w:r w:rsidRPr="004E1237">
        <w:rPr>
          <w:b/>
          <w:bCs/>
          <w:color w:val="000000" w:themeColor="text1"/>
        </w:rPr>
        <w:t>Supplementary</w:t>
      </w:r>
      <w:r w:rsidRPr="001B7FDC">
        <w:rPr>
          <w:b/>
        </w:rPr>
        <w:t xml:space="preserve"> </w:t>
      </w:r>
      <w:r w:rsidR="008D6E30">
        <w:rPr>
          <w:b/>
        </w:rPr>
        <w:t>Fig</w:t>
      </w:r>
      <w:r w:rsidR="008D6E30">
        <w:rPr>
          <w:rFonts w:hint="eastAsia"/>
          <w:b/>
        </w:rPr>
        <w:t>ure</w:t>
      </w:r>
      <w:r w:rsidR="008D6E30">
        <w:rPr>
          <w:b/>
        </w:rPr>
        <w:t xml:space="preserve"> </w:t>
      </w:r>
      <w:r>
        <w:rPr>
          <w:rFonts w:hint="eastAsia"/>
          <w:b/>
        </w:rPr>
        <w:t>4</w:t>
      </w:r>
      <w:r w:rsidR="004A453A" w:rsidRPr="00F82FE1">
        <w:rPr>
          <w:b/>
        </w:rPr>
        <w:t>.</w:t>
      </w:r>
      <w:r w:rsidR="004A453A" w:rsidRPr="00F82FE1">
        <w:t xml:space="preserve"> </w:t>
      </w:r>
      <w:r w:rsidR="00AF275E" w:rsidRPr="00AF275E">
        <w:t>Temporal trends in the proportional distribution of breast cancer cases by race/ethnicity in the SEER 17 registries (2000–2022).</w:t>
      </w:r>
      <w:r w:rsidR="00AF275E">
        <w:rPr>
          <w:rFonts w:hint="eastAsia"/>
        </w:rPr>
        <w:t xml:space="preserve"> </w:t>
      </w:r>
      <w:r w:rsidR="00AF275E" w:rsidRPr="00AF275E">
        <w:t>Non-Hispanic White (green), non-Hispanic Black (red), non-Hispanic Asian/Pacific Islander (blue), Hispanic (yellow), and Other (purple) patients are shown separately for older (left) and younger (right) age groups.</w:t>
      </w:r>
    </w:p>
    <w:p w14:paraId="35D899EB" w14:textId="2B4577D5" w:rsidR="004A453A" w:rsidRDefault="004A453A" w:rsidP="004A453A">
      <w:r>
        <w:br w:type="page"/>
      </w:r>
      <w:r w:rsidR="00633EE7">
        <w:rPr>
          <w:noProof/>
          <w14:ligatures w14:val="standardContextual"/>
        </w:rPr>
        <w:lastRenderedPageBreak/>
        <w:drawing>
          <wp:inline distT="0" distB="0" distL="0" distR="0" wp14:anchorId="2312E3BF" wp14:editId="1326532C">
            <wp:extent cx="5943600" cy="6904990"/>
            <wp:effectExtent l="0" t="0" r="0" b="3810"/>
            <wp:docPr id="857548356" name="Picture 3"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48356" name="Picture 3" descr="A graph with numbers and lines&#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943600" cy="6904990"/>
                    </a:xfrm>
                    <a:prstGeom prst="rect">
                      <a:avLst/>
                    </a:prstGeom>
                  </pic:spPr>
                </pic:pic>
              </a:graphicData>
            </a:graphic>
          </wp:inline>
        </w:drawing>
      </w:r>
    </w:p>
    <w:p w14:paraId="0CFDFB92" w14:textId="34CDF3CF" w:rsidR="006831A8" w:rsidRDefault="00FD636B" w:rsidP="00090AEE">
      <w:pPr>
        <w:jc w:val="both"/>
      </w:pPr>
      <w:r w:rsidRPr="004E1237">
        <w:rPr>
          <w:b/>
          <w:bCs/>
          <w:color w:val="000000" w:themeColor="text1"/>
        </w:rPr>
        <w:t>Supplementary</w:t>
      </w:r>
      <w:r w:rsidRPr="001B7FDC">
        <w:rPr>
          <w:b/>
        </w:rPr>
        <w:t xml:space="preserve"> </w:t>
      </w:r>
      <w:r w:rsidR="006831A8">
        <w:rPr>
          <w:b/>
        </w:rPr>
        <w:t>Fig</w:t>
      </w:r>
      <w:r w:rsidR="006831A8">
        <w:rPr>
          <w:rFonts w:hint="eastAsia"/>
          <w:b/>
        </w:rPr>
        <w:t>ure</w:t>
      </w:r>
      <w:r w:rsidR="006831A8">
        <w:rPr>
          <w:b/>
        </w:rPr>
        <w:t xml:space="preserve"> </w:t>
      </w:r>
      <w:r>
        <w:rPr>
          <w:rFonts w:hint="eastAsia"/>
          <w:b/>
        </w:rPr>
        <w:t>5</w:t>
      </w:r>
      <w:r w:rsidR="006831A8" w:rsidRPr="00F82FE1">
        <w:rPr>
          <w:b/>
        </w:rPr>
        <w:t>.</w:t>
      </w:r>
      <w:r w:rsidR="006831A8" w:rsidRPr="00F82FE1">
        <w:t xml:space="preserve"> </w:t>
      </w:r>
      <w:r w:rsidR="00090AEE" w:rsidRPr="00090AEE">
        <w:t>Temporal Trends in Asian Breast Cancer Subgroup Distribution in the SEER 17 Registries</w:t>
      </w:r>
      <w:r w:rsidR="00090AEE">
        <w:rPr>
          <w:rFonts w:hint="eastAsia"/>
        </w:rPr>
        <w:t>.</w:t>
      </w:r>
    </w:p>
    <w:p w14:paraId="426CF8A2" w14:textId="698B47F9" w:rsidR="00716F3E" w:rsidRDefault="00716F3E">
      <w:pPr>
        <w:spacing w:after="160" w:line="278" w:lineRule="auto"/>
      </w:pPr>
      <w:r>
        <w:br w:type="page"/>
      </w:r>
    </w:p>
    <w:p w14:paraId="7AD83F4F" w14:textId="33CCF358" w:rsidR="00716F3E" w:rsidRDefault="00FD4C9E" w:rsidP="00716F3E">
      <w:pPr>
        <w:rPr>
          <w:lang w:val="en-US"/>
        </w:rPr>
      </w:pPr>
      <w:r>
        <w:rPr>
          <w:noProof/>
          <w:lang w:val="en-US"/>
          <w14:ligatures w14:val="standardContextual"/>
        </w:rPr>
        <w:lastRenderedPageBreak/>
        <w:drawing>
          <wp:inline distT="0" distB="0" distL="0" distR="0" wp14:anchorId="58A04292" wp14:editId="64EB206A">
            <wp:extent cx="5943600" cy="4754880"/>
            <wp:effectExtent l="0" t="0" r="0" b="0"/>
            <wp:docPr id="1172535135" name="Picture 2"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2535135" name="Picture 2" descr="A graph of different colored line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4754880"/>
                    </a:xfrm>
                    <a:prstGeom prst="rect">
                      <a:avLst/>
                    </a:prstGeom>
                  </pic:spPr>
                </pic:pic>
              </a:graphicData>
            </a:graphic>
          </wp:inline>
        </w:drawing>
      </w:r>
    </w:p>
    <w:p w14:paraId="1F551598" w14:textId="3EA93177" w:rsidR="00716F3E" w:rsidRPr="00716F3E" w:rsidRDefault="00FD636B" w:rsidP="004A453A">
      <w:pPr>
        <w:rPr>
          <w:lang w:val="en-US"/>
        </w:rPr>
      </w:pPr>
      <w:r w:rsidRPr="004E1237">
        <w:rPr>
          <w:b/>
          <w:bCs/>
          <w:color w:val="000000" w:themeColor="text1"/>
        </w:rPr>
        <w:t>Supplementary</w:t>
      </w:r>
      <w:r w:rsidRPr="001B7FDC">
        <w:rPr>
          <w:b/>
        </w:rPr>
        <w:t xml:space="preserve"> </w:t>
      </w:r>
      <w:r w:rsidR="009266D5">
        <w:rPr>
          <w:b/>
        </w:rPr>
        <w:t>Fig</w:t>
      </w:r>
      <w:r w:rsidR="009266D5">
        <w:rPr>
          <w:rFonts w:hint="eastAsia"/>
          <w:b/>
        </w:rPr>
        <w:t>ure</w:t>
      </w:r>
      <w:r w:rsidR="009266D5">
        <w:rPr>
          <w:b/>
        </w:rPr>
        <w:t xml:space="preserve"> </w:t>
      </w:r>
      <w:r>
        <w:rPr>
          <w:rFonts w:hint="eastAsia"/>
          <w:b/>
        </w:rPr>
        <w:t>6</w:t>
      </w:r>
      <w:r w:rsidR="009266D5" w:rsidRPr="00F82FE1">
        <w:rPr>
          <w:b/>
        </w:rPr>
        <w:t>.</w:t>
      </w:r>
      <w:r w:rsidR="009266D5" w:rsidRPr="00F82FE1">
        <w:t xml:space="preserve"> </w:t>
      </w:r>
      <w:r w:rsidR="00626E60" w:rsidRPr="00626E60">
        <w:t>Survival Analyses of Asian Subgroups Stratified by Molecular Subtype and Age Group.</w:t>
      </w:r>
      <w:r w:rsidR="00626E60" w:rsidRPr="00626E60">
        <w:rPr>
          <w:rFonts w:hint="eastAsia"/>
        </w:rPr>
        <w:t xml:space="preserve"> </w:t>
      </w:r>
      <w:r w:rsidR="00626E60" w:rsidRPr="00626E60">
        <w:t>Kaplan–Meier survival curves are presented for major Asian subgroups across molecular subtypes and age groups (18–49, 50–64, and ≥65 years). Each panel displays subgroup-specific survival comparisons within a given age–subtype stratum. Most comparisons did not demonstrate statistically significant differences between Asian subgroups. Significant differences were observed only among patients aged 18–49 and 50–64 years with HR+/HER2− tumors. Limited sample sizes within specific subgroup–age–subtype intersections may have reduced statistical power.</w:t>
      </w:r>
    </w:p>
    <w:p w14:paraId="38168D7F" w14:textId="5A564979" w:rsidR="005456EC" w:rsidRDefault="005456EC" w:rsidP="004A453A">
      <w:r>
        <w:rPr>
          <w:rFonts w:hint="eastAsia"/>
          <w:noProof/>
          <w14:ligatures w14:val="standardContextual"/>
        </w:rPr>
        <w:lastRenderedPageBreak/>
        <w:drawing>
          <wp:inline distT="0" distB="0" distL="0" distR="0" wp14:anchorId="75F91EF3" wp14:editId="1988FAEC">
            <wp:extent cx="5943600" cy="5690870"/>
            <wp:effectExtent l="0" t="0" r="0" b="0"/>
            <wp:docPr id="149757626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576267" name="Picture 4" descr="A screenshot of a graph&#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5690870"/>
                    </a:xfrm>
                    <a:prstGeom prst="rect">
                      <a:avLst/>
                    </a:prstGeom>
                  </pic:spPr>
                </pic:pic>
              </a:graphicData>
            </a:graphic>
          </wp:inline>
        </w:drawing>
      </w:r>
    </w:p>
    <w:p w14:paraId="5195980C" w14:textId="03981333" w:rsidR="004A453A" w:rsidRPr="008F60F7" w:rsidRDefault="00FD636B" w:rsidP="008F60F7">
      <w:pPr>
        <w:jc w:val="both"/>
        <w:rPr>
          <w:rFonts w:ascii="SimSun" w:eastAsia="SimSun" w:hAnsi="SimSun" w:cs="SimSun"/>
        </w:rPr>
      </w:pPr>
      <w:r w:rsidRPr="004E1237">
        <w:rPr>
          <w:b/>
          <w:bCs/>
          <w:color w:val="000000" w:themeColor="text1"/>
        </w:rPr>
        <w:t>Supplementary</w:t>
      </w:r>
      <w:r w:rsidRPr="001B7FDC">
        <w:rPr>
          <w:b/>
        </w:rPr>
        <w:t xml:space="preserve"> </w:t>
      </w:r>
      <w:r w:rsidR="005456EC">
        <w:rPr>
          <w:b/>
        </w:rPr>
        <w:t>Fig</w:t>
      </w:r>
      <w:r w:rsidR="005456EC">
        <w:rPr>
          <w:rFonts w:hint="eastAsia"/>
          <w:b/>
        </w:rPr>
        <w:t>ure</w:t>
      </w:r>
      <w:r w:rsidR="005456EC">
        <w:rPr>
          <w:b/>
        </w:rPr>
        <w:t xml:space="preserve"> </w:t>
      </w:r>
      <w:r>
        <w:rPr>
          <w:rFonts w:hint="eastAsia"/>
          <w:b/>
        </w:rPr>
        <w:t>7</w:t>
      </w:r>
      <w:r w:rsidR="005456EC" w:rsidRPr="00F82FE1">
        <w:rPr>
          <w:b/>
        </w:rPr>
        <w:t>.</w:t>
      </w:r>
      <w:r w:rsidR="005456EC" w:rsidRPr="00F82FE1">
        <w:t xml:space="preserve"> </w:t>
      </w:r>
      <w:r w:rsidR="008F60F7" w:rsidRPr="008F60F7">
        <w:t>Temporal Trends in Breast Cancer Stage Distribution by Race/Ethnicity (SEER 17 Registries)</w:t>
      </w:r>
      <w:r w:rsidR="008F60F7">
        <w:rPr>
          <w:rFonts w:ascii="SimSun" w:eastAsia="SimSun" w:hAnsi="SimSun" w:cs="SimSun" w:hint="eastAsia"/>
        </w:rPr>
        <w:t>.</w:t>
      </w:r>
    </w:p>
    <w:p w14:paraId="72F6EFBB" w14:textId="55C7C56C" w:rsidR="004A453A" w:rsidRPr="00F82FE1" w:rsidRDefault="004A453A" w:rsidP="004A453A">
      <w:pPr>
        <w:jc w:val="center"/>
      </w:pPr>
    </w:p>
    <w:p w14:paraId="28E774A8" w14:textId="0BB23B40" w:rsidR="005456EC" w:rsidRPr="00E41A35" w:rsidRDefault="004A453A" w:rsidP="004A453A">
      <w:r w:rsidRPr="00F82FE1">
        <w:br w:type="page"/>
      </w:r>
    </w:p>
    <w:p w14:paraId="7E61BA0A" w14:textId="77777777" w:rsidR="004A453A" w:rsidRPr="00F82FE1" w:rsidRDefault="004A453A" w:rsidP="004A453A">
      <w:pPr>
        <w:jc w:val="center"/>
      </w:pPr>
      <w:r w:rsidRPr="00F82FE1">
        <w:rPr>
          <w:noProof/>
        </w:rPr>
        <w:lastRenderedPageBreak/>
        <w:drawing>
          <wp:inline distT="0" distB="0" distL="0" distR="0" wp14:anchorId="16954427" wp14:editId="77644C4E">
            <wp:extent cx="5710555" cy="8229600"/>
            <wp:effectExtent l="0" t="0" r="4445" b="0"/>
            <wp:docPr id="1824830875" name="Picture 35" descr="A graph of different colore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830875" name="Picture 35" descr="A graph of different colored lines&#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10555" cy="8229600"/>
                    </a:xfrm>
                    <a:prstGeom prst="rect">
                      <a:avLst/>
                    </a:prstGeom>
                  </pic:spPr>
                </pic:pic>
              </a:graphicData>
            </a:graphic>
          </wp:inline>
        </w:drawing>
      </w:r>
    </w:p>
    <w:p w14:paraId="062B17AF" w14:textId="23ABD3A8" w:rsidR="004A453A" w:rsidRPr="00F82FE1" w:rsidRDefault="00FD636B" w:rsidP="004A453A">
      <w:r w:rsidRPr="004E1237">
        <w:rPr>
          <w:b/>
          <w:bCs/>
          <w:color w:val="000000" w:themeColor="text1"/>
        </w:rPr>
        <w:lastRenderedPageBreak/>
        <w:t>Supplementary</w:t>
      </w:r>
      <w:r w:rsidRPr="001B7FDC">
        <w:rPr>
          <w:b/>
        </w:rPr>
        <w:t xml:space="preserve"> </w:t>
      </w:r>
      <w:r w:rsidR="00A85A42">
        <w:rPr>
          <w:b/>
        </w:rPr>
        <w:t>Fig</w:t>
      </w:r>
      <w:r w:rsidR="00A85A42">
        <w:rPr>
          <w:rFonts w:hint="eastAsia"/>
          <w:b/>
        </w:rPr>
        <w:t>ure</w:t>
      </w:r>
      <w:r w:rsidR="00A85A42">
        <w:rPr>
          <w:b/>
        </w:rPr>
        <w:t xml:space="preserve"> </w:t>
      </w:r>
      <w:r>
        <w:rPr>
          <w:rFonts w:hint="eastAsia"/>
          <w:b/>
        </w:rPr>
        <w:t>8</w:t>
      </w:r>
      <w:r w:rsidR="004A453A" w:rsidRPr="00F82FE1">
        <w:rPr>
          <w:b/>
        </w:rPr>
        <w:t>.</w:t>
      </w:r>
      <w:r w:rsidR="004A453A" w:rsidRPr="00F82FE1">
        <w:t xml:space="preserve"> </w:t>
      </w:r>
      <w:r w:rsidR="004A453A" w:rsidRPr="005071CA">
        <w:t>Survival Analyses of Racial Groups Stratified by Molecular Subtypes and Age Groups. </w:t>
      </w:r>
      <w:r w:rsidR="008F60F7" w:rsidRPr="008F60F7">
        <w:t>Kaplan–Meier survival curve</w:t>
      </w:r>
      <w:r w:rsidR="008F60F7">
        <w:rPr>
          <w:rFonts w:hint="eastAsia"/>
        </w:rPr>
        <w:t>s</w:t>
      </w:r>
      <w:r w:rsidR="004A453A" w:rsidRPr="005071CA">
        <w:t xml:space="preserve"> are shown for each molecular subtype across age groups 0–49, 50–64, and ≥65 years. Each panel displays five survival curves representing the five racial groups, stratified by age and molecular subtype. Notably, hazard ratios for Black and Hispanic patients decreased with increasing age, indicating relatively better outcomes in older patients from these groups. In addition, survival disparities across racial groups were most pronounced among younger patients.</w:t>
      </w:r>
    </w:p>
    <w:p w14:paraId="3E384667" w14:textId="77777777" w:rsidR="004A453A" w:rsidRPr="00F82FE1" w:rsidRDefault="004A453A" w:rsidP="004A453A"/>
    <w:p w14:paraId="0FF1AF3E" w14:textId="77777777" w:rsidR="004A453A" w:rsidRPr="00F82FE1" w:rsidRDefault="004A453A" w:rsidP="004A453A"/>
    <w:p w14:paraId="45DC9E7C" w14:textId="77777777" w:rsidR="004A453A" w:rsidRPr="00F82FE1" w:rsidRDefault="004A453A" w:rsidP="004A453A"/>
    <w:p w14:paraId="3BB8E765" w14:textId="77777777" w:rsidR="004A453A" w:rsidRPr="00F82FE1" w:rsidRDefault="004A453A" w:rsidP="004A453A">
      <w:pPr>
        <w:rPr>
          <w:color w:val="FF0000"/>
        </w:rPr>
      </w:pPr>
    </w:p>
    <w:p w14:paraId="3F91DA32" w14:textId="77777777" w:rsidR="004A453A" w:rsidRPr="00F82FE1" w:rsidRDefault="004A453A" w:rsidP="004A453A">
      <w:pPr>
        <w:jc w:val="center"/>
      </w:pPr>
      <w:r w:rsidRPr="00F82FE1">
        <w:br w:type="page"/>
      </w:r>
      <w:r w:rsidRPr="00F82FE1">
        <w:rPr>
          <w:noProof/>
        </w:rPr>
        <w:lastRenderedPageBreak/>
        <w:drawing>
          <wp:inline distT="0" distB="0" distL="0" distR="0" wp14:anchorId="5DD038C1" wp14:editId="181E3E06">
            <wp:extent cx="5943600" cy="5959475"/>
            <wp:effectExtent l="0" t="0" r="0" b="0"/>
            <wp:docPr id="1202940790" name="Picture 12" descr="A chart of different age group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40790" name="Picture 12" descr="A chart of different age group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5959475"/>
                    </a:xfrm>
                    <a:prstGeom prst="rect">
                      <a:avLst/>
                    </a:prstGeom>
                  </pic:spPr>
                </pic:pic>
              </a:graphicData>
            </a:graphic>
          </wp:inline>
        </w:drawing>
      </w:r>
    </w:p>
    <w:p w14:paraId="596C7519" w14:textId="3EAF5EBB" w:rsidR="004A453A" w:rsidRPr="001B7FDC" w:rsidRDefault="00FD636B" w:rsidP="004A453A">
      <w:pPr>
        <w:rPr>
          <w:bCs/>
        </w:rPr>
      </w:pPr>
      <w:r w:rsidRPr="004E1237">
        <w:rPr>
          <w:b/>
          <w:bCs/>
          <w:color w:val="000000" w:themeColor="text1"/>
        </w:rPr>
        <w:t>Supplementary</w:t>
      </w:r>
      <w:r w:rsidRPr="001B7FDC">
        <w:rPr>
          <w:b/>
        </w:rPr>
        <w:t xml:space="preserve"> </w:t>
      </w:r>
      <w:r w:rsidR="00040A01" w:rsidRPr="001B7FDC">
        <w:rPr>
          <w:b/>
        </w:rPr>
        <w:t>Fig</w:t>
      </w:r>
      <w:r w:rsidR="00040A01" w:rsidRPr="001B7FDC">
        <w:rPr>
          <w:rFonts w:hint="eastAsia"/>
          <w:b/>
        </w:rPr>
        <w:t>ure</w:t>
      </w:r>
      <w:r w:rsidR="00040A01" w:rsidRPr="001B7FDC">
        <w:rPr>
          <w:b/>
        </w:rPr>
        <w:t xml:space="preserve"> </w:t>
      </w:r>
      <w:r>
        <w:rPr>
          <w:rFonts w:hint="eastAsia"/>
          <w:b/>
        </w:rPr>
        <w:t>9</w:t>
      </w:r>
      <w:r w:rsidR="004A453A" w:rsidRPr="001B7FDC">
        <w:rPr>
          <w:b/>
        </w:rPr>
        <w:t>.</w:t>
      </w:r>
      <w:r w:rsidR="004A453A" w:rsidRPr="001B7FDC">
        <w:rPr>
          <w:bCs/>
        </w:rPr>
        <w:t xml:space="preserve"> Survival Analyses of Molecular Subtypes Stratified by </w:t>
      </w:r>
      <w:r w:rsidR="004A453A" w:rsidRPr="00CC0AAF">
        <w:rPr>
          <w:bCs/>
        </w:rPr>
        <w:t>Race</w:t>
      </w:r>
      <w:r w:rsidR="00CC0AAF" w:rsidRPr="00CC0AAF">
        <w:rPr>
          <w:bCs/>
          <w:color w:val="000000" w:themeColor="text1"/>
        </w:rPr>
        <w:t>/ethnicity</w:t>
      </w:r>
      <w:r w:rsidR="004A453A" w:rsidRPr="001B7FDC">
        <w:rPr>
          <w:bCs/>
        </w:rPr>
        <w:t xml:space="preserve"> and Age Groups. </w:t>
      </w:r>
      <w:r w:rsidR="008F60F7" w:rsidRPr="008F60F7">
        <w:rPr>
          <w:bCs/>
        </w:rPr>
        <w:t>Kaplan–Meier survival curve</w:t>
      </w:r>
      <w:r w:rsidR="008F60F7">
        <w:rPr>
          <w:rFonts w:hint="eastAsia"/>
          <w:bCs/>
        </w:rPr>
        <w:t xml:space="preserve">s </w:t>
      </w:r>
      <w:r w:rsidR="004A453A" w:rsidRPr="001B7FDC">
        <w:rPr>
          <w:bCs/>
        </w:rPr>
        <w:t>are shown for each racial group across age groups 0–49, 50–64, and ≥65 years. Each panel displays four survival curves, representing the molecular subtypes, stratified by age and racial group. Notably, outcomes for HER2-positive groups worsened with increasing age, and their survival curves approached those of triple-negative breast cancer. This indicates that age-related reductions in hazard ratios were less pronounced for these two subtypes. In addition, among younger patients, survival disparities across molecular subtypes were the most pronounced.</w:t>
      </w:r>
    </w:p>
    <w:p w14:paraId="66372EB3" w14:textId="0F4B8A97" w:rsidR="009018B8" w:rsidRDefault="009018B8">
      <w:pPr>
        <w:spacing w:after="160" w:line="278" w:lineRule="auto"/>
      </w:pPr>
      <w:r>
        <w:br w:type="page"/>
      </w:r>
    </w:p>
    <w:p w14:paraId="74E5B209" w14:textId="77777777" w:rsidR="009018B8" w:rsidRPr="00F82FE1" w:rsidRDefault="009018B8" w:rsidP="009018B8">
      <w:r w:rsidRPr="00F82FE1">
        <w:rPr>
          <w:noProof/>
        </w:rPr>
        <w:lastRenderedPageBreak/>
        <w:drawing>
          <wp:inline distT="0" distB="0" distL="0" distR="0" wp14:anchorId="3B1D2CFA" wp14:editId="6953537A">
            <wp:extent cx="5924145" cy="3332331"/>
            <wp:effectExtent l="0" t="0" r="0" b="0"/>
            <wp:docPr id="7492844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949786" name="Picture 1809949786"/>
                    <pic:cNvPicPr/>
                  </pic:nvPicPr>
                  <pic:blipFill>
                    <a:blip r:embed="rId13"/>
                    <a:stretch>
                      <a:fillRect/>
                    </a:stretch>
                  </pic:blipFill>
                  <pic:spPr>
                    <a:xfrm>
                      <a:off x="0" y="0"/>
                      <a:ext cx="5953641" cy="3348922"/>
                    </a:xfrm>
                    <a:prstGeom prst="rect">
                      <a:avLst/>
                    </a:prstGeom>
                  </pic:spPr>
                </pic:pic>
              </a:graphicData>
            </a:graphic>
          </wp:inline>
        </w:drawing>
      </w:r>
    </w:p>
    <w:p w14:paraId="2AEC0233" w14:textId="5BC9F363" w:rsidR="009018B8" w:rsidRDefault="00FD636B" w:rsidP="009018B8">
      <w:pPr>
        <w:jc w:val="both"/>
      </w:pPr>
      <w:r w:rsidRPr="004E1237">
        <w:rPr>
          <w:b/>
          <w:bCs/>
          <w:color w:val="000000" w:themeColor="text1"/>
        </w:rPr>
        <w:t>Supplementary</w:t>
      </w:r>
      <w:r w:rsidRPr="001B7FDC">
        <w:rPr>
          <w:b/>
        </w:rPr>
        <w:t xml:space="preserve"> </w:t>
      </w:r>
      <w:r w:rsidR="009018B8">
        <w:rPr>
          <w:b/>
        </w:rPr>
        <w:t>Figure 1</w:t>
      </w:r>
      <w:r w:rsidR="009018B8">
        <w:rPr>
          <w:rFonts w:hint="eastAsia"/>
          <w:b/>
        </w:rPr>
        <w:t>0</w:t>
      </w:r>
      <w:r w:rsidR="009018B8">
        <w:rPr>
          <w:b/>
        </w:rPr>
        <w:t>.</w:t>
      </w:r>
      <w:r w:rsidR="009018B8">
        <w:t xml:space="preserve"> </w:t>
      </w:r>
      <w:r w:rsidR="009018B8" w:rsidRPr="00F82FE1">
        <w:t>Flow Diagram for Study Cohort Inclusion.</w:t>
      </w:r>
    </w:p>
    <w:p w14:paraId="601085B1" w14:textId="77777777" w:rsidR="00456357" w:rsidRDefault="00456357"/>
    <w:sectPr w:rsidR="00456357" w:rsidSect="004A453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53A"/>
    <w:rsid w:val="000168B3"/>
    <w:rsid w:val="00040A01"/>
    <w:rsid w:val="00082D39"/>
    <w:rsid w:val="00090AEE"/>
    <w:rsid w:val="000929D9"/>
    <w:rsid w:val="00173D30"/>
    <w:rsid w:val="001A268F"/>
    <w:rsid w:val="001B7FDC"/>
    <w:rsid w:val="0024716E"/>
    <w:rsid w:val="002833B9"/>
    <w:rsid w:val="002D46D6"/>
    <w:rsid w:val="00330677"/>
    <w:rsid w:val="00343539"/>
    <w:rsid w:val="003703AE"/>
    <w:rsid w:val="003D65C8"/>
    <w:rsid w:val="00436D78"/>
    <w:rsid w:val="0044190F"/>
    <w:rsid w:val="00456357"/>
    <w:rsid w:val="004601A7"/>
    <w:rsid w:val="00460F4B"/>
    <w:rsid w:val="004A0668"/>
    <w:rsid w:val="004A453A"/>
    <w:rsid w:val="004B3FA2"/>
    <w:rsid w:val="004D4A72"/>
    <w:rsid w:val="005071CA"/>
    <w:rsid w:val="005456EC"/>
    <w:rsid w:val="005A3D28"/>
    <w:rsid w:val="00626E60"/>
    <w:rsid w:val="00633EE7"/>
    <w:rsid w:val="006617E0"/>
    <w:rsid w:val="00664CAE"/>
    <w:rsid w:val="00675D3C"/>
    <w:rsid w:val="0067717F"/>
    <w:rsid w:val="006831A8"/>
    <w:rsid w:val="00716F3E"/>
    <w:rsid w:val="00771D86"/>
    <w:rsid w:val="007A10D0"/>
    <w:rsid w:val="008A4566"/>
    <w:rsid w:val="008D6E30"/>
    <w:rsid w:val="008F60F7"/>
    <w:rsid w:val="009018B8"/>
    <w:rsid w:val="009266D5"/>
    <w:rsid w:val="00A45578"/>
    <w:rsid w:val="00A5601C"/>
    <w:rsid w:val="00A85A42"/>
    <w:rsid w:val="00AF275E"/>
    <w:rsid w:val="00B75B9D"/>
    <w:rsid w:val="00C11CB1"/>
    <w:rsid w:val="00C52317"/>
    <w:rsid w:val="00C62EA4"/>
    <w:rsid w:val="00CA429B"/>
    <w:rsid w:val="00CC0AAF"/>
    <w:rsid w:val="00CF5371"/>
    <w:rsid w:val="00D13220"/>
    <w:rsid w:val="00D33C1F"/>
    <w:rsid w:val="00D555FA"/>
    <w:rsid w:val="00DB7539"/>
    <w:rsid w:val="00E01E56"/>
    <w:rsid w:val="00E2072C"/>
    <w:rsid w:val="00E41A35"/>
    <w:rsid w:val="00E84DF2"/>
    <w:rsid w:val="00EC4261"/>
    <w:rsid w:val="00F87F5A"/>
    <w:rsid w:val="00F93420"/>
    <w:rsid w:val="00FC0B73"/>
    <w:rsid w:val="00FD4C9E"/>
    <w:rsid w:val="00FD6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58774C39"/>
  <w15:chartTrackingRefBased/>
  <w15:docId w15:val="{921143A5-9A16-ED44-91BF-350A901B1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453A"/>
    <w:pPr>
      <w:spacing w:after="0" w:line="240" w:lineRule="auto"/>
    </w:pPr>
    <w:rPr>
      <w:rFonts w:ascii="Times New Roman" w:eastAsia="Times New Roman" w:hAnsi="Times New Roman" w:cs="Times New Roman"/>
      <w:kern w:val="0"/>
      <w:lang w:val="en"/>
      <w14:ligatures w14:val="none"/>
    </w:rPr>
  </w:style>
  <w:style w:type="paragraph" w:styleId="Heading1">
    <w:name w:val="heading 1"/>
    <w:basedOn w:val="Normal"/>
    <w:next w:val="Normal"/>
    <w:link w:val="Heading1Char"/>
    <w:uiPriority w:val="9"/>
    <w:qFormat/>
    <w:rsid w:val="004A453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4A453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4A453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4A453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4A453A"/>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4A453A"/>
    <w:pPr>
      <w:keepNext/>
      <w:keepLines/>
      <w:spacing w:before="40" w:line="278"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4A453A"/>
    <w:pPr>
      <w:keepNext/>
      <w:keepLines/>
      <w:spacing w:before="40" w:line="278"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4A453A"/>
    <w:pPr>
      <w:keepNext/>
      <w:keepLines/>
      <w:spacing w:line="278"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4A453A"/>
    <w:pPr>
      <w:keepNext/>
      <w:keepLines/>
      <w:spacing w:line="278"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453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453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453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453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453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453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453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453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453A"/>
    <w:rPr>
      <w:rFonts w:eastAsiaTheme="majorEastAsia" w:cstheme="majorBidi"/>
      <w:color w:val="272727" w:themeColor="text1" w:themeTint="D8"/>
    </w:rPr>
  </w:style>
  <w:style w:type="paragraph" w:styleId="Title">
    <w:name w:val="Title"/>
    <w:basedOn w:val="Normal"/>
    <w:next w:val="Normal"/>
    <w:link w:val="TitleChar"/>
    <w:uiPriority w:val="10"/>
    <w:qFormat/>
    <w:rsid w:val="004A453A"/>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4A453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453A"/>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4A453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453A"/>
    <w:pPr>
      <w:spacing w:before="160" w:after="160" w:line="278" w:lineRule="auto"/>
      <w:jc w:val="center"/>
    </w:pPr>
    <w:rPr>
      <w:rFonts w:asciiTheme="minorHAnsi" w:eastAsiaTheme="minorEastAsia"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4A453A"/>
    <w:rPr>
      <w:i/>
      <w:iCs/>
      <w:color w:val="404040" w:themeColor="text1" w:themeTint="BF"/>
    </w:rPr>
  </w:style>
  <w:style w:type="paragraph" w:styleId="ListParagraph">
    <w:name w:val="List Paragraph"/>
    <w:basedOn w:val="Normal"/>
    <w:uiPriority w:val="34"/>
    <w:qFormat/>
    <w:rsid w:val="004A453A"/>
    <w:pPr>
      <w:spacing w:after="160" w:line="278" w:lineRule="auto"/>
      <w:ind w:left="720"/>
      <w:contextualSpacing/>
    </w:pPr>
    <w:rPr>
      <w:rFonts w:asciiTheme="minorHAnsi" w:eastAsiaTheme="minorEastAsia" w:hAnsiTheme="minorHAnsi" w:cstheme="minorBidi"/>
      <w:kern w:val="2"/>
      <w:lang w:val="en-US"/>
      <w14:ligatures w14:val="standardContextual"/>
    </w:rPr>
  </w:style>
  <w:style w:type="character" w:styleId="IntenseEmphasis">
    <w:name w:val="Intense Emphasis"/>
    <w:basedOn w:val="DefaultParagraphFont"/>
    <w:uiPriority w:val="21"/>
    <w:qFormat/>
    <w:rsid w:val="004A453A"/>
    <w:rPr>
      <w:i/>
      <w:iCs/>
      <w:color w:val="0F4761" w:themeColor="accent1" w:themeShade="BF"/>
    </w:rPr>
  </w:style>
  <w:style w:type="paragraph" w:styleId="IntenseQuote">
    <w:name w:val="Intense Quote"/>
    <w:basedOn w:val="Normal"/>
    <w:next w:val="Normal"/>
    <w:link w:val="IntenseQuoteChar"/>
    <w:uiPriority w:val="30"/>
    <w:qFormat/>
    <w:rsid w:val="004A453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4A453A"/>
    <w:rPr>
      <w:i/>
      <w:iCs/>
      <w:color w:val="0F4761" w:themeColor="accent1" w:themeShade="BF"/>
    </w:rPr>
  </w:style>
  <w:style w:type="character" w:styleId="IntenseReference">
    <w:name w:val="Intense Reference"/>
    <w:basedOn w:val="DefaultParagraphFont"/>
    <w:uiPriority w:val="32"/>
    <w:qFormat/>
    <w:rsid w:val="004A453A"/>
    <w:rPr>
      <w:b/>
      <w:bCs/>
      <w:smallCaps/>
      <w:color w:val="0F4761" w:themeColor="accent1" w:themeShade="BF"/>
      <w:spacing w:val="5"/>
    </w:rPr>
  </w:style>
  <w:style w:type="character" w:styleId="Emphasis">
    <w:name w:val="Emphasis"/>
    <w:basedOn w:val="DefaultParagraphFont"/>
    <w:uiPriority w:val="20"/>
    <w:qFormat/>
    <w:rsid w:val="004A453A"/>
    <w:rPr>
      <w:i/>
      <w:iCs/>
    </w:rPr>
  </w:style>
  <w:style w:type="table" w:customStyle="1" w:styleId="3">
    <w:name w:val="3"/>
    <w:basedOn w:val="TableNormal"/>
    <w:rsid w:val="004A453A"/>
    <w:pPr>
      <w:spacing w:after="0" w:line="240" w:lineRule="auto"/>
    </w:pPr>
    <w:rPr>
      <w:rFonts w:ascii="Times New Roman" w:eastAsia="SimSun" w:hAnsi="Times New Roman" w:cs="Times New Roman"/>
      <w:kern w:val="0"/>
      <w:lang w:val="en"/>
      <w14:ligatures w14:val="none"/>
    </w:rPr>
    <w:tblPr>
      <w:tblStyleRowBandSize w:val="1"/>
      <w:tblStyleColBandSize w:val="1"/>
    </w:tblPr>
    <w:tblStylePr w:type="firstRow">
      <w:rPr>
        <w:b/>
        <w:color w:val="FFFFFF"/>
      </w:rPr>
      <w:tblPr/>
      <w:tcPr>
        <w:shd w:val="clear" w:color="auto" w:fill="000000"/>
      </w:tcPr>
    </w:tblStylePr>
    <w:tblStylePr w:type="lastRow">
      <w:rPr>
        <w:b/>
      </w:rPr>
      <w:tblPr/>
      <w:tcPr>
        <w:tcBorders>
          <w:top w:val="single" w:sz="4" w:space="0" w:color="000000"/>
        </w:tcBorders>
        <w:shd w:val="clear" w:color="auto" w:fill="FFFFFF"/>
      </w:tcPr>
    </w:tblStylePr>
    <w:tblStylePr w:type="firstCol">
      <w:rPr>
        <w:b/>
      </w:rPr>
      <w:tblPr/>
      <w:tcPr>
        <w:tcBorders>
          <w:right w:val="nil"/>
        </w:tcBorders>
        <w:shd w:val="clear" w:color="auto" w:fill="FFFFFF"/>
      </w:tcPr>
    </w:tblStylePr>
    <w:tblStylePr w:type="lastCol">
      <w:rPr>
        <w:b/>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single" w:sz="4" w:space="0" w:color="000000"/>
          <w:left w:val="nil"/>
        </w:tcBorders>
      </w:tcPr>
    </w:tblStylePr>
    <w:tblStylePr w:type="swCell">
      <w:tblPr/>
      <w:tcPr>
        <w:tcBorders>
          <w:top w:val="single" w:sz="4" w:space="0" w:color="000000"/>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emf"/><Relationship Id="rId3" Type="http://schemas.openxmlformats.org/officeDocument/2006/relationships/webSettings" Target="webSettings.xml"/><Relationship Id="rId7" Type="http://schemas.openxmlformats.org/officeDocument/2006/relationships/image" Target="media/image4.emf"/><Relationship Id="rId12" Type="http://schemas.openxmlformats.org/officeDocument/2006/relationships/image" Target="media/image9.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image" Target="media/image8.tiff"/><Relationship Id="rId5" Type="http://schemas.openxmlformats.org/officeDocument/2006/relationships/image" Target="media/image2.tiff"/><Relationship Id="rId15" Type="http://schemas.openxmlformats.org/officeDocument/2006/relationships/theme" Target="theme/theme1.xml"/><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14</Pages>
  <Words>1283</Words>
  <Characters>8000</Characters>
  <Application>Microsoft Office Word</Application>
  <DocSecurity>0</DocSecurity>
  <Lines>308</Lines>
  <Paragraphs>138</Paragraphs>
  <ScaleCrop>false</ScaleCrop>
  <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 Zhihao</dc:creator>
  <cp:keywords/>
  <dc:description/>
  <cp:lastModifiedBy>Wan, Zhihao</cp:lastModifiedBy>
  <cp:revision>12</cp:revision>
  <dcterms:created xsi:type="dcterms:W3CDTF">2026-02-19T16:12:00Z</dcterms:created>
  <dcterms:modified xsi:type="dcterms:W3CDTF">2026-02-26T18:57:00Z</dcterms:modified>
</cp:coreProperties>
</file>