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7C73B" w14:textId="77777777" w:rsidR="009D03DC" w:rsidRPr="007E1E3C" w:rsidRDefault="009D03DC" w:rsidP="009D03DC">
      <w:pPr>
        <w:spacing w:line="360" w:lineRule="auto"/>
      </w:pPr>
      <w:r w:rsidRPr="003D371F">
        <w:rPr>
          <w:sz w:val="28"/>
        </w:rPr>
        <w:t>Supplement</w:t>
      </w:r>
      <w:r>
        <w:rPr>
          <w:sz w:val="28"/>
        </w:rPr>
        <w:t>ary Methods</w:t>
      </w:r>
    </w:p>
    <w:p w14:paraId="0C430438" w14:textId="77777777" w:rsidR="009D03DC" w:rsidRDefault="009D03DC" w:rsidP="009D03DC">
      <w:pPr>
        <w:spacing w:line="360" w:lineRule="auto"/>
        <w:jc w:val="both"/>
      </w:pPr>
      <w:r>
        <w:t xml:space="preserve">For the PCA features, a PCA model is computed from the canonical features using the implementation in the open source </w:t>
      </w:r>
      <w:proofErr w:type="spellStart"/>
      <w:r>
        <w:t>scikit</w:t>
      </w:r>
      <w:proofErr w:type="spellEnd"/>
      <w:r>
        <w:t xml:space="preserve">-learn Python library. In computing the VAE features, the canonical features are passed as a 1D array to the VAE, and the model is trained to reconstruct the training data subject to a regularization loss based on </w:t>
      </w:r>
      <w:proofErr w:type="spellStart"/>
      <w:r>
        <w:t>Kullback-Leibler</w:t>
      </w:r>
      <w:proofErr w:type="spellEnd"/>
      <w:r>
        <w:t xml:space="preserve"> divergence with respect to a Gaussian prior distribution.</w:t>
      </w:r>
    </w:p>
    <w:p w14:paraId="02058D66" w14:textId="46BA8167" w:rsidR="009D03DC" w:rsidRPr="00B81FB7" w:rsidRDefault="009D03DC" w:rsidP="009D03DC">
      <w:pPr>
        <w:spacing w:line="360" w:lineRule="auto"/>
        <w:jc w:val="both"/>
      </w:pPr>
      <w:r>
        <w:t>For an additional point of comparison in the SrTiO</w:t>
      </w:r>
      <w:r>
        <w:rPr>
          <w:vertAlign w:val="subscript"/>
        </w:rPr>
        <w:t>3</w:t>
      </w:r>
      <w:r>
        <w:t>-vs-BaTiO</w:t>
      </w:r>
      <w:r>
        <w:rPr>
          <w:vertAlign w:val="subscript"/>
        </w:rPr>
        <w:t>3</w:t>
      </w:r>
      <w:r>
        <w:t xml:space="preserve"> prediction problem, a naïve (non-</w:t>
      </w:r>
      <w:proofErr w:type="spellStart"/>
      <w:r>
        <w:t>variational</w:t>
      </w:r>
      <w:proofErr w:type="spellEnd"/>
      <w:r>
        <w:t>) autoencoder was also trained, and achieved 3-fold cross-validation accuracies of 59 (</w:t>
      </w:r>
      <w:r>
        <w:rPr>
          <w:rFonts w:cstheme="minorHAnsi"/>
        </w:rPr>
        <w:t>±</w:t>
      </w:r>
      <w:r>
        <w:t xml:space="preserve"> 5)% and 69 (</w:t>
      </w:r>
      <w:r>
        <w:rPr>
          <w:rFonts w:cstheme="minorHAnsi"/>
        </w:rPr>
        <w:t>±</w:t>
      </w:r>
      <w:r>
        <w:t xml:space="preserve"> 2)% with 2-D and 10-D hidden dimensions, respectively. We omit detailed discussion of naïve autoencoders in the main text, </w:t>
      </w:r>
      <w:r w:rsidR="00DD7D0C">
        <w:t>as our focus is on the use of generative models</w:t>
      </w:r>
      <w:r>
        <w:t>.</w:t>
      </w:r>
    </w:p>
    <w:p w14:paraId="2A0E263F" w14:textId="77777777" w:rsidR="009D03DC" w:rsidRDefault="009D03DC" w:rsidP="009D03DC">
      <w:pPr>
        <w:spacing w:line="360" w:lineRule="auto"/>
        <w:jc w:val="both"/>
      </w:pPr>
      <w:r>
        <w:t>A full list of the canonical synthesis feature lists are provided below, for each of the materials case studies used in this work.</w:t>
      </w:r>
    </w:p>
    <w:p w14:paraId="7BDE0E76" w14:textId="77777777" w:rsidR="009D03DC" w:rsidRDefault="009D03DC" w:rsidP="009D03DC">
      <w:r>
        <w:t>SrTiO</w:t>
      </w:r>
      <w:r w:rsidRPr="0036496D">
        <w:rPr>
          <w:vertAlign w:val="subscript"/>
        </w:rPr>
        <w:t>3</w:t>
      </w:r>
      <w:r>
        <w:t xml:space="preserve"> feature list: (30 features in canonical space)</w:t>
      </w:r>
    </w:p>
    <w:p w14:paraId="10DDB1F7" w14:textId="77777777" w:rsidR="009D03DC" w:rsidRDefault="009D03DC" w:rsidP="009D03DC">
      <w:pPr>
        <w:pStyle w:val="ListParagraph"/>
        <w:numPr>
          <w:ilvl w:val="0"/>
          <w:numId w:val="1"/>
        </w:numPr>
      </w:pPr>
      <w:r>
        <w:t>Temperatures and times for calcination, sintering, hydrothermal reactions, drying, washing, annealing, milling, dissolving, cooling</w:t>
      </w:r>
    </w:p>
    <w:p w14:paraId="24011631" w14:textId="77777777" w:rsidR="009D03DC" w:rsidRDefault="009D03DC" w:rsidP="009D03DC">
      <w:pPr>
        <w:pStyle w:val="ListParagraph"/>
        <w:numPr>
          <w:ilvl w:val="0"/>
          <w:numId w:val="1"/>
        </w:numPr>
      </w:pPr>
      <w:r>
        <w:t>Indicators for above-mentioned synthesis steps (to denote that a temperature/time is irrelevant when a synthesis step is unused)</w:t>
      </w:r>
    </w:p>
    <w:p w14:paraId="58BD17E3" w14:textId="77777777" w:rsidR="009D03DC" w:rsidRDefault="009D03DC" w:rsidP="009D03DC">
      <w:pPr>
        <w:pStyle w:val="ListParagraph"/>
        <w:numPr>
          <w:ilvl w:val="0"/>
          <w:numId w:val="1"/>
        </w:numPr>
      </w:pPr>
      <w:r>
        <w:t>Concentrations of common pH modifiers (</w:t>
      </w:r>
      <w:proofErr w:type="spellStart"/>
      <w:r>
        <w:t>NaOH</w:t>
      </w:r>
      <w:proofErr w:type="spellEnd"/>
      <w:r>
        <w:t xml:space="preserve">, KOH, </w:t>
      </w:r>
      <w:proofErr w:type="spellStart"/>
      <w:r>
        <w:t>HCl</w:t>
      </w:r>
      <w:proofErr w:type="spellEnd"/>
      <w:r>
        <w:t>, H</w:t>
      </w:r>
      <w:r w:rsidRPr="00B81FB7">
        <w:rPr>
          <w:vertAlign w:val="subscript"/>
        </w:rPr>
        <w:t>2</w:t>
      </w:r>
      <w:r>
        <w:t>SO</w:t>
      </w:r>
      <w:r w:rsidRPr="00B81FB7">
        <w:rPr>
          <w:vertAlign w:val="subscript"/>
        </w:rPr>
        <w:t>4</w:t>
      </w:r>
      <w:r>
        <w:t>, HNO</w:t>
      </w:r>
      <w:r w:rsidRPr="00B81FB7">
        <w:rPr>
          <w:vertAlign w:val="subscript"/>
        </w:rPr>
        <w:t>3</w:t>
      </w:r>
      <w:r>
        <w:t>)</w:t>
      </w:r>
    </w:p>
    <w:p w14:paraId="694A413E" w14:textId="77777777" w:rsidR="009D03DC" w:rsidRDefault="009D03DC" w:rsidP="009D03DC">
      <w:pPr>
        <w:pStyle w:val="ListParagraph"/>
        <w:numPr>
          <w:ilvl w:val="0"/>
          <w:numId w:val="1"/>
        </w:numPr>
      </w:pPr>
      <w:r>
        <w:t>Indicators for common solvents (ethanol, methanol, acetone, citric acid, acetic acid)</w:t>
      </w:r>
    </w:p>
    <w:p w14:paraId="60B5E94C" w14:textId="77777777" w:rsidR="009D03DC" w:rsidRDefault="009D03DC" w:rsidP="009D03DC"/>
    <w:p w14:paraId="3DC3F987" w14:textId="77777777" w:rsidR="009D03DC" w:rsidRDefault="009D03DC" w:rsidP="009D03DC">
      <w:r>
        <w:t>TiO</w:t>
      </w:r>
      <w:r w:rsidRPr="0036496D">
        <w:rPr>
          <w:vertAlign w:val="subscript"/>
        </w:rPr>
        <w:t>2</w:t>
      </w:r>
      <w:r>
        <w:t xml:space="preserve"> feature list: (34 features in canonical space)</w:t>
      </w:r>
    </w:p>
    <w:p w14:paraId="22487F9E" w14:textId="77777777" w:rsidR="009D03DC" w:rsidRDefault="009D03DC" w:rsidP="009D03DC">
      <w:pPr>
        <w:pStyle w:val="ListParagraph"/>
        <w:numPr>
          <w:ilvl w:val="0"/>
          <w:numId w:val="1"/>
        </w:numPr>
      </w:pPr>
      <w:r>
        <w:t>Temperatures and times for calcination, sintering, hydrothermal reactions, drying, washing, annealing</w:t>
      </w:r>
    </w:p>
    <w:p w14:paraId="5254A67E" w14:textId="77777777" w:rsidR="009D03DC" w:rsidRDefault="009D03DC" w:rsidP="009D03DC">
      <w:pPr>
        <w:pStyle w:val="ListParagraph"/>
        <w:numPr>
          <w:ilvl w:val="0"/>
          <w:numId w:val="1"/>
        </w:numPr>
      </w:pPr>
      <w:r>
        <w:t>Concentrations of common pH modifiers (</w:t>
      </w:r>
      <w:proofErr w:type="spellStart"/>
      <w:r>
        <w:t>NaOH</w:t>
      </w:r>
      <w:proofErr w:type="spellEnd"/>
      <w:r>
        <w:t xml:space="preserve">, KOH, </w:t>
      </w:r>
      <w:proofErr w:type="spellStart"/>
      <w:r>
        <w:t>HCl</w:t>
      </w:r>
      <w:proofErr w:type="spellEnd"/>
      <w:r>
        <w:t>, H</w:t>
      </w:r>
      <w:r w:rsidRPr="00B81FB7">
        <w:rPr>
          <w:vertAlign w:val="subscript"/>
        </w:rPr>
        <w:t>2</w:t>
      </w:r>
      <w:r>
        <w:t>SO</w:t>
      </w:r>
      <w:r w:rsidRPr="001A1076">
        <w:rPr>
          <w:vertAlign w:val="subscript"/>
        </w:rPr>
        <w:t>4</w:t>
      </w:r>
      <w:r>
        <w:t>, HNO</w:t>
      </w:r>
      <w:r w:rsidRPr="001A1076">
        <w:rPr>
          <w:vertAlign w:val="subscript"/>
        </w:rPr>
        <w:t>3</w:t>
      </w:r>
      <w:r>
        <w:t>)</w:t>
      </w:r>
    </w:p>
    <w:p w14:paraId="1483FE4D" w14:textId="77777777" w:rsidR="009D03DC" w:rsidRDefault="009D03DC" w:rsidP="009D03DC">
      <w:pPr>
        <w:pStyle w:val="ListParagraph"/>
        <w:numPr>
          <w:ilvl w:val="0"/>
          <w:numId w:val="1"/>
        </w:numPr>
      </w:pPr>
      <w:r>
        <w:t xml:space="preserve">Indicators for </w:t>
      </w:r>
      <w:proofErr w:type="spellStart"/>
      <w:r>
        <w:t>Ti</w:t>
      </w:r>
      <w:proofErr w:type="spellEnd"/>
      <w:r>
        <w:t>-bearing precursors (TiCl</w:t>
      </w:r>
      <w:r>
        <w:rPr>
          <w:vertAlign w:val="subscript"/>
        </w:rPr>
        <w:t>4</w:t>
      </w:r>
      <w:r>
        <w:t xml:space="preserve">, </w:t>
      </w:r>
      <w:r w:rsidRPr="009F79D3">
        <w:t xml:space="preserve">titanium </w:t>
      </w:r>
      <w:proofErr w:type="spellStart"/>
      <w:r w:rsidRPr="009F79D3">
        <w:t>tetraisopropoxide</w:t>
      </w:r>
      <w:proofErr w:type="spellEnd"/>
      <w:r>
        <w:t xml:space="preserve">) </w:t>
      </w:r>
    </w:p>
    <w:p w14:paraId="26BF913D" w14:textId="77777777" w:rsidR="009D03DC" w:rsidRDefault="009D03DC" w:rsidP="009D03DC">
      <w:pPr>
        <w:pStyle w:val="ListParagraph"/>
        <w:numPr>
          <w:ilvl w:val="0"/>
          <w:numId w:val="1"/>
        </w:numPr>
      </w:pPr>
      <w:r>
        <w:t>Indicators for common solvents (ethanol, methanol, acetone, citric acid, acetic acid)</w:t>
      </w:r>
    </w:p>
    <w:p w14:paraId="1E338CA8" w14:textId="77777777" w:rsidR="009D03DC" w:rsidRDefault="009D03DC" w:rsidP="009D03DC">
      <w:pPr>
        <w:pStyle w:val="ListParagraph"/>
        <w:numPr>
          <w:ilvl w:val="0"/>
          <w:numId w:val="1"/>
        </w:numPr>
      </w:pPr>
      <w:r>
        <w:t>Product morphology indicators (nanorods/tubes/particles, films, amorphous, crystalline)</w:t>
      </w:r>
    </w:p>
    <w:p w14:paraId="3AA7C50D" w14:textId="77777777" w:rsidR="009D03DC" w:rsidRDefault="009D03DC" w:rsidP="009D03DC"/>
    <w:p w14:paraId="513F4A28" w14:textId="77777777" w:rsidR="009D03DC" w:rsidRDefault="009D03DC" w:rsidP="009D03DC">
      <w:r>
        <w:t>MnO</w:t>
      </w:r>
      <w:r w:rsidRPr="0036496D">
        <w:rPr>
          <w:vertAlign w:val="subscript"/>
        </w:rPr>
        <w:t>2</w:t>
      </w:r>
      <w:r>
        <w:t xml:space="preserve"> feature list: (37 features in canonical space)</w:t>
      </w:r>
    </w:p>
    <w:p w14:paraId="040CB07C" w14:textId="77777777" w:rsidR="009D03DC" w:rsidRDefault="009D03DC" w:rsidP="009D03DC">
      <w:pPr>
        <w:pStyle w:val="ListParagraph"/>
        <w:numPr>
          <w:ilvl w:val="0"/>
          <w:numId w:val="1"/>
        </w:numPr>
      </w:pPr>
      <w:r>
        <w:t>Temperatures and times for calcination, sintering, hydrothermal reactions, drying, washing, annealing</w:t>
      </w:r>
    </w:p>
    <w:p w14:paraId="75DB3140" w14:textId="77777777" w:rsidR="009D03DC" w:rsidRDefault="009D03DC" w:rsidP="009D03DC">
      <w:pPr>
        <w:pStyle w:val="ListParagraph"/>
        <w:numPr>
          <w:ilvl w:val="0"/>
          <w:numId w:val="1"/>
        </w:numPr>
      </w:pPr>
      <w:r>
        <w:t>Concentrations of common pH modifiers (</w:t>
      </w:r>
      <w:proofErr w:type="spellStart"/>
      <w:r>
        <w:t>NaOH</w:t>
      </w:r>
      <w:proofErr w:type="spellEnd"/>
      <w:r>
        <w:t xml:space="preserve">, KOH, </w:t>
      </w:r>
      <w:proofErr w:type="spellStart"/>
      <w:r>
        <w:t>HCl</w:t>
      </w:r>
      <w:proofErr w:type="spellEnd"/>
      <w:r>
        <w:t>, H</w:t>
      </w:r>
      <w:r w:rsidRPr="00B81FB7">
        <w:rPr>
          <w:vertAlign w:val="subscript"/>
        </w:rPr>
        <w:t>2</w:t>
      </w:r>
      <w:r>
        <w:t>SO</w:t>
      </w:r>
      <w:r w:rsidRPr="001A1076">
        <w:rPr>
          <w:vertAlign w:val="subscript"/>
        </w:rPr>
        <w:t>4</w:t>
      </w:r>
      <w:r>
        <w:t>, HNO</w:t>
      </w:r>
      <w:r w:rsidRPr="001A1076">
        <w:rPr>
          <w:vertAlign w:val="subscript"/>
        </w:rPr>
        <w:t>3</w:t>
      </w:r>
      <w:r>
        <w:t>)</w:t>
      </w:r>
    </w:p>
    <w:p w14:paraId="74FD6AE5" w14:textId="77777777" w:rsidR="009D03DC" w:rsidRDefault="009D03DC" w:rsidP="009D03DC">
      <w:pPr>
        <w:pStyle w:val="ListParagraph"/>
        <w:numPr>
          <w:ilvl w:val="0"/>
          <w:numId w:val="1"/>
        </w:numPr>
      </w:pPr>
      <w:r>
        <w:t xml:space="preserve">Indicators for phases reported (hollandite, </w:t>
      </w:r>
      <w:proofErr w:type="spellStart"/>
      <w:r>
        <w:t>birnessite</w:t>
      </w:r>
      <w:proofErr w:type="spellEnd"/>
      <w:r>
        <w:t xml:space="preserve">, spinel, </w:t>
      </w:r>
      <w:proofErr w:type="spellStart"/>
      <w:r>
        <w:t>ramsdellite</w:t>
      </w:r>
      <w:proofErr w:type="spellEnd"/>
      <w:r>
        <w:t>)</w:t>
      </w:r>
    </w:p>
    <w:p w14:paraId="38FABCC4" w14:textId="77777777" w:rsidR="009D03DC" w:rsidRDefault="009D03DC" w:rsidP="009D03DC">
      <w:pPr>
        <w:pStyle w:val="ListParagraph"/>
        <w:numPr>
          <w:ilvl w:val="0"/>
          <w:numId w:val="1"/>
        </w:numPr>
      </w:pPr>
      <w:r>
        <w:t>Indicators for ions used (K, Na, Mg, Li)</w:t>
      </w:r>
    </w:p>
    <w:p w14:paraId="71664BE6" w14:textId="77777777" w:rsidR="00EE5FAF" w:rsidRDefault="009D03DC" w:rsidP="009D03DC">
      <w:pPr>
        <w:pStyle w:val="ListParagraph"/>
        <w:numPr>
          <w:ilvl w:val="0"/>
          <w:numId w:val="1"/>
        </w:numPr>
      </w:pPr>
      <w:r>
        <w:t xml:space="preserve">Indicators for </w:t>
      </w:r>
      <w:proofErr w:type="spellStart"/>
      <w:r>
        <w:t>Mn</w:t>
      </w:r>
      <w:proofErr w:type="spellEnd"/>
      <w:r>
        <w:t>-bearing precursors (KMnO</w:t>
      </w:r>
      <w:r w:rsidRPr="0036496D">
        <w:rPr>
          <w:vertAlign w:val="subscript"/>
        </w:rPr>
        <w:t>4</w:t>
      </w:r>
      <w:r>
        <w:t xml:space="preserve">, </w:t>
      </w:r>
      <w:r w:rsidRPr="00051009">
        <w:t>MnSO</w:t>
      </w:r>
      <w:r w:rsidRPr="00B81FB7">
        <w:rPr>
          <w:vertAlign w:val="subscript"/>
        </w:rPr>
        <w:t>4</w:t>
      </w:r>
      <w:r>
        <w:t xml:space="preserve">, </w:t>
      </w:r>
      <w:proofErr w:type="spellStart"/>
      <w:r w:rsidRPr="00051009">
        <w:t>Mn</w:t>
      </w:r>
      <w:proofErr w:type="spellEnd"/>
      <w:r w:rsidRPr="00051009">
        <w:t>(CH</w:t>
      </w:r>
      <w:r w:rsidRPr="00B81FB7">
        <w:rPr>
          <w:vertAlign w:val="subscript"/>
        </w:rPr>
        <w:t>3</w:t>
      </w:r>
      <w:r w:rsidRPr="00051009">
        <w:t>COO)</w:t>
      </w:r>
      <w:r w:rsidRPr="00B81FB7">
        <w:rPr>
          <w:vertAlign w:val="subscript"/>
        </w:rPr>
        <w:t>2</w:t>
      </w:r>
      <w:r>
        <w:t>)</w:t>
      </w:r>
    </w:p>
    <w:p w14:paraId="6AB9113A" w14:textId="643C5462" w:rsidR="009D03DC" w:rsidRPr="004158C6" w:rsidRDefault="009D03DC" w:rsidP="00EE5FAF">
      <w:bookmarkStart w:id="0" w:name="_GoBack"/>
      <w:bookmarkEnd w:id="0"/>
      <w:r w:rsidRPr="00EE5FAF">
        <w:rPr>
          <w:b/>
        </w:rPr>
        <w:lastRenderedPageBreak/>
        <w:t>Table S1. Related materials systems based on ion-substitution-driven compositional similarity</w:t>
      </w:r>
      <w:r>
        <w:t>. Candidate material systems are first selected by word2vec (contextual text-based similarity),</w:t>
      </w:r>
      <w:r>
        <w:fldChar w:fldCharType="begin" w:fldLock="1"/>
      </w:r>
      <w:r>
        <w:instrText>ADDIN CSL_CITATION { "citationItems" : [ { "id" : "ITEM-1", "itemData" : { "DOI" : "10.1162/153244303322533223", "ISBN" : "1532-4435", "ISSN" : "15324435", "PMID" : "18244602", "abstract" : "We propose two novel model architectures for computing continuous vector representations of words from very large data sets. The quality of these representations is measured in a word similarity task, and the results are compared to the previously best performing techniques based on different types of neural networks. We observe large improvements in accuracy at much lower computational cost, i.e. it takes less than a day to learn high quality word vectors from a 1.6 billion words data set. Furthermore, we show that these vectors provide state-of-the-art performance on our test set for measuring syntactic and semantic word similarities.", "author" : [ { "dropping-particle" : "", "family" : "Mikolov", "given" : "Tomas", "non-dropping-particle" : "", "parse-names" : false, "suffix" : "" }, { "dropping-particle" : "", "family" : "Corrado", "given" : "Greg", "non-dropping-particle" : "", "parse-names" : false, "suffix" : "" }, { "dropping-particle" : "", "family" : "Chen", "given" : "Kai", "non-dropping-particle" : "", "parse-names" : false, "suffix" : "" }, { "dropping-particle" : "", "family" : "Dean", "given" : "Jeffrey", "non-dropping-particle" : "", "parse-names" : false, "suffix" : "" } ], "container-title" : "Proceedings of the International Conference on Learning Representations (ICLR 2013)", "id" : "ITEM-1", "issued" : { "date-parts" : [ [ "2013" ] ] }, "page" : "1-12", "title" : "Efficient Estimation of Word Representations in Vector Space", "type" : "article-journal" }, "uris" : [ "http://www.mendeley.com/documents/?uuid=f1af33f8-0822-49ef-8599-f6b7e577a36c" ] } ], "mendeley" : { "formattedCitation" : "&lt;sup&gt;39&lt;/sup&gt;", "plainTextFormattedCitation" : "39", "previouslyFormattedCitation" : "&lt;sup&gt;39&lt;/sup&gt;" }, "properties" : { "noteIndex" : 0 }, "schema" : "https://github.com/citation-style-language/schema/raw/master/csl-citation.json" }</w:instrText>
      </w:r>
      <w:r>
        <w:fldChar w:fldCharType="separate"/>
      </w:r>
      <w:r w:rsidRPr="00EE5FAF">
        <w:rPr>
          <w:noProof/>
          <w:vertAlign w:val="superscript"/>
        </w:rPr>
        <w:t>39</w:t>
      </w:r>
      <w:r>
        <w:fldChar w:fldCharType="end"/>
      </w:r>
      <w:r>
        <w:t xml:space="preserve"> and then ranked by composition similarity. Compositional similarities (ranging from 0 to 1) are computed using the algorithm described by Yang and Ceder.</w:t>
      </w:r>
      <w:r>
        <w:fldChar w:fldCharType="begin" w:fldLock="1"/>
      </w:r>
      <w:r>
        <w:instrText>ADDIN CSL_CITATION { "citationItems" : [ { "id" : "ITEM-1", "itemData" : { "DOI" : "10.1103/PhysRevB.88.224107", "ISBN" : "0163-1829", "ISSN" : "10980121", "PMID" : "20059195", "abstract" : "A new method for assessing the similarity of material compositions is described. A similarity measure is important for the classification and clustering of compositions. The similarity of the material compositions is calculated utilizing a data-mined ionic substitutional similarity based upon the probability with which two ions will substitute for each other within the same structure prototype. The method is validated via the prediction of crystal structure prototypes for oxides from the Inorganic Crystal Structure Database, selecting the correct prototype from a list of known prototypes within five guesses 75% of the time. It performs particularly well on the quaternary oxides, selecting the correct prototype from a list of known prototypes on the first guess 65% of the time.", "author" : [ { "dropping-particle" : "", "family" : "Yang", "given" : "Lusann", "non-dropping-particle" : "", "parse-names" : false, "suffix" : "" }, { "dropping-particle" : "", "family" : "Ceder", "given" : "Gerbrand", "non-dropping-particle" : "", "parse-names" : false, "suffix" : "" } ], "container-title" : "Physical Review B", "id" : "ITEM-1", "issue" : "22", "issued" : { "date-parts" : [ [ "2013" ] ] }, "page" : "1-9", "title" : "Data-mined similarity function between material compositions", "type" : "article-journal", "volume" : "88" }, "uris" : [ "http://www.mendeley.com/documents/?uuid=fce43458-b922-4c55-bf82-ad0bf98dc8a7" ] } ], "mendeley" : { "formattedCitation" : "&lt;sup&gt;56&lt;/sup&gt;", "plainTextFormattedCitation" : "56", "previouslyFormattedCitation" : "&lt;sup&gt;56&lt;/sup&gt;" }, "properties" : { "noteIndex" : 0 }, "schema" : "https://github.com/citation-style-language/schema/raw/master/csl-citation.json" }</w:instrText>
      </w:r>
      <w:r>
        <w:fldChar w:fldCharType="separate"/>
      </w:r>
      <w:r w:rsidRPr="00EE5FAF">
        <w:rPr>
          <w:noProof/>
          <w:vertAlign w:val="superscript"/>
        </w:rPr>
        <w:t>56</w:t>
      </w:r>
      <w:r>
        <w:fldChar w:fldCharType="end"/>
      </w:r>
      <w:r>
        <w:t xml:space="preserve"> Rows for most-similar materials systems are bolded.</w:t>
      </w:r>
    </w:p>
    <w:tbl>
      <w:tblPr>
        <w:tblStyle w:val="PlainTable51"/>
        <w:tblW w:w="0" w:type="auto"/>
        <w:tblLook w:val="04A0" w:firstRow="1" w:lastRow="0" w:firstColumn="1" w:lastColumn="0" w:noHBand="0" w:noVBand="1"/>
      </w:tblPr>
      <w:tblGrid>
        <w:gridCol w:w="3116"/>
        <w:gridCol w:w="3117"/>
        <w:gridCol w:w="3117"/>
      </w:tblGrid>
      <w:tr w:rsidR="009D03DC" w14:paraId="3BD67112" w14:textId="77777777" w:rsidTr="00B81F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vAlign w:val="center"/>
          </w:tcPr>
          <w:p w14:paraId="58D6C5EB" w14:textId="77777777" w:rsidR="009D03DC" w:rsidRPr="00E43014" w:rsidRDefault="009D03DC" w:rsidP="00B81FB7">
            <w:pPr>
              <w:spacing w:line="360" w:lineRule="auto"/>
              <w:jc w:val="center"/>
              <w:rPr>
                <w:rFonts w:asciiTheme="minorHAnsi" w:hAnsiTheme="minorHAnsi" w:cstheme="minorHAnsi"/>
                <w:i w:val="0"/>
              </w:rPr>
            </w:pPr>
            <w:r w:rsidRPr="00E43014">
              <w:rPr>
                <w:rFonts w:asciiTheme="minorHAnsi" w:hAnsiTheme="minorHAnsi" w:cstheme="minorHAnsi"/>
                <w:i w:val="0"/>
              </w:rPr>
              <w:t>Material System</w:t>
            </w:r>
          </w:p>
        </w:tc>
        <w:tc>
          <w:tcPr>
            <w:tcW w:w="3117" w:type="dxa"/>
            <w:vAlign w:val="center"/>
          </w:tcPr>
          <w:p w14:paraId="4273BF22" w14:textId="77777777" w:rsidR="009D03DC" w:rsidRPr="00E43014" w:rsidRDefault="009D03DC" w:rsidP="00B81FB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rPr>
            </w:pPr>
            <w:r w:rsidRPr="00E43014">
              <w:rPr>
                <w:rFonts w:asciiTheme="minorHAnsi" w:hAnsiTheme="minorHAnsi" w:cstheme="minorHAnsi"/>
                <w:i w:val="0"/>
              </w:rPr>
              <w:t>Top Related Materials</w:t>
            </w:r>
          </w:p>
        </w:tc>
        <w:tc>
          <w:tcPr>
            <w:tcW w:w="3117" w:type="dxa"/>
            <w:vAlign w:val="center"/>
          </w:tcPr>
          <w:p w14:paraId="6D78515E" w14:textId="77777777" w:rsidR="009D03DC" w:rsidRPr="00E43014" w:rsidRDefault="009D03DC" w:rsidP="00B81FB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rPr>
            </w:pPr>
            <w:r w:rsidRPr="00E43014">
              <w:rPr>
                <w:rFonts w:asciiTheme="minorHAnsi" w:hAnsiTheme="minorHAnsi" w:cstheme="minorHAnsi"/>
                <w:i w:val="0"/>
              </w:rPr>
              <w:t>Composition Similarities</w:t>
            </w:r>
          </w:p>
        </w:tc>
      </w:tr>
      <w:tr w:rsidR="009D03DC" w14:paraId="038DCB59" w14:textId="77777777" w:rsidTr="00B8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CBC8500" w14:textId="77777777" w:rsidR="009D03DC" w:rsidRPr="003F49C7" w:rsidRDefault="009D03DC" w:rsidP="00B81FB7">
            <w:pPr>
              <w:spacing w:line="360" w:lineRule="auto"/>
              <w:rPr>
                <w:rFonts w:cstheme="minorHAnsi"/>
              </w:rPr>
            </w:pPr>
            <w:r w:rsidRPr="003F49C7">
              <w:rPr>
                <w:rFonts w:cstheme="minorHAnsi"/>
              </w:rPr>
              <w:t>SrTiO</w:t>
            </w:r>
            <w:r w:rsidRPr="003F49C7">
              <w:rPr>
                <w:rFonts w:cstheme="minorHAnsi"/>
                <w:vertAlign w:val="subscript"/>
              </w:rPr>
              <w:t>3</w:t>
            </w:r>
          </w:p>
        </w:tc>
        <w:tc>
          <w:tcPr>
            <w:tcW w:w="3117" w:type="dxa"/>
            <w:shd w:val="clear" w:color="auto" w:fill="FFFFFF" w:themeFill="background1"/>
            <w:vAlign w:val="center"/>
          </w:tcPr>
          <w:p w14:paraId="57471316"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B489D">
              <w:rPr>
                <w:rFonts w:cstheme="minorHAnsi"/>
                <w:b/>
              </w:rPr>
              <w:t>BaTiO</w:t>
            </w:r>
            <w:r w:rsidRPr="009B489D">
              <w:rPr>
                <w:rFonts w:cstheme="minorHAnsi"/>
                <w:b/>
                <w:vertAlign w:val="subscript"/>
              </w:rPr>
              <w:t>3</w:t>
            </w:r>
          </w:p>
        </w:tc>
        <w:tc>
          <w:tcPr>
            <w:tcW w:w="3117" w:type="dxa"/>
            <w:shd w:val="clear" w:color="auto" w:fill="FFFFFF" w:themeFill="background1"/>
            <w:vAlign w:val="center"/>
          </w:tcPr>
          <w:p w14:paraId="5CB414C6"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43014">
              <w:rPr>
                <w:rFonts w:cstheme="minorHAnsi"/>
                <w:b/>
              </w:rPr>
              <w:t>0.8</w:t>
            </w:r>
            <w:r>
              <w:rPr>
                <w:rFonts w:cstheme="minorHAnsi"/>
                <w:b/>
              </w:rPr>
              <w:t>92</w:t>
            </w:r>
          </w:p>
        </w:tc>
      </w:tr>
      <w:tr w:rsidR="009D03DC" w14:paraId="319BB605" w14:textId="77777777" w:rsidTr="00B81FB7">
        <w:tc>
          <w:tcPr>
            <w:cnfStyle w:val="001000000000" w:firstRow="0" w:lastRow="0" w:firstColumn="1" w:lastColumn="0" w:oddVBand="0" w:evenVBand="0" w:oddHBand="0" w:evenHBand="0" w:firstRowFirstColumn="0" w:firstRowLastColumn="0" w:lastRowFirstColumn="0" w:lastRowLastColumn="0"/>
            <w:tcW w:w="3116" w:type="dxa"/>
            <w:vAlign w:val="center"/>
          </w:tcPr>
          <w:p w14:paraId="71BEB985" w14:textId="77777777" w:rsidR="009D03DC" w:rsidRPr="00E43014" w:rsidRDefault="009D03DC" w:rsidP="00B81FB7">
            <w:pPr>
              <w:spacing w:line="360" w:lineRule="auto"/>
              <w:rPr>
                <w:rFonts w:cstheme="minorHAnsi"/>
              </w:rPr>
            </w:pPr>
          </w:p>
        </w:tc>
        <w:tc>
          <w:tcPr>
            <w:tcW w:w="3117" w:type="dxa"/>
            <w:shd w:val="clear" w:color="auto" w:fill="FFFFFF" w:themeFill="background1"/>
            <w:vAlign w:val="center"/>
          </w:tcPr>
          <w:p w14:paraId="3CE01941"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B489D">
              <w:rPr>
                <w:rFonts w:cstheme="minorHAnsi"/>
              </w:rPr>
              <w:t>PbTiO</w:t>
            </w:r>
            <w:r w:rsidRPr="009B489D">
              <w:rPr>
                <w:rFonts w:cstheme="minorHAnsi"/>
                <w:vertAlign w:val="subscript"/>
              </w:rPr>
              <w:t>3</w:t>
            </w:r>
          </w:p>
        </w:tc>
        <w:tc>
          <w:tcPr>
            <w:tcW w:w="3117" w:type="dxa"/>
            <w:shd w:val="clear" w:color="auto" w:fill="FFFFFF" w:themeFill="background1"/>
            <w:vAlign w:val="center"/>
          </w:tcPr>
          <w:p w14:paraId="7C35A8DA"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E43014">
              <w:rPr>
                <w:rFonts w:cstheme="minorHAnsi"/>
              </w:rPr>
              <w:t>0.</w:t>
            </w:r>
            <w:r>
              <w:rPr>
                <w:rFonts w:cstheme="minorHAnsi"/>
              </w:rPr>
              <w:t>835</w:t>
            </w:r>
          </w:p>
        </w:tc>
      </w:tr>
      <w:tr w:rsidR="009D03DC" w14:paraId="63F5E14A" w14:textId="77777777" w:rsidTr="00B8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DA2BD5A" w14:textId="77777777" w:rsidR="009D03DC" w:rsidRPr="00E43014" w:rsidRDefault="009D03DC" w:rsidP="00B81FB7">
            <w:pPr>
              <w:spacing w:line="360" w:lineRule="auto"/>
              <w:rPr>
                <w:rFonts w:cstheme="minorHAnsi"/>
              </w:rPr>
            </w:pPr>
          </w:p>
        </w:tc>
        <w:tc>
          <w:tcPr>
            <w:tcW w:w="3117" w:type="dxa"/>
            <w:shd w:val="clear" w:color="auto" w:fill="FFFFFF" w:themeFill="background1"/>
            <w:vAlign w:val="center"/>
          </w:tcPr>
          <w:p w14:paraId="2746EFE0"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B489D">
              <w:rPr>
                <w:rFonts w:cstheme="minorHAnsi"/>
              </w:rPr>
              <w:t>CaTiO</w:t>
            </w:r>
            <w:r w:rsidRPr="009B489D">
              <w:rPr>
                <w:rFonts w:cstheme="minorHAnsi"/>
                <w:vertAlign w:val="subscript"/>
              </w:rPr>
              <w:t>3</w:t>
            </w:r>
          </w:p>
        </w:tc>
        <w:tc>
          <w:tcPr>
            <w:tcW w:w="3117" w:type="dxa"/>
            <w:shd w:val="clear" w:color="auto" w:fill="FFFFFF" w:themeFill="background1"/>
            <w:vAlign w:val="center"/>
          </w:tcPr>
          <w:p w14:paraId="676D3778"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43014">
              <w:rPr>
                <w:rFonts w:cstheme="minorHAnsi"/>
              </w:rPr>
              <w:t>0.</w:t>
            </w:r>
            <w:r>
              <w:rPr>
                <w:rFonts w:cstheme="minorHAnsi"/>
              </w:rPr>
              <w:t>831</w:t>
            </w:r>
          </w:p>
        </w:tc>
      </w:tr>
      <w:tr w:rsidR="009D03DC" w14:paraId="23A32C16" w14:textId="77777777" w:rsidTr="00B81FB7">
        <w:tc>
          <w:tcPr>
            <w:cnfStyle w:val="001000000000" w:firstRow="0" w:lastRow="0" w:firstColumn="1" w:lastColumn="0" w:oddVBand="0" w:evenVBand="0" w:oddHBand="0" w:evenHBand="0" w:firstRowFirstColumn="0" w:firstRowLastColumn="0" w:lastRowFirstColumn="0" w:lastRowLastColumn="0"/>
            <w:tcW w:w="3116" w:type="dxa"/>
            <w:vAlign w:val="center"/>
          </w:tcPr>
          <w:p w14:paraId="6AD0C6E5" w14:textId="77777777" w:rsidR="009D03DC" w:rsidRPr="00422B9F" w:rsidRDefault="009D03DC" w:rsidP="00B81FB7">
            <w:pPr>
              <w:spacing w:line="360" w:lineRule="auto"/>
              <w:rPr>
                <w:rFonts w:asciiTheme="minorHAnsi" w:hAnsiTheme="minorHAnsi" w:cstheme="minorHAnsi"/>
              </w:rPr>
            </w:pPr>
            <w:r w:rsidRPr="003F49C7">
              <w:rPr>
                <w:rFonts w:cstheme="minorHAnsi"/>
              </w:rPr>
              <w:t>MnO</w:t>
            </w:r>
            <w:r w:rsidRPr="003F49C7">
              <w:rPr>
                <w:rFonts w:cstheme="minorHAnsi"/>
                <w:vertAlign w:val="subscript"/>
              </w:rPr>
              <w:t>2</w:t>
            </w:r>
          </w:p>
        </w:tc>
        <w:tc>
          <w:tcPr>
            <w:tcW w:w="3117" w:type="dxa"/>
            <w:shd w:val="clear" w:color="auto" w:fill="FFFFFF" w:themeFill="background1"/>
            <w:vAlign w:val="center"/>
          </w:tcPr>
          <w:p w14:paraId="666B386C"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E43014">
              <w:rPr>
                <w:rFonts w:cstheme="minorHAnsi"/>
                <w:b/>
              </w:rPr>
              <w:t>TiO</w:t>
            </w:r>
            <w:r w:rsidRPr="00197CDB">
              <w:rPr>
                <w:rFonts w:cstheme="minorHAnsi"/>
                <w:b/>
                <w:vertAlign w:val="subscript"/>
              </w:rPr>
              <w:t>2</w:t>
            </w:r>
          </w:p>
        </w:tc>
        <w:tc>
          <w:tcPr>
            <w:tcW w:w="3117" w:type="dxa"/>
            <w:shd w:val="clear" w:color="auto" w:fill="FFFFFF" w:themeFill="background1"/>
            <w:vAlign w:val="center"/>
          </w:tcPr>
          <w:p w14:paraId="3A60838B"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E43014">
              <w:rPr>
                <w:rFonts w:cstheme="minorHAnsi"/>
                <w:b/>
              </w:rPr>
              <w:t>0.669</w:t>
            </w:r>
          </w:p>
        </w:tc>
      </w:tr>
      <w:tr w:rsidR="009D03DC" w14:paraId="158A008F" w14:textId="77777777" w:rsidTr="00B8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5DF117F" w14:textId="77777777" w:rsidR="009D03DC" w:rsidRPr="00E43014" w:rsidRDefault="009D03DC" w:rsidP="00B81FB7">
            <w:pPr>
              <w:spacing w:line="360" w:lineRule="auto"/>
              <w:rPr>
                <w:rFonts w:asciiTheme="minorHAnsi" w:hAnsiTheme="minorHAnsi" w:cstheme="minorHAnsi"/>
                <w:i w:val="0"/>
              </w:rPr>
            </w:pPr>
          </w:p>
        </w:tc>
        <w:tc>
          <w:tcPr>
            <w:tcW w:w="3117" w:type="dxa"/>
            <w:shd w:val="clear" w:color="auto" w:fill="FFFFFF" w:themeFill="background1"/>
            <w:vAlign w:val="center"/>
          </w:tcPr>
          <w:p w14:paraId="19AF163F"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E43014">
              <w:rPr>
                <w:rFonts w:cstheme="minorHAnsi"/>
              </w:rPr>
              <w:t>V2O</w:t>
            </w:r>
            <w:r w:rsidRPr="00197CDB">
              <w:rPr>
                <w:rFonts w:cstheme="minorHAnsi"/>
                <w:vertAlign w:val="subscript"/>
              </w:rPr>
              <w:t>5</w:t>
            </w:r>
          </w:p>
        </w:tc>
        <w:tc>
          <w:tcPr>
            <w:tcW w:w="3117" w:type="dxa"/>
            <w:shd w:val="clear" w:color="auto" w:fill="FFFFFF" w:themeFill="background1"/>
            <w:vAlign w:val="center"/>
          </w:tcPr>
          <w:p w14:paraId="6CF531F2"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E43014">
              <w:rPr>
                <w:rFonts w:cstheme="minorHAnsi"/>
              </w:rPr>
              <w:t>0.668</w:t>
            </w:r>
          </w:p>
        </w:tc>
      </w:tr>
      <w:tr w:rsidR="009D03DC" w14:paraId="136E0E0D" w14:textId="77777777" w:rsidTr="00B81FB7">
        <w:tc>
          <w:tcPr>
            <w:cnfStyle w:val="001000000000" w:firstRow="0" w:lastRow="0" w:firstColumn="1" w:lastColumn="0" w:oddVBand="0" w:evenVBand="0" w:oddHBand="0" w:evenHBand="0" w:firstRowFirstColumn="0" w:firstRowLastColumn="0" w:lastRowFirstColumn="0" w:lastRowLastColumn="0"/>
            <w:tcW w:w="3116" w:type="dxa"/>
            <w:vAlign w:val="center"/>
          </w:tcPr>
          <w:p w14:paraId="6A443A4D" w14:textId="77777777" w:rsidR="009D03DC" w:rsidRPr="00E43014" w:rsidRDefault="009D03DC" w:rsidP="00B81FB7">
            <w:pPr>
              <w:spacing w:line="360" w:lineRule="auto"/>
              <w:rPr>
                <w:rFonts w:asciiTheme="minorHAnsi" w:hAnsiTheme="minorHAnsi" w:cstheme="minorHAnsi"/>
                <w:i w:val="0"/>
              </w:rPr>
            </w:pPr>
          </w:p>
        </w:tc>
        <w:tc>
          <w:tcPr>
            <w:tcW w:w="3117" w:type="dxa"/>
            <w:shd w:val="clear" w:color="auto" w:fill="FFFFFF" w:themeFill="background1"/>
            <w:vAlign w:val="center"/>
          </w:tcPr>
          <w:p w14:paraId="567D7955"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43014">
              <w:rPr>
                <w:rFonts w:cstheme="minorHAnsi"/>
              </w:rPr>
              <w:t>RuO</w:t>
            </w:r>
            <w:r w:rsidRPr="00197CDB">
              <w:rPr>
                <w:rFonts w:cstheme="minorHAnsi"/>
                <w:vertAlign w:val="subscript"/>
              </w:rPr>
              <w:t>2</w:t>
            </w:r>
          </w:p>
        </w:tc>
        <w:tc>
          <w:tcPr>
            <w:tcW w:w="3117" w:type="dxa"/>
            <w:shd w:val="clear" w:color="auto" w:fill="FFFFFF" w:themeFill="background1"/>
            <w:vAlign w:val="center"/>
          </w:tcPr>
          <w:p w14:paraId="26A49828"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43014">
              <w:rPr>
                <w:rFonts w:cstheme="minorHAnsi"/>
              </w:rPr>
              <w:t>0.667</w:t>
            </w:r>
          </w:p>
        </w:tc>
      </w:tr>
      <w:tr w:rsidR="009D03DC" w14:paraId="1BABDF30" w14:textId="77777777" w:rsidTr="00B8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001DC232" w14:textId="77777777" w:rsidR="009D03DC" w:rsidRPr="00422B9F" w:rsidRDefault="009D03DC" w:rsidP="00B81FB7">
            <w:pPr>
              <w:spacing w:line="360" w:lineRule="auto"/>
              <w:ind w:right="130"/>
              <w:rPr>
                <w:rFonts w:asciiTheme="minorHAnsi" w:hAnsiTheme="minorHAnsi" w:cstheme="minorHAnsi"/>
              </w:rPr>
            </w:pPr>
            <w:r w:rsidRPr="003F49C7">
              <w:rPr>
                <w:rFonts w:cstheme="minorHAnsi"/>
              </w:rPr>
              <w:t>TiO</w:t>
            </w:r>
            <w:r w:rsidRPr="003F49C7">
              <w:rPr>
                <w:rFonts w:cstheme="minorHAnsi"/>
                <w:vertAlign w:val="subscript"/>
              </w:rPr>
              <w:t>2</w:t>
            </w:r>
          </w:p>
        </w:tc>
        <w:tc>
          <w:tcPr>
            <w:tcW w:w="3117" w:type="dxa"/>
            <w:shd w:val="clear" w:color="auto" w:fill="FFFFFF" w:themeFill="background1"/>
            <w:vAlign w:val="center"/>
          </w:tcPr>
          <w:p w14:paraId="10AFB7DB"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43014">
              <w:rPr>
                <w:rFonts w:cstheme="minorHAnsi"/>
                <w:b/>
              </w:rPr>
              <w:t>ZrO</w:t>
            </w:r>
            <w:r w:rsidRPr="00197CDB">
              <w:rPr>
                <w:rFonts w:cstheme="minorHAnsi"/>
                <w:b/>
                <w:vertAlign w:val="subscript"/>
              </w:rPr>
              <w:t>2</w:t>
            </w:r>
          </w:p>
        </w:tc>
        <w:tc>
          <w:tcPr>
            <w:tcW w:w="3117" w:type="dxa"/>
            <w:shd w:val="clear" w:color="auto" w:fill="FFFFFF" w:themeFill="background1"/>
            <w:vAlign w:val="center"/>
          </w:tcPr>
          <w:p w14:paraId="402D0F2C"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E43014">
              <w:rPr>
                <w:rFonts w:cstheme="minorHAnsi"/>
                <w:b/>
              </w:rPr>
              <w:t>0.682</w:t>
            </w:r>
          </w:p>
        </w:tc>
      </w:tr>
      <w:tr w:rsidR="009D03DC" w14:paraId="1AA6C97F" w14:textId="77777777" w:rsidTr="00B81FB7">
        <w:tc>
          <w:tcPr>
            <w:cnfStyle w:val="001000000000" w:firstRow="0" w:lastRow="0" w:firstColumn="1" w:lastColumn="0" w:oddVBand="0" w:evenVBand="0" w:oddHBand="0" w:evenHBand="0" w:firstRowFirstColumn="0" w:firstRowLastColumn="0" w:lastRowFirstColumn="0" w:lastRowLastColumn="0"/>
            <w:tcW w:w="3116" w:type="dxa"/>
            <w:vAlign w:val="center"/>
          </w:tcPr>
          <w:p w14:paraId="2B9DF614" w14:textId="77777777" w:rsidR="009D03DC" w:rsidRPr="00E43014" w:rsidRDefault="009D03DC" w:rsidP="00B81FB7">
            <w:pPr>
              <w:spacing w:line="360" w:lineRule="auto"/>
              <w:rPr>
                <w:rFonts w:asciiTheme="minorHAnsi" w:hAnsiTheme="minorHAnsi" w:cstheme="minorHAnsi"/>
                <w:i w:val="0"/>
              </w:rPr>
            </w:pPr>
          </w:p>
        </w:tc>
        <w:tc>
          <w:tcPr>
            <w:tcW w:w="3117" w:type="dxa"/>
            <w:shd w:val="clear" w:color="auto" w:fill="FFFFFF" w:themeFill="background1"/>
            <w:vAlign w:val="center"/>
          </w:tcPr>
          <w:p w14:paraId="65F6153C"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43014">
              <w:rPr>
                <w:rFonts w:cstheme="minorHAnsi"/>
              </w:rPr>
              <w:t>V</w:t>
            </w:r>
            <w:r w:rsidRPr="00197CDB">
              <w:rPr>
                <w:rFonts w:cstheme="minorHAnsi"/>
                <w:vertAlign w:val="subscript"/>
              </w:rPr>
              <w:t>2</w:t>
            </w:r>
            <w:r w:rsidRPr="00E43014">
              <w:rPr>
                <w:rFonts w:cstheme="minorHAnsi"/>
              </w:rPr>
              <w:t>O</w:t>
            </w:r>
            <w:r w:rsidRPr="00197CDB">
              <w:rPr>
                <w:rFonts w:cstheme="minorHAnsi"/>
                <w:vertAlign w:val="subscript"/>
              </w:rPr>
              <w:t>5</w:t>
            </w:r>
          </w:p>
        </w:tc>
        <w:tc>
          <w:tcPr>
            <w:tcW w:w="3117" w:type="dxa"/>
            <w:shd w:val="clear" w:color="auto" w:fill="FFFFFF" w:themeFill="background1"/>
            <w:vAlign w:val="center"/>
          </w:tcPr>
          <w:p w14:paraId="2C9992F0" w14:textId="77777777" w:rsidR="009D03DC" w:rsidRPr="00E43014" w:rsidRDefault="009D03DC" w:rsidP="00B81FB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43014">
              <w:rPr>
                <w:rFonts w:cstheme="minorHAnsi"/>
              </w:rPr>
              <w:t>0.667</w:t>
            </w:r>
          </w:p>
        </w:tc>
      </w:tr>
      <w:tr w:rsidR="009D03DC" w14:paraId="02081412" w14:textId="77777777" w:rsidTr="00B8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0B8CCB7B" w14:textId="77777777" w:rsidR="009D03DC" w:rsidRPr="00E43014" w:rsidRDefault="009D03DC" w:rsidP="00B81FB7">
            <w:pPr>
              <w:spacing w:line="360" w:lineRule="auto"/>
              <w:rPr>
                <w:rFonts w:asciiTheme="minorHAnsi" w:hAnsiTheme="minorHAnsi" w:cstheme="minorHAnsi"/>
                <w:i w:val="0"/>
              </w:rPr>
            </w:pPr>
          </w:p>
        </w:tc>
        <w:tc>
          <w:tcPr>
            <w:tcW w:w="3117" w:type="dxa"/>
            <w:shd w:val="clear" w:color="auto" w:fill="FFFFFF" w:themeFill="background1"/>
            <w:vAlign w:val="center"/>
          </w:tcPr>
          <w:p w14:paraId="3366E5F5"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E43014">
              <w:rPr>
                <w:rFonts w:cstheme="minorHAnsi"/>
              </w:rPr>
              <w:t>Bi</w:t>
            </w:r>
            <w:r w:rsidRPr="00197CDB">
              <w:rPr>
                <w:rFonts w:cstheme="minorHAnsi"/>
                <w:vertAlign w:val="subscript"/>
              </w:rPr>
              <w:t>2</w:t>
            </w:r>
            <w:r w:rsidRPr="00E43014">
              <w:rPr>
                <w:rFonts w:cstheme="minorHAnsi"/>
              </w:rPr>
              <w:t>WO</w:t>
            </w:r>
            <w:r w:rsidRPr="00197CDB">
              <w:rPr>
                <w:rFonts w:cstheme="minorHAnsi"/>
                <w:vertAlign w:val="subscript"/>
              </w:rPr>
              <w:t>6</w:t>
            </w:r>
          </w:p>
        </w:tc>
        <w:tc>
          <w:tcPr>
            <w:tcW w:w="3117" w:type="dxa"/>
            <w:shd w:val="clear" w:color="auto" w:fill="FFFFFF" w:themeFill="background1"/>
            <w:vAlign w:val="center"/>
          </w:tcPr>
          <w:p w14:paraId="0D90AB4B" w14:textId="77777777" w:rsidR="009D03DC" w:rsidRPr="00E43014" w:rsidRDefault="009D03DC" w:rsidP="00B81FB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E43014">
              <w:rPr>
                <w:rFonts w:cstheme="minorHAnsi"/>
              </w:rPr>
              <w:t>0.667</w:t>
            </w:r>
          </w:p>
        </w:tc>
      </w:tr>
    </w:tbl>
    <w:p w14:paraId="0AF6B662" w14:textId="77777777" w:rsidR="009D03DC" w:rsidRPr="0036496D" w:rsidRDefault="009D03DC" w:rsidP="009D03DC"/>
    <w:p w14:paraId="389B7446" w14:textId="77777777" w:rsidR="00465AEE" w:rsidRPr="009D03DC" w:rsidRDefault="00465AEE" w:rsidP="009D03DC"/>
    <w:sectPr w:rsidR="00465AEE" w:rsidRPr="009D03DC" w:rsidSect="009D03D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9EF1A" w14:textId="77777777" w:rsidR="009D15FB" w:rsidRDefault="009D15FB">
      <w:pPr>
        <w:spacing w:after="0" w:line="240" w:lineRule="auto"/>
      </w:pPr>
      <w:r>
        <w:separator/>
      </w:r>
    </w:p>
  </w:endnote>
  <w:endnote w:type="continuationSeparator" w:id="0">
    <w:p w14:paraId="551C7720" w14:textId="77777777" w:rsidR="009D15FB" w:rsidRDefault="009D1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830708"/>
      <w:docPartObj>
        <w:docPartGallery w:val="Page Numbers (Bottom of Page)"/>
        <w:docPartUnique/>
      </w:docPartObj>
    </w:sdtPr>
    <w:sdtEndPr>
      <w:rPr>
        <w:noProof/>
      </w:rPr>
    </w:sdtEndPr>
    <w:sdtContent>
      <w:p w14:paraId="35BF77CA" w14:textId="0EBAC41D" w:rsidR="003E5F7A" w:rsidRDefault="009D03DC">
        <w:pPr>
          <w:pStyle w:val="Footer"/>
          <w:jc w:val="center"/>
        </w:pPr>
        <w:r>
          <w:fldChar w:fldCharType="begin"/>
        </w:r>
        <w:r>
          <w:instrText xml:space="preserve"> PAGE   \* MERGEFORMAT </w:instrText>
        </w:r>
        <w:r>
          <w:fldChar w:fldCharType="separate"/>
        </w:r>
        <w:r w:rsidR="00EE5FAF">
          <w:rPr>
            <w:noProof/>
          </w:rPr>
          <w:t>2</w:t>
        </w:r>
        <w:r>
          <w:rPr>
            <w:noProof/>
          </w:rPr>
          <w:fldChar w:fldCharType="end"/>
        </w:r>
      </w:p>
    </w:sdtContent>
  </w:sdt>
  <w:p w14:paraId="0D6354F9" w14:textId="77777777" w:rsidR="003E5F7A" w:rsidRDefault="009D1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9DE6F" w14:textId="77777777" w:rsidR="009D15FB" w:rsidRDefault="009D15FB">
      <w:pPr>
        <w:spacing w:after="0" w:line="240" w:lineRule="auto"/>
      </w:pPr>
      <w:r>
        <w:separator/>
      </w:r>
    </w:p>
  </w:footnote>
  <w:footnote w:type="continuationSeparator" w:id="0">
    <w:p w14:paraId="4DE816AA" w14:textId="77777777" w:rsidR="009D15FB" w:rsidRDefault="009D1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72212"/>
    <w:multiLevelType w:val="hybridMultilevel"/>
    <w:tmpl w:val="073E2B86"/>
    <w:lvl w:ilvl="0" w:tplc="2F8C920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50A"/>
    <w:rsid w:val="000D1EA3"/>
    <w:rsid w:val="002754B3"/>
    <w:rsid w:val="0045050A"/>
    <w:rsid w:val="00465AEE"/>
    <w:rsid w:val="00556352"/>
    <w:rsid w:val="007212D4"/>
    <w:rsid w:val="00761618"/>
    <w:rsid w:val="009D03DC"/>
    <w:rsid w:val="009D15FB"/>
    <w:rsid w:val="00C2656D"/>
    <w:rsid w:val="00DB1653"/>
    <w:rsid w:val="00DD7D0C"/>
    <w:rsid w:val="00EE5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D8DC0C"/>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03DC"/>
    <w:pPr>
      <w:spacing w:after="160" w:line="259" w:lineRule="auto"/>
    </w:pPr>
    <w:rPr>
      <w:rFonts w:eastAsiaTheme="minorEastAsia"/>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1">
    <w:name w:val="Plain Table 51"/>
    <w:basedOn w:val="TableNormal"/>
    <w:uiPriority w:val="45"/>
    <w:rsid w:val="0045050A"/>
    <w:rPr>
      <w:rFonts w:eastAsiaTheme="minorEastAsia"/>
      <w:sz w:val="22"/>
      <w:szCs w:val="22"/>
      <w:lang w:eastAsia="ko-K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45050A"/>
    <w:pPr>
      <w:ind w:left="720"/>
      <w:contextualSpacing/>
    </w:pPr>
  </w:style>
  <w:style w:type="paragraph" w:styleId="Footer">
    <w:name w:val="footer"/>
    <w:basedOn w:val="Normal"/>
    <w:link w:val="FooterChar"/>
    <w:uiPriority w:val="99"/>
    <w:unhideWhenUsed/>
    <w:rsid w:val="009D0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3DC"/>
    <w:rPr>
      <w:rFonts w:eastAsiaTheme="minorEastAsia"/>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1024</Words>
  <Characters>5838</Characters>
  <Application>Microsoft Office Word</Application>
  <DocSecurity>0</DocSecurity>
  <Lines>48</Lines>
  <Paragraphs>13</Paragraphs>
  <ScaleCrop>false</ScaleCrop>
  <Company>MIT</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Kim</dc:creator>
  <cp:keywords/>
  <dc:description/>
  <cp:lastModifiedBy>Edward Kim</cp:lastModifiedBy>
  <cp:revision>5</cp:revision>
  <dcterms:created xsi:type="dcterms:W3CDTF">2017-09-06T16:59:00Z</dcterms:created>
  <dcterms:modified xsi:type="dcterms:W3CDTF">2017-09-19T03:50:00Z</dcterms:modified>
</cp:coreProperties>
</file>