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B283" w14:textId="77777777" w:rsidR="00F46AE8" w:rsidRDefault="00F46AE8" w:rsidP="009A6171">
      <w:pPr>
        <w:spacing w:beforeLines="50" w:before="156" w:afterLines="50" w:after="156" w:line="360" w:lineRule="auto"/>
        <w:contextualSpacing/>
        <w:jc w:val="center"/>
        <w:rPr>
          <w:rFonts w:ascii="Times New Roman" w:hAnsi="Times New Roman" w:cs="Times New Roman"/>
          <w:lang w:val="en-US"/>
        </w:rPr>
      </w:pPr>
    </w:p>
    <w:p w14:paraId="1666C8ED" w14:textId="77777777" w:rsidR="00F46AE8" w:rsidRDefault="00F46AE8" w:rsidP="009A6171">
      <w:pPr>
        <w:spacing w:beforeLines="50" w:before="156" w:afterLines="50" w:after="156" w:line="360" w:lineRule="auto"/>
        <w:contextualSpacing/>
        <w:jc w:val="center"/>
        <w:rPr>
          <w:rFonts w:ascii="Times New Roman" w:hAnsi="Times New Roman" w:cs="Times New Roman"/>
          <w:lang w:val="en-US"/>
        </w:rPr>
      </w:pPr>
    </w:p>
    <w:p w14:paraId="54D57471" w14:textId="77777777" w:rsidR="00F46AE8" w:rsidRDefault="00F46AE8" w:rsidP="009A6171">
      <w:pPr>
        <w:spacing w:beforeLines="50" w:before="156" w:afterLines="50" w:after="156" w:line="360" w:lineRule="auto"/>
        <w:contextualSpacing/>
        <w:jc w:val="center"/>
        <w:rPr>
          <w:rFonts w:ascii="Times New Roman" w:hAnsi="Times New Roman" w:cs="Times New Roman"/>
          <w:lang w:val="en-US"/>
        </w:rPr>
      </w:pPr>
    </w:p>
    <w:p w14:paraId="16600EAD" w14:textId="0036E400"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r w:rsidRPr="009A6171">
        <w:rPr>
          <w:rFonts w:ascii="Times New Roman" w:hAnsi="Times New Roman" w:cs="Times New Roman"/>
          <w:lang w:val="en-US"/>
        </w:rPr>
        <w:t>Supplementary material for</w:t>
      </w:r>
    </w:p>
    <w:p w14:paraId="235A9B63" w14:textId="4F80AC55"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r w:rsidRPr="009A6171">
        <w:rPr>
          <w:rFonts w:ascii="Times New Roman" w:hAnsi="Times New Roman" w:cs="Times New Roman"/>
          <w:lang w:val="en-US"/>
        </w:rPr>
        <w:t>A general purposed machine learning interatomic potential for Mg-Al-Si-O system suitable for Earth materials</w:t>
      </w:r>
    </w:p>
    <w:p w14:paraId="6607DB5C" w14:textId="77777777"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p>
    <w:p w14:paraId="567753AE" w14:textId="77777777"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r w:rsidRPr="009A6171">
        <w:rPr>
          <w:rFonts w:ascii="Times New Roman" w:hAnsi="Times New Roman" w:cs="Times New Roman"/>
          <w:lang w:val="en-US"/>
        </w:rPr>
        <w:t>Xin Zhong</w:t>
      </w:r>
      <w:r w:rsidRPr="009A6171">
        <w:rPr>
          <w:rFonts w:ascii="Times New Roman" w:hAnsi="Times New Roman" w:cs="Times New Roman"/>
          <w:vertAlign w:val="superscript"/>
          <w:lang w:val="en-US"/>
        </w:rPr>
        <w:t>1</w:t>
      </w:r>
      <w:r w:rsidRPr="009A6171">
        <w:rPr>
          <w:rFonts w:ascii="Times New Roman" w:hAnsi="Times New Roman" w:cs="Times New Roman"/>
          <w:lang w:val="en-US"/>
        </w:rPr>
        <w:t>, Yifan Li</w:t>
      </w:r>
      <w:r w:rsidRPr="009A6171">
        <w:rPr>
          <w:rFonts w:ascii="Times New Roman" w:hAnsi="Times New Roman" w:cs="Times New Roman"/>
          <w:vertAlign w:val="superscript"/>
          <w:lang w:val="en-US"/>
        </w:rPr>
        <w:t>2</w:t>
      </w:r>
      <w:r w:rsidRPr="009A6171">
        <w:rPr>
          <w:rFonts w:ascii="Times New Roman" w:hAnsi="Times New Roman" w:cs="Times New Roman"/>
          <w:lang w:val="en-US"/>
        </w:rPr>
        <w:t>, Timm John</w:t>
      </w:r>
      <w:r w:rsidRPr="009A6171">
        <w:rPr>
          <w:rFonts w:ascii="Times New Roman" w:hAnsi="Times New Roman" w:cs="Times New Roman"/>
          <w:vertAlign w:val="superscript"/>
          <w:lang w:val="en-US"/>
        </w:rPr>
        <w:t>1</w:t>
      </w:r>
    </w:p>
    <w:p w14:paraId="3AD20C55" w14:textId="77777777"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p>
    <w:p w14:paraId="272FF5B8" w14:textId="77777777" w:rsidR="001947CE" w:rsidRPr="009A6171" w:rsidRDefault="001947CE" w:rsidP="009A6171">
      <w:pPr>
        <w:spacing w:beforeLines="50" w:before="156" w:afterLines="50" w:after="156" w:line="360" w:lineRule="auto"/>
        <w:contextualSpacing/>
        <w:jc w:val="center"/>
        <w:rPr>
          <w:rFonts w:ascii="Times New Roman" w:hAnsi="Times New Roman" w:cs="Times New Roman"/>
          <w:lang w:val="de-DE"/>
        </w:rPr>
      </w:pPr>
      <w:r w:rsidRPr="009A6171">
        <w:rPr>
          <w:rFonts w:ascii="Times New Roman" w:hAnsi="Times New Roman" w:cs="Times New Roman"/>
          <w:vertAlign w:val="superscript"/>
          <w:lang w:val="de-DE"/>
        </w:rPr>
        <w:t>1</w:t>
      </w:r>
      <w:r w:rsidRPr="009A6171">
        <w:rPr>
          <w:rFonts w:ascii="Times New Roman" w:hAnsi="Times New Roman" w:cs="Times New Roman"/>
          <w:lang w:val="de-DE"/>
        </w:rPr>
        <w:t xml:space="preserve">Institut für Geologische Wissenschaften, Freie Universität Berlin, Germany </w:t>
      </w:r>
    </w:p>
    <w:p w14:paraId="75F24957" w14:textId="77777777" w:rsidR="001947CE" w:rsidRPr="009A6171" w:rsidRDefault="001947CE" w:rsidP="009A6171">
      <w:pPr>
        <w:spacing w:beforeLines="50" w:before="156" w:afterLines="50" w:after="156" w:line="360" w:lineRule="auto"/>
        <w:contextualSpacing/>
        <w:jc w:val="center"/>
        <w:rPr>
          <w:rFonts w:ascii="Times New Roman" w:hAnsi="Times New Roman" w:cs="Times New Roman"/>
          <w:lang w:val="en-US"/>
        </w:rPr>
      </w:pPr>
      <w:r w:rsidRPr="009A6171">
        <w:rPr>
          <w:rFonts w:ascii="Times New Roman" w:hAnsi="Times New Roman" w:cs="Times New Roman"/>
          <w:vertAlign w:val="superscript"/>
          <w:lang w:val="en-US"/>
        </w:rPr>
        <w:t>2</w:t>
      </w:r>
      <w:r w:rsidRPr="009A6171">
        <w:rPr>
          <w:rFonts w:ascii="Times New Roman" w:hAnsi="Times New Roman" w:cs="Times New Roman"/>
          <w:lang w:val="en-US"/>
        </w:rPr>
        <w:t>Department of Chemistry, Princeton University, U.S.A.</w:t>
      </w:r>
    </w:p>
    <w:p w14:paraId="6AF482F8" w14:textId="77777777" w:rsidR="001947CE" w:rsidRPr="009A6171" w:rsidRDefault="001947CE" w:rsidP="009A6171">
      <w:pPr>
        <w:spacing w:beforeLines="50" w:before="156" w:afterLines="50" w:after="156" w:line="360" w:lineRule="auto"/>
        <w:contextualSpacing/>
        <w:rPr>
          <w:rFonts w:ascii="Times New Roman" w:hAnsi="Times New Roman" w:cs="Times New Roman"/>
          <w:lang w:val="en-US"/>
        </w:rPr>
      </w:pPr>
    </w:p>
    <w:p w14:paraId="276038B3" w14:textId="34462F5C" w:rsidR="00A27B23" w:rsidRPr="009A6171" w:rsidRDefault="00A27B23" w:rsidP="009A6171">
      <w:pPr>
        <w:spacing w:beforeLines="50" w:before="156" w:afterLines="50" w:after="156" w:line="360" w:lineRule="auto"/>
        <w:rPr>
          <w:rFonts w:ascii="Times New Roman" w:hAnsi="Times New Roman" w:cs="Times New Roman"/>
          <w:lang w:val="en-US"/>
        </w:rPr>
      </w:pPr>
      <w:r w:rsidRPr="009A6171">
        <w:rPr>
          <w:rFonts w:ascii="Times New Roman" w:hAnsi="Times New Roman" w:cs="Times New Roman"/>
          <w:lang w:val="en-US"/>
        </w:rPr>
        <w:br w:type="page"/>
      </w:r>
    </w:p>
    <w:p w14:paraId="0393A87A" w14:textId="31EC1305" w:rsidR="00E75275" w:rsidRPr="004301BE" w:rsidRDefault="009A6171" w:rsidP="009A6171">
      <w:pPr>
        <w:spacing w:beforeLines="50" w:before="156" w:afterLines="50" w:after="156" w:line="360" w:lineRule="auto"/>
        <w:rPr>
          <w:rFonts w:ascii="Times New Roman" w:hAnsi="Times New Roman" w:cs="Times New Roman"/>
          <w:b/>
          <w:bCs/>
          <w:lang w:val="en-US"/>
        </w:rPr>
      </w:pPr>
      <w:r w:rsidRPr="004301BE">
        <w:rPr>
          <w:rFonts w:ascii="Times New Roman" w:hAnsi="Times New Roman" w:cs="Times New Roman"/>
          <w:b/>
          <w:bCs/>
          <w:lang w:val="en-US"/>
        </w:rPr>
        <w:lastRenderedPageBreak/>
        <w:t>Training data</w:t>
      </w:r>
    </w:p>
    <w:p w14:paraId="62A198C2" w14:textId="07066033" w:rsidR="00C66297" w:rsidRDefault="00C958E1" w:rsidP="003E5585">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 xml:space="preserve">The </w:t>
      </w:r>
      <w:r w:rsidR="003E5585">
        <w:rPr>
          <w:rFonts w:ascii="Times New Roman" w:hAnsi="Times New Roman" w:cs="Times New Roman"/>
          <w:lang w:val="en-US"/>
        </w:rPr>
        <w:t xml:space="preserve">final </w:t>
      </w:r>
      <w:r>
        <w:rPr>
          <w:rFonts w:ascii="Times New Roman" w:hAnsi="Times New Roman" w:cs="Times New Roman"/>
          <w:lang w:val="en-US"/>
        </w:rPr>
        <w:t>training data includes 20 minerals and melts. The list is</w:t>
      </w:r>
      <w:r w:rsidR="002E14CF">
        <w:rPr>
          <w:rFonts w:ascii="Times New Roman" w:hAnsi="Times New Roman" w:cs="Times New Roman"/>
          <w:lang w:val="en-US"/>
        </w:rPr>
        <w:t xml:space="preserve"> given in Table S1</w:t>
      </w:r>
      <w:r w:rsidR="0027191B">
        <w:rPr>
          <w:rFonts w:ascii="Times New Roman" w:hAnsi="Times New Roman" w:cs="Times New Roman"/>
          <w:lang w:val="en-US"/>
        </w:rPr>
        <w:t>.</w:t>
      </w:r>
      <w:r w:rsidR="003E5585">
        <w:rPr>
          <w:rFonts w:ascii="Times New Roman" w:hAnsi="Times New Roman" w:cs="Times New Roman"/>
          <w:lang w:val="en-US"/>
        </w:rPr>
        <w:t xml:space="preserve"> The</w:t>
      </w:r>
      <w:r w:rsidR="00A22014">
        <w:rPr>
          <w:rFonts w:ascii="Times New Roman" w:hAnsi="Times New Roman" w:cs="Times New Roman"/>
          <w:lang w:val="en-US"/>
        </w:rPr>
        <w:t xml:space="preserve"> final</w:t>
      </w:r>
      <w:r w:rsidR="003E5585">
        <w:rPr>
          <w:rFonts w:ascii="Times New Roman" w:hAnsi="Times New Roman" w:cs="Times New Roman"/>
          <w:lang w:val="en-US"/>
        </w:rPr>
        <w:t xml:space="preserve"> training data is generated from </w:t>
      </w:r>
      <w:r w:rsidR="00A22014">
        <w:rPr>
          <w:rFonts w:ascii="Times New Roman" w:hAnsi="Times New Roman" w:cs="Times New Roman"/>
          <w:lang w:val="en-US"/>
        </w:rPr>
        <w:t xml:space="preserve">randomly perturbing the reference configuration or from molecular dynamics simulations using the training force field from previous iteration. In total, 3 iterations are done. </w:t>
      </w:r>
      <w:r w:rsidR="002E14CF">
        <w:rPr>
          <w:rFonts w:ascii="Times New Roman" w:hAnsi="Times New Roman" w:cs="Times New Roman"/>
          <w:lang w:val="en-US"/>
        </w:rPr>
        <w:t>In the list, each mineral contains 1000 to 3000 configurations depending on the complexity, e.g. for crystal phase we only choose 1000 configurations, while for melt phase we typically choose &gt;2000 configurations for each element combination including Mg-Al-Si-O, Mg-O, Mg-Si-O</w:t>
      </w:r>
      <w:r w:rsidR="00DF1E67">
        <w:rPr>
          <w:rFonts w:ascii="Times New Roman" w:hAnsi="Times New Roman" w:cs="Times New Roman"/>
          <w:lang w:val="en-US"/>
        </w:rPr>
        <w:t xml:space="preserve">, Si-O. </w:t>
      </w:r>
      <w:r w:rsidR="009A5BFC">
        <w:rPr>
          <w:rFonts w:ascii="Times New Roman" w:hAnsi="Times New Roman" w:cs="Times New Roman"/>
          <w:lang w:val="en-US"/>
        </w:rPr>
        <w:t xml:space="preserve">In total, ca. </w:t>
      </w:r>
      <w:r w:rsidR="00710B66">
        <w:rPr>
          <w:rFonts w:ascii="Times New Roman" w:hAnsi="Times New Roman" w:cs="Times New Roman"/>
          <w:lang w:val="en-US"/>
        </w:rPr>
        <w:t>5</w:t>
      </w:r>
      <w:r w:rsidR="009A5BFC">
        <w:rPr>
          <w:rFonts w:ascii="Times New Roman" w:hAnsi="Times New Roman" w:cs="Times New Roman"/>
          <w:lang w:val="en-US"/>
        </w:rPr>
        <w:t>0,000 configurations are used for training</w:t>
      </w:r>
      <w:r w:rsidR="00851B45">
        <w:rPr>
          <w:rFonts w:ascii="Times New Roman" w:hAnsi="Times New Roman" w:cs="Times New Roman"/>
          <w:lang w:val="en-US"/>
        </w:rPr>
        <w:t xml:space="preserve"> the final machine learning interatomic potential</w:t>
      </w:r>
      <w:r w:rsidR="009A5BFC">
        <w:rPr>
          <w:rFonts w:ascii="Times New Roman" w:hAnsi="Times New Roman" w:cs="Times New Roman"/>
          <w:lang w:val="en-US"/>
        </w:rPr>
        <w:t xml:space="preserve">. </w:t>
      </w:r>
    </w:p>
    <w:p w14:paraId="5FA3C913" w14:textId="2D8684C8" w:rsidR="00CA3C6F" w:rsidRDefault="00CA3C6F" w:rsidP="003E5585">
      <w:pPr>
        <w:spacing w:beforeLines="50" w:before="156" w:afterLines="50" w:after="156" w:line="360" w:lineRule="auto"/>
        <w:jc w:val="both"/>
        <w:rPr>
          <w:rFonts w:ascii="Times New Roman" w:hAnsi="Times New Roman" w:cs="Times New Roman"/>
          <w:lang w:val="en-US"/>
        </w:rPr>
      </w:pPr>
      <w:r w:rsidRPr="00CA3C6F">
        <w:rPr>
          <w:rFonts w:ascii="Times New Roman" w:hAnsi="Times New Roman" w:cs="Times New Roman" w:hint="eastAsia"/>
          <w:lang w:val="en-US"/>
        </w:rPr>
        <w:t xml:space="preserve">The raw training data and the trained potential can be found in open access database: </w:t>
      </w:r>
      <w:hyperlink r:id="rId7" w:history="1">
        <w:r w:rsidRPr="00653FE7">
          <w:rPr>
            <w:rStyle w:val="af3"/>
            <w:rFonts w:ascii="Times New Roman" w:hAnsi="Times New Roman" w:cs="Times New Roman" w:hint="eastAsia"/>
            <w:lang w:val="en-US"/>
          </w:rPr>
          <w:t>https://osf.io/784bv/</w:t>
        </w:r>
      </w:hyperlink>
    </w:p>
    <w:p w14:paraId="58155372" w14:textId="0C52CD89" w:rsidR="002D538D" w:rsidRPr="00A77C3F" w:rsidRDefault="00B42405" w:rsidP="003E5585">
      <w:pPr>
        <w:spacing w:beforeLines="50" w:before="156" w:afterLines="50" w:after="156" w:line="360" w:lineRule="auto"/>
        <w:jc w:val="both"/>
        <w:rPr>
          <w:rFonts w:ascii="Times New Roman" w:hAnsi="Times New Roman" w:cs="Times New Roman"/>
          <w:b/>
          <w:bCs/>
          <w:lang w:val="en-US"/>
        </w:rPr>
      </w:pPr>
      <w:r w:rsidRPr="00A77C3F">
        <w:rPr>
          <w:rFonts w:ascii="Times New Roman" w:hAnsi="Times New Roman" w:cs="Times New Roman"/>
          <w:b/>
          <w:bCs/>
          <w:lang w:val="en-US"/>
        </w:rPr>
        <w:t>Phonon dispersion of quartz</w:t>
      </w:r>
    </w:p>
    <w:p w14:paraId="1A040CE8" w14:textId="1E440CC2" w:rsidR="00B42405" w:rsidRDefault="0004564B" w:rsidP="003E5585">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P</w:t>
      </w:r>
      <w:r w:rsidR="00A77C3F">
        <w:rPr>
          <w:rFonts w:ascii="Times New Roman" w:hAnsi="Times New Roman" w:cs="Times New Roman"/>
          <w:lang w:val="en-US"/>
        </w:rPr>
        <w:t>honon dispersion</w:t>
      </w:r>
      <w:r w:rsidR="002B61F3">
        <w:rPr>
          <w:rFonts w:ascii="Times New Roman" w:hAnsi="Times New Roman" w:cs="Times New Roman"/>
          <w:lang w:val="en-US"/>
        </w:rPr>
        <w:t xml:space="preserve"> </w:t>
      </w:r>
      <w:r w:rsidR="00A77C3F">
        <w:rPr>
          <w:rFonts w:ascii="Times New Roman" w:hAnsi="Times New Roman" w:cs="Times New Roman"/>
          <w:lang w:val="en-US"/>
        </w:rPr>
        <w:t>of quartz is also calculated using</w:t>
      </w:r>
      <w:r w:rsidR="006B1C3A">
        <w:rPr>
          <w:rFonts w:ascii="Times New Roman" w:hAnsi="Times New Roman" w:cs="Times New Roman"/>
          <w:lang w:val="en-US"/>
        </w:rPr>
        <w:t xml:space="preserve"> the trained machine learning interatomic potential. </w:t>
      </w:r>
      <w:proofErr w:type="spellStart"/>
      <w:r w:rsidR="00A77C3F">
        <w:rPr>
          <w:rFonts w:ascii="Times New Roman" w:hAnsi="Times New Roman" w:cs="Times New Roman"/>
          <w:lang w:val="en-US"/>
        </w:rPr>
        <w:t>Phonopy</w:t>
      </w:r>
      <w:proofErr w:type="spellEnd"/>
      <w:r w:rsidR="006B1C3A">
        <w:rPr>
          <w:rFonts w:ascii="Times New Roman" w:hAnsi="Times New Roman" w:cs="Times New Roman"/>
          <w:lang w:val="en-US"/>
        </w:rPr>
        <w:t xml:space="preserve"> software is used to perform </w:t>
      </w:r>
      <w:r w:rsidR="000D213E">
        <w:rPr>
          <w:rFonts w:ascii="Times New Roman" w:hAnsi="Times New Roman" w:cs="Times New Roman"/>
          <w:lang w:val="en-US"/>
        </w:rPr>
        <w:t>phonon</w:t>
      </w:r>
      <w:r w:rsidR="006B1C3A">
        <w:rPr>
          <w:rFonts w:ascii="Times New Roman" w:hAnsi="Times New Roman" w:cs="Times New Roman"/>
          <w:lang w:val="en-US"/>
        </w:rPr>
        <w:t xml:space="preserve"> calculation with finite displacement method to obtain the force constant</w:t>
      </w:r>
      <w:r w:rsidR="00A201B4">
        <w:rPr>
          <w:rFonts w:ascii="Times New Roman" w:hAnsi="Times New Roman" w:cs="Times New Roman"/>
          <w:lang w:val="en-US"/>
        </w:rPr>
        <w:t xml:space="preserve"> </w:t>
      </w:r>
      <w:r w:rsidR="00A201B4">
        <w:rPr>
          <w:rFonts w:ascii="Times New Roman" w:hAnsi="Times New Roman" w:cs="Times New Roman"/>
          <w:lang w:val="en-US"/>
        </w:rPr>
        <w:fldChar w:fldCharType="begin" w:fldLock="1"/>
      </w:r>
      <w:r w:rsidR="00A201B4">
        <w:rPr>
          <w:rFonts w:ascii="Times New Roman" w:hAnsi="Times New Roman" w:cs="Times New Roman"/>
          <w:lang w:val="en-US"/>
        </w:rPr>
        <w:instrText>ADDIN CSL_CITATION {"citationItems":[{"id":"ITEM-1","itemData":{"DOI":"10.7566/JPSJ.92.012001","ISSN":"13474073","abstract":"Harmonic, quasi-harmonic, and anharmonic phonon properties of crystals are getting to be better predicted using first-principles phonon calculations by virtue of the progress of the calculation methods and increasing computer power. In this review, basic formulae of phonon properties are reviewed with the phonon calculation examples performed using the phonon calculation codes, phonopy and phono3py, combined with the first-principles calculations. The computational workflow to utilize the first-principles phonon calculation is straightforward and its automation is of great interest to science. Therefore, a few practical applications of the automated first-principles phonon calculations are also presented.","author":[{"dropping-particle":"","family":"Togo","given":"Atsushi","non-dropping-particle":"","parse-names":false,"suffix":""}],"container-title":"Journal of the Physical Society of Japan","id":"ITEM-1","issue":"1","issued":{"date-parts":[["2023"]]},"title":"First-principles Phonon Calculations with Phonopy and Phono3py","type":"article-journal","volume":"92"},"uris":["http://www.mendeley.com/documents/?uuid=6e67ee3f-5196-4a04-bf6c-b1a8e2ed7623"]},{"id":"ITEM-2","itemData":{"DOI":"10.1016/j.scriptamat.2015.07.021","ISSN":"13596462","abstract":"Phonon plays essential roles in dynamical behaviors and thermal properties, which are central topics in fundamental issues of materials science. The importance of first principles phonon calculations cannot be overly emphasized. Phonopy is an open source code for such calculations launched by the present authors, which has been world-widely used. Here we demonstrate phonon properties with fundamental equations and show examples how the phonon calculations are applied in materials science.","author":[{"dropping-particle":"","family":"Togo","given":"Atsushi","non-dropping-particle":"","parse-names":false,"suffix":""},{"dropping-particle":"","family":"Tanaka","given":"Isao","non-dropping-particle":"","parse-names":false,"suffix":""}],"container-title":"Scripta Materialia","id":"ITEM-2","issued":{"date-parts":[["2015"]]},"page":"1-5","publisher":"Acta Materialia Inc.","title":"First principles phonon calculations in materials science","type":"article-journal","volume":"108"},"uris":["http://www.mendeley.com/documents/?uuid=740c9672-0783-4aae-94b3-d80169fa685a"]}],"mendeley":{"formattedCitation":"(Togo, 2023; Togo &amp; Tanaka, 2015)","plainTextFormattedCitation":"(Togo, 2023; Togo &amp; Tanaka, 2015)","previouslyFormattedCitation":"(Togo, 2023; Togo &amp; Tanaka, 2015)"},"properties":{"noteIndex":0},"schema":"https://github.com/citation-style-language/schema/raw/master/csl-citation.json"}</w:instrText>
      </w:r>
      <w:r w:rsidR="00A201B4">
        <w:rPr>
          <w:rFonts w:ascii="Times New Roman" w:hAnsi="Times New Roman" w:cs="Times New Roman"/>
          <w:lang w:val="en-US"/>
        </w:rPr>
        <w:fldChar w:fldCharType="separate"/>
      </w:r>
      <w:r w:rsidR="00A201B4" w:rsidRPr="00A201B4">
        <w:rPr>
          <w:rFonts w:ascii="Times New Roman" w:hAnsi="Times New Roman" w:cs="Times New Roman"/>
          <w:noProof/>
          <w:lang w:val="en-US"/>
        </w:rPr>
        <w:t>(Togo, 2023; Togo &amp; Tanaka, 2015)</w:t>
      </w:r>
      <w:r w:rsidR="00A201B4">
        <w:rPr>
          <w:rFonts w:ascii="Times New Roman" w:hAnsi="Times New Roman" w:cs="Times New Roman"/>
          <w:lang w:val="en-US"/>
        </w:rPr>
        <w:fldChar w:fldCharType="end"/>
      </w:r>
      <w:r w:rsidR="006B1C3A">
        <w:rPr>
          <w:rFonts w:ascii="Times New Roman" w:hAnsi="Times New Roman" w:cs="Times New Roman"/>
          <w:lang w:val="en-US"/>
        </w:rPr>
        <w:t xml:space="preserve">. </w:t>
      </w:r>
      <w:r w:rsidR="000D213E">
        <w:rPr>
          <w:rFonts w:ascii="Times New Roman" w:hAnsi="Times New Roman" w:cs="Times New Roman"/>
          <w:lang w:val="en-US"/>
        </w:rPr>
        <w:t xml:space="preserve">The results are compared with experimental data from </w:t>
      </w:r>
      <w:r w:rsidR="0076283B">
        <w:rPr>
          <w:rFonts w:ascii="Times New Roman" w:hAnsi="Times New Roman" w:cs="Times New Roman"/>
          <w:lang w:val="en-US"/>
        </w:rPr>
        <w:fldChar w:fldCharType="begin" w:fldLock="1"/>
      </w:r>
      <w:r w:rsidR="0076283B">
        <w:rPr>
          <w:rFonts w:ascii="Times New Roman" w:hAnsi="Times New Roman" w:cs="Times New Roman"/>
          <w:lang w:val="en-US"/>
        </w:rPr>
        <w:instrText>ADDIN CSL_CITATION {"citationItems":[{"id":"ITEM-1","itemData":{"DOI":"10.1088/0022-3719/13/36/014","ISSN":"00223719","abstract":"The authors measured the six lowest phonon dispersion branches in alpha quartz at room temperature for the ( xi 00) and ( xi xi 0) directions. The qualitative agreement with lattice dynamical calculations by Barron et al. (1976) is good. Among the quantitative differences the most striking appears in the acoustic modes in the ( xi xi 0) direction. The symmetric ('longitudinal') branch has a lower initial slope (4.70 km s-1) and then one antisymmetric ('transverse') branch (5.4 km s-1). This unusual behaviour, which appears at relatively small phonon wavelengths observable by inelastic neutron scattering is in contrast to the long-wavelength sound velocities calculated from elastic constants which give 5.724 km s-1 for the symmetric and 5.114 km s-1 for the upper antisymmetric branch. They explain this observation by the different sound velocities in the first and zero sound regimes.","author":[{"dropping-particle":"","family":"Dorner","given":"B.","non-dropping-particle":"","parse-names":false,"suffix":""},{"dropping-particle":"","family":"Grimm","given":"H.","non-dropping-particle":"","parse-names":false,"suffix":""},{"dropping-particle":"","family":"Rzany","given":"H.","non-dropping-particle":"","parse-names":false,"suffix":""}],"container-title":"Journal of Physics C: Solid State Physics","id":"ITEM-1","issue":"36","issued":{"date-parts":[["1980"]]},"page":"6607-6613","title":"Phonon dispersion branches in α quartz","type":"article-journal","volume":"13"},"uris":["http://www.mendeley.com/documents/?uuid=e4530879-52a4-45ab-97af-885850a95dc5"]}],"mendeley":{"formattedCitation":"(Dorner et al., 1980)","manualFormatting":"Dorner et al. (1980)","plainTextFormattedCitation":"(Dorner et al., 1980)","previouslyFormattedCitation":"(Dorner et al., 1980)"},"properties":{"noteIndex":0},"schema":"https://github.com/citation-style-language/schema/raw/master/csl-citation.json"}</w:instrText>
      </w:r>
      <w:r w:rsidR="0076283B">
        <w:rPr>
          <w:rFonts w:ascii="Times New Roman" w:hAnsi="Times New Roman" w:cs="Times New Roman"/>
          <w:lang w:val="en-US"/>
        </w:rPr>
        <w:fldChar w:fldCharType="separate"/>
      </w:r>
      <w:r w:rsidR="0076283B" w:rsidRPr="003230ED">
        <w:rPr>
          <w:rFonts w:ascii="Times New Roman" w:hAnsi="Times New Roman" w:cs="Times New Roman"/>
          <w:noProof/>
          <w:lang w:val="en-US"/>
        </w:rPr>
        <w:t>Dorner et al.</w:t>
      </w:r>
      <w:r w:rsidR="0076283B">
        <w:rPr>
          <w:rFonts w:ascii="Times New Roman" w:hAnsi="Times New Roman" w:cs="Times New Roman"/>
          <w:noProof/>
          <w:lang w:val="en-US"/>
        </w:rPr>
        <w:t xml:space="preserve"> (</w:t>
      </w:r>
      <w:r w:rsidR="0076283B" w:rsidRPr="003230ED">
        <w:rPr>
          <w:rFonts w:ascii="Times New Roman" w:hAnsi="Times New Roman" w:cs="Times New Roman"/>
          <w:noProof/>
          <w:lang w:val="en-US"/>
        </w:rPr>
        <w:t>1980)</w:t>
      </w:r>
      <w:r w:rsidR="0076283B">
        <w:rPr>
          <w:rFonts w:ascii="Times New Roman" w:hAnsi="Times New Roman" w:cs="Times New Roman"/>
          <w:lang w:val="en-US"/>
        </w:rPr>
        <w:fldChar w:fldCharType="end"/>
      </w:r>
      <w:r w:rsidR="0076283B">
        <w:rPr>
          <w:rFonts w:ascii="Times New Roman" w:hAnsi="Times New Roman" w:cs="Times New Roman"/>
          <w:lang w:val="en-US"/>
        </w:rPr>
        <w:t>.</w:t>
      </w:r>
    </w:p>
    <w:p w14:paraId="2835D546" w14:textId="495647B2" w:rsidR="0076283B" w:rsidRPr="006F1803" w:rsidRDefault="00DC5844" w:rsidP="003E5585">
      <w:pPr>
        <w:spacing w:beforeLines="50" w:before="156" w:afterLines="50" w:after="156" w:line="360" w:lineRule="auto"/>
        <w:jc w:val="both"/>
        <w:rPr>
          <w:rFonts w:ascii="Times New Roman" w:hAnsi="Times New Roman" w:cs="Times New Roman"/>
          <w:b/>
          <w:bCs/>
          <w:lang w:val="en-US"/>
        </w:rPr>
      </w:pPr>
      <w:r w:rsidRPr="006F1803">
        <w:rPr>
          <w:rFonts w:ascii="Times New Roman" w:hAnsi="Times New Roman" w:cs="Times New Roman"/>
          <w:b/>
          <w:bCs/>
          <w:lang w:val="en-US"/>
        </w:rPr>
        <w:t>Umbrella sampling</w:t>
      </w:r>
    </w:p>
    <w:p w14:paraId="18C1B9EE" w14:textId="52C2970E" w:rsidR="00DC5844" w:rsidRDefault="00DD4008" w:rsidP="003E5585">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A strong requirement of umbrella sampling is sufficient overlap of the collective variables in different windows constrained by a harmonic potential</w:t>
      </w:r>
      <w:r w:rsidR="004738CF">
        <w:rPr>
          <w:rFonts w:ascii="Times New Roman" w:hAnsi="Times New Roman" w:cs="Times New Roman"/>
          <w:lang w:val="en-US"/>
        </w:rPr>
        <w:t xml:space="preserve"> </w:t>
      </w:r>
      <w:r w:rsidR="00805FF1">
        <w:rPr>
          <w:rFonts w:ascii="Times New Roman" w:hAnsi="Times New Roman" w:cs="Times New Roman"/>
          <w:lang w:val="en-US"/>
        </w:rPr>
        <w:fldChar w:fldCharType="begin" w:fldLock="1"/>
      </w:r>
      <w:r w:rsidR="00186297">
        <w:rPr>
          <w:rFonts w:ascii="Times New Roman" w:hAnsi="Times New Roman" w:cs="Times New Roman"/>
          <w:lang w:val="en-US"/>
        </w:rPr>
        <w:instrText>ADDIN CSL_CITATION {"citationItems":[{"id":"ITEM-1","itemData":{"abstract":"The problem of unbiasing and combining the results of umbrella sampling calculations is reviewed. The weighted histogram analysis method (WHAM) of S. Kumar et al. (J. Comp. Chem. 13 (1992) 1011) is described and compared with other approaches. The method is illustrated with molecular dynamics simulations of the alanine dipeptide for one-mad two-dimensional free energy surfaces. The results show that the WHAM approach simplifies considerably the task of recombining the various windows in complex systems.","author":[{"dropping-particle":"","family":"Benoît","given":"Roux","non-dropping-particle":"","parse-names":false,"suffix":""}],"container-title":"Computer Physics Communications","id":"ITEM-1","issue":"1995","issued":{"date-parts":[["1995"]]},"page":"275-282","title":"The calculation of the potential of mean force using computer simulations","type":"article-journal","volume":"91"},"uris":["http://www.mendeley.com/documents/?uuid=5cf43edf-4340-418b-ba66-63cf4e4feecc"]}],"mendeley":{"formattedCitation":"(Benoît, 1995)","plainTextFormattedCitation":"(Benoît, 1995)","previouslyFormattedCitation":"(Benoît, 1995)"},"properties":{"noteIndex":0},"schema":"https://github.com/citation-style-language/schema/raw/master/csl-citation.json"}</w:instrText>
      </w:r>
      <w:r w:rsidR="00805FF1">
        <w:rPr>
          <w:rFonts w:ascii="Times New Roman" w:hAnsi="Times New Roman" w:cs="Times New Roman"/>
          <w:lang w:val="en-US"/>
        </w:rPr>
        <w:fldChar w:fldCharType="separate"/>
      </w:r>
      <w:r w:rsidR="00805FF1" w:rsidRPr="00805FF1">
        <w:rPr>
          <w:rFonts w:ascii="Times New Roman" w:hAnsi="Times New Roman" w:cs="Times New Roman"/>
          <w:noProof/>
          <w:lang w:val="en-US"/>
        </w:rPr>
        <w:t>(Benoît, 1995)</w:t>
      </w:r>
      <w:r w:rsidR="00805FF1">
        <w:rPr>
          <w:rFonts w:ascii="Times New Roman" w:hAnsi="Times New Roman" w:cs="Times New Roman"/>
          <w:lang w:val="en-US"/>
        </w:rPr>
        <w:fldChar w:fldCharType="end"/>
      </w:r>
      <w:r>
        <w:rPr>
          <w:rFonts w:ascii="Times New Roman" w:hAnsi="Times New Roman" w:cs="Times New Roman"/>
          <w:lang w:val="en-US"/>
        </w:rPr>
        <w:t xml:space="preserve">. </w:t>
      </w:r>
      <w:r w:rsidR="00805FF1">
        <w:rPr>
          <w:rFonts w:ascii="Times New Roman" w:hAnsi="Times New Roman" w:cs="Times New Roman"/>
          <w:lang w:val="en-US"/>
        </w:rPr>
        <w:t>An example of the frequency plot of the collective variables is shown in Fig. S2. The overlap is shown to be sufficient</w:t>
      </w:r>
      <w:r w:rsidR="00AB16F5">
        <w:rPr>
          <w:rFonts w:ascii="Times New Roman" w:hAnsi="Times New Roman" w:cs="Times New Roman"/>
          <w:lang w:val="en-US"/>
        </w:rPr>
        <w:t xml:space="preserve"> to perform a weighted histogram analysis method</w:t>
      </w:r>
      <w:r w:rsidR="00B74A49">
        <w:rPr>
          <w:rFonts w:ascii="Times New Roman" w:hAnsi="Times New Roman" w:cs="Times New Roman"/>
          <w:lang w:val="en-US"/>
        </w:rPr>
        <w:t xml:space="preserve"> following the method in </w:t>
      </w:r>
      <w:r w:rsidR="00B74A49">
        <w:rPr>
          <w:rFonts w:ascii="Times New Roman" w:hAnsi="Times New Roman" w:cs="Times New Roman"/>
          <w:lang w:val="en-US"/>
        </w:rPr>
        <w:fldChar w:fldCharType="begin" w:fldLock="1"/>
      </w:r>
      <w:r w:rsidR="00186297">
        <w:rPr>
          <w:rFonts w:ascii="Times New Roman" w:hAnsi="Times New Roman" w:cs="Times New Roman"/>
          <w:lang w:val="en-US"/>
        </w:rPr>
        <w:instrText>ADDIN CSL_CITATION {"citationItems":[{"id":"ITEM-1","itemData":{"abstract":"The problem of unbiasing and combining the results of umbrella sampling calculations is reviewed. The weighted histogram analysis method (WHAM) of S. Kumar et al. (J. Comp. Chem. 13 (1992) 1011) is described and compared with other approaches. The method is illustrated with molecular dynamics simulations of the alanine dipeptide for one-mad two-dimensional free energy surfaces. The results show that the WHAM approach simplifies considerably the task of recombining the various windows in complex systems.","author":[{"dropping-particle":"","family":"Benoît","given":"Roux","non-dropping-particle":"","parse-names":false,"suffix":""}],"container-title":"Computer Physics Communications","id":"ITEM-1","issue":"1995","issued":{"date-parts":[["1995"]]},"page":"275-282","title":"The calculation of the potential of mean force using computer simulations","type":"article-journal","volume":"91"},"uris":["http://www.mendeley.com/documents/?uuid=5cf43edf-4340-418b-ba66-63cf4e4feecc"]}],"mendeley":{"formattedCitation":"(Benoît, 1995)","manualFormatting":"Benoît (1995)","plainTextFormattedCitation":"(Benoît, 1995)","previouslyFormattedCitation":"(Benoît, 1995)"},"properties":{"noteIndex":0},"schema":"https://github.com/citation-style-language/schema/raw/master/csl-citation.json"}</w:instrText>
      </w:r>
      <w:r w:rsidR="00B74A49">
        <w:rPr>
          <w:rFonts w:ascii="Times New Roman" w:hAnsi="Times New Roman" w:cs="Times New Roman"/>
          <w:lang w:val="en-US"/>
        </w:rPr>
        <w:fldChar w:fldCharType="separate"/>
      </w:r>
      <w:r w:rsidR="00B74A49" w:rsidRPr="00805FF1">
        <w:rPr>
          <w:rFonts w:ascii="Times New Roman" w:hAnsi="Times New Roman" w:cs="Times New Roman"/>
          <w:noProof/>
          <w:lang w:val="en-US"/>
        </w:rPr>
        <w:t>Benoît</w:t>
      </w:r>
      <w:r w:rsidR="00B74A49">
        <w:rPr>
          <w:rFonts w:ascii="Times New Roman" w:hAnsi="Times New Roman" w:cs="Times New Roman"/>
          <w:noProof/>
          <w:lang w:val="en-US"/>
        </w:rPr>
        <w:t xml:space="preserve"> (</w:t>
      </w:r>
      <w:r w:rsidR="00B74A49" w:rsidRPr="00805FF1">
        <w:rPr>
          <w:rFonts w:ascii="Times New Roman" w:hAnsi="Times New Roman" w:cs="Times New Roman"/>
          <w:noProof/>
          <w:lang w:val="en-US"/>
        </w:rPr>
        <w:t>1995)</w:t>
      </w:r>
      <w:r w:rsidR="00B74A49">
        <w:rPr>
          <w:rFonts w:ascii="Times New Roman" w:hAnsi="Times New Roman" w:cs="Times New Roman"/>
          <w:lang w:val="en-US"/>
        </w:rPr>
        <w:fldChar w:fldCharType="end"/>
      </w:r>
      <w:r w:rsidR="00091881">
        <w:rPr>
          <w:rFonts w:ascii="Times New Roman" w:hAnsi="Times New Roman" w:cs="Times New Roman"/>
          <w:lang w:val="en-US"/>
        </w:rPr>
        <w:t>.</w:t>
      </w:r>
      <w:r w:rsidR="00D80BCE">
        <w:rPr>
          <w:rFonts w:ascii="Times New Roman" w:hAnsi="Times New Roman" w:cs="Times New Roman"/>
          <w:lang w:val="en-US"/>
        </w:rPr>
        <w:t xml:space="preserve"> </w:t>
      </w:r>
    </w:p>
    <w:p w14:paraId="4AA00519" w14:textId="6549C12C" w:rsidR="0005568B" w:rsidRPr="00964266" w:rsidRDefault="00D80BCE" w:rsidP="002B2134">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 xml:space="preserve">To accelerate the </w:t>
      </w:r>
      <w:r w:rsidR="003621C1">
        <w:rPr>
          <w:rFonts w:ascii="Times New Roman" w:hAnsi="Times New Roman" w:cs="Times New Roman"/>
          <w:lang w:val="en-US"/>
        </w:rPr>
        <w:t>convergence</w:t>
      </w:r>
      <w:r>
        <w:rPr>
          <w:rFonts w:ascii="Times New Roman" w:hAnsi="Times New Roman" w:cs="Times New Roman"/>
          <w:lang w:val="en-US"/>
        </w:rPr>
        <w:t xml:space="preserve"> speed, we increase the temperature by 300K from the melting point.</w:t>
      </w:r>
      <w:r w:rsidR="00C34C4B">
        <w:rPr>
          <w:rFonts w:ascii="Times New Roman" w:hAnsi="Times New Roman" w:cs="Times New Roman"/>
          <w:lang w:val="en-US"/>
        </w:rPr>
        <w:t xml:space="preserve"> This provides a faster convergence speed, but the calculated free energy surface needs to be corrected to obtain the interface free energy. </w:t>
      </w:r>
      <w:r w:rsidR="002B2134">
        <w:rPr>
          <w:rFonts w:ascii="Times New Roman" w:hAnsi="Times New Roman" w:cs="Times New Roman" w:hint="eastAsia"/>
          <w:lang w:val="en-US"/>
        </w:rPr>
        <w:t>The equation for correction is in the main text.</w:t>
      </w:r>
    </w:p>
    <w:p w14:paraId="5ECB8101" w14:textId="77777777" w:rsidR="0005568B" w:rsidRPr="0076252A" w:rsidRDefault="0005568B" w:rsidP="00312925">
      <w:pPr>
        <w:spacing w:line="278" w:lineRule="auto"/>
        <w:jc w:val="both"/>
        <w:rPr>
          <w:rFonts w:ascii="Times New Roman" w:hAnsi="Times New Roman" w:cs="Times New Roman"/>
          <w:lang w:val="en-US"/>
        </w:rPr>
      </w:pPr>
    </w:p>
    <w:p w14:paraId="74BC8D51" w14:textId="26767B53" w:rsidR="001E1095" w:rsidRDefault="001E1095">
      <w:pPr>
        <w:spacing w:line="278" w:lineRule="auto"/>
        <w:rPr>
          <w:rFonts w:ascii="Times New Roman" w:hAnsi="Times New Roman" w:cs="Times New Roman"/>
          <w:lang w:val="en-US"/>
        </w:rPr>
      </w:pPr>
    </w:p>
    <w:p w14:paraId="767408C2" w14:textId="34F6C305" w:rsidR="00C66297" w:rsidRDefault="0070186F" w:rsidP="00D82A02">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lastRenderedPageBreak/>
        <w:t>Table S1. Mineral and melt training data list</w:t>
      </w:r>
      <w:r w:rsidR="00D82A02">
        <w:rPr>
          <w:rFonts w:ascii="Times New Roman" w:hAnsi="Times New Roman" w:cs="Times New Roman"/>
          <w:lang w:val="en-US"/>
        </w:rPr>
        <w:t>. Reference means that trained configuration is generated by randomly perturbing the reference configuration, MD means the configuration is directly from molecular dynamics simulation. Slab means that the configuration contains free surface to capture the surface effect.</w:t>
      </w:r>
      <w:r w:rsidR="00A06685">
        <w:rPr>
          <w:rFonts w:ascii="Times New Roman" w:hAnsi="Times New Roman" w:cs="Times New Roman"/>
          <w:lang w:val="en-US"/>
        </w:rPr>
        <w:t xml:space="preserve"> For each one, the </w:t>
      </w:r>
      <w:r w:rsidR="00C35360">
        <w:rPr>
          <w:rFonts w:ascii="Times New Roman" w:hAnsi="Times New Roman" w:cs="Times New Roman"/>
          <w:lang w:val="en-US"/>
        </w:rPr>
        <w:t xml:space="preserve">number of </w:t>
      </w:r>
      <w:r w:rsidR="003E5585">
        <w:rPr>
          <w:rFonts w:ascii="Times New Roman" w:hAnsi="Times New Roman" w:cs="Times New Roman"/>
          <w:lang w:val="en-US"/>
        </w:rPr>
        <w:t>configurations</w:t>
      </w:r>
      <w:r w:rsidR="00F17300">
        <w:rPr>
          <w:rFonts w:ascii="Times New Roman" w:hAnsi="Times New Roman" w:cs="Times New Roman"/>
          <w:lang w:val="en-US"/>
        </w:rPr>
        <w:t xml:space="preserve"> being used for training</w:t>
      </w:r>
      <w:r w:rsidR="00A06685">
        <w:rPr>
          <w:rFonts w:ascii="Times New Roman" w:hAnsi="Times New Roman" w:cs="Times New Roman"/>
          <w:lang w:val="en-US"/>
        </w:rPr>
        <w:t xml:space="preserve"> is between 1000 to 3000.</w:t>
      </w:r>
    </w:p>
    <w:tbl>
      <w:tblPr>
        <w:tblStyle w:val="af2"/>
        <w:tblW w:w="0" w:type="auto"/>
        <w:jc w:val="center"/>
        <w:tblLook w:val="04A0" w:firstRow="1" w:lastRow="0" w:firstColumn="1" w:lastColumn="0" w:noHBand="0" w:noVBand="1"/>
      </w:tblPr>
      <w:tblGrid>
        <w:gridCol w:w="1991"/>
        <w:gridCol w:w="1993"/>
      </w:tblGrid>
      <w:tr w:rsidR="00F31A2D" w14:paraId="21C7B3FC" w14:textId="77777777" w:rsidTr="00A27D58">
        <w:trPr>
          <w:trHeight w:hRule="exact" w:val="284"/>
          <w:jc w:val="center"/>
        </w:trPr>
        <w:tc>
          <w:tcPr>
            <w:tcW w:w="1991" w:type="dxa"/>
          </w:tcPr>
          <w:p w14:paraId="4E8D1323" w14:textId="4B96A122" w:rsidR="00F31A2D" w:rsidRPr="005F73DE" w:rsidRDefault="005021D9" w:rsidP="00DB729A">
            <w:pPr>
              <w:spacing w:line="240" w:lineRule="auto"/>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Phase name</w:t>
            </w:r>
          </w:p>
        </w:tc>
        <w:tc>
          <w:tcPr>
            <w:tcW w:w="1993" w:type="dxa"/>
          </w:tcPr>
          <w:p w14:paraId="37D7189C" w14:textId="2B02B951" w:rsidR="00F31A2D" w:rsidRPr="005F73DE" w:rsidRDefault="00F31A2D" w:rsidP="00DB729A">
            <w:pPr>
              <w:spacing w:line="240" w:lineRule="auto"/>
              <w:jc w:val="center"/>
              <w:rPr>
                <w:rFonts w:ascii="Times New Roman" w:hAnsi="Times New Roman" w:cs="Times New Roman"/>
                <w:b/>
                <w:bCs/>
                <w:sz w:val="20"/>
                <w:szCs w:val="20"/>
                <w:lang w:val="en-US"/>
              </w:rPr>
            </w:pPr>
            <w:r w:rsidRPr="005F73DE">
              <w:rPr>
                <w:rFonts w:ascii="Times New Roman" w:hAnsi="Times New Roman" w:cs="Times New Roman"/>
                <w:b/>
                <w:bCs/>
                <w:sz w:val="20"/>
                <w:szCs w:val="20"/>
                <w:lang w:val="en-US"/>
              </w:rPr>
              <w:t>Type</w:t>
            </w:r>
          </w:p>
        </w:tc>
      </w:tr>
      <w:tr w:rsidR="00F31A2D" w14:paraId="0F7FEB3F" w14:textId="77777777" w:rsidTr="00A27D58">
        <w:trPr>
          <w:trHeight w:hRule="exact" w:val="284"/>
          <w:jc w:val="center"/>
        </w:trPr>
        <w:tc>
          <w:tcPr>
            <w:tcW w:w="1991" w:type="dxa"/>
          </w:tcPr>
          <w:p w14:paraId="0550825F" w14:textId="53B62272"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Akimotoite</w:t>
            </w:r>
          </w:p>
        </w:tc>
        <w:tc>
          <w:tcPr>
            <w:tcW w:w="1993" w:type="dxa"/>
          </w:tcPr>
          <w:p w14:paraId="60AB295C" w14:textId="6DA4E460"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68F29B05" w14:textId="77777777" w:rsidTr="00A27D58">
        <w:trPr>
          <w:trHeight w:hRule="exact" w:val="284"/>
          <w:jc w:val="center"/>
        </w:trPr>
        <w:tc>
          <w:tcPr>
            <w:tcW w:w="1991" w:type="dxa"/>
          </w:tcPr>
          <w:p w14:paraId="39708D8E" w14:textId="1D7707ED" w:rsidR="00F31A2D" w:rsidRPr="00A27D58" w:rsidRDefault="00F31A2D" w:rsidP="00DB729A">
            <w:pPr>
              <w:spacing w:line="240" w:lineRule="auto"/>
              <w:jc w:val="center"/>
              <w:rPr>
                <w:rFonts w:ascii="Times New Roman" w:hAnsi="Times New Roman" w:cs="Times New Roman"/>
                <w:sz w:val="20"/>
                <w:szCs w:val="20"/>
                <w:lang w:val="en-US"/>
              </w:rPr>
            </w:pPr>
            <w:proofErr w:type="spellStart"/>
            <w:r w:rsidRPr="00A27D58">
              <w:rPr>
                <w:rFonts w:ascii="Times New Roman" w:hAnsi="Times New Roman" w:cs="Times New Roman"/>
                <w:sz w:val="20"/>
                <w:szCs w:val="20"/>
                <w:lang w:val="en-US"/>
              </w:rPr>
              <w:t>Clinoenstatite</w:t>
            </w:r>
            <w:proofErr w:type="spellEnd"/>
          </w:p>
        </w:tc>
        <w:tc>
          <w:tcPr>
            <w:tcW w:w="1993" w:type="dxa"/>
          </w:tcPr>
          <w:p w14:paraId="462D7B04" w14:textId="79C116B0"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07876962" w14:textId="77777777" w:rsidTr="00A27D58">
        <w:trPr>
          <w:trHeight w:hRule="exact" w:val="284"/>
          <w:jc w:val="center"/>
        </w:trPr>
        <w:tc>
          <w:tcPr>
            <w:tcW w:w="1991" w:type="dxa"/>
          </w:tcPr>
          <w:p w14:paraId="3E320FFE" w14:textId="68091124"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Forsterite</w:t>
            </w:r>
          </w:p>
        </w:tc>
        <w:tc>
          <w:tcPr>
            <w:tcW w:w="1993" w:type="dxa"/>
          </w:tcPr>
          <w:p w14:paraId="60328D2F" w14:textId="7B02D3BC"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5C52EE6A" w14:textId="77777777" w:rsidTr="00A27D58">
        <w:trPr>
          <w:trHeight w:hRule="exact" w:val="284"/>
          <w:jc w:val="center"/>
        </w:trPr>
        <w:tc>
          <w:tcPr>
            <w:tcW w:w="1991" w:type="dxa"/>
          </w:tcPr>
          <w:p w14:paraId="70E28155" w14:textId="6E05B00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Quartz</w:t>
            </w:r>
          </w:p>
        </w:tc>
        <w:tc>
          <w:tcPr>
            <w:tcW w:w="1993" w:type="dxa"/>
          </w:tcPr>
          <w:p w14:paraId="751C285F" w14:textId="2CC18A98"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Quartz high</w:t>
            </w:r>
          </w:p>
        </w:tc>
      </w:tr>
      <w:tr w:rsidR="00F31A2D" w14:paraId="58A71A04" w14:textId="77777777" w:rsidTr="00A27D58">
        <w:trPr>
          <w:trHeight w:hRule="exact" w:val="284"/>
          <w:jc w:val="center"/>
        </w:trPr>
        <w:tc>
          <w:tcPr>
            <w:tcW w:w="1991" w:type="dxa"/>
          </w:tcPr>
          <w:p w14:paraId="749151BD" w14:textId="191EB21A"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Stishovite</w:t>
            </w:r>
          </w:p>
        </w:tc>
        <w:tc>
          <w:tcPr>
            <w:tcW w:w="1993" w:type="dxa"/>
          </w:tcPr>
          <w:p w14:paraId="11A728AE" w14:textId="1AEE8B02"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6942557E" w14:textId="77777777" w:rsidTr="00A27D58">
        <w:trPr>
          <w:trHeight w:hRule="exact" w:val="284"/>
          <w:jc w:val="center"/>
        </w:trPr>
        <w:tc>
          <w:tcPr>
            <w:tcW w:w="1991" w:type="dxa"/>
          </w:tcPr>
          <w:p w14:paraId="487D3B4B" w14:textId="55BC2676"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Wadsleyite</w:t>
            </w:r>
          </w:p>
        </w:tc>
        <w:tc>
          <w:tcPr>
            <w:tcW w:w="1993" w:type="dxa"/>
          </w:tcPr>
          <w:p w14:paraId="5608ABE0" w14:textId="447DFDE9"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77AEF4A7" w14:textId="77777777" w:rsidTr="00A27D58">
        <w:trPr>
          <w:trHeight w:hRule="exact" w:val="284"/>
          <w:jc w:val="center"/>
        </w:trPr>
        <w:tc>
          <w:tcPr>
            <w:tcW w:w="1991" w:type="dxa"/>
          </w:tcPr>
          <w:p w14:paraId="238CB09E" w14:textId="639F2825"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Coesite</w:t>
            </w:r>
          </w:p>
        </w:tc>
        <w:tc>
          <w:tcPr>
            <w:tcW w:w="1993" w:type="dxa"/>
          </w:tcPr>
          <w:p w14:paraId="69F1EE58" w14:textId="3E145FE1"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065D526C" w14:textId="77777777" w:rsidTr="00A27D58">
        <w:trPr>
          <w:trHeight w:hRule="exact" w:val="284"/>
          <w:jc w:val="center"/>
        </w:trPr>
        <w:tc>
          <w:tcPr>
            <w:tcW w:w="1991" w:type="dxa"/>
          </w:tcPr>
          <w:p w14:paraId="68262949" w14:textId="3C3EB74B"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Cristobalite</w:t>
            </w:r>
          </w:p>
        </w:tc>
        <w:tc>
          <w:tcPr>
            <w:tcW w:w="1993" w:type="dxa"/>
          </w:tcPr>
          <w:p w14:paraId="326F6E08" w14:textId="2A0BE23C"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4C7D8949" w14:textId="77777777" w:rsidTr="00A27D58">
        <w:trPr>
          <w:trHeight w:hRule="exact" w:val="284"/>
          <w:jc w:val="center"/>
        </w:trPr>
        <w:tc>
          <w:tcPr>
            <w:tcW w:w="1991" w:type="dxa"/>
          </w:tcPr>
          <w:p w14:paraId="448F85C6" w14:textId="6420B21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Periclase</w:t>
            </w:r>
          </w:p>
        </w:tc>
        <w:tc>
          <w:tcPr>
            <w:tcW w:w="1993" w:type="dxa"/>
          </w:tcPr>
          <w:p w14:paraId="7249B2E1" w14:textId="58491373"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2C980125" w14:textId="77777777" w:rsidTr="00A27D58">
        <w:trPr>
          <w:trHeight w:hRule="exact" w:val="284"/>
          <w:jc w:val="center"/>
        </w:trPr>
        <w:tc>
          <w:tcPr>
            <w:tcW w:w="1991" w:type="dxa"/>
          </w:tcPr>
          <w:p w14:paraId="6DBF1982" w14:textId="0C932F47"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Quartz</w:t>
            </w:r>
          </w:p>
        </w:tc>
        <w:tc>
          <w:tcPr>
            <w:tcW w:w="1993" w:type="dxa"/>
          </w:tcPr>
          <w:p w14:paraId="5C04B305" w14:textId="03938CAF"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04031B94" w14:textId="77777777" w:rsidTr="00A27D58">
        <w:trPr>
          <w:trHeight w:hRule="exact" w:val="284"/>
          <w:jc w:val="center"/>
        </w:trPr>
        <w:tc>
          <w:tcPr>
            <w:tcW w:w="1991" w:type="dxa"/>
          </w:tcPr>
          <w:p w14:paraId="25AE479A" w14:textId="1041275D"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Stishovite</w:t>
            </w:r>
          </w:p>
        </w:tc>
        <w:tc>
          <w:tcPr>
            <w:tcW w:w="1993" w:type="dxa"/>
          </w:tcPr>
          <w:p w14:paraId="3CFC8CA8" w14:textId="47B2B0A8"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6654CD52" w14:textId="77777777" w:rsidTr="00A27D58">
        <w:trPr>
          <w:trHeight w:hRule="exact" w:val="284"/>
          <w:jc w:val="center"/>
        </w:trPr>
        <w:tc>
          <w:tcPr>
            <w:tcW w:w="1991" w:type="dxa"/>
          </w:tcPr>
          <w:p w14:paraId="0BB635ED" w14:textId="30379E19"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Coesite</w:t>
            </w:r>
          </w:p>
        </w:tc>
        <w:tc>
          <w:tcPr>
            <w:tcW w:w="1993" w:type="dxa"/>
          </w:tcPr>
          <w:p w14:paraId="632CDD5A" w14:textId="7D3E9349"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25B60315" w14:textId="77777777" w:rsidTr="00A27D58">
        <w:trPr>
          <w:trHeight w:hRule="exact" w:val="284"/>
          <w:jc w:val="center"/>
        </w:trPr>
        <w:tc>
          <w:tcPr>
            <w:tcW w:w="1991" w:type="dxa"/>
          </w:tcPr>
          <w:p w14:paraId="29C14969" w14:textId="0EF82D5F"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Cristobalite</w:t>
            </w:r>
          </w:p>
        </w:tc>
        <w:tc>
          <w:tcPr>
            <w:tcW w:w="1993" w:type="dxa"/>
          </w:tcPr>
          <w:p w14:paraId="3D773554" w14:textId="033BC48C"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45ABB41B" w14:textId="77777777" w:rsidTr="00A27D58">
        <w:trPr>
          <w:trHeight w:hRule="exact" w:val="284"/>
          <w:jc w:val="center"/>
        </w:trPr>
        <w:tc>
          <w:tcPr>
            <w:tcW w:w="1991" w:type="dxa"/>
          </w:tcPr>
          <w:p w14:paraId="51762AAD" w14:textId="6B688B6B" w:rsidR="00F31A2D" w:rsidRPr="00A27D58" w:rsidRDefault="00F31A2D" w:rsidP="00DB729A">
            <w:pPr>
              <w:spacing w:line="240" w:lineRule="auto"/>
              <w:jc w:val="center"/>
              <w:rPr>
                <w:rFonts w:ascii="Times New Roman" w:hAnsi="Times New Roman" w:cs="Times New Roman"/>
                <w:sz w:val="20"/>
                <w:szCs w:val="20"/>
                <w:lang w:val="en-US"/>
              </w:rPr>
            </w:pPr>
            <w:proofErr w:type="spellStart"/>
            <w:r w:rsidRPr="00A27D58">
              <w:rPr>
                <w:rFonts w:ascii="Times New Roman" w:hAnsi="Times New Roman" w:cs="Times New Roman"/>
                <w:sz w:val="20"/>
                <w:szCs w:val="20"/>
                <w:lang w:val="en-US"/>
              </w:rPr>
              <w:t>Protoenstatite</w:t>
            </w:r>
            <w:proofErr w:type="spellEnd"/>
          </w:p>
        </w:tc>
        <w:tc>
          <w:tcPr>
            <w:tcW w:w="1993" w:type="dxa"/>
          </w:tcPr>
          <w:p w14:paraId="0A279C6F" w14:textId="24B9812F"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60A48E39" w14:textId="77777777" w:rsidTr="00A27D58">
        <w:trPr>
          <w:trHeight w:hRule="exact" w:val="284"/>
          <w:jc w:val="center"/>
        </w:trPr>
        <w:tc>
          <w:tcPr>
            <w:tcW w:w="1991" w:type="dxa"/>
          </w:tcPr>
          <w:p w14:paraId="525E2F65" w14:textId="69E99733"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Quartz</w:t>
            </w:r>
          </w:p>
        </w:tc>
        <w:tc>
          <w:tcPr>
            <w:tcW w:w="1993" w:type="dxa"/>
          </w:tcPr>
          <w:p w14:paraId="6852A2B0" w14:textId="415A7DE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1E0BD0EB" w14:textId="77777777" w:rsidTr="00A27D58">
        <w:trPr>
          <w:trHeight w:hRule="exact" w:val="284"/>
          <w:jc w:val="center"/>
        </w:trPr>
        <w:tc>
          <w:tcPr>
            <w:tcW w:w="1991" w:type="dxa"/>
          </w:tcPr>
          <w:p w14:paraId="595B2CC7" w14:textId="62D38FA6"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Tridymite</w:t>
            </w:r>
          </w:p>
        </w:tc>
        <w:tc>
          <w:tcPr>
            <w:tcW w:w="1993" w:type="dxa"/>
          </w:tcPr>
          <w:p w14:paraId="185AB16B" w14:textId="0C9544A8"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10523B43" w14:textId="77777777" w:rsidTr="00A27D58">
        <w:trPr>
          <w:trHeight w:hRule="exact" w:val="284"/>
          <w:jc w:val="center"/>
        </w:trPr>
        <w:tc>
          <w:tcPr>
            <w:tcW w:w="1991" w:type="dxa"/>
          </w:tcPr>
          <w:p w14:paraId="753B9EEA" w14:textId="2F69040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Bridgmanite</w:t>
            </w:r>
          </w:p>
        </w:tc>
        <w:tc>
          <w:tcPr>
            <w:tcW w:w="1993" w:type="dxa"/>
          </w:tcPr>
          <w:p w14:paraId="5C6580B7" w14:textId="767D8E3C"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66BA894D" w14:textId="77777777" w:rsidTr="00A27D58">
        <w:trPr>
          <w:trHeight w:hRule="exact" w:val="284"/>
          <w:jc w:val="center"/>
        </w:trPr>
        <w:tc>
          <w:tcPr>
            <w:tcW w:w="1991" w:type="dxa"/>
          </w:tcPr>
          <w:p w14:paraId="6B8809B1" w14:textId="6276C9C9"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Enstatite</w:t>
            </w:r>
          </w:p>
        </w:tc>
        <w:tc>
          <w:tcPr>
            <w:tcW w:w="1993" w:type="dxa"/>
          </w:tcPr>
          <w:p w14:paraId="72D0B599" w14:textId="0228068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7FF3D01E" w14:textId="77777777" w:rsidTr="00A27D58">
        <w:trPr>
          <w:trHeight w:hRule="exact" w:val="284"/>
          <w:jc w:val="center"/>
        </w:trPr>
        <w:tc>
          <w:tcPr>
            <w:tcW w:w="1991" w:type="dxa"/>
          </w:tcPr>
          <w:p w14:paraId="4AC77860" w14:textId="4999689C"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Majorite</w:t>
            </w:r>
          </w:p>
        </w:tc>
        <w:tc>
          <w:tcPr>
            <w:tcW w:w="1993" w:type="dxa"/>
          </w:tcPr>
          <w:p w14:paraId="1263CCAA" w14:textId="1D4EFFD1"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18D3BDA4" w14:textId="77777777" w:rsidTr="00A27D58">
        <w:trPr>
          <w:trHeight w:hRule="exact" w:val="284"/>
          <w:jc w:val="center"/>
        </w:trPr>
        <w:tc>
          <w:tcPr>
            <w:tcW w:w="1991" w:type="dxa"/>
          </w:tcPr>
          <w:p w14:paraId="4C509D1E" w14:textId="23382FAA"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Ringwoodite</w:t>
            </w:r>
          </w:p>
        </w:tc>
        <w:tc>
          <w:tcPr>
            <w:tcW w:w="1993" w:type="dxa"/>
          </w:tcPr>
          <w:p w14:paraId="75AA682E" w14:textId="3D895165"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F31A2D" w14:paraId="743E4E54" w14:textId="77777777" w:rsidTr="00A27D58">
        <w:trPr>
          <w:trHeight w:hRule="exact" w:val="284"/>
          <w:jc w:val="center"/>
        </w:trPr>
        <w:tc>
          <w:tcPr>
            <w:tcW w:w="1991" w:type="dxa"/>
          </w:tcPr>
          <w:p w14:paraId="17A756D8" w14:textId="177B1AB7"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Tridymite</w:t>
            </w:r>
          </w:p>
        </w:tc>
        <w:tc>
          <w:tcPr>
            <w:tcW w:w="1993" w:type="dxa"/>
          </w:tcPr>
          <w:p w14:paraId="2D964D09" w14:textId="68BC9FB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Reference</w:t>
            </w:r>
          </w:p>
        </w:tc>
      </w:tr>
      <w:tr w:rsidR="008457BF" w14:paraId="04AC784D" w14:textId="77777777" w:rsidTr="00A27D58">
        <w:trPr>
          <w:trHeight w:hRule="exact" w:val="284"/>
          <w:jc w:val="center"/>
        </w:trPr>
        <w:tc>
          <w:tcPr>
            <w:tcW w:w="1991" w:type="dxa"/>
          </w:tcPr>
          <w:p w14:paraId="2162C704" w14:textId="2441E17E" w:rsidR="008457BF" w:rsidRPr="00A27D58" w:rsidRDefault="008457BF" w:rsidP="00DB729A">
            <w:pPr>
              <w:spacing w:line="240" w:lineRule="auto"/>
              <w:jc w:val="center"/>
              <w:rPr>
                <w:rFonts w:ascii="Times New Roman" w:hAnsi="Times New Roman" w:cs="Times New Roman"/>
                <w:sz w:val="20"/>
                <w:szCs w:val="20"/>
                <w:lang w:val="en-US"/>
              </w:rPr>
            </w:pPr>
            <w:r>
              <w:rPr>
                <w:rFonts w:ascii="Times New Roman" w:hAnsi="Times New Roman" w:cs="Times New Roman" w:hint="eastAsia"/>
                <w:sz w:val="20"/>
                <w:szCs w:val="20"/>
                <w:lang w:val="en-US"/>
              </w:rPr>
              <w:t>Pyrope</w:t>
            </w:r>
          </w:p>
        </w:tc>
        <w:tc>
          <w:tcPr>
            <w:tcW w:w="1993" w:type="dxa"/>
          </w:tcPr>
          <w:p w14:paraId="65799741" w14:textId="73EE8C03" w:rsidR="008457BF" w:rsidRPr="00A27D58" w:rsidRDefault="008457BF" w:rsidP="00DB729A">
            <w:pPr>
              <w:spacing w:line="240" w:lineRule="auto"/>
              <w:jc w:val="center"/>
              <w:rPr>
                <w:rFonts w:ascii="Times New Roman" w:hAnsi="Times New Roman" w:cs="Times New Roman"/>
                <w:sz w:val="20"/>
                <w:szCs w:val="20"/>
                <w:lang w:val="en-US"/>
              </w:rPr>
            </w:pPr>
            <w:r>
              <w:rPr>
                <w:rFonts w:ascii="Times New Roman" w:hAnsi="Times New Roman" w:cs="Times New Roman" w:hint="eastAsia"/>
                <w:sz w:val="20"/>
                <w:szCs w:val="20"/>
                <w:lang w:val="en-US"/>
              </w:rPr>
              <w:t>Reference</w:t>
            </w:r>
          </w:p>
        </w:tc>
      </w:tr>
      <w:tr w:rsidR="00F31A2D" w14:paraId="7EA86CBC" w14:textId="77777777" w:rsidTr="00A27D58">
        <w:trPr>
          <w:trHeight w:hRule="exact" w:val="284"/>
          <w:jc w:val="center"/>
        </w:trPr>
        <w:tc>
          <w:tcPr>
            <w:tcW w:w="1991" w:type="dxa"/>
          </w:tcPr>
          <w:p w14:paraId="23289F00" w14:textId="10BBD08D"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Akimotoite</w:t>
            </w:r>
          </w:p>
        </w:tc>
        <w:tc>
          <w:tcPr>
            <w:tcW w:w="1993" w:type="dxa"/>
          </w:tcPr>
          <w:p w14:paraId="68688C5A" w14:textId="7AA4B987"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39847979" w14:textId="77777777" w:rsidTr="00A27D58">
        <w:trPr>
          <w:trHeight w:hRule="exact" w:val="284"/>
          <w:jc w:val="center"/>
        </w:trPr>
        <w:tc>
          <w:tcPr>
            <w:tcW w:w="1991" w:type="dxa"/>
          </w:tcPr>
          <w:p w14:paraId="6756E769" w14:textId="1FD575F1"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Bridgmanite</w:t>
            </w:r>
          </w:p>
        </w:tc>
        <w:tc>
          <w:tcPr>
            <w:tcW w:w="1993" w:type="dxa"/>
          </w:tcPr>
          <w:p w14:paraId="0BF888B4" w14:textId="2013C251"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644E34B0" w14:textId="77777777" w:rsidTr="00A27D58">
        <w:trPr>
          <w:trHeight w:hRule="exact" w:val="284"/>
          <w:jc w:val="center"/>
        </w:trPr>
        <w:tc>
          <w:tcPr>
            <w:tcW w:w="1991" w:type="dxa"/>
          </w:tcPr>
          <w:p w14:paraId="1829B0C4" w14:textId="133C8649" w:rsidR="00F31A2D" w:rsidRPr="00A27D58" w:rsidRDefault="00F31A2D" w:rsidP="00DB729A">
            <w:pPr>
              <w:spacing w:line="240" w:lineRule="auto"/>
              <w:jc w:val="center"/>
              <w:rPr>
                <w:rFonts w:ascii="Times New Roman" w:hAnsi="Times New Roman" w:cs="Times New Roman"/>
                <w:sz w:val="20"/>
                <w:szCs w:val="20"/>
                <w:lang w:val="en-US"/>
              </w:rPr>
            </w:pPr>
            <w:proofErr w:type="spellStart"/>
            <w:r w:rsidRPr="00A27D58">
              <w:rPr>
                <w:rFonts w:ascii="Times New Roman" w:hAnsi="Times New Roman" w:cs="Times New Roman"/>
                <w:sz w:val="20"/>
                <w:szCs w:val="20"/>
                <w:lang w:val="en-US"/>
              </w:rPr>
              <w:t>Clinoenstatite</w:t>
            </w:r>
            <w:proofErr w:type="spellEnd"/>
          </w:p>
        </w:tc>
        <w:tc>
          <w:tcPr>
            <w:tcW w:w="1993" w:type="dxa"/>
          </w:tcPr>
          <w:p w14:paraId="126F1929" w14:textId="3A8DBCDE"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7B779242" w14:textId="77777777" w:rsidTr="00A27D58">
        <w:trPr>
          <w:trHeight w:hRule="exact" w:val="284"/>
          <w:jc w:val="center"/>
        </w:trPr>
        <w:tc>
          <w:tcPr>
            <w:tcW w:w="1991" w:type="dxa"/>
          </w:tcPr>
          <w:p w14:paraId="738ED992" w14:textId="2CA2AF97"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Enstatite</w:t>
            </w:r>
          </w:p>
        </w:tc>
        <w:tc>
          <w:tcPr>
            <w:tcW w:w="1993" w:type="dxa"/>
          </w:tcPr>
          <w:p w14:paraId="4A3DBC9C" w14:textId="6F1BA51D"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F31A2D" w14:paraId="14060816" w14:textId="77777777" w:rsidTr="00A27D58">
        <w:trPr>
          <w:trHeight w:hRule="exact" w:val="284"/>
          <w:jc w:val="center"/>
        </w:trPr>
        <w:tc>
          <w:tcPr>
            <w:tcW w:w="1991" w:type="dxa"/>
          </w:tcPr>
          <w:p w14:paraId="724C6B51" w14:textId="1A778F05"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Forsterite</w:t>
            </w:r>
          </w:p>
        </w:tc>
        <w:tc>
          <w:tcPr>
            <w:tcW w:w="1993" w:type="dxa"/>
          </w:tcPr>
          <w:p w14:paraId="78BDFD28" w14:textId="2F956DD8" w:rsidR="00F31A2D" w:rsidRPr="00A27D58" w:rsidRDefault="00F31A2D" w:rsidP="00DB729A">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9F4A4F" w14:paraId="751FB1E5" w14:textId="77777777" w:rsidTr="00A27D58">
        <w:trPr>
          <w:trHeight w:hRule="exact" w:val="284"/>
          <w:jc w:val="center"/>
        </w:trPr>
        <w:tc>
          <w:tcPr>
            <w:tcW w:w="1991" w:type="dxa"/>
          </w:tcPr>
          <w:p w14:paraId="27D04B5F" w14:textId="254178E9"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Ringwoodite</w:t>
            </w:r>
          </w:p>
        </w:tc>
        <w:tc>
          <w:tcPr>
            <w:tcW w:w="1993" w:type="dxa"/>
          </w:tcPr>
          <w:p w14:paraId="7CE84157" w14:textId="5BC839CA"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3E4ECB" w14:paraId="668D827A" w14:textId="77777777" w:rsidTr="00A27D58">
        <w:trPr>
          <w:trHeight w:hRule="exact" w:val="284"/>
          <w:jc w:val="center"/>
        </w:trPr>
        <w:tc>
          <w:tcPr>
            <w:tcW w:w="1991" w:type="dxa"/>
          </w:tcPr>
          <w:p w14:paraId="52DBF2F8" w14:textId="6187A251" w:rsidR="003E4ECB" w:rsidRPr="00A27D58" w:rsidRDefault="003E4ECB" w:rsidP="009F4A4F">
            <w:pPr>
              <w:spacing w:line="240" w:lineRule="auto"/>
              <w:jc w:val="center"/>
              <w:rPr>
                <w:rFonts w:ascii="Times New Roman" w:hAnsi="Times New Roman" w:cs="Times New Roman"/>
                <w:sz w:val="20"/>
                <w:szCs w:val="20"/>
                <w:lang w:val="en-US"/>
              </w:rPr>
            </w:pPr>
            <w:r>
              <w:rPr>
                <w:rFonts w:ascii="Times New Roman" w:hAnsi="Times New Roman" w:cs="Times New Roman" w:hint="eastAsia"/>
                <w:sz w:val="20"/>
                <w:szCs w:val="20"/>
                <w:lang w:val="en-US"/>
              </w:rPr>
              <w:t>Pyrope</w:t>
            </w:r>
          </w:p>
        </w:tc>
        <w:tc>
          <w:tcPr>
            <w:tcW w:w="1993" w:type="dxa"/>
          </w:tcPr>
          <w:p w14:paraId="5B04E9E3" w14:textId="3FF5F92A" w:rsidR="003E4ECB" w:rsidRPr="00A27D58" w:rsidRDefault="003E4ECB" w:rsidP="009F4A4F">
            <w:pPr>
              <w:spacing w:line="240" w:lineRule="auto"/>
              <w:jc w:val="center"/>
              <w:rPr>
                <w:rFonts w:ascii="Times New Roman" w:hAnsi="Times New Roman" w:cs="Times New Roman"/>
                <w:sz w:val="20"/>
                <w:szCs w:val="20"/>
                <w:lang w:val="en-US"/>
              </w:rPr>
            </w:pPr>
            <w:r>
              <w:rPr>
                <w:rFonts w:ascii="Times New Roman" w:hAnsi="Times New Roman" w:cs="Times New Roman" w:hint="eastAsia"/>
                <w:sz w:val="20"/>
                <w:szCs w:val="20"/>
                <w:lang w:val="en-US"/>
              </w:rPr>
              <w:t>MD</w:t>
            </w:r>
          </w:p>
        </w:tc>
      </w:tr>
      <w:tr w:rsidR="009F4A4F" w14:paraId="65DF9BD0" w14:textId="77777777" w:rsidTr="00A27D58">
        <w:trPr>
          <w:trHeight w:hRule="exact" w:val="284"/>
          <w:jc w:val="center"/>
        </w:trPr>
        <w:tc>
          <w:tcPr>
            <w:tcW w:w="1991" w:type="dxa"/>
          </w:tcPr>
          <w:p w14:paraId="50E6B88A" w14:textId="4851E122"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Forsterite</w:t>
            </w:r>
          </w:p>
        </w:tc>
        <w:tc>
          <w:tcPr>
            <w:tcW w:w="1993" w:type="dxa"/>
          </w:tcPr>
          <w:p w14:paraId="3E425AE1" w14:textId="35FB5C21"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Slab</w:t>
            </w:r>
          </w:p>
        </w:tc>
      </w:tr>
      <w:tr w:rsidR="009F4A4F" w14:paraId="70DA22D1" w14:textId="77777777" w:rsidTr="00A27D58">
        <w:trPr>
          <w:trHeight w:hRule="exact" w:val="284"/>
          <w:jc w:val="center"/>
        </w:trPr>
        <w:tc>
          <w:tcPr>
            <w:tcW w:w="1991" w:type="dxa"/>
          </w:tcPr>
          <w:p w14:paraId="4522AD0F" w14:textId="0DD47E22" w:rsidR="009F4A4F" w:rsidRPr="00A27D58" w:rsidRDefault="009F4A4F" w:rsidP="009F4A4F">
            <w:pPr>
              <w:spacing w:line="240" w:lineRule="auto"/>
              <w:jc w:val="center"/>
              <w:rPr>
                <w:rFonts w:ascii="Times New Roman" w:hAnsi="Times New Roman" w:cs="Times New Roman"/>
                <w:sz w:val="20"/>
                <w:szCs w:val="20"/>
                <w:lang w:val="en-US"/>
              </w:rPr>
            </w:pPr>
            <w:proofErr w:type="spellStart"/>
            <w:r w:rsidRPr="00A27D58">
              <w:rPr>
                <w:rFonts w:ascii="Times New Roman" w:hAnsi="Times New Roman" w:cs="Times New Roman"/>
                <w:sz w:val="20"/>
                <w:szCs w:val="20"/>
                <w:lang w:val="en-US"/>
              </w:rPr>
              <w:t>Clinoenstatite</w:t>
            </w:r>
            <w:proofErr w:type="spellEnd"/>
          </w:p>
        </w:tc>
        <w:tc>
          <w:tcPr>
            <w:tcW w:w="1993" w:type="dxa"/>
          </w:tcPr>
          <w:p w14:paraId="5E55F522" w14:textId="3D313683"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Slab</w:t>
            </w:r>
          </w:p>
        </w:tc>
      </w:tr>
      <w:tr w:rsidR="009F4A4F" w14:paraId="4AAD4A0E" w14:textId="77777777" w:rsidTr="00A27D58">
        <w:trPr>
          <w:trHeight w:hRule="exact" w:val="284"/>
          <w:jc w:val="center"/>
        </w:trPr>
        <w:tc>
          <w:tcPr>
            <w:tcW w:w="1991" w:type="dxa"/>
          </w:tcPr>
          <w:p w14:paraId="312A0AFF" w14:textId="673976C4"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Enstatite</w:t>
            </w:r>
          </w:p>
        </w:tc>
        <w:tc>
          <w:tcPr>
            <w:tcW w:w="1993" w:type="dxa"/>
          </w:tcPr>
          <w:p w14:paraId="34F498DA" w14:textId="67C156CE"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Slab</w:t>
            </w:r>
          </w:p>
        </w:tc>
      </w:tr>
      <w:tr w:rsidR="009F4A4F" w14:paraId="2699E73B" w14:textId="77777777" w:rsidTr="00A27D58">
        <w:trPr>
          <w:trHeight w:hRule="exact" w:val="284"/>
          <w:jc w:val="center"/>
        </w:trPr>
        <w:tc>
          <w:tcPr>
            <w:tcW w:w="1991" w:type="dxa"/>
          </w:tcPr>
          <w:p w14:paraId="2C67C148" w14:textId="769EA1E6"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Periclase</w:t>
            </w:r>
          </w:p>
        </w:tc>
        <w:tc>
          <w:tcPr>
            <w:tcW w:w="1993" w:type="dxa"/>
          </w:tcPr>
          <w:p w14:paraId="236EBD7A" w14:textId="4AF29A71" w:rsidR="009F4A4F" w:rsidRPr="00A27D58" w:rsidRDefault="009F4A4F" w:rsidP="009F4A4F">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Slab</w:t>
            </w:r>
          </w:p>
        </w:tc>
      </w:tr>
      <w:tr w:rsidR="00894FC4" w14:paraId="57C0133B" w14:textId="77777777" w:rsidTr="00A27D58">
        <w:trPr>
          <w:trHeight w:hRule="exact" w:val="284"/>
          <w:jc w:val="center"/>
        </w:trPr>
        <w:tc>
          <w:tcPr>
            <w:tcW w:w="1991" w:type="dxa"/>
          </w:tcPr>
          <w:p w14:paraId="0FC1715A" w14:textId="3258427A" w:rsidR="00894FC4" w:rsidRPr="00A27D58"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Melt MSO</w:t>
            </w:r>
          </w:p>
        </w:tc>
        <w:tc>
          <w:tcPr>
            <w:tcW w:w="1993" w:type="dxa"/>
          </w:tcPr>
          <w:p w14:paraId="0B264F62" w14:textId="7EFB1590" w:rsidR="00894FC4" w:rsidRPr="00A27D58"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894FC4" w14:paraId="068A8FF8" w14:textId="77777777" w:rsidTr="00A27D58">
        <w:trPr>
          <w:trHeight w:hRule="exact" w:val="284"/>
          <w:jc w:val="center"/>
        </w:trPr>
        <w:tc>
          <w:tcPr>
            <w:tcW w:w="1991" w:type="dxa"/>
          </w:tcPr>
          <w:p w14:paraId="7EA9FE4C" w14:textId="0CC1C269" w:rsidR="00894FC4" w:rsidRPr="00A27D58"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Melt SO</w:t>
            </w:r>
          </w:p>
        </w:tc>
        <w:tc>
          <w:tcPr>
            <w:tcW w:w="1993" w:type="dxa"/>
          </w:tcPr>
          <w:p w14:paraId="5A8DA1F1" w14:textId="004BFB28" w:rsidR="00894FC4" w:rsidRPr="00A27D58"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r w:rsidR="00894FC4" w14:paraId="5CD4FE35" w14:textId="77777777" w:rsidTr="00A27D58">
        <w:trPr>
          <w:trHeight w:hRule="exact" w:val="284"/>
          <w:jc w:val="center"/>
        </w:trPr>
        <w:tc>
          <w:tcPr>
            <w:tcW w:w="1991" w:type="dxa"/>
          </w:tcPr>
          <w:p w14:paraId="2BFB619E" w14:textId="7229240C" w:rsidR="00894FC4" w:rsidRPr="00A27D58" w:rsidRDefault="00894FC4" w:rsidP="00894FC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Melt MASO</w:t>
            </w:r>
          </w:p>
        </w:tc>
        <w:tc>
          <w:tcPr>
            <w:tcW w:w="1993" w:type="dxa"/>
          </w:tcPr>
          <w:p w14:paraId="65DCA5E4" w14:textId="2F58D6AC" w:rsidR="00894FC4" w:rsidRPr="00A27D58" w:rsidRDefault="00894FC4" w:rsidP="00894FC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MD</w:t>
            </w:r>
          </w:p>
        </w:tc>
      </w:tr>
      <w:tr w:rsidR="00894FC4" w14:paraId="37E0C5D1" w14:textId="77777777" w:rsidTr="00A27D58">
        <w:trPr>
          <w:trHeight w:hRule="exact" w:val="284"/>
          <w:jc w:val="center"/>
        </w:trPr>
        <w:tc>
          <w:tcPr>
            <w:tcW w:w="1991" w:type="dxa"/>
          </w:tcPr>
          <w:p w14:paraId="43F72DB0" w14:textId="4511C54F" w:rsidR="00894FC4"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Melt MO</w:t>
            </w:r>
          </w:p>
        </w:tc>
        <w:tc>
          <w:tcPr>
            <w:tcW w:w="1993" w:type="dxa"/>
          </w:tcPr>
          <w:p w14:paraId="7CA0977E" w14:textId="55CB2E21" w:rsidR="00894FC4" w:rsidRDefault="00894FC4" w:rsidP="00894FC4">
            <w:pPr>
              <w:spacing w:line="240" w:lineRule="auto"/>
              <w:jc w:val="center"/>
              <w:rPr>
                <w:rFonts w:ascii="Times New Roman" w:hAnsi="Times New Roman" w:cs="Times New Roman"/>
                <w:sz w:val="20"/>
                <w:szCs w:val="20"/>
                <w:lang w:val="en-US"/>
              </w:rPr>
            </w:pPr>
            <w:r w:rsidRPr="00A27D58">
              <w:rPr>
                <w:rFonts w:ascii="Times New Roman" w:hAnsi="Times New Roman" w:cs="Times New Roman"/>
                <w:sz w:val="20"/>
                <w:szCs w:val="20"/>
                <w:lang w:val="en-US"/>
              </w:rPr>
              <w:t>MD</w:t>
            </w:r>
          </w:p>
        </w:tc>
      </w:tr>
    </w:tbl>
    <w:p w14:paraId="702A0D38" w14:textId="291A5CBC" w:rsidR="001353DB" w:rsidRDefault="001353DB" w:rsidP="005B2A75">
      <w:pPr>
        <w:spacing w:beforeLines="50" w:before="156" w:afterLines="50" w:after="156" w:line="360" w:lineRule="auto"/>
        <w:rPr>
          <w:rFonts w:ascii="Times New Roman" w:hAnsi="Times New Roman" w:cs="Times New Roman"/>
          <w:lang w:val="en-US"/>
        </w:rPr>
      </w:pPr>
    </w:p>
    <w:p w14:paraId="73646159" w14:textId="67A6169C" w:rsidR="001353DB" w:rsidRDefault="001353DB">
      <w:pPr>
        <w:spacing w:line="278" w:lineRule="auto"/>
        <w:rPr>
          <w:rFonts w:ascii="Times New Roman" w:hAnsi="Times New Roman" w:cs="Times New Roman"/>
          <w:lang w:val="en-US"/>
        </w:rPr>
      </w:pPr>
    </w:p>
    <w:p w14:paraId="6CF7975A" w14:textId="77777777" w:rsidR="001353DB" w:rsidRPr="00E44C3E" w:rsidRDefault="001353DB" w:rsidP="001353DB">
      <w:pPr>
        <w:spacing w:line="278" w:lineRule="auto"/>
        <w:jc w:val="center"/>
        <w:rPr>
          <w:rFonts w:ascii="Times New Roman" w:hAnsi="Times New Roman" w:cs="Times New Roman"/>
          <w:lang w:val="en-US"/>
        </w:rPr>
      </w:pPr>
      <w:r w:rsidRPr="00E44C3E">
        <w:rPr>
          <w:rFonts w:ascii="Times New Roman" w:hAnsi="Times New Roman" w:cs="Times New Roman" w:hint="eastAsia"/>
          <w:noProof/>
          <w:lang w:val="en-US"/>
        </w:rPr>
        <w:drawing>
          <wp:inline distT="0" distB="0" distL="0" distR="0" wp14:anchorId="646760AE" wp14:editId="6CF4D357">
            <wp:extent cx="4056743" cy="4056743"/>
            <wp:effectExtent l="0" t="0" r="1270" b="1270"/>
            <wp:docPr id="1657325657" name="图片 2"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25657" name="图片 2" descr="图表, 折线图&#10;&#10;AI 生成的内容可能不正确。"/>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61660" cy="4061660"/>
                    </a:xfrm>
                    <a:prstGeom prst="rect">
                      <a:avLst/>
                    </a:prstGeom>
                    <a:noFill/>
                    <a:ln>
                      <a:noFill/>
                    </a:ln>
                  </pic:spPr>
                </pic:pic>
              </a:graphicData>
            </a:graphic>
          </wp:inline>
        </w:drawing>
      </w:r>
    </w:p>
    <w:p w14:paraId="717659FE" w14:textId="136CA2E9" w:rsidR="004C0A94" w:rsidRDefault="001353DB" w:rsidP="001353DB">
      <w:pPr>
        <w:spacing w:line="278" w:lineRule="auto"/>
        <w:jc w:val="both"/>
        <w:rPr>
          <w:rFonts w:ascii="Times New Roman" w:hAnsi="Times New Roman" w:cs="Times New Roman"/>
          <w:lang w:val="en-US"/>
        </w:rPr>
      </w:pPr>
      <w:r>
        <w:rPr>
          <w:rFonts w:ascii="Times New Roman" w:hAnsi="Times New Roman" w:cs="Times New Roman"/>
          <w:lang w:val="en-US"/>
        </w:rPr>
        <w:t>Fig. S1. Parity plot for the trained MLIP. The blue dots are for all solid phases (RMSE=0.003 ev/atom</w:t>
      </w:r>
      <w:proofErr w:type="gramStart"/>
      <w:r>
        <w:rPr>
          <w:rFonts w:ascii="Times New Roman" w:hAnsi="Times New Roman" w:cs="Times New Roman"/>
          <w:lang w:val="en-US"/>
        </w:rPr>
        <w:t>)</w:t>
      </w:r>
      <w:proofErr w:type="gramEnd"/>
      <w:r>
        <w:rPr>
          <w:rFonts w:ascii="Times New Roman" w:hAnsi="Times New Roman" w:cs="Times New Roman"/>
          <w:lang w:val="en-US"/>
        </w:rPr>
        <w:t xml:space="preserve"> and red dots are for the melt (RMSE=0.01 ev/atom). The energy is shifted</w:t>
      </w:r>
      <w:r w:rsidR="00514F17">
        <w:rPr>
          <w:rFonts w:ascii="Times New Roman" w:hAnsi="Times New Roman" w:cs="Times New Roman"/>
          <w:lang w:val="en-US"/>
        </w:rPr>
        <w:t xml:space="preserve"> for each mineral phase</w:t>
      </w:r>
      <w:r>
        <w:rPr>
          <w:rFonts w:ascii="Times New Roman" w:hAnsi="Times New Roman" w:cs="Times New Roman"/>
          <w:lang w:val="en-US"/>
        </w:rPr>
        <w:t xml:space="preserve"> for demonstration </w:t>
      </w:r>
      <w:proofErr w:type="gramStart"/>
      <w:r>
        <w:rPr>
          <w:rFonts w:ascii="Times New Roman" w:hAnsi="Times New Roman" w:cs="Times New Roman"/>
          <w:lang w:val="en-US"/>
        </w:rPr>
        <w:t>purpose</w:t>
      </w:r>
      <w:proofErr w:type="gramEnd"/>
      <w:r>
        <w:rPr>
          <w:rFonts w:ascii="Times New Roman" w:hAnsi="Times New Roman" w:cs="Times New Roman"/>
          <w:lang w:val="en-US"/>
        </w:rPr>
        <w:t xml:space="preserve">. </w:t>
      </w:r>
    </w:p>
    <w:p w14:paraId="49B27F8A" w14:textId="77777777" w:rsidR="004C0A94" w:rsidRDefault="004C0A94">
      <w:pPr>
        <w:spacing w:line="278" w:lineRule="auto"/>
        <w:rPr>
          <w:rFonts w:ascii="Times New Roman" w:hAnsi="Times New Roman" w:cs="Times New Roman"/>
          <w:lang w:val="en-US"/>
        </w:rPr>
      </w:pPr>
      <w:r>
        <w:rPr>
          <w:rFonts w:ascii="Times New Roman" w:hAnsi="Times New Roman" w:cs="Times New Roman"/>
          <w:lang w:val="en-US"/>
        </w:rPr>
        <w:br w:type="page"/>
      </w:r>
    </w:p>
    <w:p w14:paraId="54FFB363" w14:textId="77777777" w:rsidR="004C0A94" w:rsidRDefault="004C0A94" w:rsidP="001353DB">
      <w:pPr>
        <w:spacing w:line="278" w:lineRule="auto"/>
        <w:jc w:val="both"/>
        <w:rPr>
          <w:rFonts w:ascii="Times New Roman" w:hAnsi="Times New Roman" w:cs="Times New Roman"/>
          <w:lang w:val="en-US"/>
        </w:rPr>
      </w:pPr>
    </w:p>
    <w:p w14:paraId="13CE0EE0" w14:textId="77777777" w:rsidR="00663874" w:rsidRPr="001438AF" w:rsidRDefault="00663874" w:rsidP="00663874">
      <w:pPr>
        <w:spacing w:beforeLines="50" w:before="156" w:afterLines="50" w:after="156" w:line="360" w:lineRule="auto"/>
        <w:rPr>
          <w:rFonts w:ascii="Times New Roman" w:hAnsi="Times New Roman" w:cs="Times New Roman"/>
          <w:lang w:val="en-US"/>
        </w:rPr>
      </w:pPr>
      <w:r w:rsidRPr="001438AF">
        <w:rPr>
          <w:rFonts w:ascii="Times New Roman" w:hAnsi="Times New Roman" w:cs="Times New Roman" w:hint="eastAsia"/>
          <w:noProof/>
          <w:lang w:val="en-US"/>
        </w:rPr>
        <w:drawing>
          <wp:inline distT="0" distB="0" distL="0" distR="0" wp14:anchorId="78E566D9" wp14:editId="1AE3BE82">
            <wp:extent cx="5274310" cy="5688039"/>
            <wp:effectExtent l="0" t="0" r="2540" b="8255"/>
            <wp:docPr id="826351093" name="图片 4"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51093" name="图片 4" descr="图表&#10;&#10;AI 生成的内容可能不正确。"/>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74310" cy="5688039"/>
                    </a:xfrm>
                    <a:prstGeom prst="rect">
                      <a:avLst/>
                    </a:prstGeom>
                    <a:noFill/>
                    <a:ln>
                      <a:noFill/>
                    </a:ln>
                  </pic:spPr>
                </pic:pic>
              </a:graphicData>
            </a:graphic>
          </wp:inline>
        </w:drawing>
      </w:r>
    </w:p>
    <w:p w14:paraId="631D5F7F" w14:textId="11BF4B78" w:rsidR="001275AD" w:rsidRDefault="00663874" w:rsidP="00663874">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Fig. S</w:t>
      </w:r>
      <w:r w:rsidR="001275AD">
        <w:rPr>
          <w:rFonts w:ascii="Times New Roman" w:hAnsi="Times New Roman" w:cs="Times New Roman"/>
          <w:lang w:val="en-US"/>
        </w:rPr>
        <w:t>2</w:t>
      </w:r>
      <w:r>
        <w:rPr>
          <w:rFonts w:ascii="Times New Roman" w:hAnsi="Times New Roman" w:cs="Times New Roman"/>
          <w:lang w:val="en-US"/>
        </w:rPr>
        <w:t xml:space="preserve">. </w:t>
      </w:r>
      <w:r w:rsidRPr="00CD5643">
        <w:rPr>
          <w:rFonts w:ascii="Times New Roman" w:hAnsi="Times New Roman" w:cs="Times New Roman"/>
          <w:b/>
          <w:bCs/>
          <w:lang w:val="en-US"/>
        </w:rPr>
        <w:t>a</w:t>
      </w:r>
      <w:r>
        <w:rPr>
          <w:rFonts w:ascii="Times New Roman" w:hAnsi="Times New Roman" w:cs="Times New Roman"/>
          <w:lang w:val="en-US"/>
        </w:rPr>
        <w:t xml:space="preserve"> </w:t>
      </w:r>
      <w:proofErr w:type="gramStart"/>
      <w:r>
        <w:rPr>
          <w:rFonts w:ascii="Times New Roman" w:hAnsi="Times New Roman" w:cs="Times New Roman"/>
          <w:lang w:val="en-US"/>
        </w:rPr>
        <w:t>shows</w:t>
      </w:r>
      <w:proofErr w:type="gramEnd"/>
      <w:r>
        <w:rPr>
          <w:rFonts w:ascii="Times New Roman" w:hAnsi="Times New Roman" w:cs="Times New Roman"/>
          <w:lang w:val="en-US"/>
        </w:rPr>
        <w:t xml:space="preserve"> the collective variable frequency plot in different windows shown by different color for forsterite. </w:t>
      </w:r>
      <w:r w:rsidRPr="00F41384">
        <w:rPr>
          <w:rFonts w:ascii="Times New Roman" w:hAnsi="Times New Roman" w:cs="Times New Roman"/>
          <w:b/>
          <w:bCs/>
          <w:lang w:val="en-US"/>
        </w:rPr>
        <w:t>b</w:t>
      </w:r>
      <w:r>
        <w:rPr>
          <w:rFonts w:ascii="Times New Roman" w:hAnsi="Times New Roman" w:cs="Times New Roman"/>
          <w:lang w:val="en-US"/>
        </w:rPr>
        <w:t xml:space="preserve"> is the reconstructed free energy surface as a function of the collective variable with weighted histogram analysis method (WHAM). The temperature is set at 2400K. The slope from 800 to 1200 is due to the </w:t>
      </w:r>
      <m:oMath>
        <m:d>
          <m:dPr>
            <m:ctrlPr>
              <w:rPr>
                <w:rFonts w:ascii="Cambria Math" w:eastAsia="Cambria Math" w:hAnsi="Cambria Math" w:cs="Cambria Math"/>
                <w:i/>
                <w:lang w:val="en-US"/>
              </w:rPr>
            </m:ctrlPr>
          </m:dPr>
          <m:e>
            <m:r>
              <w:rPr>
                <w:rFonts w:ascii="Cambria Math" w:eastAsia="Cambria Math" w:hAnsi="Cambria Math" w:cs="Cambria Math"/>
                <w:lang w:val="en-US"/>
              </w:rPr>
              <m:t>N-</m:t>
            </m:r>
            <m:sSub>
              <m:sSubPr>
                <m:ctrlPr>
                  <w:rPr>
                    <w:rFonts w:ascii="Cambria Math" w:eastAsia="Cambria Math" w:hAnsi="Cambria Math" w:cs="Cambria Math"/>
                    <w:i/>
                    <w:lang w:val="en-US"/>
                  </w:rPr>
                </m:ctrlPr>
              </m:sSubPr>
              <m:e>
                <m:r>
                  <w:rPr>
                    <w:rFonts w:ascii="Cambria Math" w:eastAsia="Cambria Math" w:hAnsi="Cambria Math" w:cs="Cambria Math"/>
                    <w:lang w:val="en-US"/>
                  </w:rPr>
                  <m:t>n</m:t>
                </m:r>
              </m:e>
              <m:sub>
                <m:r>
                  <w:rPr>
                    <w:rFonts w:ascii="Cambria Math" w:eastAsia="Cambria Math" w:hAnsi="Cambria Math" w:cs="Cambria Math"/>
                    <w:lang w:val="en-US"/>
                  </w:rPr>
                  <m:t>s</m:t>
                </m:r>
              </m:sub>
            </m:sSub>
          </m:e>
        </m:d>
        <m:r>
          <m:rPr>
            <m:sty m:val="p"/>
          </m:rPr>
          <w:rPr>
            <w:rFonts w:ascii="Cambria Math" w:eastAsia="Cambria Math" w:hAnsi="Cambria Math" w:cs="Cambria Math"/>
            <w:lang w:val="en-US"/>
          </w:rPr>
          <m:t>Δ</m:t>
        </m:r>
        <m:r>
          <w:rPr>
            <w:rFonts w:ascii="Cambria Math" w:eastAsia="Cambria Math" w:hAnsi="Cambria Math" w:cs="Cambria Math"/>
            <w:lang w:val="en-US"/>
          </w:rPr>
          <m:t>μ</m:t>
        </m:r>
      </m:oMath>
      <w:r>
        <w:rPr>
          <w:rFonts w:ascii="Times New Roman" w:hAnsi="Times New Roman" w:cs="Times New Roman"/>
          <w:lang w:val="en-US"/>
        </w:rPr>
        <w:t xml:space="preserve"> term not being equal to zero. This additional term is fitted within CV of 800~1200 and subtracted from the free energy surface to get </w:t>
      </w:r>
      <w:r w:rsidRPr="003426E5">
        <w:rPr>
          <w:rFonts w:ascii="Times New Roman" w:hAnsi="Times New Roman" w:cs="Times New Roman"/>
          <w:b/>
          <w:bCs/>
          <w:lang w:val="en-US"/>
        </w:rPr>
        <w:t>c</w:t>
      </w:r>
      <w:r>
        <w:rPr>
          <w:rFonts w:ascii="Times New Roman" w:hAnsi="Times New Roman" w:cs="Times New Roman"/>
          <w:lang w:val="en-US"/>
        </w:rPr>
        <w:t xml:space="preserve">, which is the corrected free energy surface that allows direct extraction of interface free energy </w:t>
      </w:r>
      <m:oMath>
        <m:r>
          <w:rPr>
            <w:rFonts w:ascii="Cambria Math" w:eastAsia="Cambria Math" w:hAnsi="Cambria Math" w:cs="Cambria Math"/>
            <w:lang w:val="en-US"/>
          </w:rPr>
          <m:t>γ</m:t>
        </m:r>
      </m:oMath>
      <w:r>
        <w:rPr>
          <w:rFonts w:ascii="Times New Roman" w:hAnsi="Times New Roman" w:cs="Times New Roman"/>
          <w:lang w:val="en-US"/>
        </w:rPr>
        <w:t>.</w:t>
      </w:r>
    </w:p>
    <w:p w14:paraId="30831E7F" w14:textId="77777777" w:rsidR="001275AD" w:rsidRDefault="001275AD">
      <w:pPr>
        <w:spacing w:line="278" w:lineRule="auto"/>
        <w:rPr>
          <w:rFonts w:ascii="Times New Roman" w:hAnsi="Times New Roman" w:cs="Times New Roman"/>
          <w:lang w:val="en-US"/>
        </w:rPr>
      </w:pPr>
      <w:r>
        <w:rPr>
          <w:rFonts w:ascii="Times New Roman" w:hAnsi="Times New Roman" w:cs="Times New Roman"/>
          <w:lang w:val="en-US"/>
        </w:rPr>
        <w:br w:type="page"/>
      </w:r>
    </w:p>
    <w:p w14:paraId="3135B89E" w14:textId="77777777" w:rsidR="001275AD" w:rsidRDefault="001275AD" w:rsidP="001275AD">
      <w:pPr>
        <w:spacing w:line="278" w:lineRule="auto"/>
        <w:jc w:val="both"/>
        <w:rPr>
          <w:rFonts w:ascii="Times New Roman" w:hAnsi="Times New Roman" w:cs="Times New Roman"/>
          <w:lang w:val="en-US"/>
        </w:rPr>
      </w:pPr>
      <w:r w:rsidRPr="005A2003">
        <w:rPr>
          <w:rFonts w:ascii="Times New Roman" w:hAnsi="Times New Roman" w:cs="Times New Roman"/>
          <w:i/>
          <w:iCs/>
          <w:noProof/>
          <w:color w:val="156082" w:themeColor="accent1"/>
        </w:rPr>
        <w:lastRenderedPageBreak/>
        <w:drawing>
          <wp:inline distT="0" distB="0" distL="0" distR="0" wp14:anchorId="74D55693" wp14:editId="376739EB">
            <wp:extent cx="5274310" cy="1614805"/>
            <wp:effectExtent l="0" t="0" r="2540" b="4445"/>
            <wp:docPr id="503339168" name="图片 6"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39168" name="图片 6" descr="图表, 散点图&#10;&#10;AI 生成的内容可能不正确。"/>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1614805"/>
                    </a:xfrm>
                    <a:prstGeom prst="rect">
                      <a:avLst/>
                    </a:prstGeom>
                    <a:noFill/>
                    <a:ln>
                      <a:noFill/>
                    </a:ln>
                  </pic:spPr>
                </pic:pic>
              </a:graphicData>
            </a:graphic>
          </wp:inline>
        </w:drawing>
      </w:r>
    </w:p>
    <w:p w14:paraId="74F84E00" w14:textId="281939E3" w:rsidR="001275AD" w:rsidRDefault="001275AD" w:rsidP="001275AD">
      <w:pPr>
        <w:spacing w:line="278" w:lineRule="auto"/>
        <w:jc w:val="both"/>
        <w:rPr>
          <w:rFonts w:ascii="Times New Roman" w:hAnsi="Times New Roman" w:cs="Times New Roman"/>
          <w:lang w:val="en-US"/>
        </w:rPr>
      </w:pPr>
      <w:r>
        <w:rPr>
          <w:rFonts w:ascii="Times New Roman" w:hAnsi="Times New Roman" w:cs="Times New Roman"/>
          <w:lang w:val="en-US"/>
        </w:rPr>
        <w:t xml:space="preserve">Fig. </w:t>
      </w:r>
      <w:r>
        <w:rPr>
          <w:rFonts w:ascii="Times New Roman" w:hAnsi="Times New Roman" w:cs="Times New Roman"/>
          <w:lang w:val="en-US"/>
        </w:rPr>
        <w:t>S3</w:t>
      </w:r>
      <w:r>
        <w:rPr>
          <w:rFonts w:ascii="Times New Roman" w:hAnsi="Times New Roman" w:cs="Times New Roman"/>
          <w:lang w:val="en-US"/>
        </w:rPr>
        <w:t xml:space="preserve">. </w:t>
      </w:r>
      <w:r w:rsidRPr="004C0A94">
        <w:rPr>
          <w:rFonts w:ascii="Times New Roman" w:hAnsi="Times New Roman" w:cs="Times New Roman"/>
          <w:b/>
          <w:bCs/>
          <w:lang w:val="en-US"/>
        </w:rPr>
        <w:t>a</w:t>
      </w:r>
      <w:r>
        <w:rPr>
          <w:rFonts w:ascii="Times New Roman" w:hAnsi="Times New Roman" w:cs="Times New Roman"/>
          <w:lang w:val="en-US"/>
        </w:rPr>
        <w:t xml:space="preserve"> </w:t>
      </w:r>
      <w:proofErr w:type="gramStart"/>
      <w:r>
        <w:rPr>
          <w:rFonts w:ascii="Times New Roman" w:hAnsi="Times New Roman" w:cs="Times New Roman"/>
          <w:lang w:val="en-US"/>
        </w:rPr>
        <w:t>shows</w:t>
      </w:r>
      <w:proofErr w:type="gramEnd"/>
      <w:r>
        <w:rPr>
          <w:rFonts w:ascii="Times New Roman" w:hAnsi="Times New Roman" w:cs="Times New Roman"/>
          <w:lang w:val="en-US"/>
        </w:rPr>
        <w:t xml:space="preserve"> the mean square displacement of half solid, half melt model at different temperature during the umbrella sampling simulation. The linear trend comes from the </w:t>
      </w:r>
      <w:proofErr w:type="gramStart"/>
      <w:r>
        <w:rPr>
          <w:rFonts w:ascii="Times New Roman" w:hAnsi="Times New Roman" w:cs="Times New Roman"/>
          <w:lang w:val="en-US"/>
        </w:rPr>
        <w:t>melt</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atoms</w:t>
      </w:r>
      <w:proofErr w:type="gramEnd"/>
      <w:r>
        <w:rPr>
          <w:rFonts w:ascii="Times New Roman" w:hAnsi="Times New Roman" w:cs="Times New Roman"/>
          <w:lang w:val="en-US"/>
        </w:rPr>
        <w:t xml:space="preserve"> and the structure is not stuck. </w:t>
      </w:r>
      <w:r w:rsidRPr="004C0A94">
        <w:rPr>
          <w:rFonts w:ascii="Times New Roman" w:hAnsi="Times New Roman" w:cs="Times New Roman"/>
          <w:b/>
          <w:bCs/>
          <w:lang w:val="en-US"/>
        </w:rPr>
        <w:t>b</w:t>
      </w:r>
      <w:r>
        <w:rPr>
          <w:rFonts w:ascii="Times New Roman" w:hAnsi="Times New Roman" w:cs="Times New Roman"/>
          <w:lang w:val="en-US"/>
        </w:rPr>
        <w:t xml:space="preserve"> and </w:t>
      </w:r>
      <w:r w:rsidRPr="004C0A94">
        <w:rPr>
          <w:rFonts w:ascii="Times New Roman" w:hAnsi="Times New Roman" w:cs="Times New Roman"/>
          <w:b/>
          <w:bCs/>
          <w:lang w:val="en-US"/>
        </w:rPr>
        <w:t>c</w:t>
      </w:r>
      <w:r>
        <w:rPr>
          <w:rFonts w:ascii="Times New Roman" w:hAnsi="Times New Roman" w:cs="Times New Roman"/>
          <w:lang w:val="en-US"/>
        </w:rPr>
        <w:t xml:space="preserve"> show the chemical potential difference between solid and </w:t>
      </w:r>
      <w:proofErr w:type="gramStart"/>
      <w:r>
        <w:rPr>
          <w:rFonts w:ascii="Times New Roman" w:hAnsi="Times New Roman" w:cs="Times New Roman"/>
          <w:lang w:val="en-US"/>
        </w:rPr>
        <w:t>melt</w:t>
      </w:r>
      <w:proofErr w:type="gramEnd"/>
      <w:r>
        <w:rPr>
          <w:rFonts w:ascii="Times New Roman" w:hAnsi="Times New Roman" w:cs="Times New Roman"/>
          <w:lang w:val="en-US"/>
        </w:rPr>
        <w:t xml:space="preserve"> atoms at raised temperature, and the interfacial free energy calculated at different temperatures. A temperature dependence on the interface free energy is found. </w:t>
      </w:r>
    </w:p>
    <w:p w14:paraId="6A75C70E" w14:textId="77777777" w:rsidR="00663874" w:rsidRPr="001275AD" w:rsidRDefault="00663874" w:rsidP="00663874">
      <w:pPr>
        <w:spacing w:beforeLines="50" w:before="156" w:afterLines="50" w:after="156" w:line="360" w:lineRule="auto"/>
        <w:jc w:val="both"/>
        <w:rPr>
          <w:rFonts w:ascii="Times New Roman" w:hAnsi="Times New Roman" w:cs="Times New Roman"/>
          <w:lang w:val="en-US"/>
        </w:rPr>
      </w:pPr>
    </w:p>
    <w:p w14:paraId="0CBB984A" w14:textId="77777777" w:rsidR="00663874" w:rsidRPr="00663874" w:rsidRDefault="00663874" w:rsidP="001353DB">
      <w:pPr>
        <w:spacing w:line="278" w:lineRule="auto"/>
        <w:jc w:val="both"/>
        <w:rPr>
          <w:rFonts w:ascii="Times New Roman" w:hAnsi="Times New Roman" w:cs="Times New Roman"/>
          <w:lang w:val="en-US"/>
        </w:rPr>
      </w:pPr>
    </w:p>
    <w:p w14:paraId="111D086D" w14:textId="77777777" w:rsidR="00FA3E98" w:rsidRDefault="00FA3E98">
      <w:pPr>
        <w:spacing w:line="278" w:lineRule="auto"/>
        <w:rPr>
          <w:rFonts w:ascii="Times New Roman" w:hAnsi="Times New Roman" w:cs="Times New Roman"/>
          <w:lang w:val="en-US"/>
        </w:rPr>
      </w:pPr>
      <w:r>
        <w:rPr>
          <w:rFonts w:ascii="Times New Roman" w:hAnsi="Times New Roman" w:cs="Times New Roman"/>
          <w:lang w:val="en-US"/>
        </w:rPr>
        <w:br w:type="page"/>
      </w:r>
    </w:p>
    <w:p w14:paraId="26607552" w14:textId="7E65885F" w:rsidR="00FA3E98" w:rsidRPr="005278FE" w:rsidRDefault="00F469B3" w:rsidP="00FA3E98">
      <w:pPr>
        <w:spacing w:beforeLines="50" w:before="156" w:afterLines="50" w:after="156" w:line="360" w:lineRule="auto"/>
        <w:jc w:val="center"/>
        <w:rPr>
          <w:rFonts w:ascii="Times New Roman" w:hAnsi="Times New Roman" w:cs="Times New Roman"/>
          <w:lang w:val="en-US"/>
        </w:rPr>
      </w:pPr>
      <w:r>
        <w:rPr>
          <w:rFonts w:ascii="Times New Roman" w:hAnsi="Times New Roman" w:cs="Times New Roman"/>
          <w:noProof/>
          <w:lang w:val="en-US"/>
          <w14:ligatures w14:val="standardContextual"/>
        </w:rPr>
        <w:lastRenderedPageBreak/>
        <w:drawing>
          <wp:inline distT="0" distB="0" distL="0" distR="0" wp14:anchorId="182DA0F8" wp14:editId="72C04F3A">
            <wp:extent cx="5274006" cy="2456815"/>
            <wp:effectExtent l="0" t="0" r="3175" b="635"/>
            <wp:docPr id="365136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36372"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006" cy="2456815"/>
                    </a:xfrm>
                    <a:prstGeom prst="rect">
                      <a:avLst/>
                    </a:prstGeom>
                  </pic:spPr>
                </pic:pic>
              </a:graphicData>
            </a:graphic>
          </wp:inline>
        </w:drawing>
      </w:r>
    </w:p>
    <w:p w14:paraId="5D819E1C" w14:textId="15CE9FE5" w:rsidR="00FA3E98" w:rsidRPr="001C14BB" w:rsidRDefault="00FA3E98" w:rsidP="00FA3E98">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Fig. S</w:t>
      </w:r>
      <w:r w:rsidR="00663874">
        <w:rPr>
          <w:rFonts w:ascii="Times New Roman" w:hAnsi="Times New Roman" w:cs="Times New Roman"/>
          <w:lang w:val="en-US"/>
        </w:rPr>
        <w:t>4</w:t>
      </w:r>
      <w:r>
        <w:rPr>
          <w:rFonts w:ascii="Times New Roman" w:hAnsi="Times New Roman" w:cs="Times New Roman"/>
          <w:lang w:val="en-US"/>
        </w:rPr>
        <w:t xml:space="preserve">. </w:t>
      </w:r>
      <w:r w:rsidR="00F734CA" w:rsidRPr="003C3343">
        <w:rPr>
          <w:rFonts w:ascii="Times New Roman" w:hAnsi="Times New Roman" w:cs="Times New Roman"/>
          <w:b/>
          <w:bCs/>
          <w:lang w:val="en-US"/>
        </w:rPr>
        <w:t>a</w:t>
      </w:r>
      <w:r w:rsidR="00F734CA">
        <w:rPr>
          <w:rFonts w:ascii="Times New Roman" w:hAnsi="Times New Roman" w:cs="Times New Roman"/>
          <w:lang w:val="en-US"/>
        </w:rPr>
        <w:t xml:space="preserve"> </w:t>
      </w:r>
      <w:proofErr w:type="gramStart"/>
      <w:r w:rsidR="003C3343">
        <w:rPr>
          <w:rFonts w:ascii="Times New Roman" w:hAnsi="Times New Roman" w:cs="Times New Roman"/>
          <w:lang w:val="en-US"/>
        </w:rPr>
        <w:t>show</w:t>
      </w:r>
      <w:r w:rsidR="00BC6ABB">
        <w:rPr>
          <w:rFonts w:ascii="Times New Roman" w:hAnsi="Times New Roman" w:cs="Times New Roman"/>
          <w:lang w:val="en-US"/>
        </w:rPr>
        <w:t>s</w:t>
      </w:r>
      <w:proofErr w:type="gramEnd"/>
      <w:r w:rsidR="00F734CA">
        <w:rPr>
          <w:rFonts w:ascii="Times New Roman" w:hAnsi="Times New Roman" w:cs="Times New Roman"/>
          <w:lang w:val="en-US"/>
        </w:rPr>
        <w:t xml:space="preserve"> the transition between forsterite and wadsleyite, </w:t>
      </w:r>
      <w:r w:rsidR="00F734CA" w:rsidRPr="00F320F7">
        <w:rPr>
          <w:rFonts w:ascii="Times New Roman" w:hAnsi="Times New Roman" w:cs="Times New Roman"/>
          <w:b/>
          <w:bCs/>
          <w:lang w:val="en-US"/>
        </w:rPr>
        <w:t>b</w:t>
      </w:r>
      <w:r w:rsidR="00F734CA">
        <w:rPr>
          <w:rFonts w:ascii="Times New Roman" w:hAnsi="Times New Roman" w:cs="Times New Roman"/>
          <w:lang w:val="en-US"/>
        </w:rPr>
        <w:t xml:space="preserve"> shows the transition between ringwoodite and wadsleyite. </w:t>
      </w:r>
      <w:r w:rsidR="001C14BB" w:rsidRPr="001C14BB">
        <w:rPr>
          <w:rFonts w:ascii="Times New Roman" w:hAnsi="Times New Roman" w:cs="Times New Roman" w:hint="eastAsia"/>
          <w:lang w:val="en-US"/>
        </w:rPr>
        <w:t xml:space="preserve">The two </w:t>
      </w:r>
      <w:r w:rsidR="001C14BB">
        <w:rPr>
          <w:rFonts w:ascii="Times New Roman" w:hAnsi="Times New Roman" w:cs="Times New Roman"/>
          <w:lang w:val="en-US"/>
        </w:rPr>
        <w:t xml:space="preserve">transitions are separated into two subplots for illustrative purposes. </w:t>
      </w:r>
      <w:r>
        <w:rPr>
          <w:rFonts w:ascii="Times New Roman" w:hAnsi="Times New Roman" w:cs="Times New Roman"/>
          <w:lang w:val="en-US"/>
        </w:rPr>
        <w:t xml:space="preserve">The solid black lines are the newly corrected MLIP using the formation enthalpy from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Kojitani","given":"H.","non-dropping-particle":"","parse-names":false,"suffix":""},{"dropping-particle":"","family":"Terata","given":"S.","non-dropping-particle":"","parse-names":false,"suffix":""},{"dropping-particle":"","family":"Ohsawa","given":"M.","non-dropping-particle":"","parse-names":false,"suffix":""},{"dropping-particle":"","family":"Mori","given":"D.","non-dropping-particle":"","parse-names":false,"suffix":""},{"dropping-particle":"","family":"Inaguma","given":"Y.","non-dropping-particle":"","parse-names":false,"suffix":""},{"dropping-particle":"","family":"Akaogi","given":"M.","non-dropping-particle":"","parse-names":false,"suffix":""}],"container-title":"American Mineralogist","id":"ITEM-1","issued":{"date-parts":[["2017"]]},"page":"2032-2044","title":"Experimental and thermodynamic investigations on the stability of Mg 14 Si 5 O 24 anhydrous phase B with relevance to Mg 2 SiO 4 forsterite , wadsleyite , and ringwoodite","type":"article-journal","volume":"102"},"uris":["http://www.mendeley.com/documents/?uuid=5a0a7d14-b60b-4c83-82cf-9601fc2072e2"]}],"mendeley":{"formattedCitation":"(Kojitani et al., 2017)","manualFormatting":"Kojitani et al. (2017)","plainTextFormattedCitation":"(Kojitani et al., 2017)","previouslyFormattedCitation":"(Kojitani et al., 2017)"},"properties":{"noteIndex":0},"schema":"https://github.com/citation-style-language/schema/raw/master/csl-citation.json"}</w:instrText>
      </w:r>
      <w:r>
        <w:rPr>
          <w:rFonts w:ascii="Times New Roman" w:hAnsi="Times New Roman" w:cs="Times New Roman"/>
          <w:lang w:val="en-US"/>
        </w:rPr>
        <w:fldChar w:fldCharType="separate"/>
      </w:r>
      <w:r w:rsidRPr="005278FE">
        <w:rPr>
          <w:rFonts w:ascii="Times New Roman" w:hAnsi="Times New Roman" w:cs="Times New Roman"/>
          <w:noProof/>
          <w:lang w:val="en-US"/>
        </w:rPr>
        <w:t>Kojitani et al.</w:t>
      </w:r>
      <w:r>
        <w:rPr>
          <w:rFonts w:ascii="Times New Roman" w:hAnsi="Times New Roman" w:cs="Times New Roman"/>
          <w:noProof/>
          <w:lang w:val="en-US"/>
        </w:rPr>
        <w:t xml:space="preserve"> (</w:t>
      </w:r>
      <w:r w:rsidRPr="005278FE">
        <w:rPr>
          <w:rFonts w:ascii="Times New Roman" w:hAnsi="Times New Roman" w:cs="Times New Roman"/>
          <w:noProof/>
          <w:lang w:val="en-US"/>
        </w:rPr>
        <w:t>2017)</w:t>
      </w:r>
      <w:r>
        <w:rPr>
          <w:rFonts w:ascii="Times New Roman" w:hAnsi="Times New Roman" w:cs="Times New Roman"/>
          <w:lang w:val="en-US"/>
        </w:rPr>
        <w:fldChar w:fldCharType="end"/>
      </w:r>
      <w:r>
        <w:rPr>
          <w:rFonts w:ascii="Times New Roman" w:hAnsi="Times New Roman" w:cs="Times New Roman"/>
          <w:lang w:val="en-US"/>
        </w:rPr>
        <w:t xml:space="preserve"> for forsterite</w:t>
      </w:r>
      <w:r w:rsidR="00CB71CA">
        <w:rPr>
          <w:rFonts w:ascii="Times New Roman" w:hAnsi="Times New Roman" w:cs="Times New Roman"/>
          <w:lang w:val="en-US"/>
        </w:rPr>
        <w:t>, ringwoodite</w:t>
      </w:r>
      <w:r w:rsidR="00DE7568">
        <w:rPr>
          <w:rFonts w:ascii="Times New Roman" w:hAnsi="Times New Roman" w:cs="Times New Roman"/>
          <w:lang w:val="en-US"/>
        </w:rPr>
        <w:t xml:space="preserve"> and</w:t>
      </w:r>
      <w:r>
        <w:rPr>
          <w:rFonts w:ascii="Times New Roman" w:hAnsi="Times New Roman" w:cs="Times New Roman"/>
          <w:lang w:val="en-US"/>
        </w:rPr>
        <w:t xml:space="preserve"> wadsleyite. </w:t>
      </w:r>
      <w:r w:rsidR="00FE4310">
        <w:rPr>
          <w:rFonts w:ascii="Times New Roman" w:hAnsi="Times New Roman" w:cs="Times New Roman"/>
          <w:lang w:val="en-US"/>
        </w:rPr>
        <w:t xml:space="preserve">See main text for the procedures. </w:t>
      </w:r>
      <w:r>
        <w:rPr>
          <w:rFonts w:ascii="Times New Roman" w:hAnsi="Times New Roman" w:cs="Times New Roman"/>
          <w:lang w:val="en-US"/>
        </w:rPr>
        <w:t>The black dashed lines are the MLIP using correction from HP11</w:t>
      </w:r>
      <w:r w:rsidR="007C3024">
        <w:rPr>
          <w:rFonts w:ascii="Times New Roman" w:hAnsi="Times New Roman" w:cs="Times New Roman"/>
          <w:lang w:val="en-US"/>
        </w:rPr>
        <w:t xml:space="preserve"> (the same with Fig. 3</w:t>
      </w:r>
      <w:r w:rsidR="00F704F4">
        <w:rPr>
          <w:rFonts w:ascii="Times New Roman" w:hAnsi="Times New Roman" w:cs="Times New Roman"/>
          <w:lang w:val="en-US"/>
        </w:rPr>
        <w:t>c</w:t>
      </w:r>
      <w:r w:rsidR="003F5B09">
        <w:rPr>
          <w:rFonts w:ascii="Times New Roman" w:hAnsi="Times New Roman" w:cs="Times New Roman"/>
          <w:lang w:val="en-US"/>
        </w:rPr>
        <w:t xml:space="preserve"> in main text</w:t>
      </w:r>
      <w:r w:rsidR="007C3024">
        <w:rPr>
          <w:rFonts w:ascii="Times New Roman" w:hAnsi="Times New Roman" w:cs="Times New Roman"/>
          <w:lang w:val="en-US"/>
        </w:rPr>
        <w:t>)</w:t>
      </w:r>
      <w:r>
        <w:rPr>
          <w:rFonts w:ascii="Times New Roman" w:hAnsi="Times New Roman" w:cs="Times New Roman"/>
          <w:lang w:val="en-US"/>
        </w:rPr>
        <w:t>. The color dashed lines are experimental constraints:</w:t>
      </w:r>
      <w:r w:rsidRPr="00C474B0">
        <w:rPr>
          <w:rFonts w:ascii="Times New Roman" w:hAnsi="Times New Roman" w:cs="Times New Roman"/>
          <w:lang w:val="en-US"/>
        </w:rPr>
        <w:t xml:space="preserve"> I06</w:t>
      </w:r>
      <w:r>
        <w:rPr>
          <w:rFonts w:ascii="Times New Roman" w:hAnsi="Times New Roman" w:cs="Times New Roman"/>
          <w:lang w:val="en-US"/>
        </w:rPr>
        <w:t xml:space="preserve"> </w:t>
      </w:r>
      <w:r w:rsidRPr="00C474B0">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{"citationItems":[{"id":"ITEM-1","itemData":{"DOI":"10.1007/s00269-005-0053-y","ISBN":"8189927965","ISSN":"03421791","abstract":"The phase boundary between wadsleyite and ringwoodite in Mg2 SiO4 has been determined in situ using a multi-anvil apparatus and synchrotron X-rays radiation at SPring-8. In spite of the similar X-ray diffraction profiles of these high-pressure phases with closely related structures, we were able to identify the occurrence of the mutual phase transformations based on the change in the difference profile by utilizing a newly introduced press-oscillation system. The boundary was located at </w:instrText>
      </w:r>
      <w:r>
        <w:rPr>
          <w:rFonts w:ascii="Cambria Math" w:hAnsi="Cambria Math" w:cs="Cambria Math"/>
          <w:lang w:val="en-US"/>
        </w:rPr>
        <w:instrText>∼</w:instrText>
      </w:r>
      <w:r>
        <w:rPr>
          <w:rFonts w:ascii="Times New Roman" w:hAnsi="Times New Roman" w:cs="Times New Roman"/>
          <w:lang w:val="en-US"/>
        </w:rPr>
        <w:instrText>8.9 GPa and 1,400°C when we used Shim's gold pressure scale (Shim et al. in Earth Planet Sci Lett 203:729-739, 2002), which was slightly (</w:instrText>
      </w:r>
      <w:r>
        <w:rPr>
          <w:rFonts w:ascii="Cambria Math" w:hAnsi="Cambria Math" w:cs="Cambria Math"/>
          <w:lang w:val="en-US"/>
        </w:rPr>
        <w:instrText>∼</w:instrText>
      </w:r>
      <w:r>
        <w:rPr>
          <w:rFonts w:ascii="Times New Roman" w:hAnsi="Times New Roman" w:cs="Times New Roman"/>
          <w:lang w:val="en-US"/>
        </w:rPr>
        <w:instrText xml:space="preserve">0.8 GPa) lower than the pressure as determined from the quench experiments of Katsura and Ito (J Geophys Res 94:15663-15670, 1989). Although it was difficult to constrain the Clapeyron slope based solely on the present data due to the kinetic problem, the phase boundary [P (GPa)=13.1+4.11×10-3 ×T (K)] calculated by a combination of a P-T position well constrained by the present experiment and the calorimetric data of Akaogi et al. (J Geophys Res 94:15671-15685, 1989) reasonably explains all the present data within the experimental error. When we used Anderson's gold pressure scale (Anderson et al. in J Appl Phys 65:1535-1543, 1989), our phase boundary was located in </w:instrText>
      </w:r>
      <w:r>
        <w:rPr>
          <w:rFonts w:ascii="Cambria Math" w:hAnsi="Cambria Math" w:cs="Cambria Math"/>
          <w:lang w:val="en-US"/>
        </w:rPr>
        <w:instrText>∼</w:instrText>
      </w:r>
      <w:r>
        <w:rPr>
          <w:rFonts w:ascii="Times New Roman" w:hAnsi="Times New Roman" w:cs="Times New Roman"/>
          <w:lang w:val="en-US"/>
        </w:rPr>
        <w:instrText xml:space="preserve"> 18.1 GPa and 1,400°C, and the extrapolation boundary was consistent with that of Kuroda et al. (Phys Chem Miner 27:523-532, 2000), which was determined at high temperature (1,800-2,000°C) using a calibration based on the same pressure scale. Our new phase boundary is marginally consistent with that of Suzuki et al. (Geophys Res Lett 27:803-806, 2000) based on in situ X-ray experiments at lower temperatures (&lt;1,000°C) using Brown's and Decker's NaCl pressure scales. © Springer-Verlag 2006.","author":[{"dropping-particle":"","family":"Inoue","given":"T.","non-dropping-particle":"","parse-names":false,"suffix":""},{"dropping-particle":"","family":"Irifune","given":"T.","non-dropping-particle":"","parse-names":false,"suffix":""},{"dropping-particle":"","family":"Higo","given":"Y.","non-dropping-particle":"","parse-names":false,"suffix":""},{"dropping-particle":"","family":"Sanehira","given":"T.","non-dropping-particle":"","parse-names":false,"s</w:instrText>
      </w:r>
      <w:r w:rsidRPr="00541040">
        <w:rPr>
          <w:rFonts w:ascii="Times New Roman" w:hAnsi="Times New Roman" w:cs="Times New Roman"/>
          <w:lang w:val="de-DE"/>
        </w:rPr>
        <w:instrText>uffix":""},{"dropping-particle":"","family":"Sueda","given":"Y.","non-dropping-particle":"","parse-names":false,"suffix":""},{"dropping-particle":"","family":"Yamada","given":"A.","non-dropping-particle":"","parse-names":false,"suffix":""},{"dropping-particle":"","family":"Shinmei","given":"T.","non-dropping-particle":"","parse-names":false,"suffix":""},{"dropping-particle":"","family":"Yamazaki","given":"D.","non-dropping-particle":"","parse-names":false,"suffix":""},{"dropping-particle":"","family":"Ando","given":"J.","non-dropping-particle":"","parse-names":false,"suffix":""},{"dropping-particle":"","family":"Funakoshi","given":"K.","non-dropping-particle":"","parse-names":false,"suffix":""},{"dropping-particle":"","family":"Utsumi","given":"W.","non-dropping-particle":"","parse-names":false,"suffix":""}],"container-title":"Physics and Chemistry of Minerals","id":"ITEM-1","issue":"2","issued":{"date-parts":[["2006"]]},"page":"106-114","title":"The phase boundary between wadsleyite and ringwoodite in Mg&lt;sub&gt;2&lt;/sub&gt;SiO&lt;sub&gt;4&lt;/sub&gt; determined by in situ X-ray diffraction","type":"article-journal","volume":"33"},"uris":["http://www.mendeley.com/documents/?uuid=b4fc81c2-fd03-4dd4-b106-1ff6b5a80b23"]}],"mendeley":{"formattedCitation":"(Inoue et al., 2006)","plainTextFormattedCitation":"(Inoue et al., 2006)","previouslyFormattedCitation":"(Inoue et al., 2006)"},"properties":{"noteIndex":0},"schema":"https://github.com/citation-style-language/schema/raw/master/csl-citation.json"}</w:instrText>
      </w:r>
      <w:r w:rsidRPr="00C474B0">
        <w:rPr>
          <w:rFonts w:ascii="Times New Roman" w:hAnsi="Times New Roman" w:cs="Times New Roman"/>
          <w:lang w:val="en-US"/>
        </w:rPr>
        <w:fldChar w:fldCharType="separate"/>
      </w:r>
      <w:r w:rsidRPr="00F91AEB">
        <w:rPr>
          <w:rFonts w:ascii="Times New Roman" w:hAnsi="Times New Roman" w:cs="Times New Roman"/>
          <w:noProof/>
          <w:lang w:val="de-DE"/>
        </w:rPr>
        <w:t>(Inoue et al., 2006)</w:t>
      </w:r>
      <w:r w:rsidRPr="00C474B0">
        <w:rPr>
          <w:rFonts w:ascii="Times New Roman" w:hAnsi="Times New Roman" w:cs="Times New Roman"/>
          <w:lang w:val="en-US"/>
        </w:rPr>
        <w:fldChar w:fldCharType="end"/>
      </w:r>
      <w:r w:rsidRPr="00F91AEB">
        <w:rPr>
          <w:rFonts w:ascii="Times New Roman" w:hAnsi="Times New Roman" w:cs="Times New Roman"/>
          <w:lang w:val="de-DE"/>
        </w:rPr>
        <w:t>; K89</w:t>
      </w:r>
      <w:r>
        <w:rPr>
          <w:rFonts w:ascii="Times New Roman" w:hAnsi="Times New Roman" w:cs="Times New Roman"/>
          <w:lang w:val="de-DE"/>
        </w:rPr>
        <w:t xml:space="preserve"> </w:t>
      </w:r>
      <w:r w:rsidRPr="00C474B0">
        <w:rPr>
          <w:rFonts w:ascii="Times New Roman" w:hAnsi="Times New Roman" w:cs="Times New Roman"/>
          <w:lang w:val="en-US"/>
        </w:rPr>
        <w:fldChar w:fldCharType="begin" w:fldLock="1"/>
      </w:r>
      <w:r>
        <w:rPr>
          <w:rFonts w:ascii="Times New Roman" w:hAnsi="Times New Roman" w:cs="Times New Roman"/>
          <w:lang w:val="de-DE"/>
        </w:rPr>
        <w:instrText>ADDIN CSL_CITATION {"citationItems":[{"id":"ITEM-1","itemData":{"author":[{"dropping-particle":"","family":"Katsura","given":"T.","non-dropping-particle":"","parse-names":false,"suffix":""},{"dropping-particle":"","family":"Ito","given":"E.","non-dropping-particle":"","parse-names":false,"suffix":""}],"container-title":"Journal of Geophysical Research","id":"ITEM-1","issued":{"date-parts":[["1989"]]},"page":"15663-15670","title":"The System Mg&lt;sub&gt;2&lt;/sub&gt;SiO&lt;sub&gt;4&lt;/sub&gt;-Fe&lt;sub&gt;2&lt;/sub&gt;SiO&lt;sub&gt;4&lt;/sub&gt; at High Pressures and Temperatures' Precise Determination of Stabilities of Olivine, Modified Spinel, and Spinel","type":"article-journal","volume":"94"},"uris":["http://www.mendeley.com/documents/?uuid=1564448e-3c4e-4489-8122-192f3cf0a196"]}],"mendeley":{"formattedCitation":"(Katsura &amp; Ito, 1989)","plainTextFormattedCitation":"(Katsura &amp; Ito, 1989)","previouslyFormattedCitation":"(Katsura &amp; Ito, 1989)"},"properties":{"noteIndex":0},"schema":"https://github.com/citation-style-language/schema/raw/master/csl-citation.json"}</w:instrText>
      </w:r>
      <w:r w:rsidRPr="00C474B0">
        <w:rPr>
          <w:rFonts w:ascii="Times New Roman" w:hAnsi="Times New Roman" w:cs="Times New Roman"/>
          <w:lang w:val="en-US"/>
        </w:rPr>
        <w:fldChar w:fldCharType="separate"/>
      </w:r>
      <w:r w:rsidRPr="00F91AEB">
        <w:rPr>
          <w:rFonts w:ascii="Times New Roman" w:hAnsi="Times New Roman" w:cs="Times New Roman"/>
          <w:noProof/>
          <w:lang w:val="de-DE"/>
        </w:rPr>
        <w:t>(Katsura &amp; Ito, 1989)</w:t>
      </w:r>
      <w:r w:rsidRPr="00C474B0">
        <w:rPr>
          <w:rFonts w:ascii="Times New Roman" w:hAnsi="Times New Roman" w:cs="Times New Roman"/>
          <w:lang w:val="en-US"/>
        </w:rPr>
        <w:fldChar w:fldCharType="end"/>
      </w:r>
      <w:r w:rsidRPr="00F91AEB">
        <w:rPr>
          <w:rFonts w:ascii="Times New Roman" w:hAnsi="Times New Roman" w:cs="Times New Roman"/>
          <w:lang w:val="de-DE"/>
        </w:rPr>
        <w:t>; M94</w:t>
      </w:r>
      <w:r>
        <w:rPr>
          <w:rFonts w:ascii="Times New Roman" w:hAnsi="Times New Roman" w:cs="Times New Roman"/>
          <w:lang w:val="de-DE"/>
        </w:rPr>
        <w:t xml:space="preserve"> </w:t>
      </w:r>
      <w:r w:rsidRPr="00C474B0">
        <w:rPr>
          <w:rFonts w:ascii="Times New Roman" w:hAnsi="Times New Roman" w:cs="Times New Roman"/>
          <w:lang w:val="en-US"/>
        </w:rPr>
        <w:fldChar w:fldCharType="begin" w:fldLock="1"/>
      </w:r>
      <w:r>
        <w:rPr>
          <w:rFonts w:ascii="Times New Roman" w:hAnsi="Times New Roman" w:cs="Times New Roman"/>
          <w:lang w:val="de-DE"/>
        </w:rPr>
        <w:instrText>ADDIN CSL_CITATION {"citationItems":[{"id":"ITEM-1","itemData":{"author":[{"dropping-particle":"","family":"Morishima","given":"H.","non-dropping-particle":"","parse-names":false,"suffix":""},{"dropping-particle":"","family":"Kato","given":"T.","non-dropping-particle":"","parse-names":false,"suffix":""},{"dropping-particle":"","family":"Suto","given":"M.","non-dropping-particle":"","parse-names":false,"suffix":""},{"dropping-particle":"","family":"Ohtani","given":"E.","non-dropping-particle":"","parse-names":false,"suffix":""},{"dropping-particle":"","family":"Urakawa","given":"S.","non-dropping-particle":"","parse-names":false,"suffix":""},{"dropping-particle":"","family":"Utsumi","given":"W.","non-dropping-particle":"","parse-names":false,"suffix":""},{"dropping-particle":"","family":"Shimomura","given":"O.","non-dropping-particle":"","parse-names":false,"suffix":""},{"dropping-particle":"","family":"Kikegawa","given":"T.","non-dropping-particle":"","parse-names":false,"suffix":""}],"container-title":"Science","id":"ITEM-1","issued":{"date-parts":[["1994"]]},"page":"1202-1203","title":"The Phase Boundary Between alpha and beta-Mg&lt;sub&gt;2&lt;/sub&gt;SiO&lt;sub&gt;4&lt;/sub&gt; Determined by in Situ X-ray Observation","type":"article-journal","volume":"265"},"uris":["http://www.mendeley.com/documents/?uuid=090d811a-c3ea-4ab7-9984-a68c7db95ae3"]}],"mendeley":{"formattedCitation":"(Morishima et al., 1994)","plainTextFormattedCitation":"(Morishima et al., 1994)","previouslyFormattedCitation":"(Morishima et al., 1994)"},"properties":{"noteIndex":0},"schema":"https://github.com/citation-style-language/schema/raw/master/csl-citation.json"}</w:instrText>
      </w:r>
      <w:r w:rsidRPr="00C474B0">
        <w:rPr>
          <w:rFonts w:ascii="Times New Roman" w:hAnsi="Times New Roman" w:cs="Times New Roman"/>
          <w:lang w:val="en-US"/>
        </w:rPr>
        <w:fldChar w:fldCharType="separate"/>
      </w:r>
      <w:r w:rsidRPr="00F91AEB">
        <w:rPr>
          <w:rFonts w:ascii="Times New Roman" w:hAnsi="Times New Roman" w:cs="Times New Roman"/>
          <w:noProof/>
          <w:lang w:val="de-DE"/>
        </w:rPr>
        <w:t>(Morishima et al., 1994)</w:t>
      </w:r>
      <w:r w:rsidRPr="00C474B0">
        <w:rPr>
          <w:rFonts w:ascii="Times New Roman" w:hAnsi="Times New Roman" w:cs="Times New Roman"/>
          <w:lang w:val="en-US"/>
        </w:rPr>
        <w:fldChar w:fldCharType="end"/>
      </w:r>
      <w:r w:rsidRPr="00F91AEB">
        <w:rPr>
          <w:rFonts w:ascii="Times New Roman" w:hAnsi="Times New Roman" w:cs="Times New Roman"/>
          <w:lang w:val="de-DE"/>
        </w:rPr>
        <w:t>; S00</w:t>
      </w:r>
      <w:r>
        <w:rPr>
          <w:rFonts w:ascii="Times New Roman" w:hAnsi="Times New Roman" w:cs="Times New Roman"/>
          <w:lang w:val="de-DE"/>
        </w:rPr>
        <w:t xml:space="preserve"> </w:t>
      </w:r>
      <w:r w:rsidRPr="00C474B0">
        <w:rPr>
          <w:rFonts w:ascii="Times New Roman" w:hAnsi="Times New Roman" w:cs="Times New Roman"/>
          <w:lang w:val="en-US"/>
        </w:rPr>
        <w:fldChar w:fldCharType="begin" w:fldLock="1"/>
      </w:r>
      <w:r>
        <w:rPr>
          <w:rFonts w:ascii="Times New Roman" w:hAnsi="Times New Roman" w:cs="Times New Roman"/>
          <w:lang w:val="de-DE"/>
        </w:rPr>
        <w:instrText>ADDIN CSL_CITATION {"citationItems":[{"id":"ITEM-1","itemData":{"DOI":"10.1029/1999GL008425","ISSN":"00948276","abstract":"The phase boundary between wadsleyite and ringwoodite in Mg2SiO4 composition was determined by in situ observation using synchrotron X-ray and multi anvil apparatus in KEK, Tsukuba, Japan. An energy dispersive method was employed using the Ge solid state detector and the white X-ray beam from the synchrotron radiation source. The pressure was determined by the equation of state of NaCl. The stability field was identified by the change in intensities of diffraction lines of each phases. As a result, the phase boundary is expressed as a linear equation P=10.32(28)+0.00691(9)xT, where P is pressure in gigapascals and T is temperature in degrees Celsius.","author":[{"dropping-particle":"","family":"Suzuki","given":"Akio","non-dropping-particle":"","parse-names":false,"suffix":""},{"dropping-particle":"","family":"Ohtani","given":"Eiji","non-dropping-particle":"","parse-names":false,"suffix":""},{"dropping-particle":"","family":"Morishima","given":"Hideaki","non-dropping-particle":"","parse-</w:instrText>
      </w:r>
      <w:r w:rsidRPr="00663874">
        <w:rPr>
          <w:rFonts w:ascii="Times New Roman" w:hAnsi="Times New Roman" w:cs="Times New Roman"/>
          <w:lang w:val="de-DE"/>
        </w:rPr>
        <w:instrText>names":false,"suffix":""},{"dropping-particle":"","family":"Kubo","given":"Tomoaki","non-dropping-particle":"","parse-names":false,"suffix":""},{"dropping-particle":"","family":"Kanbe","given":"Yuichi","non-dropping-particle":"","parse-names":false,"suffix":""},{"dropping-particle":"","family":"Kondo","given":"Tadashi","non-dropping-particle"</w:instrText>
      </w:r>
      <w:r w:rsidRPr="001C14BB">
        <w:rPr>
          <w:rFonts w:ascii="Times New Roman" w:hAnsi="Times New Roman" w:cs="Times New Roman"/>
          <w:lang w:val="en-US"/>
        </w:rPr>
        <w:instrText>:"","parse-names":false,"suffix":""},{"dropping-particle":"","family":"Okada","given":"Taku","non-dropping-particle":"","parse-names":false,"suffix":""},{"dropping-particle":"","family":"Terasaki","given":"Hidenori","non-dropping-particle":"","parse-names":false,"suffix":""},{"dropping-particle":"","family":"Kato","given":"Takumi","non-dropping-particle":"","parse-names":false,"suffix":""},{"dropping-particle":"","family":"Kikegawa","given":"Takumi","non-dropping-particle":"","parse-names":false,"suffix":""}],"container-title":"Geophysical Research Letters","id":"ITEM-1","issue":"6","issued":{"date-parts":[["2000"]]},"page":"803-806","title":"In situ determination of the phase boundary between wadsleyite and ringwoodite in Mg2SiO4","type":"article-journal","volume":"27"},"uris":["http://www.mendeley.com/documents/?uuid=a3a50525-4ba0-4f55-8c7b-94a79082aaf4"]}],"mendeley":{"formattedCitation":"(Suzuki et al., 2000)","plainTextFormattedCitation":"(Suzuki et al., 2000)","previouslyFormattedCitation":"(Suzuki et al., 2000)"},"properties":{"noteIndex":0},"schema":"https://github.com/citation-style-language/schema/raw/master/csl-citation.json"}</w:instrText>
      </w:r>
      <w:r w:rsidRPr="00C474B0">
        <w:rPr>
          <w:rFonts w:ascii="Times New Roman" w:hAnsi="Times New Roman" w:cs="Times New Roman"/>
          <w:lang w:val="en-US"/>
        </w:rPr>
        <w:fldChar w:fldCharType="separate"/>
      </w:r>
      <w:r w:rsidRPr="001C14BB">
        <w:rPr>
          <w:rFonts w:ascii="Times New Roman" w:hAnsi="Times New Roman" w:cs="Times New Roman"/>
          <w:noProof/>
          <w:lang w:val="en-US"/>
        </w:rPr>
        <w:t>(Suzuki et al., 2000)</w:t>
      </w:r>
      <w:r w:rsidRPr="00C474B0">
        <w:rPr>
          <w:rFonts w:ascii="Times New Roman" w:hAnsi="Times New Roman" w:cs="Times New Roman"/>
          <w:lang w:val="en-US"/>
        </w:rPr>
        <w:fldChar w:fldCharType="end"/>
      </w:r>
      <w:r w:rsidRPr="001C14BB">
        <w:rPr>
          <w:rFonts w:ascii="Times New Roman" w:hAnsi="Times New Roman" w:cs="Times New Roman"/>
          <w:lang w:val="en-US"/>
        </w:rPr>
        <w:t>.</w:t>
      </w:r>
      <w:r w:rsidR="001C14BB" w:rsidRPr="001C14BB">
        <w:rPr>
          <w:rFonts w:ascii="Times New Roman" w:hAnsi="Times New Roman" w:cs="Times New Roman" w:hint="eastAsia"/>
          <w:lang w:val="en-US"/>
        </w:rPr>
        <w:t xml:space="preserve"> </w:t>
      </w:r>
    </w:p>
    <w:p w14:paraId="11F2B041" w14:textId="77777777" w:rsidR="00FA3E98" w:rsidRPr="001C14BB" w:rsidRDefault="00FA3E98" w:rsidP="001353DB">
      <w:pPr>
        <w:spacing w:line="278" w:lineRule="auto"/>
        <w:jc w:val="both"/>
        <w:rPr>
          <w:rFonts w:ascii="Times New Roman" w:hAnsi="Times New Roman" w:cs="Times New Roman"/>
          <w:lang w:val="en-US"/>
        </w:rPr>
      </w:pPr>
    </w:p>
    <w:p w14:paraId="7831C9DF" w14:textId="1D0F85F2" w:rsidR="00FA3E98" w:rsidRPr="001C14BB" w:rsidRDefault="00FA3E98">
      <w:pPr>
        <w:spacing w:line="278" w:lineRule="auto"/>
        <w:rPr>
          <w:rFonts w:ascii="Times New Roman" w:hAnsi="Times New Roman" w:cs="Times New Roman"/>
          <w:lang w:val="en-US"/>
        </w:rPr>
      </w:pPr>
      <w:r w:rsidRPr="001C14BB">
        <w:rPr>
          <w:rFonts w:ascii="Times New Roman" w:hAnsi="Times New Roman" w:cs="Times New Roman"/>
          <w:lang w:val="en-US"/>
        </w:rPr>
        <w:br w:type="page"/>
      </w:r>
    </w:p>
    <w:p w14:paraId="77925BF1" w14:textId="77777777" w:rsidR="006360E9" w:rsidRPr="001C14BB" w:rsidRDefault="006360E9" w:rsidP="005B2A75">
      <w:pPr>
        <w:spacing w:beforeLines="50" w:before="156" w:afterLines="50" w:after="156" w:line="360" w:lineRule="auto"/>
        <w:rPr>
          <w:rFonts w:ascii="Times New Roman" w:hAnsi="Times New Roman" w:cs="Times New Roman"/>
          <w:lang w:val="en-US"/>
        </w:rPr>
      </w:pPr>
    </w:p>
    <w:p w14:paraId="578FF5A2" w14:textId="2EC17D75" w:rsidR="005B2A75" w:rsidRDefault="005B2A75" w:rsidP="005B2A75">
      <w:pPr>
        <w:spacing w:beforeLines="50" w:before="156" w:afterLines="50" w:after="156" w:line="360" w:lineRule="auto"/>
        <w:jc w:val="center"/>
        <w:rPr>
          <w:rFonts w:ascii="Times New Roman" w:hAnsi="Times New Roman" w:cs="Times New Roman"/>
          <w:lang w:val="en-US"/>
        </w:rPr>
      </w:pPr>
      <w:r w:rsidRPr="005B2A75">
        <w:rPr>
          <w:rFonts w:ascii="Times New Roman" w:hAnsi="Times New Roman" w:cs="Times New Roman" w:hint="eastAsia"/>
          <w:noProof/>
          <w:lang w:val="en-US"/>
        </w:rPr>
        <w:drawing>
          <wp:inline distT="0" distB="0" distL="0" distR="0" wp14:anchorId="675589AF" wp14:editId="7D4D20A4">
            <wp:extent cx="4802588" cy="3762972"/>
            <wp:effectExtent l="0" t="0" r="0" b="9525"/>
            <wp:docPr id="154240747"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0747" name="图片 2" descr="图表&#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09037" cy="3768025"/>
                    </a:xfrm>
                    <a:prstGeom prst="rect">
                      <a:avLst/>
                    </a:prstGeom>
                    <a:noFill/>
                    <a:ln>
                      <a:noFill/>
                    </a:ln>
                  </pic:spPr>
                </pic:pic>
              </a:graphicData>
            </a:graphic>
          </wp:inline>
        </w:drawing>
      </w:r>
    </w:p>
    <w:p w14:paraId="4E395B1F" w14:textId="4096469F" w:rsidR="001438AF" w:rsidRDefault="005B2A75" w:rsidP="00A164F9">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Figure. S</w:t>
      </w:r>
      <w:r w:rsidR="00663874">
        <w:rPr>
          <w:rFonts w:ascii="Times New Roman" w:hAnsi="Times New Roman" w:cs="Times New Roman"/>
          <w:lang w:val="en-US"/>
        </w:rPr>
        <w:t>5</w:t>
      </w:r>
      <w:r>
        <w:rPr>
          <w:rFonts w:ascii="Times New Roman" w:hAnsi="Times New Roman" w:cs="Times New Roman"/>
          <w:lang w:val="en-US"/>
        </w:rPr>
        <w:t>. Comparison of phonon dispersion from calculation and experiments</w:t>
      </w:r>
      <w:r w:rsidR="00636C24">
        <w:rPr>
          <w:rFonts w:ascii="Times New Roman" w:hAnsi="Times New Roman" w:cs="Times New Roman"/>
          <w:lang w:val="en-US"/>
        </w:rPr>
        <w:t xml:space="preserve"> for quartz crystal</w:t>
      </w:r>
      <w:r>
        <w:rPr>
          <w:rFonts w:ascii="Times New Roman" w:hAnsi="Times New Roman" w:cs="Times New Roman"/>
          <w:lang w:val="en-US"/>
        </w:rPr>
        <w:t xml:space="preserve">. The match is in general very good. The experimental data is from </w:t>
      </w:r>
      <w:r w:rsidR="003230ED">
        <w:rPr>
          <w:rFonts w:ascii="Times New Roman" w:hAnsi="Times New Roman" w:cs="Times New Roman"/>
          <w:lang w:val="en-US"/>
        </w:rPr>
        <w:fldChar w:fldCharType="begin" w:fldLock="1"/>
      </w:r>
      <w:r w:rsidR="004B13A3">
        <w:rPr>
          <w:rFonts w:ascii="Times New Roman" w:hAnsi="Times New Roman" w:cs="Times New Roman"/>
          <w:lang w:val="en-US"/>
        </w:rPr>
        <w:instrText>ADDIN CSL_CITATION {"citationItems":[{"id":"ITEM-1","itemData":{"DOI":"10.1088/0022-3719/13/36/014","ISSN":"00223719","abstract":"The authors measured the six lowest phonon dispersion branches in alpha quartz at room temperature for the ( xi 00) and ( xi xi 0) directions. The qualitative agreement with lattice dynamical calculations by Barron et al. (1976) is good. Among the quantitative differences the most striking appears in the acoustic modes in the ( xi xi 0) direction. The symmetric ('longitudinal') branch has a lower initial slope (4.70 km s-1) and then one antisymmetric ('transverse') branch (5.4 km s-1). This unusual behaviour, which appears at relatively small phonon wavelengths observable by inelastic neutron scattering is in contrast to the long-wavelength sound velocities calculated from elastic constants which give 5.724 km s-1 for the symmetric and 5.114 km s-1 for the upper antisymmetric branch. They explain this observation by the different sound velocities in the first and zero sound regimes.","author":[{"dropping-particle":"","family":"Dorner","given":"B.","non-dropping-particle":"","parse-names":false,"suffix":""},{"dropping-particle":"","family":"Grimm","given":"H.","non-dropping-particle":"","parse-names":false,"suffix":""},{"dropping-particle":"","family":"Rzany","given":"H.","non-dropping-particle":"","parse-names":false,"suffix":""}],"container-title":"Journal of Physics C: Solid State Physics","id":"ITEM-1","issue":"36","issued":{"date-parts":[["1980"]]},"page":"6607-6613","title":"Phonon dispersion branches in α quartz","type":"article-journal","volume":"13"},"uris":["http://www.mendeley.com/documents/?uuid=e4530879-52a4-45ab-97af-885850a95dc5"]}],"mendeley":{"formattedCitation":"(Dorner et al., 1980)","manualFormatting":"Dorner et al. (1980)","plainTextFormattedCitation":"(Dorner et al., 1980)","previouslyFormattedCitation":"(Dorner et al., 1980)"},"properties":{"noteIndex":0},"schema":"https://github.com/citation-style-language/schema/raw/master/csl-citation.json"}</w:instrText>
      </w:r>
      <w:r w:rsidR="003230ED">
        <w:rPr>
          <w:rFonts w:ascii="Times New Roman" w:hAnsi="Times New Roman" w:cs="Times New Roman"/>
          <w:lang w:val="en-US"/>
        </w:rPr>
        <w:fldChar w:fldCharType="separate"/>
      </w:r>
      <w:r w:rsidR="003230ED" w:rsidRPr="003230ED">
        <w:rPr>
          <w:rFonts w:ascii="Times New Roman" w:hAnsi="Times New Roman" w:cs="Times New Roman"/>
          <w:noProof/>
          <w:lang w:val="en-US"/>
        </w:rPr>
        <w:t>Dorner et al.</w:t>
      </w:r>
      <w:r w:rsidR="003230ED">
        <w:rPr>
          <w:rFonts w:ascii="Times New Roman" w:hAnsi="Times New Roman" w:cs="Times New Roman"/>
          <w:noProof/>
          <w:lang w:val="en-US"/>
        </w:rPr>
        <w:t xml:space="preserve"> (</w:t>
      </w:r>
      <w:r w:rsidR="003230ED" w:rsidRPr="003230ED">
        <w:rPr>
          <w:rFonts w:ascii="Times New Roman" w:hAnsi="Times New Roman" w:cs="Times New Roman"/>
          <w:noProof/>
          <w:lang w:val="en-US"/>
        </w:rPr>
        <w:t>1980)</w:t>
      </w:r>
      <w:r w:rsidR="003230ED">
        <w:rPr>
          <w:rFonts w:ascii="Times New Roman" w:hAnsi="Times New Roman" w:cs="Times New Roman"/>
          <w:lang w:val="en-US"/>
        </w:rPr>
        <w:fldChar w:fldCharType="end"/>
      </w:r>
      <w:r w:rsidR="003230ED">
        <w:rPr>
          <w:rFonts w:ascii="Times New Roman" w:hAnsi="Times New Roman" w:cs="Times New Roman"/>
          <w:lang w:val="en-US"/>
        </w:rPr>
        <w:t>.</w:t>
      </w:r>
    </w:p>
    <w:p w14:paraId="2E306822" w14:textId="77777777" w:rsidR="001438AF" w:rsidRDefault="001438AF">
      <w:pPr>
        <w:spacing w:line="278" w:lineRule="auto"/>
        <w:rPr>
          <w:rFonts w:ascii="Times New Roman" w:hAnsi="Times New Roman" w:cs="Times New Roman"/>
          <w:lang w:val="en-US"/>
        </w:rPr>
      </w:pPr>
      <w:r>
        <w:rPr>
          <w:rFonts w:ascii="Times New Roman" w:hAnsi="Times New Roman" w:cs="Times New Roman"/>
          <w:lang w:val="en-US"/>
        </w:rPr>
        <w:br w:type="page"/>
      </w:r>
    </w:p>
    <w:p w14:paraId="184E37BC" w14:textId="669B1F58" w:rsidR="0004467B" w:rsidRDefault="0004467B">
      <w:pPr>
        <w:spacing w:line="278" w:lineRule="auto"/>
        <w:rPr>
          <w:rFonts w:ascii="Times New Roman" w:hAnsi="Times New Roman" w:cs="Times New Roman"/>
          <w:lang w:val="en-US"/>
        </w:rPr>
      </w:pPr>
    </w:p>
    <w:p w14:paraId="7EFA7B95" w14:textId="230E9892" w:rsidR="00570A90" w:rsidRDefault="00504720" w:rsidP="007B0AD8">
      <w:pPr>
        <w:spacing w:beforeLines="50" w:before="156" w:afterLines="50" w:after="156" w:line="360" w:lineRule="auto"/>
        <w:jc w:val="center"/>
        <w:rPr>
          <w:rFonts w:ascii="Times New Roman" w:hAnsi="Times New Roman" w:cs="Times New Roman"/>
          <w:lang w:val="en-US"/>
        </w:rPr>
      </w:pPr>
      <w:r>
        <w:rPr>
          <w:rFonts w:ascii="Times New Roman" w:hAnsi="Times New Roman" w:cs="Times New Roman"/>
          <w:noProof/>
          <w:lang w:val="en-US"/>
          <w14:ligatures w14:val="standardContextual"/>
        </w:rPr>
        <w:drawing>
          <wp:inline distT="0" distB="0" distL="0" distR="0" wp14:anchorId="01FFDD9A" wp14:editId="0CDE7F70">
            <wp:extent cx="4790445" cy="3327621"/>
            <wp:effectExtent l="0" t="0" r="0" b="6350"/>
            <wp:docPr id="2026173571"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73571" name="图片 1" descr="图表, 折线图&#10;&#10;AI 生成的内容可能不正确。"/>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02906" cy="3336277"/>
                    </a:xfrm>
                    <a:prstGeom prst="rect">
                      <a:avLst/>
                    </a:prstGeom>
                  </pic:spPr>
                </pic:pic>
              </a:graphicData>
            </a:graphic>
          </wp:inline>
        </w:drawing>
      </w:r>
    </w:p>
    <w:p w14:paraId="7AB00A41" w14:textId="4BAFEA88" w:rsidR="00FF6B75" w:rsidRDefault="00504720" w:rsidP="00D80BCE">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Fig. S</w:t>
      </w:r>
      <w:r w:rsidR="00663874">
        <w:rPr>
          <w:rFonts w:ascii="Times New Roman" w:hAnsi="Times New Roman" w:cs="Times New Roman"/>
          <w:lang w:val="en-US"/>
        </w:rPr>
        <w:t>6</w:t>
      </w:r>
      <w:r w:rsidR="00FA3E98">
        <w:rPr>
          <w:rFonts w:ascii="Times New Roman" w:hAnsi="Times New Roman" w:cs="Times New Roman"/>
          <w:lang w:val="en-US"/>
        </w:rPr>
        <w:t>.</w:t>
      </w:r>
      <w:r>
        <w:rPr>
          <w:rFonts w:ascii="Times New Roman" w:hAnsi="Times New Roman" w:cs="Times New Roman"/>
          <w:lang w:val="en-US"/>
        </w:rPr>
        <w:t xml:space="preserve"> Internal benchmark </w:t>
      </w:r>
      <w:r w:rsidR="00AD5922">
        <w:rPr>
          <w:rFonts w:ascii="Times New Roman" w:hAnsi="Times New Roman" w:cs="Times New Roman"/>
          <w:lang w:val="en-US"/>
        </w:rPr>
        <w:t>for</w:t>
      </w:r>
      <w:r>
        <w:rPr>
          <w:rFonts w:ascii="Times New Roman" w:hAnsi="Times New Roman" w:cs="Times New Roman"/>
          <w:lang w:val="en-US"/>
        </w:rPr>
        <w:t xml:space="preserve"> the interface free energy </w:t>
      </w:r>
      <w:r w:rsidR="0067122D">
        <w:rPr>
          <w:rFonts w:ascii="Times New Roman" w:hAnsi="Times New Roman" w:cs="Times New Roman"/>
          <w:lang w:val="en-US"/>
        </w:rPr>
        <w:t>of</w:t>
      </w:r>
      <w:r>
        <w:rPr>
          <w:rFonts w:ascii="Times New Roman" w:hAnsi="Times New Roman" w:cs="Times New Roman"/>
          <w:lang w:val="en-US"/>
        </w:rPr>
        <w:t xml:space="preserve"> MgO periclase using metadynamics (</w:t>
      </w:r>
      <w:proofErr w:type="spellStart"/>
      <w:r w:rsidR="0072333B">
        <w:rPr>
          <w:rFonts w:ascii="Times New Roman" w:hAnsi="Times New Roman" w:cs="Times New Roman"/>
          <w:lang w:val="en-US"/>
        </w:rPr>
        <w:t>MetaD</w:t>
      </w:r>
      <w:proofErr w:type="spellEnd"/>
      <w:r w:rsidR="0072333B">
        <w:rPr>
          <w:rFonts w:ascii="Times New Roman" w:hAnsi="Times New Roman" w:cs="Times New Roman"/>
          <w:lang w:val="en-US"/>
        </w:rPr>
        <w:t xml:space="preserve"> in </w:t>
      </w:r>
      <w:r>
        <w:rPr>
          <w:rFonts w:ascii="Times New Roman" w:hAnsi="Times New Roman" w:cs="Times New Roman"/>
          <w:lang w:val="en-US"/>
        </w:rPr>
        <w:t>blue) and umbrella sampling (US</w:t>
      </w:r>
      <w:r w:rsidR="0072333B">
        <w:rPr>
          <w:rFonts w:ascii="Times New Roman" w:hAnsi="Times New Roman" w:cs="Times New Roman"/>
          <w:lang w:val="en-US"/>
        </w:rPr>
        <w:t xml:space="preserve"> in</w:t>
      </w:r>
      <w:r>
        <w:rPr>
          <w:rFonts w:ascii="Times New Roman" w:hAnsi="Times New Roman" w:cs="Times New Roman"/>
          <w:lang w:val="en-US"/>
        </w:rPr>
        <w:t xml:space="preserve"> black)</w:t>
      </w:r>
      <w:r w:rsidR="00240F63">
        <w:rPr>
          <w:rFonts w:ascii="Times New Roman" w:hAnsi="Times New Roman" w:cs="Times New Roman"/>
          <w:lang w:val="en-US"/>
        </w:rPr>
        <w:t xml:space="preserve"> methods</w:t>
      </w:r>
      <w:r w:rsidR="0072333B">
        <w:rPr>
          <w:rFonts w:ascii="Times New Roman" w:hAnsi="Times New Roman" w:cs="Times New Roman"/>
          <w:lang w:val="en-US"/>
        </w:rPr>
        <w:t xml:space="preserve">. </w:t>
      </w:r>
      <w:r w:rsidR="0055278D">
        <w:rPr>
          <w:rFonts w:ascii="Times New Roman" w:hAnsi="Times New Roman" w:cs="Times New Roman"/>
          <w:lang w:val="en-US"/>
        </w:rPr>
        <w:t xml:space="preserve">The same model geometry is applied, and the only difference is the </w:t>
      </w:r>
      <w:r w:rsidR="00193C4C">
        <w:rPr>
          <w:rFonts w:ascii="Times New Roman" w:hAnsi="Times New Roman" w:cs="Times New Roman"/>
          <w:lang w:val="en-US"/>
        </w:rPr>
        <w:t>method used</w:t>
      </w:r>
      <w:r w:rsidR="0055278D">
        <w:rPr>
          <w:rFonts w:ascii="Times New Roman" w:hAnsi="Times New Roman" w:cs="Times New Roman"/>
          <w:lang w:val="en-US"/>
        </w:rPr>
        <w:t xml:space="preserve">. </w:t>
      </w:r>
      <w:r w:rsidR="00C0414B">
        <w:rPr>
          <w:rFonts w:ascii="Times New Roman" w:hAnsi="Times New Roman" w:cs="Times New Roman"/>
          <w:lang w:val="en-US"/>
        </w:rPr>
        <w:t xml:space="preserve">The two independent methods yield consistent results. </w:t>
      </w:r>
      <w:r w:rsidR="003C340F">
        <w:rPr>
          <w:rFonts w:ascii="Times New Roman" w:hAnsi="Times New Roman" w:cs="Times New Roman"/>
          <w:lang w:val="en-US"/>
        </w:rPr>
        <w:t>The energy difference is less than 2%.</w:t>
      </w:r>
    </w:p>
    <w:p w14:paraId="75F1DF87" w14:textId="77777777" w:rsidR="00FF6B75" w:rsidRDefault="00FF6B75">
      <w:pPr>
        <w:spacing w:line="278" w:lineRule="auto"/>
        <w:rPr>
          <w:rFonts w:ascii="Times New Roman" w:hAnsi="Times New Roman" w:cs="Times New Roman"/>
          <w:lang w:val="en-US"/>
        </w:rPr>
      </w:pPr>
      <w:r>
        <w:rPr>
          <w:rFonts w:ascii="Times New Roman" w:hAnsi="Times New Roman" w:cs="Times New Roman"/>
          <w:lang w:val="en-US"/>
        </w:rPr>
        <w:br w:type="page"/>
      </w:r>
    </w:p>
    <w:p w14:paraId="31086E8F" w14:textId="457722B1" w:rsidR="007B0AD8" w:rsidRDefault="007B0AD8" w:rsidP="007B0AD8">
      <w:pPr>
        <w:spacing w:beforeLines="50" w:before="156" w:afterLines="50" w:after="156" w:line="360" w:lineRule="auto"/>
        <w:jc w:val="center"/>
        <w:rPr>
          <w:rFonts w:ascii="Times New Roman" w:hAnsi="Times New Roman" w:cs="Times New Roman"/>
          <w:lang w:val="en-US"/>
        </w:rPr>
      </w:pPr>
      <w:r w:rsidRPr="007B0AD8">
        <w:rPr>
          <w:rFonts w:ascii="Times New Roman" w:hAnsi="Times New Roman" w:cs="Times New Roman" w:hint="eastAsia"/>
          <w:noProof/>
          <w:lang w:val="en-US"/>
        </w:rPr>
        <w:lastRenderedPageBreak/>
        <w:drawing>
          <wp:inline distT="0" distB="0" distL="0" distR="0" wp14:anchorId="005AA2E3" wp14:editId="7595BF72">
            <wp:extent cx="3919993" cy="4040339"/>
            <wp:effectExtent l="0" t="0" r="4445" b="0"/>
            <wp:docPr id="1565437350" name="图片 3" descr="图表, 折线图,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37350" name="图片 3" descr="图表, 折线图, 散点图&#10;&#10;AI 生成的内容可能不正确。"/>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28473" cy="4049079"/>
                    </a:xfrm>
                    <a:prstGeom prst="rect">
                      <a:avLst/>
                    </a:prstGeom>
                    <a:noFill/>
                    <a:ln>
                      <a:noFill/>
                    </a:ln>
                  </pic:spPr>
                </pic:pic>
              </a:graphicData>
            </a:graphic>
          </wp:inline>
        </w:drawing>
      </w:r>
    </w:p>
    <w:p w14:paraId="424F592A" w14:textId="6C791702" w:rsidR="00C56669" w:rsidRDefault="007B0AD8" w:rsidP="00400C40">
      <w:pPr>
        <w:spacing w:beforeLines="50" w:before="156" w:afterLines="50" w:after="156" w:line="360" w:lineRule="auto"/>
        <w:jc w:val="both"/>
        <w:rPr>
          <w:rFonts w:ascii="Times New Roman" w:hAnsi="Times New Roman" w:cs="Times New Roman"/>
          <w:lang w:val="en-US"/>
        </w:rPr>
      </w:pPr>
      <w:r>
        <w:rPr>
          <w:rFonts w:ascii="Times New Roman" w:hAnsi="Times New Roman" w:cs="Times New Roman"/>
          <w:lang w:val="en-US"/>
        </w:rPr>
        <w:t>Fig. S</w:t>
      </w:r>
      <w:r w:rsidR="00FA3E98">
        <w:rPr>
          <w:rFonts w:ascii="Times New Roman" w:hAnsi="Times New Roman" w:cs="Times New Roman"/>
          <w:lang w:val="en-US"/>
        </w:rPr>
        <w:t>7</w:t>
      </w:r>
      <w:r>
        <w:rPr>
          <w:rFonts w:ascii="Times New Roman" w:hAnsi="Times New Roman" w:cs="Times New Roman"/>
          <w:lang w:val="en-US"/>
        </w:rPr>
        <w:t xml:space="preserve">. Parity plot of cluster expansion for sillimanite. </w:t>
      </w:r>
      <w:r w:rsidR="00066164">
        <w:rPr>
          <w:rFonts w:ascii="Times New Roman" w:hAnsi="Times New Roman" w:cs="Times New Roman"/>
          <w:lang w:val="en-US"/>
        </w:rPr>
        <w:t>The Al and Si atoms</w:t>
      </w:r>
      <w:r w:rsidR="0004704B">
        <w:rPr>
          <w:rFonts w:ascii="Times New Roman" w:hAnsi="Times New Roman" w:cs="Times New Roman"/>
          <w:lang w:val="en-US"/>
        </w:rPr>
        <w:t xml:space="preserve"> along the </w:t>
      </w:r>
      <w:r w:rsidR="0004704B" w:rsidRPr="0098247C">
        <w:rPr>
          <w:rFonts w:ascii="Times New Roman" w:hAnsi="Times New Roman" w:cs="Times New Roman"/>
          <w:i/>
          <w:iCs/>
          <w:lang w:val="en-US"/>
        </w:rPr>
        <w:t>c</w:t>
      </w:r>
      <w:r w:rsidR="0004704B">
        <w:rPr>
          <w:rFonts w:ascii="Times New Roman" w:hAnsi="Times New Roman" w:cs="Times New Roman"/>
          <w:lang w:val="en-US"/>
        </w:rPr>
        <w:t>-ch</w:t>
      </w:r>
      <w:r w:rsidR="00A42376">
        <w:rPr>
          <w:rFonts w:ascii="Times New Roman" w:hAnsi="Times New Roman" w:cs="Times New Roman"/>
          <w:lang w:val="en-US"/>
        </w:rPr>
        <w:t>ain</w:t>
      </w:r>
      <w:r w:rsidR="00066164">
        <w:rPr>
          <w:rFonts w:ascii="Times New Roman" w:hAnsi="Times New Roman" w:cs="Times New Roman"/>
          <w:lang w:val="en-US"/>
        </w:rPr>
        <w:t xml:space="preserve"> are randomly shuffled that yield different energies. </w:t>
      </w:r>
      <w:r w:rsidR="002467BB">
        <w:rPr>
          <w:rFonts w:ascii="Times New Roman" w:hAnsi="Times New Roman" w:cs="Times New Roman"/>
          <w:lang w:val="en-US"/>
        </w:rPr>
        <w:t xml:space="preserve">The </w:t>
      </w:r>
      <w:r w:rsidR="002467BB" w:rsidRPr="006A413B">
        <w:rPr>
          <w:rFonts w:ascii="Times New Roman" w:hAnsi="Times New Roman" w:cs="Times New Roman"/>
          <w:i/>
          <w:iCs/>
          <w:lang w:val="en-US"/>
        </w:rPr>
        <w:t>x</w:t>
      </w:r>
      <w:r>
        <w:rPr>
          <w:rFonts w:ascii="Times New Roman" w:hAnsi="Times New Roman" w:cs="Times New Roman"/>
          <w:lang w:val="en-US"/>
        </w:rPr>
        <w:t>-axis shows the energy from MD simulation</w:t>
      </w:r>
      <w:r w:rsidR="009649D2">
        <w:rPr>
          <w:rFonts w:ascii="Times New Roman" w:hAnsi="Times New Roman" w:cs="Times New Roman"/>
          <w:lang w:val="en-US"/>
        </w:rPr>
        <w:t xml:space="preserve"> with the training machine learning interatomic potential</w:t>
      </w:r>
      <w:r>
        <w:rPr>
          <w:rFonts w:ascii="Times New Roman" w:hAnsi="Times New Roman" w:cs="Times New Roman"/>
          <w:lang w:val="en-US"/>
        </w:rPr>
        <w:t xml:space="preserve">, and </w:t>
      </w:r>
      <w:r w:rsidR="00141928" w:rsidRPr="00501595">
        <w:rPr>
          <w:rFonts w:ascii="Times New Roman" w:hAnsi="Times New Roman" w:cs="Times New Roman"/>
          <w:i/>
          <w:iCs/>
          <w:lang w:val="en-US"/>
        </w:rPr>
        <w:t>y</w:t>
      </w:r>
      <w:r>
        <w:rPr>
          <w:rFonts w:ascii="Times New Roman" w:hAnsi="Times New Roman" w:cs="Times New Roman"/>
          <w:lang w:val="en-US"/>
        </w:rPr>
        <w:t xml:space="preserve">-axis shows the energy </w:t>
      </w:r>
      <w:r w:rsidR="004958AE">
        <w:rPr>
          <w:rFonts w:ascii="Times New Roman" w:hAnsi="Times New Roman" w:cs="Times New Roman"/>
          <w:lang w:val="en-US"/>
        </w:rPr>
        <w:t xml:space="preserve">directly calculated </w:t>
      </w:r>
      <w:r>
        <w:rPr>
          <w:rFonts w:ascii="Times New Roman" w:hAnsi="Times New Roman" w:cs="Times New Roman"/>
          <w:lang w:val="en-US"/>
        </w:rPr>
        <w:t xml:space="preserve">from cluster expansion. </w:t>
      </w:r>
      <w:r w:rsidR="00B00EEA">
        <w:rPr>
          <w:rFonts w:ascii="Times New Roman" w:hAnsi="Times New Roman" w:cs="Times New Roman"/>
          <w:lang w:val="en-US"/>
        </w:rPr>
        <w:t xml:space="preserve">A 2-by-2-by-3 supercell is used for the calculation. </w:t>
      </w:r>
      <w:r w:rsidR="00195FE8">
        <w:rPr>
          <w:rFonts w:ascii="Times New Roman" w:hAnsi="Times New Roman" w:cs="Times New Roman"/>
          <w:lang w:val="en-US"/>
        </w:rPr>
        <w:t xml:space="preserve">The </w:t>
      </w:r>
      <w:r w:rsidR="00AF1ADE">
        <w:rPr>
          <w:rFonts w:ascii="Times New Roman" w:hAnsi="Times New Roman" w:cs="Times New Roman"/>
          <w:lang w:val="en-US"/>
        </w:rPr>
        <w:t xml:space="preserve">fitted </w:t>
      </w:r>
      <w:r w:rsidR="00195FE8">
        <w:rPr>
          <w:rFonts w:ascii="Times New Roman" w:hAnsi="Times New Roman" w:cs="Times New Roman"/>
          <w:lang w:val="en-US"/>
        </w:rPr>
        <w:t>parameters for the cluster expansion can be found in the main text.</w:t>
      </w:r>
    </w:p>
    <w:p w14:paraId="7F241264" w14:textId="3C3266AC" w:rsidR="00E44C3E" w:rsidRPr="004C0A94" w:rsidRDefault="00C56669">
      <w:pPr>
        <w:spacing w:line="278" w:lineRule="auto"/>
        <w:rPr>
          <w:rFonts w:ascii="Times New Roman" w:hAnsi="Times New Roman" w:cs="Times New Roman"/>
          <w:lang w:val="en-US"/>
        </w:rPr>
      </w:pPr>
      <w:r>
        <w:rPr>
          <w:rFonts w:ascii="Times New Roman" w:hAnsi="Times New Roman" w:cs="Times New Roman"/>
          <w:lang w:val="en-US"/>
        </w:rPr>
        <w:br w:type="page"/>
      </w:r>
    </w:p>
    <w:p w14:paraId="5EA9214F" w14:textId="64B6869D" w:rsidR="003230ED" w:rsidRPr="004C0A94" w:rsidRDefault="003230ED">
      <w:pPr>
        <w:spacing w:line="278" w:lineRule="auto"/>
        <w:rPr>
          <w:rFonts w:ascii="Times New Roman" w:hAnsi="Times New Roman" w:cs="Times New Roman"/>
          <w:lang w:val="en-US"/>
        </w:rPr>
      </w:pPr>
    </w:p>
    <w:p w14:paraId="6BBC8505" w14:textId="23D49F82" w:rsidR="0027191B" w:rsidRPr="00E57E52" w:rsidRDefault="003230ED" w:rsidP="004B13A3">
      <w:pPr>
        <w:spacing w:beforeLines="50" w:before="156" w:afterLines="50" w:after="156" w:line="360" w:lineRule="auto"/>
        <w:rPr>
          <w:rFonts w:ascii="Times New Roman" w:hAnsi="Times New Roman" w:cs="Times New Roman"/>
          <w:b/>
          <w:bCs/>
          <w:lang w:val="en-US"/>
        </w:rPr>
      </w:pPr>
      <w:r w:rsidRPr="00E57E52">
        <w:rPr>
          <w:rFonts w:ascii="Times New Roman" w:hAnsi="Times New Roman" w:cs="Times New Roman"/>
          <w:b/>
          <w:bCs/>
          <w:lang w:val="en-US"/>
        </w:rPr>
        <w:t>References</w:t>
      </w:r>
    </w:p>
    <w:p w14:paraId="3C7153B1" w14:textId="4126725E" w:rsidR="00541040" w:rsidRPr="00541040" w:rsidRDefault="004B13A3" w:rsidP="00541040">
      <w:pPr>
        <w:autoSpaceDE w:val="0"/>
        <w:autoSpaceDN w:val="0"/>
        <w:adjustRightInd w:val="0"/>
        <w:spacing w:before="160" w:line="360" w:lineRule="auto"/>
        <w:ind w:left="480" w:hanging="480"/>
        <w:rPr>
          <w:rFonts w:ascii="Times New Roman" w:hAnsi="Times New Roman" w:cs="Times New Roman"/>
          <w:noProof/>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541040" w:rsidRPr="00541040">
        <w:rPr>
          <w:rFonts w:ascii="Times New Roman" w:hAnsi="Times New Roman" w:cs="Times New Roman"/>
          <w:noProof/>
        </w:rPr>
        <w:t xml:space="preserve">Benoît, R. (1995). The calculation of the potential of mean force using computer simulations. </w:t>
      </w:r>
      <w:r w:rsidR="00541040" w:rsidRPr="00541040">
        <w:rPr>
          <w:rFonts w:ascii="Times New Roman" w:hAnsi="Times New Roman" w:cs="Times New Roman"/>
          <w:i/>
          <w:iCs/>
          <w:noProof/>
        </w:rPr>
        <w:t>Computer Physics Communications</w:t>
      </w:r>
      <w:r w:rsidR="00541040" w:rsidRPr="00541040">
        <w:rPr>
          <w:rFonts w:ascii="Times New Roman" w:hAnsi="Times New Roman" w:cs="Times New Roman"/>
          <w:noProof/>
        </w:rPr>
        <w:t xml:space="preserve">, </w:t>
      </w:r>
      <w:r w:rsidR="00541040" w:rsidRPr="00541040">
        <w:rPr>
          <w:rFonts w:ascii="Times New Roman" w:hAnsi="Times New Roman" w:cs="Times New Roman"/>
          <w:i/>
          <w:iCs/>
          <w:noProof/>
        </w:rPr>
        <w:t>91</w:t>
      </w:r>
      <w:r w:rsidR="00541040" w:rsidRPr="00541040">
        <w:rPr>
          <w:rFonts w:ascii="Times New Roman" w:hAnsi="Times New Roman" w:cs="Times New Roman"/>
          <w:noProof/>
        </w:rPr>
        <w:t>(1995), 275–282.</w:t>
      </w:r>
    </w:p>
    <w:p w14:paraId="62A489D6"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 xml:space="preserve">Dorner, B., Grimm, H., &amp; Rzany, H. (1980). Phonon dispersion branches in α quartz. </w:t>
      </w:r>
      <w:r w:rsidRPr="00541040">
        <w:rPr>
          <w:rFonts w:ascii="Times New Roman" w:hAnsi="Times New Roman" w:cs="Times New Roman"/>
          <w:i/>
          <w:iCs/>
          <w:noProof/>
        </w:rPr>
        <w:t>Journal of Physics C: Solid State Physics</w:t>
      </w:r>
      <w:r w:rsidRPr="00541040">
        <w:rPr>
          <w:rFonts w:ascii="Times New Roman" w:hAnsi="Times New Roman" w:cs="Times New Roman"/>
          <w:noProof/>
        </w:rPr>
        <w:t xml:space="preserve">, </w:t>
      </w:r>
      <w:r w:rsidRPr="00541040">
        <w:rPr>
          <w:rFonts w:ascii="Times New Roman" w:hAnsi="Times New Roman" w:cs="Times New Roman"/>
          <w:i/>
          <w:iCs/>
          <w:noProof/>
        </w:rPr>
        <w:t>13</w:t>
      </w:r>
      <w:r w:rsidRPr="00541040">
        <w:rPr>
          <w:rFonts w:ascii="Times New Roman" w:hAnsi="Times New Roman" w:cs="Times New Roman"/>
          <w:noProof/>
        </w:rPr>
        <w:t>(36), 6607–6613. https://doi.org/10.1088/0022-3719/13/36/014</w:t>
      </w:r>
    </w:p>
    <w:p w14:paraId="5D48BD18"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Inoue, T., Irifune, T., Higo, Y., Sanehira, T., Sueda, Y., Yamada, A., Shinmei, T., Yamazaki, D., Ando, J., Funakoshi, K., &amp; Utsumi, W. (2006). The phase boundary between wadsleyite and ringwoodite in Mg</w:t>
      </w:r>
      <w:r w:rsidRPr="00541040">
        <w:rPr>
          <w:rFonts w:ascii="Times New Roman" w:hAnsi="Times New Roman" w:cs="Times New Roman"/>
          <w:noProof/>
          <w:vertAlign w:val="subscript"/>
        </w:rPr>
        <w:t>2</w:t>
      </w:r>
      <w:r w:rsidRPr="00541040">
        <w:rPr>
          <w:rFonts w:ascii="Times New Roman" w:hAnsi="Times New Roman" w:cs="Times New Roman"/>
          <w:noProof/>
        </w:rPr>
        <w:t>SiO</w:t>
      </w:r>
      <w:r w:rsidRPr="00541040">
        <w:rPr>
          <w:rFonts w:ascii="Times New Roman" w:hAnsi="Times New Roman" w:cs="Times New Roman"/>
          <w:noProof/>
          <w:vertAlign w:val="subscript"/>
        </w:rPr>
        <w:t>4</w:t>
      </w:r>
      <w:r w:rsidRPr="00541040">
        <w:rPr>
          <w:rFonts w:ascii="Times New Roman" w:hAnsi="Times New Roman" w:cs="Times New Roman"/>
          <w:noProof/>
        </w:rPr>
        <w:t xml:space="preserve"> determined by in situ X-ray diffraction. </w:t>
      </w:r>
      <w:r w:rsidRPr="00541040">
        <w:rPr>
          <w:rFonts w:ascii="Times New Roman" w:hAnsi="Times New Roman" w:cs="Times New Roman"/>
          <w:i/>
          <w:iCs/>
          <w:noProof/>
        </w:rPr>
        <w:t>Physics and Chemistry of Minerals</w:t>
      </w:r>
      <w:r w:rsidRPr="00541040">
        <w:rPr>
          <w:rFonts w:ascii="Times New Roman" w:hAnsi="Times New Roman" w:cs="Times New Roman"/>
          <w:noProof/>
        </w:rPr>
        <w:t xml:space="preserve">, </w:t>
      </w:r>
      <w:r w:rsidRPr="00541040">
        <w:rPr>
          <w:rFonts w:ascii="Times New Roman" w:hAnsi="Times New Roman" w:cs="Times New Roman"/>
          <w:i/>
          <w:iCs/>
          <w:noProof/>
        </w:rPr>
        <w:t>33</w:t>
      </w:r>
      <w:r w:rsidRPr="00541040">
        <w:rPr>
          <w:rFonts w:ascii="Times New Roman" w:hAnsi="Times New Roman" w:cs="Times New Roman"/>
          <w:noProof/>
        </w:rPr>
        <w:t>(2), 106–114. https://doi.org/10.1007/s00269-005-0053-y</w:t>
      </w:r>
    </w:p>
    <w:p w14:paraId="4A8B2034"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Katsura, T., &amp; Ito, E. (1989). The System Mg</w:t>
      </w:r>
      <w:r w:rsidRPr="00541040">
        <w:rPr>
          <w:rFonts w:ascii="Times New Roman" w:hAnsi="Times New Roman" w:cs="Times New Roman"/>
          <w:noProof/>
          <w:vertAlign w:val="subscript"/>
        </w:rPr>
        <w:t>2</w:t>
      </w:r>
      <w:r w:rsidRPr="00541040">
        <w:rPr>
          <w:rFonts w:ascii="Times New Roman" w:hAnsi="Times New Roman" w:cs="Times New Roman"/>
          <w:noProof/>
        </w:rPr>
        <w:t>SiO</w:t>
      </w:r>
      <w:r w:rsidRPr="00541040">
        <w:rPr>
          <w:rFonts w:ascii="Times New Roman" w:hAnsi="Times New Roman" w:cs="Times New Roman"/>
          <w:noProof/>
          <w:vertAlign w:val="subscript"/>
        </w:rPr>
        <w:t>4</w:t>
      </w:r>
      <w:r w:rsidRPr="00541040">
        <w:rPr>
          <w:rFonts w:ascii="Times New Roman" w:hAnsi="Times New Roman" w:cs="Times New Roman"/>
          <w:noProof/>
        </w:rPr>
        <w:t>-Fe</w:t>
      </w:r>
      <w:r w:rsidRPr="00541040">
        <w:rPr>
          <w:rFonts w:ascii="Times New Roman" w:hAnsi="Times New Roman" w:cs="Times New Roman"/>
          <w:noProof/>
          <w:vertAlign w:val="subscript"/>
        </w:rPr>
        <w:t>2</w:t>
      </w:r>
      <w:r w:rsidRPr="00541040">
        <w:rPr>
          <w:rFonts w:ascii="Times New Roman" w:hAnsi="Times New Roman" w:cs="Times New Roman"/>
          <w:noProof/>
        </w:rPr>
        <w:t>SiO</w:t>
      </w:r>
      <w:r w:rsidRPr="00541040">
        <w:rPr>
          <w:rFonts w:ascii="Times New Roman" w:hAnsi="Times New Roman" w:cs="Times New Roman"/>
          <w:noProof/>
          <w:vertAlign w:val="subscript"/>
        </w:rPr>
        <w:t>4</w:t>
      </w:r>
      <w:r w:rsidRPr="00541040">
        <w:rPr>
          <w:rFonts w:ascii="Times New Roman" w:hAnsi="Times New Roman" w:cs="Times New Roman"/>
          <w:noProof/>
        </w:rPr>
        <w:t xml:space="preserve"> at High Pressures and Temperatures’ Precise Determination of Stabilities of Olivine, Modified Spinel, and Spinel. </w:t>
      </w:r>
      <w:r w:rsidRPr="00541040">
        <w:rPr>
          <w:rFonts w:ascii="Times New Roman" w:hAnsi="Times New Roman" w:cs="Times New Roman"/>
          <w:i/>
          <w:iCs/>
          <w:noProof/>
        </w:rPr>
        <w:t>Journal of Geophysical Research</w:t>
      </w:r>
      <w:r w:rsidRPr="00541040">
        <w:rPr>
          <w:rFonts w:ascii="Times New Roman" w:hAnsi="Times New Roman" w:cs="Times New Roman"/>
          <w:noProof/>
        </w:rPr>
        <w:t xml:space="preserve">, </w:t>
      </w:r>
      <w:r w:rsidRPr="00541040">
        <w:rPr>
          <w:rFonts w:ascii="Times New Roman" w:hAnsi="Times New Roman" w:cs="Times New Roman"/>
          <w:i/>
          <w:iCs/>
          <w:noProof/>
        </w:rPr>
        <w:t>94</w:t>
      </w:r>
      <w:r w:rsidRPr="00541040">
        <w:rPr>
          <w:rFonts w:ascii="Times New Roman" w:hAnsi="Times New Roman" w:cs="Times New Roman"/>
          <w:noProof/>
        </w:rPr>
        <w:t>, 15663–15670.</w:t>
      </w:r>
    </w:p>
    <w:p w14:paraId="565F469A"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 xml:space="preserve">Kojitani, H., Terata, S., Ohsawa, M., Mori, D., Inaguma, Y., &amp; Akaogi, M. (2017). Experimental and thermodynamic investigations on the stability of Mg 14 Si 5 O 24 anhydrous phase B with relevance to Mg 2 SiO 4 forsterite , wadsleyite , and ringwoodite. </w:t>
      </w:r>
      <w:r w:rsidRPr="00541040">
        <w:rPr>
          <w:rFonts w:ascii="Times New Roman" w:hAnsi="Times New Roman" w:cs="Times New Roman"/>
          <w:i/>
          <w:iCs/>
          <w:noProof/>
        </w:rPr>
        <w:t>American Mineralogist</w:t>
      </w:r>
      <w:r w:rsidRPr="00541040">
        <w:rPr>
          <w:rFonts w:ascii="Times New Roman" w:hAnsi="Times New Roman" w:cs="Times New Roman"/>
          <w:noProof/>
        </w:rPr>
        <w:t xml:space="preserve">, </w:t>
      </w:r>
      <w:r w:rsidRPr="00541040">
        <w:rPr>
          <w:rFonts w:ascii="Times New Roman" w:hAnsi="Times New Roman" w:cs="Times New Roman"/>
          <w:i/>
          <w:iCs/>
          <w:noProof/>
        </w:rPr>
        <w:t>102</w:t>
      </w:r>
      <w:r w:rsidRPr="00541040">
        <w:rPr>
          <w:rFonts w:ascii="Times New Roman" w:hAnsi="Times New Roman" w:cs="Times New Roman"/>
          <w:noProof/>
        </w:rPr>
        <w:t>, 2032–2044.</w:t>
      </w:r>
    </w:p>
    <w:p w14:paraId="20246860"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Morishima, H., Kato, T., Suto, M., Ohtani, E., Urakawa, S., Utsumi, W., Shimomura, O., &amp; Kikegawa, T. (1994). The Phase Boundary Between alpha and beta-Mg</w:t>
      </w:r>
      <w:r w:rsidRPr="00541040">
        <w:rPr>
          <w:rFonts w:ascii="Times New Roman" w:hAnsi="Times New Roman" w:cs="Times New Roman"/>
          <w:noProof/>
          <w:vertAlign w:val="subscript"/>
        </w:rPr>
        <w:t>2</w:t>
      </w:r>
      <w:r w:rsidRPr="00541040">
        <w:rPr>
          <w:rFonts w:ascii="Times New Roman" w:hAnsi="Times New Roman" w:cs="Times New Roman"/>
          <w:noProof/>
        </w:rPr>
        <w:t>SiO</w:t>
      </w:r>
      <w:r w:rsidRPr="00541040">
        <w:rPr>
          <w:rFonts w:ascii="Times New Roman" w:hAnsi="Times New Roman" w:cs="Times New Roman"/>
          <w:noProof/>
          <w:vertAlign w:val="subscript"/>
        </w:rPr>
        <w:t>4</w:t>
      </w:r>
      <w:r w:rsidRPr="00541040">
        <w:rPr>
          <w:rFonts w:ascii="Times New Roman" w:hAnsi="Times New Roman" w:cs="Times New Roman"/>
          <w:noProof/>
        </w:rPr>
        <w:t xml:space="preserve"> Determined by in Situ X-ray Observation. </w:t>
      </w:r>
      <w:r w:rsidRPr="00541040">
        <w:rPr>
          <w:rFonts w:ascii="Times New Roman" w:hAnsi="Times New Roman" w:cs="Times New Roman"/>
          <w:i/>
          <w:iCs/>
          <w:noProof/>
        </w:rPr>
        <w:t>Science</w:t>
      </w:r>
      <w:r w:rsidRPr="00541040">
        <w:rPr>
          <w:rFonts w:ascii="Times New Roman" w:hAnsi="Times New Roman" w:cs="Times New Roman"/>
          <w:noProof/>
        </w:rPr>
        <w:t xml:space="preserve">, </w:t>
      </w:r>
      <w:r w:rsidRPr="00541040">
        <w:rPr>
          <w:rFonts w:ascii="Times New Roman" w:hAnsi="Times New Roman" w:cs="Times New Roman"/>
          <w:i/>
          <w:iCs/>
          <w:noProof/>
        </w:rPr>
        <w:t>265</w:t>
      </w:r>
      <w:r w:rsidRPr="00541040">
        <w:rPr>
          <w:rFonts w:ascii="Times New Roman" w:hAnsi="Times New Roman" w:cs="Times New Roman"/>
          <w:noProof/>
        </w:rPr>
        <w:t>, 1202–1203.</w:t>
      </w:r>
    </w:p>
    <w:p w14:paraId="2FC4E9F7"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 xml:space="preserve">Suzuki, A., Ohtani, E., Morishima, H., Kubo, T., Kanbe, Y., Kondo, T., Okada, T., Terasaki, H., Kato, T., &amp; Kikegawa, T. (2000). In situ determination of the phase boundary between wadsleyite and ringwoodite in Mg2SiO4. </w:t>
      </w:r>
      <w:r w:rsidRPr="00541040">
        <w:rPr>
          <w:rFonts w:ascii="Times New Roman" w:hAnsi="Times New Roman" w:cs="Times New Roman"/>
          <w:i/>
          <w:iCs/>
          <w:noProof/>
        </w:rPr>
        <w:t>Geophysical Research Letters</w:t>
      </w:r>
      <w:r w:rsidRPr="00541040">
        <w:rPr>
          <w:rFonts w:ascii="Times New Roman" w:hAnsi="Times New Roman" w:cs="Times New Roman"/>
          <w:noProof/>
        </w:rPr>
        <w:t xml:space="preserve">, </w:t>
      </w:r>
      <w:r w:rsidRPr="00541040">
        <w:rPr>
          <w:rFonts w:ascii="Times New Roman" w:hAnsi="Times New Roman" w:cs="Times New Roman"/>
          <w:i/>
          <w:iCs/>
          <w:noProof/>
        </w:rPr>
        <w:t>27</w:t>
      </w:r>
      <w:r w:rsidRPr="00541040">
        <w:rPr>
          <w:rFonts w:ascii="Times New Roman" w:hAnsi="Times New Roman" w:cs="Times New Roman"/>
          <w:noProof/>
        </w:rPr>
        <w:t>(6), 803–806. https://doi.org/10.1029/1999GL008425</w:t>
      </w:r>
    </w:p>
    <w:p w14:paraId="30508053"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t xml:space="preserve">Togo, A. (2023). First-principles Phonon Calculations with Phonopy and Phono3py. </w:t>
      </w:r>
      <w:r w:rsidRPr="00541040">
        <w:rPr>
          <w:rFonts w:ascii="Times New Roman" w:hAnsi="Times New Roman" w:cs="Times New Roman"/>
          <w:i/>
          <w:iCs/>
          <w:noProof/>
        </w:rPr>
        <w:t>Journal of the Physical Society of Japan</w:t>
      </w:r>
      <w:r w:rsidRPr="00541040">
        <w:rPr>
          <w:rFonts w:ascii="Times New Roman" w:hAnsi="Times New Roman" w:cs="Times New Roman"/>
          <w:noProof/>
        </w:rPr>
        <w:t xml:space="preserve">, </w:t>
      </w:r>
      <w:r w:rsidRPr="00541040">
        <w:rPr>
          <w:rFonts w:ascii="Times New Roman" w:hAnsi="Times New Roman" w:cs="Times New Roman"/>
          <w:i/>
          <w:iCs/>
          <w:noProof/>
        </w:rPr>
        <w:t>92</w:t>
      </w:r>
      <w:r w:rsidRPr="00541040">
        <w:rPr>
          <w:rFonts w:ascii="Times New Roman" w:hAnsi="Times New Roman" w:cs="Times New Roman"/>
          <w:noProof/>
        </w:rPr>
        <w:t>(1). https://doi.org/10.7566/JPSJ.92.012001</w:t>
      </w:r>
    </w:p>
    <w:p w14:paraId="1B57B098" w14:textId="77777777" w:rsidR="00541040" w:rsidRPr="00541040" w:rsidRDefault="00541040" w:rsidP="00541040">
      <w:pPr>
        <w:autoSpaceDE w:val="0"/>
        <w:autoSpaceDN w:val="0"/>
        <w:adjustRightInd w:val="0"/>
        <w:spacing w:before="160" w:line="360" w:lineRule="auto"/>
        <w:ind w:left="480" w:hanging="480"/>
        <w:rPr>
          <w:rFonts w:ascii="Times New Roman" w:hAnsi="Times New Roman" w:cs="Times New Roman"/>
          <w:noProof/>
        </w:rPr>
      </w:pPr>
      <w:r w:rsidRPr="00541040">
        <w:rPr>
          <w:rFonts w:ascii="Times New Roman" w:hAnsi="Times New Roman" w:cs="Times New Roman"/>
          <w:noProof/>
        </w:rPr>
        <w:lastRenderedPageBreak/>
        <w:t xml:space="preserve">Togo, A., &amp; Tanaka, I. (2015). First principles phonon calculations in materials science. </w:t>
      </w:r>
      <w:r w:rsidRPr="00541040">
        <w:rPr>
          <w:rFonts w:ascii="Times New Roman" w:hAnsi="Times New Roman" w:cs="Times New Roman"/>
          <w:i/>
          <w:iCs/>
          <w:noProof/>
        </w:rPr>
        <w:t>Scripta Materialia</w:t>
      </w:r>
      <w:r w:rsidRPr="00541040">
        <w:rPr>
          <w:rFonts w:ascii="Times New Roman" w:hAnsi="Times New Roman" w:cs="Times New Roman"/>
          <w:noProof/>
        </w:rPr>
        <w:t xml:space="preserve">, </w:t>
      </w:r>
      <w:r w:rsidRPr="00541040">
        <w:rPr>
          <w:rFonts w:ascii="Times New Roman" w:hAnsi="Times New Roman" w:cs="Times New Roman"/>
          <w:i/>
          <w:iCs/>
          <w:noProof/>
        </w:rPr>
        <w:t>108</w:t>
      </w:r>
      <w:r w:rsidRPr="00541040">
        <w:rPr>
          <w:rFonts w:ascii="Times New Roman" w:hAnsi="Times New Roman" w:cs="Times New Roman"/>
          <w:noProof/>
        </w:rPr>
        <w:t>, 1–5. https://doi.org/10.1016/j.scriptamat.2015.07.021</w:t>
      </w:r>
    </w:p>
    <w:p w14:paraId="7AA6E50C" w14:textId="15C374FC" w:rsidR="003230ED" w:rsidRPr="005B2A75" w:rsidRDefault="004B13A3" w:rsidP="004B13A3">
      <w:pPr>
        <w:spacing w:beforeLines="50" w:before="156" w:afterLines="50" w:after="156" w:line="360" w:lineRule="auto"/>
        <w:rPr>
          <w:rFonts w:ascii="Times New Roman" w:hAnsi="Times New Roman" w:cs="Times New Roman"/>
          <w:lang w:val="en-US"/>
        </w:rPr>
      </w:pPr>
      <w:r>
        <w:rPr>
          <w:rFonts w:ascii="Times New Roman" w:hAnsi="Times New Roman" w:cs="Times New Roman"/>
          <w:lang w:val="en-US"/>
        </w:rPr>
        <w:fldChar w:fldCharType="end"/>
      </w:r>
    </w:p>
    <w:sectPr w:rsidR="003230ED" w:rsidRPr="005B2A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AF16" w14:textId="77777777" w:rsidR="00CE5BD7" w:rsidRDefault="00CE5BD7" w:rsidP="001947CE">
      <w:pPr>
        <w:spacing w:after="0" w:line="240" w:lineRule="auto"/>
        <w:rPr>
          <w:rFonts w:hint="eastAsia"/>
        </w:rPr>
      </w:pPr>
      <w:r>
        <w:separator/>
      </w:r>
    </w:p>
  </w:endnote>
  <w:endnote w:type="continuationSeparator" w:id="0">
    <w:p w14:paraId="3A97A58C" w14:textId="77777777" w:rsidR="00CE5BD7" w:rsidRDefault="00CE5BD7" w:rsidP="001947C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8AD2" w14:textId="77777777" w:rsidR="00CE5BD7" w:rsidRDefault="00CE5BD7" w:rsidP="001947CE">
      <w:pPr>
        <w:spacing w:after="0" w:line="240" w:lineRule="auto"/>
        <w:rPr>
          <w:rFonts w:hint="eastAsia"/>
        </w:rPr>
      </w:pPr>
      <w:r>
        <w:separator/>
      </w:r>
    </w:p>
  </w:footnote>
  <w:footnote w:type="continuationSeparator" w:id="0">
    <w:p w14:paraId="058D61EB" w14:textId="77777777" w:rsidR="00CE5BD7" w:rsidRDefault="00CE5BD7" w:rsidP="001947CE">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645"/>
    <w:rsid w:val="000114D5"/>
    <w:rsid w:val="00035B33"/>
    <w:rsid w:val="0003755B"/>
    <w:rsid w:val="00043503"/>
    <w:rsid w:val="0004467B"/>
    <w:rsid w:val="00044A38"/>
    <w:rsid w:val="0004564B"/>
    <w:rsid w:val="0004704B"/>
    <w:rsid w:val="0005568B"/>
    <w:rsid w:val="00066164"/>
    <w:rsid w:val="00091881"/>
    <w:rsid w:val="000A6B70"/>
    <w:rsid w:val="000A732B"/>
    <w:rsid w:val="000B1703"/>
    <w:rsid w:val="000B6E1B"/>
    <w:rsid w:val="000C31BF"/>
    <w:rsid w:val="000D213E"/>
    <w:rsid w:val="001275AD"/>
    <w:rsid w:val="001353DB"/>
    <w:rsid w:val="0014172E"/>
    <w:rsid w:val="00141928"/>
    <w:rsid w:val="001438AF"/>
    <w:rsid w:val="00155AA5"/>
    <w:rsid w:val="00157EEF"/>
    <w:rsid w:val="0016767C"/>
    <w:rsid w:val="00171946"/>
    <w:rsid w:val="00186297"/>
    <w:rsid w:val="00193C4C"/>
    <w:rsid w:val="001947CE"/>
    <w:rsid w:val="00195FE8"/>
    <w:rsid w:val="001A0742"/>
    <w:rsid w:val="001B3810"/>
    <w:rsid w:val="001B3EE7"/>
    <w:rsid w:val="001C14BB"/>
    <w:rsid w:val="001C606C"/>
    <w:rsid w:val="001D1AC5"/>
    <w:rsid w:val="001E1095"/>
    <w:rsid w:val="00200DC3"/>
    <w:rsid w:val="00223B7A"/>
    <w:rsid w:val="00240F63"/>
    <w:rsid w:val="00245F24"/>
    <w:rsid w:val="002467BB"/>
    <w:rsid w:val="0026640E"/>
    <w:rsid w:val="0027191B"/>
    <w:rsid w:val="0027194D"/>
    <w:rsid w:val="002919DA"/>
    <w:rsid w:val="0029305E"/>
    <w:rsid w:val="002B2134"/>
    <w:rsid w:val="002B61F3"/>
    <w:rsid w:val="002C1B3C"/>
    <w:rsid w:val="002D076A"/>
    <w:rsid w:val="002D538D"/>
    <w:rsid w:val="002E14CF"/>
    <w:rsid w:val="002E1B17"/>
    <w:rsid w:val="00312925"/>
    <w:rsid w:val="003230ED"/>
    <w:rsid w:val="0032656B"/>
    <w:rsid w:val="00341133"/>
    <w:rsid w:val="003426E5"/>
    <w:rsid w:val="003621C1"/>
    <w:rsid w:val="00395EAE"/>
    <w:rsid w:val="003A15A3"/>
    <w:rsid w:val="003B633F"/>
    <w:rsid w:val="003C3343"/>
    <w:rsid w:val="003C33A6"/>
    <w:rsid w:val="003C340F"/>
    <w:rsid w:val="003D4CE1"/>
    <w:rsid w:val="003E4ECB"/>
    <w:rsid w:val="003E5585"/>
    <w:rsid w:val="003F24BE"/>
    <w:rsid w:val="003F5B09"/>
    <w:rsid w:val="00400C40"/>
    <w:rsid w:val="004301BE"/>
    <w:rsid w:val="00430F64"/>
    <w:rsid w:val="004728D5"/>
    <w:rsid w:val="004738CF"/>
    <w:rsid w:val="00480570"/>
    <w:rsid w:val="004958AE"/>
    <w:rsid w:val="004B13A3"/>
    <w:rsid w:val="004C0A94"/>
    <w:rsid w:val="004E6FDC"/>
    <w:rsid w:val="004F7EB8"/>
    <w:rsid w:val="00501595"/>
    <w:rsid w:val="005021D9"/>
    <w:rsid w:val="00504720"/>
    <w:rsid w:val="00504E0A"/>
    <w:rsid w:val="00514F17"/>
    <w:rsid w:val="005278FE"/>
    <w:rsid w:val="005364F1"/>
    <w:rsid w:val="00541040"/>
    <w:rsid w:val="00542104"/>
    <w:rsid w:val="0055278D"/>
    <w:rsid w:val="00560335"/>
    <w:rsid w:val="00570A90"/>
    <w:rsid w:val="00570B98"/>
    <w:rsid w:val="00573407"/>
    <w:rsid w:val="00586E0E"/>
    <w:rsid w:val="005B2A75"/>
    <w:rsid w:val="005F73DE"/>
    <w:rsid w:val="006360E9"/>
    <w:rsid w:val="00636C24"/>
    <w:rsid w:val="00663874"/>
    <w:rsid w:val="00670AC6"/>
    <w:rsid w:val="0067122D"/>
    <w:rsid w:val="006726A7"/>
    <w:rsid w:val="006A413B"/>
    <w:rsid w:val="006B1645"/>
    <w:rsid w:val="006B1C3A"/>
    <w:rsid w:val="006E10F7"/>
    <w:rsid w:val="006F15FD"/>
    <w:rsid w:val="006F1803"/>
    <w:rsid w:val="0070186F"/>
    <w:rsid w:val="00710B66"/>
    <w:rsid w:val="0072333B"/>
    <w:rsid w:val="007349CC"/>
    <w:rsid w:val="00755A2D"/>
    <w:rsid w:val="0076252A"/>
    <w:rsid w:val="0076283B"/>
    <w:rsid w:val="00793903"/>
    <w:rsid w:val="00793B6F"/>
    <w:rsid w:val="007A726A"/>
    <w:rsid w:val="007B0359"/>
    <w:rsid w:val="007B0AD8"/>
    <w:rsid w:val="007C3024"/>
    <w:rsid w:val="007F0654"/>
    <w:rsid w:val="007F6B39"/>
    <w:rsid w:val="00805FF1"/>
    <w:rsid w:val="00820620"/>
    <w:rsid w:val="008457BF"/>
    <w:rsid w:val="00851B45"/>
    <w:rsid w:val="00894FC4"/>
    <w:rsid w:val="008B5344"/>
    <w:rsid w:val="008D3677"/>
    <w:rsid w:val="008E0610"/>
    <w:rsid w:val="00901EDD"/>
    <w:rsid w:val="0093600B"/>
    <w:rsid w:val="00936525"/>
    <w:rsid w:val="0094391E"/>
    <w:rsid w:val="0095173B"/>
    <w:rsid w:val="00962BEA"/>
    <w:rsid w:val="00964266"/>
    <w:rsid w:val="009649D2"/>
    <w:rsid w:val="00966F90"/>
    <w:rsid w:val="00970BEE"/>
    <w:rsid w:val="009819E2"/>
    <w:rsid w:val="0098247C"/>
    <w:rsid w:val="00993A43"/>
    <w:rsid w:val="009951C0"/>
    <w:rsid w:val="009A4ED6"/>
    <w:rsid w:val="009A5BFC"/>
    <w:rsid w:val="009A6171"/>
    <w:rsid w:val="009B7D5B"/>
    <w:rsid w:val="009C3E74"/>
    <w:rsid w:val="009D533E"/>
    <w:rsid w:val="009F4A4F"/>
    <w:rsid w:val="00A06685"/>
    <w:rsid w:val="00A071FE"/>
    <w:rsid w:val="00A164F9"/>
    <w:rsid w:val="00A16E2C"/>
    <w:rsid w:val="00A201B4"/>
    <w:rsid w:val="00A22014"/>
    <w:rsid w:val="00A22259"/>
    <w:rsid w:val="00A27B23"/>
    <w:rsid w:val="00A27D58"/>
    <w:rsid w:val="00A3191F"/>
    <w:rsid w:val="00A41BFF"/>
    <w:rsid w:val="00A42376"/>
    <w:rsid w:val="00A51A43"/>
    <w:rsid w:val="00A56BFE"/>
    <w:rsid w:val="00A77C3F"/>
    <w:rsid w:val="00AB16F5"/>
    <w:rsid w:val="00AD3428"/>
    <w:rsid w:val="00AD5922"/>
    <w:rsid w:val="00AE46DD"/>
    <w:rsid w:val="00AF1ADE"/>
    <w:rsid w:val="00B00EEA"/>
    <w:rsid w:val="00B42405"/>
    <w:rsid w:val="00B559CF"/>
    <w:rsid w:val="00B74A49"/>
    <w:rsid w:val="00B944CB"/>
    <w:rsid w:val="00B94D2C"/>
    <w:rsid w:val="00BC6ABB"/>
    <w:rsid w:val="00BD2E60"/>
    <w:rsid w:val="00C0414B"/>
    <w:rsid w:val="00C34C4B"/>
    <w:rsid w:val="00C35360"/>
    <w:rsid w:val="00C56669"/>
    <w:rsid w:val="00C66297"/>
    <w:rsid w:val="00C958E1"/>
    <w:rsid w:val="00C97553"/>
    <w:rsid w:val="00CA3C6F"/>
    <w:rsid w:val="00CA52EE"/>
    <w:rsid w:val="00CB71CA"/>
    <w:rsid w:val="00CD5643"/>
    <w:rsid w:val="00CE5BD7"/>
    <w:rsid w:val="00CF4AAF"/>
    <w:rsid w:val="00D1739B"/>
    <w:rsid w:val="00D45611"/>
    <w:rsid w:val="00D80BCE"/>
    <w:rsid w:val="00D82A02"/>
    <w:rsid w:val="00DA71FB"/>
    <w:rsid w:val="00DB729A"/>
    <w:rsid w:val="00DC1B5D"/>
    <w:rsid w:val="00DC5844"/>
    <w:rsid w:val="00DC6B79"/>
    <w:rsid w:val="00DD4008"/>
    <w:rsid w:val="00DD79A5"/>
    <w:rsid w:val="00DE7568"/>
    <w:rsid w:val="00DF1E67"/>
    <w:rsid w:val="00E0495E"/>
    <w:rsid w:val="00E30ECA"/>
    <w:rsid w:val="00E33AED"/>
    <w:rsid w:val="00E44C3E"/>
    <w:rsid w:val="00E44EC6"/>
    <w:rsid w:val="00E519DC"/>
    <w:rsid w:val="00E57E52"/>
    <w:rsid w:val="00E74629"/>
    <w:rsid w:val="00E75275"/>
    <w:rsid w:val="00EA01A3"/>
    <w:rsid w:val="00EA72B3"/>
    <w:rsid w:val="00EB456B"/>
    <w:rsid w:val="00ED0D29"/>
    <w:rsid w:val="00EF4AF5"/>
    <w:rsid w:val="00EF6940"/>
    <w:rsid w:val="00F11B2F"/>
    <w:rsid w:val="00F17300"/>
    <w:rsid w:val="00F31A2D"/>
    <w:rsid w:val="00F320F7"/>
    <w:rsid w:val="00F36B3D"/>
    <w:rsid w:val="00F41384"/>
    <w:rsid w:val="00F469B3"/>
    <w:rsid w:val="00F46AE8"/>
    <w:rsid w:val="00F704F4"/>
    <w:rsid w:val="00F734CA"/>
    <w:rsid w:val="00F837F4"/>
    <w:rsid w:val="00F91AEB"/>
    <w:rsid w:val="00F95926"/>
    <w:rsid w:val="00FA3E98"/>
    <w:rsid w:val="00FC1F10"/>
    <w:rsid w:val="00FE4310"/>
    <w:rsid w:val="00FF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0AFE"/>
  <w15:chartTrackingRefBased/>
  <w15:docId w15:val="{0BB55342-88AD-4C05-8238-B4678F05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47CE"/>
    <w:pPr>
      <w:spacing w:line="259" w:lineRule="auto"/>
    </w:pPr>
    <w:rPr>
      <w:kern w:val="0"/>
      <w:szCs w:val="22"/>
      <w:lang w:val="en-GB"/>
      <w14:ligatures w14:val="none"/>
    </w:rPr>
  </w:style>
  <w:style w:type="paragraph" w:styleId="1">
    <w:name w:val="heading 1"/>
    <w:basedOn w:val="a"/>
    <w:next w:val="a"/>
    <w:link w:val="10"/>
    <w:uiPriority w:val="9"/>
    <w:qFormat/>
    <w:rsid w:val="006B164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B164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B164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B164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B164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6B164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B164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B164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B164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164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B164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B164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B1645"/>
    <w:rPr>
      <w:rFonts w:cstheme="majorBidi"/>
      <w:color w:val="0F4761" w:themeColor="accent1" w:themeShade="BF"/>
      <w:sz w:val="28"/>
      <w:szCs w:val="28"/>
    </w:rPr>
  </w:style>
  <w:style w:type="character" w:customStyle="1" w:styleId="50">
    <w:name w:val="标题 5 字符"/>
    <w:basedOn w:val="a0"/>
    <w:link w:val="5"/>
    <w:uiPriority w:val="9"/>
    <w:semiHidden/>
    <w:rsid w:val="006B1645"/>
    <w:rPr>
      <w:rFonts w:cstheme="majorBidi"/>
      <w:color w:val="0F4761" w:themeColor="accent1" w:themeShade="BF"/>
      <w:sz w:val="24"/>
    </w:rPr>
  </w:style>
  <w:style w:type="character" w:customStyle="1" w:styleId="60">
    <w:name w:val="标题 6 字符"/>
    <w:basedOn w:val="a0"/>
    <w:link w:val="6"/>
    <w:uiPriority w:val="9"/>
    <w:semiHidden/>
    <w:rsid w:val="006B1645"/>
    <w:rPr>
      <w:rFonts w:cstheme="majorBidi"/>
      <w:b/>
      <w:bCs/>
      <w:color w:val="0F4761" w:themeColor="accent1" w:themeShade="BF"/>
    </w:rPr>
  </w:style>
  <w:style w:type="character" w:customStyle="1" w:styleId="70">
    <w:name w:val="标题 7 字符"/>
    <w:basedOn w:val="a0"/>
    <w:link w:val="7"/>
    <w:uiPriority w:val="9"/>
    <w:semiHidden/>
    <w:rsid w:val="006B1645"/>
    <w:rPr>
      <w:rFonts w:cstheme="majorBidi"/>
      <w:b/>
      <w:bCs/>
      <w:color w:val="595959" w:themeColor="text1" w:themeTint="A6"/>
    </w:rPr>
  </w:style>
  <w:style w:type="character" w:customStyle="1" w:styleId="80">
    <w:name w:val="标题 8 字符"/>
    <w:basedOn w:val="a0"/>
    <w:link w:val="8"/>
    <w:uiPriority w:val="9"/>
    <w:semiHidden/>
    <w:rsid w:val="006B1645"/>
    <w:rPr>
      <w:rFonts w:cstheme="majorBidi"/>
      <w:color w:val="595959" w:themeColor="text1" w:themeTint="A6"/>
    </w:rPr>
  </w:style>
  <w:style w:type="character" w:customStyle="1" w:styleId="90">
    <w:name w:val="标题 9 字符"/>
    <w:basedOn w:val="a0"/>
    <w:link w:val="9"/>
    <w:uiPriority w:val="9"/>
    <w:semiHidden/>
    <w:rsid w:val="006B1645"/>
    <w:rPr>
      <w:rFonts w:eastAsiaTheme="majorEastAsia" w:cstheme="majorBidi"/>
      <w:color w:val="595959" w:themeColor="text1" w:themeTint="A6"/>
    </w:rPr>
  </w:style>
  <w:style w:type="paragraph" w:styleId="a3">
    <w:name w:val="Title"/>
    <w:basedOn w:val="a"/>
    <w:next w:val="a"/>
    <w:link w:val="a4"/>
    <w:uiPriority w:val="10"/>
    <w:qFormat/>
    <w:rsid w:val="006B164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B16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164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B164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1645"/>
    <w:pPr>
      <w:spacing w:before="160"/>
      <w:jc w:val="center"/>
    </w:pPr>
    <w:rPr>
      <w:i/>
      <w:iCs/>
      <w:color w:val="404040" w:themeColor="text1" w:themeTint="BF"/>
    </w:rPr>
  </w:style>
  <w:style w:type="character" w:customStyle="1" w:styleId="a8">
    <w:name w:val="引用 字符"/>
    <w:basedOn w:val="a0"/>
    <w:link w:val="a7"/>
    <w:uiPriority w:val="29"/>
    <w:rsid w:val="006B1645"/>
    <w:rPr>
      <w:i/>
      <w:iCs/>
      <w:color w:val="404040" w:themeColor="text1" w:themeTint="BF"/>
    </w:rPr>
  </w:style>
  <w:style w:type="paragraph" w:styleId="a9">
    <w:name w:val="List Paragraph"/>
    <w:basedOn w:val="a"/>
    <w:uiPriority w:val="34"/>
    <w:qFormat/>
    <w:rsid w:val="006B1645"/>
    <w:pPr>
      <w:ind w:left="720"/>
      <w:contextualSpacing/>
    </w:pPr>
  </w:style>
  <w:style w:type="character" w:styleId="aa">
    <w:name w:val="Intense Emphasis"/>
    <w:basedOn w:val="a0"/>
    <w:uiPriority w:val="21"/>
    <w:qFormat/>
    <w:rsid w:val="006B1645"/>
    <w:rPr>
      <w:i/>
      <w:iCs/>
      <w:color w:val="0F4761" w:themeColor="accent1" w:themeShade="BF"/>
    </w:rPr>
  </w:style>
  <w:style w:type="paragraph" w:styleId="ab">
    <w:name w:val="Intense Quote"/>
    <w:basedOn w:val="a"/>
    <w:next w:val="a"/>
    <w:link w:val="ac"/>
    <w:uiPriority w:val="30"/>
    <w:qFormat/>
    <w:rsid w:val="006B1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B1645"/>
    <w:rPr>
      <w:i/>
      <w:iCs/>
      <w:color w:val="0F4761" w:themeColor="accent1" w:themeShade="BF"/>
    </w:rPr>
  </w:style>
  <w:style w:type="character" w:styleId="ad">
    <w:name w:val="Intense Reference"/>
    <w:basedOn w:val="a0"/>
    <w:uiPriority w:val="32"/>
    <w:qFormat/>
    <w:rsid w:val="006B1645"/>
    <w:rPr>
      <w:b/>
      <w:bCs/>
      <w:smallCaps/>
      <w:color w:val="0F4761" w:themeColor="accent1" w:themeShade="BF"/>
      <w:spacing w:val="5"/>
    </w:rPr>
  </w:style>
  <w:style w:type="paragraph" w:styleId="ae">
    <w:name w:val="header"/>
    <w:basedOn w:val="a"/>
    <w:link w:val="af"/>
    <w:uiPriority w:val="99"/>
    <w:unhideWhenUsed/>
    <w:rsid w:val="001947C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947CE"/>
    <w:rPr>
      <w:sz w:val="18"/>
      <w:szCs w:val="18"/>
    </w:rPr>
  </w:style>
  <w:style w:type="paragraph" w:styleId="af0">
    <w:name w:val="footer"/>
    <w:basedOn w:val="a"/>
    <w:link w:val="af1"/>
    <w:uiPriority w:val="99"/>
    <w:unhideWhenUsed/>
    <w:rsid w:val="001947C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947CE"/>
    <w:rPr>
      <w:sz w:val="18"/>
      <w:szCs w:val="18"/>
    </w:rPr>
  </w:style>
  <w:style w:type="table" w:styleId="af2">
    <w:name w:val="Table Grid"/>
    <w:basedOn w:val="a1"/>
    <w:uiPriority w:val="39"/>
    <w:rsid w:val="0034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C97553"/>
    <w:rPr>
      <w:color w:val="467886" w:themeColor="hyperlink"/>
      <w:u w:val="single"/>
    </w:rPr>
  </w:style>
  <w:style w:type="character" w:styleId="af4">
    <w:name w:val="Unresolved Mention"/>
    <w:basedOn w:val="a0"/>
    <w:uiPriority w:val="99"/>
    <w:semiHidden/>
    <w:unhideWhenUsed/>
    <w:rsid w:val="00C97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693">
      <w:bodyDiv w:val="1"/>
      <w:marLeft w:val="0"/>
      <w:marRight w:val="0"/>
      <w:marTop w:val="0"/>
      <w:marBottom w:val="0"/>
      <w:divBdr>
        <w:top w:val="none" w:sz="0" w:space="0" w:color="auto"/>
        <w:left w:val="none" w:sz="0" w:space="0" w:color="auto"/>
        <w:bottom w:val="none" w:sz="0" w:space="0" w:color="auto"/>
        <w:right w:val="none" w:sz="0" w:space="0" w:color="auto"/>
      </w:divBdr>
    </w:div>
    <w:div w:id="825248778">
      <w:bodyDiv w:val="1"/>
      <w:marLeft w:val="0"/>
      <w:marRight w:val="0"/>
      <w:marTop w:val="0"/>
      <w:marBottom w:val="0"/>
      <w:divBdr>
        <w:top w:val="none" w:sz="0" w:space="0" w:color="auto"/>
        <w:left w:val="none" w:sz="0" w:space="0" w:color="auto"/>
        <w:bottom w:val="none" w:sz="0" w:space="0" w:color="auto"/>
        <w:right w:val="none" w:sz="0" w:space="0" w:color="auto"/>
      </w:divBdr>
    </w:div>
    <w:div w:id="872812814">
      <w:bodyDiv w:val="1"/>
      <w:marLeft w:val="0"/>
      <w:marRight w:val="0"/>
      <w:marTop w:val="0"/>
      <w:marBottom w:val="0"/>
      <w:divBdr>
        <w:top w:val="none" w:sz="0" w:space="0" w:color="auto"/>
        <w:left w:val="none" w:sz="0" w:space="0" w:color="auto"/>
        <w:bottom w:val="none" w:sz="0" w:space="0" w:color="auto"/>
        <w:right w:val="none" w:sz="0" w:space="0" w:color="auto"/>
      </w:divBdr>
    </w:div>
    <w:div w:id="912734742">
      <w:bodyDiv w:val="1"/>
      <w:marLeft w:val="0"/>
      <w:marRight w:val="0"/>
      <w:marTop w:val="0"/>
      <w:marBottom w:val="0"/>
      <w:divBdr>
        <w:top w:val="none" w:sz="0" w:space="0" w:color="auto"/>
        <w:left w:val="none" w:sz="0" w:space="0" w:color="auto"/>
        <w:bottom w:val="none" w:sz="0" w:space="0" w:color="auto"/>
        <w:right w:val="none" w:sz="0" w:space="0" w:color="auto"/>
      </w:divBdr>
    </w:div>
    <w:div w:id="1336222655">
      <w:bodyDiv w:val="1"/>
      <w:marLeft w:val="0"/>
      <w:marRight w:val="0"/>
      <w:marTop w:val="0"/>
      <w:marBottom w:val="0"/>
      <w:divBdr>
        <w:top w:val="none" w:sz="0" w:space="0" w:color="auto"/>
        <w:left w:val="none" w:sz="0" w:space="0" w:color="auto"/>
        <w:bottom w:val="none" w:sz="0" w:space="0" w:color="auto"/>
        <w:right w:val="none" w:sz="0" w:space="0" w:color="auto"/>
      </w:divBdr>
    </w:div>
    <w:div w:id="1480220836">
      <w:bodyDiv w:val="1"/>
      <w:marLeft w:val="0"/>
      <w:marRight w:val="0"/>
      <w:marTop w:val="0"/>
      <w:marBottom w:val="0"/>
      <w:divBdr>
        <w:top w:val="none" w:sz="0" w:space="0" w:color="auto"/>
        <w:left w:val="none" w:sz="0" w:space="0" w:color="auto"/>
        <w:bottom w:val="none" w:sz="0" w:space="0" w:color="auto"/>
        <w:right w:val="none" w:sz="0" w:space="0" w:color="auto"/>
      </w:divBdr>
    </w:div>
    <w:div w:id="184497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s://osf.io/784bv/"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53829-6CE1-4D7E-9E3E-6F084BBE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12</Pages>
  <Words>4246</Words>
  <Characters>24373</Characters>
  <Application>Microsoft Office Word</Application>
  <DocSecurity>0</DocSecurity>
  <Lines>716</Lines>
  <Paragraphs>440</Paragraphs>
  <ScaleCrop>false</ScaleCrop>
  <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Zhong</dc:creator>
  <cp:keywords/>
  <dc:description/>
  <cp:lastModifiedBy>Xin Zhong</cp:lastModifiedBy>
  <cp:revision>242</cp:revision>
  <dcterms:created xsi:type="dcterms:W3CDTF">2025-07-20T14:53:00Z</dcterms:created>
  <dcterms:modified xsi:type="dcterms:W3CDTF">2026-02-02T11:11:00Z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http://www.zotero.org/styles/contributions-to-mineralogy-and-petrology</vt:lpwstr>
  </property>
  <property fmtid="{D5CDD505-2E9C-101B-9397-08002B2CF9AE}" pid="13" name="Mendeley Recent Style Name 5_1">
    <vt:lpwstr>Contributions to Mineralogy and Petrology</vt:lpwstr>
  </property>
  <property fmtid="{D5CDD505-2E9C-101B-9397-08002B2CF9AE}" pid="14" name="Mendeley Recent Style Id 6_1">
    <vt:lpwstr>http://www.zotero.org/styles/earth-and-planetary-science-letters</vt:lpwstr>
  </property>
  <property fmtid="{D5CDD505-2E9C-101B-9397-08002B2CF9AE}" pid="15" name="Mendeley Recent Style Name 6_1">
    <vt:lpwstr>Earth and Planetary Science Letters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a73999fe-8845-3c9a-99c5-7c882e5bb43a</vt:lpwstr>
  </property>
  <property fmtid="{D5CDD505-2E9C-101B-9397-08002B2CF9AE}" pid="24" name="Mendeley Citation Style_1">
    <vt:lpwstr>http://www.zotero.org/styles/apa</vt:lpwstr>
  </property>
</Properties>
</file>