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FADC8DF" w14:textId="77777777" w:rsidR="006E65B8" w:rsidRDefault="00C82017" w:rsidP="00C82017">
      <w:pPr>
        <w:jc w:val="center"/>
        <w:rPr>
          <w:rFonts w:ascii="Times New Roman" w:hAnsi="Times New Roman" w:cs="Times New Roman"/>
          <w:sz w:val="28"/>
          <w:szCs w:val="28"/>
        </w:rPr>
      </w:pPr>
      <w:r w:rsidRPr="00C82017">
        <w:rPr>
          <w:rFonts w:ascii="Times New Roman" w:hAnsi="Times New Roman" w:cs="Times New Roman"/>
          <w:sz w:val="28"/>
          <w:szCs w:val="28"/>
        </w:rPr>
        <w:t>Supplementary Information</w:t>
      </w:r>
    </w:p>
    <w:p w14:paraId="790000DA" w14:textId="77777777" w:rsidR="00C82017" w:rsidRPr="00AB06C8" w:rsidRDefault="00C82017" w:rsidP="00C82017">
      <w:pPr>
        <w:jc w:val="center"/>
        <w:rPr>
          <w:rFonts w:ascii="Arial" w:eastAsia="Calibri" w:hAnsi="Arial" w:cs="Arial"/>
          <w:b/>
          <w:sz w:val="20"/>
          <w:szCs w:val="20"/>
        </w:rPr>
      </w:pPr>
      <w:r w:rsidRPr="00AB06C8">
        <w:rPr>
          <w:rFonts w:ascii="Arial" w:eastAsia="Calibri" w:hAnsi="Arial" w:cs="Arial"/>
          <w:b/>
          <w:sz w:val="20"/>
          <w:szCs w:val="20"/>
        </w:rPr>
        <w:t>Supplementary Note</w:t>
      </w:r>
    </w:p>
    <w:p w14:paraId="102DB67E" w14:textId="77777777" w:rsidR="00C82017" w:rsidRPr="00AB06C8" w:rsidRDefault="00C82017" w:rsidP="00C82017">
      <w:pPr>
        <w:rPr>
          <w:rFonts w:ascii="Arial" w:eastAsia="Calibri" w:hAnsi="Arial" w:cs="Arial"/>
          <w:b/>
          <w:sz w:val="20"/>
          <w:szCs w:val="20"/>
        </w:rPr>
      </w:pPr>
    </w:p>
    <w:p w14:paraId="44BEA6A9" w14:textId="77777777" w:rsidR="00C82017" w:rsidRDefault="00C82017" w:rsidP="00C82017">
      <w:pPr>
        <w:rPr>
          <w:rFonts w:ascii="Arial" w:eastAsia="Calibri" w:hAnsi="Arial" w:cs="Arial"/>
          <w:b/>
          <w:sz w:val="20"/>
          <w:szCs w:val="20"/>
        </w:rPr>
      </w:pPr>
      <w:r>
        <w:rPr>
          <w:rFonts w:ascii="Arial" w:eastAsia="Calibri" w:hAnsi="Arial" w:cs="Arial"/>
          <w:b/>
          <w:sz w:val="20"/>
          <w:szCs w:val="20"/>
        </w:rPr>
        <w:t>Supplementary Note 1</w:t>
      </w:r>
    </w:p>
    <w:p w14:paraId="610C85A6" w14:textId="77777777" w:rsidR="00C82017" w:rsidRPr="00002B98" w:rsidRDefault="00C82017" w:rsidP="00C82017">
      <w:pPr>
        <w:rPr>
          <w:rFonts w:ascii="Arial" w:eastAsia="Calibri" w:hAnsi="Arial" w:cs="Arial"/>
          <w:b/>
          <w:sz w:val="20"/>
          <w:szCs w:val="20"/>
        </w:rPr>
      </w:pPr>
    </w:p>
    <w:p w14:paraId="38700C7E" w14:textId="77777777" w:rsidR="00C82017" w:rsidRDefault="00C82017" w:rsidP="00C82017">
      <w:pPr>
        <w:ind w:firstLine="720"/>
        <w:rPr>
          <w:rFonts w:ascii="Arial" w:hAnsi="Arial" w:cs="Arial"/>
          <w:bCs/>
          <w:sz w:val="20"/>
          <w:szCs w:val="20"/>
        </w:rPr>
      </w:pPr>
      <w:r w:rsidRPr="00AB06C8">
        <w:rPr>
          <w:rFonts w:ascii="Arial" w:hAnsi="Arial" w:cs="Arial"/>
          <w:bCs/>
          <w:sz w:val="20"/>
          <w:szCs w:val="20"/>
        </w:rPr>
        <w:t xml:space="preserve">To assess tumor purity, we first examined the allelic fraction of </w:t>
      </w:r>
      <w:r w:rsidRPr="00EB16FA">
        <w:rPr>
          <w:rFonts w:ascii="Arial" w:hAnsi="Arial" w:cs="Arial"/>
          <w:bCs/>
          <w:i/>
          <w:sz w:val="20"/>
          <w:szCs w:val="20"/>
        </w:rPr>
        <w:t>NF2</w:t>
      </w:r>
      <w:r w:rsidRPr="00AB06C8">
        <w:rPr>
          <w:rFonts w:ascii="Arial" w:hAnsi="Arial" w:cs="Arial"/>
          <w:bCs/>
          <w:sz w:val="20"/>
          <w:szCs w:val="20"/>
        </w:rPr>
        <w:t xml:space="preserve"> alterations, as mutations in this gene are thought to be an early driver event in a majority of meningiomas. The allelic fraction of a given mutation represents the percentage of sequenced reads from that location which contain the alteration; large amounts of contaminating normal DNA which do not contain the alteration would reduce the fraction of reads with the mutation. Among these samples, the </w:t>
      </w:r>
      <w:r>
        <w:rPr>
          <w:rFonts w:ascii="Arial" w:hAnsi="Arial" w:cs="Arial"/>
          <w:bCs/>
          <w:sz w:val="20"/>
          <w:szCs w:val="20"/>
        </w:rPr>
        <w:t>average</w:t>
      </w:r>
      <w:r w:rsidRPr="00AB06C8">
        <w:rPr>
          <w:rFonts w:ascii="Arial" w:hAnsi="Arial" w:cs="Arial"/>
          <w:bCs/>
          <w:sz w:val="20"/>
          <w:szCs w:val="20"/>
        </w:rPr>
        <w:t xml:space="preserve"> allelic fraction of </w:t>
      </w:r>
      <w:r w:rsidRPr="00AB06C8">
        <w:rPr>
          <w:rFonts w:ascii="Arial" w:hAnsi="Arial" w:cs="Arial"/>
          <w:bCs/>
          <w:i/>
          <w:sz w:val="20"/>
          <w:szCs w:val="20"/>
        </w:rPr>
        <w:t>NF2</w:t>
      </w:r>
      <w:r>
        <w:rPr>
          <w:rFonts w:ascii="Arial" w:hAnsi="Arial" w:cs="Arial"/>
          <w:bCs/>
          <w:sz w:val="20"/>
          <w:szCs w:val="20"/>
        </w:rPr>
        <w:t xml:space="preserve"> mutations was 60%</w:t>
      </w:r>
      <w:r w:rsidRPr="00AB06C8">
        <w:rPr>
          <w:rFonts w:ascii="Arial" w:hAnsi="Arial" w:cs="Arial"/>
          <w:bCs/>
          <w:sz w:val="20"/>
          <w:szCs w:val="20"/>
        </w:rPr>
        <w:t xml:space="preserve">, comparable to the cohort wide </w:t>
      </w:r>
      <w:r>
        <w:rPr>
          <w:rFonts w:ascii="Arial" w:hAnsi="Arial" w:cs="Arial"/>
          <w:bCs/>
          <w:sz w:val="20"/>
          <w:szCs w:val="20"/>
        </w:rPr>
        <w:t xml:space="preserve">average for </w:t>
      </w:r>
      <w:r>
        <w:rPr>
          <w:rFonts w:ascii="Arial" w:hAnsi="Arial" w:cs="Arial"/>
          <w:bCs/>
          <w:i/>
          <w:sz w:val="20"/>
          <w:szCs w:val="20"/>
        </w:rPr>
        <w:t>NF2</w:t>
      </w:r>
      <w:r>
        <w:rPr>
          <w:rFonts w:ascii="Arial" w:hAnsi="Arial" w:cs="Arial"/>
          <w:bCs/>
          <w:sz w:val="20"/>
          <w:szCs w:val="20"/>
        </w:rPr>
        <w:t xml:space="preserve"> of 59%</w:t>
      </w:r>
      <w:r w:rsidRPr="00AB06C8">
        <w:rPr>
          <w:rFonts w:ascii="Arial" w:hAnsi="Arial" w:cs="Arial"/>
          <w:bCs/>
          <w:sz w:val="20"/>
          <w:szCs w:val="20"/>
        </w:rPr>
        <w:t xml:space="preserve">, and well within detection limits. Analysis of both copy-number data and the allelic fractions of all mutations genome-wide indicates the multi-sampled meningiomas had an average purity of </w:t>
      </w:r>
      <w:r>
        <w:rPr>
          <w:rFonts w:ascii="Arial" w:hAnsi="Arial" w:cs="Arial"/>
          <w:bCs/>
          <w:sz w:val="20"/>
          <w:szCs w:val="20"/>
        </w:rPr>
        <w:t>70%</w:t>
      </w:r>
      <w:r w:rsidRPr="00AB06C8">
        <w:rPr>
          <w:rFonts w:ascii="Arial" w:hAnsi="Arial" w:cs="Arial"/>
          <w:bCs/>
          <w:sz w:val="20"/>
          <w:szCs w:val="20"/>
        </w:rPr>
        <w:t xml:space="preserve">. </w:t>
      </w:r>
    </w:p>
    <w:p w14:paraId="3D9C19C9" w14:textId="77777777" w:rsidR="00C82017" w:rsidRPr="00AB06C8" w:rsidRDefault="00C82017" w:rsidP="00C82017">
      <w:pPr>
        <w:ind w:firstLine="720"/>
        <w:rPr>
          <w:rFonts w:ascii="Arial" w:hAnsi="Arial" w:cs="Arial"/>
          <w:bCs/>
          <w:sz w:val="20"/>
          <w:szCs w:val="20"/>
        </w:rPr>
      </w:pPr>
    </w:p>
    <w:p w14:paraId="28960FF5" w14:textId="3F673FEA" w:rsidR="00794FBE" w:rsidRDefault="00C8201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3166D7D4" w14:textId="3599630A" w:rsidR="00794FBE" w:rsidRDefault="00794FBE" w:rsidP="00794FBE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lastRenderedPageBreak/>
        <w:t>Supplementary Figures</w:t>
      </w:r>
    </w:p>
    <w:p w14:paraId="770BBA4A" w14:textId="5172A10D" w:rsidR="00794FBE" w:rsidRPr="00794FBE" w:rsidRDefault="00794FBE" w:rsidP="00794FBE">
      <w:pPr>
        <w:jc w:val="center"/>
        <w:rPr>
          <w:rFonts w:ascii="Arial" w:hAnsi="Arial" w:cs="Arial"/>
          <w:b/>
          <w:sz w:val="20"/>
          <w:szCs w:val="20"/>
        </w:rPr>
      </w:pPr>
      <w:r w:rsidRPr="00794FBE">
        <w:rPr>
          <w:rFonts w:ascii="Times New Roman" w:hAnsi="Times New Roman" w:cs="Times New Roman"/>
          <w:noProof/>
        </w:rPr>
        <w:drawing>
          <wp:inline distT="0" distB="0" distL="0" distR="0" wp14:anchorId="5AAE848F" wp14:editId="20A76D44">
            <wp:extent cx="6468304" cy="944880"/>
            <wp:effectExtent l="0" t="0" r="8890" b="7620"/>
            <wp:docPr id="6" name="Picture 6" descr="C:\Users\Noah\Dropbox\Work\Meningioma\Genomic Medicine Revision\Figures\Supplementary Figure 1 new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oah\Dropbox\Work\Meningioma\Genomic Medicine Revision\Figures\Supplementary Figure 1 new.tif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6564" cy="9460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6E094A" w14:textId="35664329" w:rsidR="00C82017" w:rsidRPr="00794FBE" w:rsidRDefault="00794FBE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Supplementary Figure 1. </w:t>
      </w:r>
      <w:r>
        <w:rPr>
          <w:rFonts w:ascii="Arial" w:hAnsi="Arial" w:cs="Arial"/>
          <w:sz w:val="20"/>
          <w:szCs w:val="20"/>
        </w:rPr>
        <w:t xml:space="preserve">Heatmap of driver mutations in newly-sequenced high-grade meningiomas. </w:t>
      </w:r>
    </w:p>
    <w:p w14:paraId="57F4BB3F" w14:textId="77777777" w:rsidR="00794FBE" w:rsidRDefault="00794FBE">
      <w:pPr>
        <w:rPr>
          <w:rFonts w:ascii="Times New Roman" w:hAnsi="Times New Roman" w:cs="Times New Roman"/>
        </w:rPr>
      </w:pPr>
      <w:bookmarkStart w:id="0" w:name="_GoBack"/>
      <w:bookmarkEnd w:id="0"/>
    </w:p>
    <w:p w14:paraId="2EB86F8C" w14:textId="77777777" w:rsidR="003B5DA8" w:rsidRPr="00AB06C8" w:rsidRDefault="003B5DA8" w:rsidP="00C82017">
      <w:pPr>
        <w:jc w:val="center"/>
        <w:rPr>
          <w:rFonts w:ascii="Arial" w:hAnsi="Arial" w:cs="Arial"/>
          <w:b/>
          <w:sz w:val="20"/>
          <w:szCs w:val="20"/>
        </w:rPr>
      </w:pPr>
      <w:r w:rsidRPr="003B5DA8">
        <w:rPr>
          <w:rFonts w:ascii="Arial" w:hAnsi="Arial" w:cs="Arial"/>
          <w:b/>
          <w:noProof/>
          <w:sz w:val="20"/>
          <w:szCs w:val="20"/>
        </w:rPr>
        <w:lastRenderedPageBreak/>
        <w:drawing>
          <wp:inline distT="0" distB="0" distL="0" distR="0" wp14:anchorId="3E1CBD49" wp14:editId="6F966412">
            <wp:extent cx="5181600" cy="6705600"/>
            <wp:effectExtent l="0" t="0" r="0" b="0"/>
            <wp:docPr id="1" name="Picture 1" descr="C:\Users\Noah\Dropbox\Work\Meningioma\Figures\Supplementary Figure 1__2016.11.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oah\Dropbox\Work\Meningioma\Figures\Supplementary Figure 1__2016.11.1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1775" cy="67187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9C2692" w14:textId="77777777" w:rsidR="00C82017" w:rsidRPr="00AB06C8" w:rsidRDefault="00C82017" w:rsidP="00C82017">
      <w:pPr>
        <w:jc w:val="center"/>
        <w:rPr>
          <w:rFonts w:ascii="Arial" w:hAnsi="Arial" w:cs="Arial"/>
          <w:b/>
          <w:sz w:val="20"/>
          <w:szCs w:val="20"/>
        </w:rPr>
      </w:pPr>
    </w:p>
    <w:p w14:paraId="2580B1A4" w14:textId="623C8AB0" w:rsidR="00C82017" w:rsidRPr="00AB06C8" w:rsidRDefault="00662DB7" w:rsidP="00C82017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Supplementary Figure 2</w:t>
      </w:r>
      <w:r w:rsidR="00C82017" w:rsidRPr="00AB06C8">
        <w:rPr>
          <w:rFonts w:ascii="Arial" w:hAnsi="Arial" w:cs="Arial"/>
          <w:b/>
          <w:sz w:val="20"/>
          <w:szCs w:val="20"/>
        </w:rPr>
        <w:t xml:space="preserve">. </w:t>
      </w:r>
      <w:r w:rsidR="00C82017" w:rsidRPr="00AB06C8">
        <w:rPr>
          <w:rFonts w:ascii="Arial" w:hAnsi="Arial" w:cs="Arial"/>
          <w:sz w:val="20"/>
          <w:szCs w:val="20"/>
        </w:rPr>
        <w:t>Mutational patterns of meningioma. (A) Lego plot demonstrating the magnitude (z-axis) of different mutational signatures (x- and y-axis) in</w:t>
      </w:r>
      <w:r w:rsidR="00684D65">
        <w:rPr>
          <w:rFonts w:ascii="Arial" w:hAnsi="Arial" w:cs="Arial"/>
          <w:sz w:val="20"/>
          <w:szCs w:val="20"/>
        </w:rPr>
        <w:t xml:space="preserve"> the</w:t>
      </w:r>
      <w:r w:rsidR="00C82017" w:rsidRPr="00AB06C8">
        <w:rPr>
          <w:rFonts w:ascii="Arial" w:hAnsi="Arial" w:cs="Arial"/>
          <w:sz w:val="20"/>
          <w:szCs w:val="20"/>
        </w:rPr>
        <w:t xml:space="preserve"> high-grade meningioma cohort. (B) Lego plot demonstrating the magnitude (z-axis) of different mutational signatures (x- and y-axis) in</w:t>
      </w:r>
      <w:r w:rsidR="00684D65">
        <w:rPr>
          <w:rFonts w:ascii="Arial" w:hAnsi="Arial" w:cs="Arial"/>
          <w:sz w:val="20"/>
          <w:szCs w:val="20"/>
        </w:rPr>
        <w:t xml:space="preserve"> a</w:t>
      </w:r>
      <w:r w:rsidR="00C82017" w:rsidRPr="00AB06C8">
        <w:rPr>
          <w:rFonts w:ascii="Arial" w:hAnsi="Arial" w:cs="Arial"/>
          <w:sz w:val="20"/>
          <w:szCs w:val="20"/>
        </w:rPr>
        <w:t xml:space="preserve"> hyper-mutated meningioma sample (MEN0092). </w:t>
      </w:r>
      <w:r w:rsidR="00684D65">
        <w:rPr>
          <w:rFonts w:ascii="Arial" w:hAnsi="Arial" w:cs="Arial"/>
          <w:sz w:val="20"/>
          <w:szCs w:val="20"/>
        </w:rPr>
        <w:t xml:space="preserve">(C) </w:t>
      </w:r>
      <w:r w:rsidR="00C82017" w:rsidRPr="00AB06C8">
        <w:rPr>
          <w:rFonts w:ascii="Arial" w:hAnsi="Arial" w:cs="Arial"/>
          <w:sz w:val="20"/>
          <w:szCs w:val="20"/>
        </w:rPr>
        <w:t>Lego plot demonstrating the magnitude (z-axis) of different mutation</w:t>
      </w:r>
      <w:r w:rsidR="00684D65">
        <w:rPr>
          <w:rFonts w:ascii="Arial" w:hAnsi="Arial" w:cs="Arial"/>
          <w:sz w:val="20"/>
          <w:szCs w:val="20"/>
        </w:rPr>
        <w:t>al signatures (x- and y-axis) across</w:t>
      </w:r>
      <w:r w:rsidR="00C82017" w:rsidRPr="00AB06C8">
        <w:rPr>
          <w:rFonts w:ascii="Arial" w:hAnsi="Arial" w:cs="Arial"/>
          <w:sz w:val="20"/>
          <w:szCs w:val="20"/>
        </w:rPr>
        <w:t xml:space="preserve"> meningioma</w:t>
      </w:r>
      <w:r w:rsidR="00684D65">
        <w:rPr>
          <w:rFonts w:ascii="Arial" w:hAnsi="Arial" w:cs="Arial"/>
          <w:sz w:val="20"/>
          <w:szCs w:val="20"/>
        </w:rPr>
        <w:t>s exposed to prior radiation</w:t>
      </w:r>
      <w:r w:rsidR="00C82017" w:rsidRPr="00AB06C8">
        <w:rPr>
          <w:rFonts w:ascii="Arial" w:hAnsi="Arial" w:cs="Arial"/>
          <w:sz w:val="20"/>
          <w:szCs w:val="20"/>
        </w:rPr>
        <w:t>.</w:t>
      </w:r>
    </w:p>
    <w:p w14:paraId="552BAB21" w14:textId="3D3575C4" w:rsidR="00C82017" w:rsidRPr="00AB06C8" w:rsidRDefault="00C82017" w:rsidP="00C82017">
      <w:pPr>
        <w:rPr>
          <w:rFonts w:ascii="Arial" w:hAnsi="Arial" w:cs="Arial"/>
          <w:sz w:val="20"/>
          <w:szCs w:val="20"/>
        </w:rPr>
      </w:pPr>
    </w:p>
    <w:p w14:paraId="075106EE" w14:textId="16DFD539" w:rsidR="00C82017" w:rsidRPr="00AB06C8" w:rsidRDefault="004214AC" w:rsidP="00C82017">
      <w:pPr>
        <w:rPr>
          <w:rFonts w:ascii="Arial" w:hAnsi="Arial" w:cs="Arial"/>
          <w:sz w:val="20"/>
          <w:szCs w:val="20"/>
        </w:rPr>
      </w:pPr>
      <w:r w:rsidRPr="004214AC">
        <w:rPr>
          <w:rFonts w:ascii="Arial" w:hAnsi="Arial" w:cs="Arial"/>
          <w:b/>
          <w:noProof/>
          <w:sz w:val="20"/>
          <w:szCs w:val="20"/>
        </w:rPr>
        <w:lastRenderedPageBreak/>
        <w:drawing>
          <wp:inline distT="0" distB="0" distL="0" distR="0" wp14:anchorId="20EC649D" wp14:editId="09DFC0DF">
            <wp:extent cx="5943600" cy="4972424"/>
            <wp:effectExtent l="0" t="0" r="0" b="0"/>
            <wp:docPr id="3" name="Picture 3" descr="C:\Users\Noah\Dropbox\Work\Meningioma\Figures\Supplementary Figures\Supplementary Figure 2__2016.11.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oah\Dropbox\Work\Meningioma\Figures\Supplementary Figures\Supplementary Figure 2__2016.11.2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9724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62DB7">
        <w:rPr>
          <w:rFonts w:ascii="Arial" w:hAnsi="Arial" w:cs="Arial"/>
          <w:b/>
          <w:sz w:val="20"/>
          <w:szCs w:val="20"/>
        </w:rPr>
        <w:t>Supplementary Figure 3</w:t>
      </w:r>
      <w:r w:rsidR="00C82017" w:rsidRPr="00AB06C8">
        <w:rPr>
          <w:rFonts w:ascii="Arial" w:hAnsi="Arial" w:cs="Arial"/>
          <w:b/>
          <w:sz w:val="20"/>
          <w:szCs w:val="20"/>
        </w:rPr>
        <w:t xml:space="preserve">. </w:t>
      </w:r>
      <w:r w:rsidR="00C82017" w:rsidRPr="00AB06C8">
        <w:rPr>
          <w:rFonts w:ascii="Arial" w:hAnsi="Arial" w:cs="Arial"/>
          <w:sz w:val="20"/>
          <w:szCs w:val="20"/>
        </w:rPr>
        <w:t>Mutational patterns in low- and high-grade meningioma. (A) Distribution of mutational drivers across low- and high-grade tumors. (B) Simulated data estimating the power to detect mutations (y-axis) as a function of the true mutation rate (x-axis).</w:t>
      </w:r>
    </w:p>
    <w:p w14:paraId="330C8E54" w14:textId="21537097" w:rsidR="003B5DA8" w:rsidRPr="00AB06C8" w:rsidRDefault="00E96BBF" w:rsidP="00C82017">
      <w:pPr>
        <w:rPr>
          <w:rFonts w:ascii="Arial" w:hAnsi="Arial" w:cs="Arial"/>
          <w:sz w:val="20"/>
          <w:szCs w:val="20"/>
        </w:rPr>
      </w:pPr>
      <w:r w:rsidRPr="00E96BBF">
        <w:rPr>
          <w:rFonts w:ascii="Arial" w:hAnsi="Arial" w:cs="Arial"/>
          <w:noProof/>
          <w:sz w:val="20"/>
          <w:szCs w:val="20"/>
        </w:rPr>
        <w:lastRenderedPageBreak/>
        <w:drawing>
          <wp:inline distT="0" distB="0" distL="0" distR="0" wp14:anchorId="48D0C142" wp14:editId="7DDBE950">
            <wp:extent cx="5406421" cy="6996545"/>
            <wp:effectExtent l="0" t="0" r="3810" b="0"/>
            <wp:docPr id="2" name="Picture 2" descr="C:\Users\Noah\Dropbox\Work\Meningioma\Figures\Supplementary Figures\Supplementary Figure 3__2016.11.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oah\Dropbox\Work\Meningioma\Figures\Supplementary Figures\Supplementary Figure 3__2016.11.2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9911" cy="70010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BCEDC8" w14:textId="3B9C8D20" w:rsidR="00C82017" w:rsidRPr="00AB06C8" w:rsidRDefault="00662DB7" w:rsidP="00C82017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Supplementary Figure 4</w:t>
      </w:r>
      <w:r w:rsidR="00C82017" w:rsidRPr="00AB06C8">
        <w:rPr>
          <w:rFonts w:ascii="Arial" w:hAnsi="Arial" w:cs="Arial"/>
          <w:b/>
          <w:sz w:val="20"/>
          <w:szCs w:val="20"/>
        </w:rPr>
        <w:t xml:space="preserve">. </w:t>
      </w:r>
      <w:r w:rsidR="00C82017" w:rsidRPr="00AB06C8">
        <w:rPr>
          <w:rFonts w:ascii="Arial" w:hAnsi="Arial" w:cs="Arial"/>
          <w:sz w:val="20"/>
          <w:szCs w:val="20"/>
        </w:rPr>
        <w:t xml:space="preserve">Rearrangements in meningioma. (A) </w:t>
      </w:r>
      <w:r w:rsidR="008964ED">
        <w:rPr>
          <w:rFonts w:ascii="Arial" w:hAnsi="Arial" w:cs="Arial"/>
          <w:sz w:val="20"/>
          <w:szCs w:val="20"/>
        </w:rPr>
        <w:t xml:space="preserve">Sample </w:t>
      </w:r>
      <w:r w:rsidR="00C82017" w:rsidRPr="00AB06C8">
        <w:rPr>
          <w:rFonts w:ascii="Arial" w:hAnsi="Arial" w:cs="Arial"/>
          <w:sz w:val="20"/>
          <w:szCs w:val="20"/>
        </w:rPr>
        <w:t>plots demonstrating change in read coverage (y-axis) across the genome (x-axis) for duplications (left), deletions (center), or inversion (right). (B) Relative f</w:t>
      </w:r>
      <w:r w:rsidR="00CD532B">
        <w:rPr>
          <w:rFonts w:ascii="Arial" w:hAnsi="Arial" w:cs="Arial"/>
          <w:sz w:val="20"/>
          <w:szCs w:val="20"/>
        </w:rPr>
        <w:t>requencies of event type (pie sectors</w:t>
      </w:r>
      <w:r w:rsidR="00C82017" w:rsidRPr="00AB06C8">
        <w:rPr>
          <w:rFonts w:ascii="Arial" w:hAnsi="Arial" w:cs="Arial"/>
          <w:sz w:val="20"/>
          <w:szCs w:val="20"/>
        </w:rPr>
        <w:t>) across</w:t>
      </w:r>
      <w:r w:rsidR="006A2ACD">
        <w:rPr>
          <w:rFonts w:ascii="Arial" w:hAnsi="Arial" w:cs="Arial"/>
          <w:sz w:val="20"/>
          <w:szCs w:val="20"/>
        </w:rPr>
        <w:t xml:space="preserve"> the</w:t>
      </w:r>
      <w:r w:rsidR="00C82017" w:rsidRPr="00AB06C8">
        <w:rPr>
          <w:rFonts w:ascii="Arial" w:hAnsi="Arial" w:cs="Arial"/>
          <w:sz w:val="20"/>
          <w:szCs w:val="20"/>
        </w:rPr>
        <w:t xml:space="preserve"> </w:t>
      </w:r>
      <w:r w:rsidR="006A2ACD">
        <w:rPr>
          <w:rFonts w:ascii="Arial" w:hAnsi="Arial" w:cs="Arial"/>
          <w:sz w:val="20"/>
          <w:szCs w:val="20"/>
        </w:rPr>
        <w:t xml:space="preserve">whole-genome sequenced </w:t>
      </w:r>
      <w:r w:rsidR="00C82017" w:rsidRPr="00AB06C8">
        <w:rPr>
          <w:rFonts w:ascii="Arial" w:hAnsi="Arial" w:cs="Arial"/>
          <w:sz w:val="20"/>
          <w:szCs w:val="20"/>
        </w:rPr>
        <w:t xml:space="preserve">meningioma cohort. (C) Comparison of number of rearrangements (y-axis) </w:t>
      </w:r>
      <w:r w:rsidR="006A2ACD">
        <w:rPr>
          <w:rFonts w:ascii="Arial" w:hAnsi="Arial" w:cs="Arial"/>
          <w:sz w:val="20"/>
          <w:szCs w:val="20"/>
        </w:rPr>
        <w:t xml:space="preserve">classified as </w:t>
      </w:r>
      <w:r w:rsidR="00C82017" w:rsidRPr="00AB06C8">
        <w:rPr>
          <w:rFonts w:ascii="Arial" w:hAnsi="Arial" w:cs="Arial"/>
          <w:sz w:val="20"/>
          <w:szCs w:val="20"/>
        </w:rPr>
        <w:t xml:space="preserve">complex </w:t>
      </w:r>
      <w:r w:rsidR="006A2ACD">
        <w:rPr>
          <w:rFonts w:ascii="Arial" w:hAnsi="Arial" w:cs="Arial"/>
          <w:sz w:val="20"/>
          <w:szCs w:val="20"/>
        </w:rPr>
        <w:t xml:space="preserve">or </w:t>
      </w:r>
      <w:r w:rsidR="00C82017" w:rsidRPr="00AB06C8">
        <w:rPr>
          <w:rFonts w:ascii="Arial" w:hAnsi="Arial" w:cs="Arial"/>
          <w:sz w:val="20"/>
          <w:szCs w:val="20"/>
        </w:rPr>
        <w:t xml:space="preserve">simple </w:t>
      </w:r>
      <w:r w:rsidR="006A2ACD">
        <w:rPr>
          <w:rFonts w:ascii="Arial" w:hAnsi="Arial" w:cs="Arial"/>
          <w:sz w:val="20"/>
          <w:szCs w:val="20"/>
        </w:rPr>
        <w:t xml:space="preserve">(x-axis) events, and stratified </w:t>
      </w:r>
      <w:r w:rsidR="00C82017" w:rsidRPr="00AB06C8">
        <w:rPr>
          <w:rFonts w:ascii="Arial" w:hAnsi="Arial" w:cs="Arial"/>
          <w:sz w:val="20"/>
          <w:szCs w:val="20"/>
        </w:rPr>
        <w:t xml:space="preserve">by intrachromosomal </w:t>
      </w:r>
      <w:r w:rsidR="00007268">
        <w:rPr>
          <w:rFonts w:ascii="Arial" w:hAnsi="Arial" w:cs="Arial"/>
          <w:sz w:val="20"/>
          <w:szCs w:val="20"/>
        </w:rPr>
        <w:t>(black) versus</w:t>
      </w:r>
      <w:r w:rsidR="008964ED">
        <w:rPr>
          <w:rFonts w:ascii="Arial" w:hAnsi="Arial" w:cs="Arial"/>
          <w:sz w:val="20"/>
          <w:szCs w:val="20"/>
        </w:rPr>
        <w:t xml:space="preserve"> interchromosomal (gra</w:t>
      </w:r>
      <w:r w:rsidR="00C82017" w:rsidRPr="00AB06C8">
        <w:rPr>
          <w:rFonts w:ascii="Arial" w:hAnsi="Arial" w:cs="Arial"/>
          <w:sz w:val="20"/>
          <w:szCs w:val="20"/>
        </w:rPr>
        <w:t xml:space="preserve">y) status. </w:t>
      </w:r>
      <w:r w:rsidR="000F7988">
        <w:rPr>
          <w:rFonts w:ascii="Arial" w:hAnsi="Arial" w:cs="Arial"/>
          <w:sz w:val="20"/>
          <w:szCs w:val="20"/>
        </w:rPr>
        <w:t xml:space="preserve">(D) Copy number ratio (y-axis) across the genome (x-axis) for total copy ratio (top) and allele-specific copy ratio (bottom). </w:t>
      </w:r>
    </w:p>
    <w:p w14:paraId="01FACD27" w14:textId="77777777" w:rsidR="003B5DA8" w:rsidRDefault="003B5DA8" w:rsidP="00C82017">
      <w:pPr>
        <w:rPr>
          <w:rFonts w:ascii="Arial" w:hAnsi="Arial" w:cs="Arial"/>
          <w:b/>
          <w:sz w:val="20"/>
          <w:szCs w:val="20"/>
        </w:rPr>
      </w:pPr>
      <w:r w:rsidRPr="003B5DA8">
        <w:rPr>
          <w:rFonts w:ascii="Arial" w:hAnsi="Arial" w:cs="Arial"/>
          <w:b/>
          <w:noProof/>
          <w:sz w:val="20"/>
          <w:szCs w:val="20"/>
        </w:rPr>
        <w:lastRenderedPageBreak/>
        <w:drawing>
          <wp:inline distT="0" distB="0" distL="0" distR="0" wp14:anchorId="30460A8F" wp14:editId="0A0FEBAA">
            <wp:extent cx="5943600" cy="7691718"/>
            <wp:effectExtent l="0" t="0" r="0" b="5080"/>
            <wp:docPr id="4" name="Picture 4" descr="C:\Users\Noah\Dropbox\Work\Meningioma\Figures\Supplementary Figure 4__2016.11.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Noah\Dropbox\Work\Meningioma\Figures\Supplementary Figure 4__2016.11.1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6917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9D0D30" w14:textId="21462CB8" w:rsidR="00C82017" w:rsidRPr="00AB06C8" w:rsidRDefault="00662DB7" w:rsidP="00C82017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Supplementary Figure 5</w:t>
      </w:r>
      <w:r w:rsidR="00C82017" w:rsidRPr="00AB06C8">
        <w:rPr>
          <w:rFonts w:ascii="Arial" w:hAnsi="Arial" w:cs="Arial"/>
          <w:b/>
          <w:sz w:val="20"/>
          <w:szCs w:val="20"/>
        </w:rPr>
        <w:t xml:space="preserve">. </w:t>
      </w:r>
      <w:r w:rsidR="00C82017" w:rsidRPr="00AB06C8">
        <w:rPr>
          <w:rFonts w:ascii="Arial" w:hAnsi="Arial" w:cs="Arial"/>
          <w:sz w:val="20"/>
          <w:szCs w:val="20"/>
        </w:rPr>
        <w:t>Heterogeneity</w:t>
      </w:r>
      <w:r w:rsidR="00013145">
        <w:rPr>
          <w:rFonts w:ascii="Arial" w:hAnsi="Arial" w:cs="Arial"/>
          <w:sz w:val="20"/>
          <w:szCs w:val="20"/>
        </w:rPr>
        <w:t xml:space="preserve"> in meningioma recurrences. </w:t>
      </w:r>
      <w:r w:rsidR="00C82017" w:rsidRPr="00AB06C8">
        <w:rPr>
          <w:rFonts w:ascii="Arial" w:hAnsi="Arial" w:cs="Arial"/>
          <w:sz w:val="20"/>
          <w:szCs w:val="20"/>
        </w:rPr>
        <w:t>Log</w:t>
      </w:r>
      <w:r w:rsidR="00C82017" w:rsidRPr="00AB06C8">
        <w:rPr>
          <w:rFonts w:ascii="Arial" w:hAnsi="Arial" w:cs="Arial"/>
          <w:sz w:val="20"/>
          <w:szCs w:val="20"/>
          <w:vertAlign w:val="subscript"/>
        </w:rPr>
        <w:t>2</w:t>
      </w:r>
      <w:r w:rsidR="00C82017" w:rsidRPr="00AB06C8">
        <w:rPr>
          <w:rFonts w:ascii="Arial" w:hAnsi="Arial" w:cs="Arial"/>
          <w:sz w:val="20"/>
          <w:szCs w:val="20"/>
        </w:rPr>
        <w:t xml:space="preserve"> fold change in the total number of mutations (y-axis) from subsequent recurrences of the same patient (x-axis). </w:t>
      </w:r>
    </w:p>
    <w:p w14:paraId="5D0FB0DF" w14:textId="77777777" w:rsidR="00C82017" w:rsidRPr="00AB06C8" w:rsidRDefault="00C82017" w:rsidP="00C82017">
      <w:pPr>
        <w:rPr>
          <w:rFonts w:ascii="Arial" w:hAnsi="Arial" w:cs="Arial"/>
          <w:sz w:val="20"/>
          <w:szCs w:val="20"/>
        </w:rPr>
      </w:pPr>
    </w:p>
    <w:p w14:paraId="3E0141F7" w14:textId="38147A0B" w:rsidR="00C82017" w:rsidRPr="00AB06C8" w:rsidRDefault="008A51E5" w:rsidP="00C82017">
      <w:pPr>
        <w:rPr>
          <w:rFonts w:ascii="Arial" w:hAnsi="Arial" w:cs="Arial"/>
          <w:sz w:val="20"/>
          <w:szCs w:val="20"/>
        </w:rPr>
      </w:pPr>
      <w:r w:rsidRPr="008A51E5">
        <w:rPr>
          <w:rFonts w:ascii="Arial" w:hAnsi="Arial" w:cs="Arial"/>
          <w:b/>
          <w:noProof/>
          <w:sz w:val="20"/>
          <w:szCs w:val="20"/>
        </w:rPr>
        <w:drawing>
          <wp:inline distT="0" distB="0" distL="0" distR="0" wp14:anchorId="1FD098D3" wp14:editId="208395BF">
            <wp:extent cx="5443297" cy="7044267"/>
            <wp:effectExtent l="0" t="0" r="5080" b="4445"/>
            <wp:docPr id="5" name="Picture 5" descr="C:\Users\Noah\Dropbox\Work\Meningioma\Figures\Supplementary Figure 5__2016.11.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oah\Dropbox\Work\Meningioma\Figures\Supplementary Figure 5__2016.11.1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5096" cy="7046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62DB7">
        <w:rPr>
          <w:rFonts w:ascii="Arial" w:hAnsi="Arial" w:cs="Arial"/>
          <w:b/>
          <w:sz w:val="20"/>
          <w:szCs w:val="20"/>
        </w:rPr>
        <w:t>Supplementary Figure 6</w:t>
      </w:r>
      <w:r w:rsidR="00C82017" w:rsidRPr="00AB06C8">
        <w:rPr>
          <w:rFonts w:ascii="Arial" w:hAnsi="Arial" w:cs="Arial"/>
          <w:b/>
          <w:sz w:val="20"/>
          <w:szCs w:val="20"/>
        </w:rPr>
        <w:t>.</w:t>
      </w:r>
      <w:r w:rsidR="00C82017" w:rsidRPr="00AB06C8">
        <w:rPr>
          <w:rFonts w:ascii="Arial" w:hAnsi="Arial" w:cs="Arial"/>
          <w:sz w:val="20"/>
          <w:szCs w:val="20"/>
        </w:rPr>
        <w:t xml:space="preserve"> Temporal relationship betw</w:t>
      </w:r>
      <w:r>
        <w:rPr>
          <w:rFonts w:ascii="Arial" w:hAnsi="Arial" w:cs="Arial"/>
          <w:sz w:val="20"/>
          <w:szCs w:val="20"/>
        </w:rPr>
        <w:t>een</w:t>
      </w:r>
      <w:r w:rsidR="00013145">
        <w:rPr>
          <w:rFonts w:ascii="Arial" w:hAnsi="Arial" w:cs="Arial"/>
          <w:sz w:val="20"/>
          <w:szCs w:val="20"/>
        </w:rPr>
        <w:t xml:space="preserve"> mutation status across</w:t>
      </w:r>
      <w:r>
        <w:rPr>
          <w:rFonts w:ascii="Arial" w:hAnsi="Arial" w:cs="Arial"/>
          <w:sz w:val="20"/>
          <w:szCs w:val="20"/>
        </w:rPr>
        <w:t xml:space="preserve"> meningioma recurrences. (A–D</w:t>
      </w:r>
      <w:r w:rsidR="00C82017" w:rsidRPr="00AB06C8">
        <w:rPr>
          <w:rFonts w:ascii="Arial" w:hAnsi="Arial" w:cs="Arial"/>
          <w:sz w:val="20"/>
          <w:szCs w:val="20"/>
        </w:rPr>
        <w:t xml:space="preserve">) Phylogenetic trees for patients with </w:t>
      </w:r>
      <w:r w:rsidR="00013145">
        <w:rPr>
          <w:rFonts w:ascii="Arial" w:hAnsi="Arial" w:cs="Arial"/>
          <w:sz w:val="20"/>
          <w:szCs w:val="20"/>
        </w:rPr>
        <w:t>serial recurrences</w:t>
      </w:r>
      <w:r w:rsidR="00C82017" w:rsidRPr="00AB06C8">
        <w:rPr>
          <w:rFonts w:ascii="Arial" w:hAnsi="Arial" w:cs="Arial"/>
          <w:sz w:val="20"/>
          <w:szCs w:val="20"/>
        </w:rPr>
        <w:t xml:space="preserve">. </w:t>
      </w:r>
    </w:p>
    <w:p w14:paraId="514C6A3C" w14:textId="77777777" w:rsidR="00C82017" w:rsidRPr="00AB06C8" w:rsidRDefault="00C82017" w:rsidP="00C82017">
      <w:pPr>
        <w:rPr>
          <w:rFonts w:ascii="Arial" w:hAnsi="Arial" w:cs="Arial"/>
          <w:sz w:val="20"/>
          <w:szCs w:val="20"/>
        </w:rPr>
      </w:pPr>
    </w:p>
    <w:p w14:paraId="7B9460E7" w14:textId="77777777" w:rsidR="00C82017" w:rsidRPr="00AB06C8" w:rsidRDefault="00C82017" w:rsidP="00C82017">
      <w:pPr>
        <w:rPr>
          <w:rFonts w:ascii="Arial" w:hAnsi="Arial" w:cs="Arial"/>
          <w:sz w:val="20"/>
          <w:szCs w:val="20"/>
        </w:rPr>
      </w:pPr>
    </w:p>
    <w:p w14:paraId="06566759" w14:textId="77777777" w:rsidR="00C82017" w:rsidRDefault="00C82017" w:rsidP="00C82017">
      <w:pPr>
        <w:rPr>
          <w:rFonts w:ascii="Arial" w:hAnsi="Arial" w:cs="Arial"/>
          <w:b/>
          <w:sz w:val="20"/>
          <w:szCs w:val="20"/>
        </w:rPr>
      </w:pPr>
    </w:p>
    <w:p w14:paraId="3BC76453" w14:textId="77777777" w:rsidR="00C82017" w:rsidRPr="00AB06C8" w:rsidRDefault="00C82017" w:rsidP="00C82017">
      <w:pPr>
        <w:jc w:val="center"/>
        <w:rPr>
          <w:rFonts w:ascii="Arial" w:hAnsi="Arial" w:cs="Arial"/>
          <w:b/>
          <w:sz w:val="20"/>
          <w:szCs w:val="20"/>
        </w:rPr>
      </w:pPr>
      <w:r w:rsidRPr="00AB06C8">
        <w:rPr>
          <w:rFonts w:ascii="Arial" w:hAnsi="Arial" w:cs="Arial"/>
          <w:b/>
          <w:sz w:val="20"/>
          <w:szCs w:val="20"/>
        </w:rPr>
        <w:t>Supplementary Table Legends</w:t>
      </w:r>
    </w:p>
    <w:p w14:paraId="6B609752" w14:textId="77777777" w:rsidR="00C82017" w:rsidRPr="00AB06C8" w:rsidRDefault="00C82017" w:rsidP="00C82017">
      <w:pPr>
        <w:jc w:val="center"/>
        <w:rPr>
          <w:rFonts w:ascii="Arial" w:hAnsi="Arial" w:cs="Arial"/>
          <w:b/>
          <w:sz w:val="20"/>
          <w:szCs w:val="20"/>
        </w:rPr>
      </w:pPr>
    </w:p>
    <w:p w14:paraId="739A1674" w14:textId="0B4B1354" w:rsidR="00C82017" w:rsidRPr="00AB06C8" w:rsidRDefault="00C82017" w:rsidP="00C82017">
      <w:pPr>
        <w:rPr>
          <w:rFonts w:ascii="Arial" w:hAnsi="Arial" w:cs="Arial"/>
          <w:sz w:val="20"/>
          <w:szCs w:val="20"/>
        </w:rPr>
      </w:pPr>
      <w:r w:rsidRPr="00AB06C8">
        <w:rPr>
          <w:rFonts w:ascii="Arial" w:hAnsi="Arial" w:cs="Arial"/>
          <w:b/>
          <w:sz w:val="20"/>
          <w:szCs w:val="20"/>
        </w:rPr>
        <w:t>Supplementary Table 1</w:t>
      </w:r>
      <w:r w:rsidRPr="00AB06C8">
        <w:rPr>
          <w:rFonts w:ascii="Arial" w:hAnsi="Arial" w:cs="Arial"/>
          <w:sz w:val="20"/>
          <w:szCs w:val="20"/>
        </w:rPr>
        <w:t xml:space="preserve">. Sample information of sequenced meningiomas. </w:t>
      </w:r>
      <w:r w:rsidR="004763DC">
        <w:rPr>
          <w:rFonts w:ascii="Arial" w:hAnsi="Arial" w:cs="Arial"/>
          <w:sz w:val="20"/>
          <w:szCs w:val="20"/>
        </w:rPr>
        <w:t>-, not available</w:t>
      </w:r>
    </w:p>
    <w:p w14:paraId="795C4F1B" w14:textId="77777777" w:rsidR="00C82017" w:rsidRPr="00AB06C8" w:rsidRDefault="00C82017" w:rsidP="00C82017">
      <w:pPr>
        <w:rPr>
          <w:rFonts w:ascii="Arial" w:hAnsi="Arial" w:cs="Arial"/>
          <w:sz w:val="20"/>
          <w:szCs w:val="20"/>
        </w:rPr>
      </w:pPr>
    </w:p>
    <w:p w14:paraId="6553BF75" w14:textId="77777777" w:rsidR="00C82017" w:rsidRPr="00AB06C8" w:rsidRDefault="00C82017" w:rsidP="00C82017">
      <w:pPr>
        <w:rPr>
          <w:rFonts w:ascii="Arial" w:hAnsi="Arial" w:cs="Arial"/>
          <w:sz w:val="20"/>
          <w:szCs w:val="20"/>
        </w:rPr>
      </w:pPr>
      <w:r w:rsidRPr="00AB06C8">
        <w:rPr>
          <w:rFonts w:ascii="Arial" w:hAnsi="Arial" w:cs="Arial"/>
          <w:b/>
          <w:sz w:val="20"/>
          <w:szCs w:val="20"/>
        </w:rPr>
        <w:t>Supplementary Table 2</w:t>
      </w:r>
      <w:r w:rsidRPr="00AB06C8">
        <w:rPr>
          <w:rFonts w:ascii="Arial" w:hAnsi="Arial" w:cs="Arial"/>
          <w:sz w:val="20"/>
          <w:szCs w:val="20"/>
        </w:rPr>
        <w:t>. Mutations identified from whole-exome or whole-genome sequencing.</w:t>
      </w:r>
    </w:p>
    <w:p w14:paraId="58E4E70F" w14:textId="77777777" w:rsidR="00C82017" w:rsidRPr="00AB06C8" w:rsidRDefault="00C82017" w:rsidP="00C82017">
      <w:pPr>
        <w:rPr>
          <w:rFonts w:ascii="Arial" w:hAnsi="Arial" w:cs="Arial"/>
          <w:sz w:val="20"/>
          <w:szCs w:val="20"/>
        </w:rPr>
      </w:pPr>
    </w:p>
    <w:p w14:paraId="60811871" w14:textId="77777777" w:rsidR="00C82017" w:rsidRPr="00AB06C8" w:rsidRDefault="00C82017" w:rsidP="00C82017">
      <w:pPr>
        <w:rPr>
          <w:rFonts w:ascii="Arial" w:hAnsi="Arial" w:cs="Arial"/>
          <w:sz w:val="20"/>
          <w:szCs w:val="20"/>
        </w:rPr>
      </w:pPr>
      <w:r w:rsidRPr="00AB06C8">
        <w:rPr>
          <w:rFonts w:ascii="Arial" w:hAnsi="Arial" w:cs="Arial"/>
          <w:b/>
          <w:sz w:val="20"/>
          <w:szCs w:val="20"/>
        </w:rPr>
        <w:t>Supplementary Table 3</w:t>
      </w:r>
      <w:r w:rsidRPr="00AB06C8">
        <w:rPr>
          <w:rFonts w:ascii="Arial" w:hAnsi="Arial" w:cs="Arial"/>
          <w:sz w:val="20"/>
          <w:szCs w:val="20"/>
        </w:rPr>
        <w:t>. Genes sequenced in targeted sequencing extension cohort.</w:t>
      </w:r>
    </w:p>
    <w:p w14:paraId="539399C4" w14:textId="77777777" w:rsidR="00C82017" w:rsidRPr="00AB06C8" w:rsidRDefault="00C82017" w:rsidP="00C82017">
      <w:pPr>
        <w:rPr>
          <w:rFonts w:ascii="Arial" w:hAnsi="Arial" w:cs="Arial"/>
          <w:sz w:val="20"/>
          <w:szCs w:val="20"/>
        </w:rPr>
      </w:pPr>
    </w:p>
    <w:p w14:paraId="607ED190" w14:textId="77777777" w:rsidR="00C82017" w:rsidRPr="00AB06C8" w:rsidRDefault="00C82017" w:rsidP="00C82017">
      <w:pPr>
        <w:rPr>
          <w:rFonts w:ascii="Arial" w:hAnsi="Arial" w:cs="Arial"/>
          <w:sz w:val="20"/>
          <w:szCs w:val="20"/>
        </w:rPr>
      </w:pPr>
      <w:r w:rsidRPr="00AB06C8">
        <w:rPr>
          <w:rFonts w:ascii="Arial" w:hAnsi="Arial" w:cs="Arial"/>
          <w:b/>
          <w:sz w:val="20"/>
          <w:szCs w:val="20"/>
        </w:rPr>
        <w:t>Supplementary Table 4</w:t>
      </w:r>
      <w:r w:rsidRPr="00AB06C8">
        <w:rPr>
          <w:rFonts w:ascii="Arial" w:hAnsi="Arial" w:cs="Arial"/>
          <w:sz w:val="20"/>
          <w:szCs w:val="20"/>
        </w:rPr>
        <w:t xml:space="preserve">. Mutations identified from targeted capture sequencing. </w:t>
      </w:r>
    </w:p>
    <w:p w14:paraId="7C3A6796" w14:textId="77777777" w:rsidR="00C82017" w:rsidRPr="00AB06C8" w:rsidRDefault="00C82017" w:rsidP="00C82017">
      <w:pPr>
        <w:rPr>
          <w:rFonts w:ascii="Arial" w:hAnsi="Arial" w:cs="Arial"/>
          <w:sz w:val="20"/>
          <w:szCs w:val="20"/>
        </w:rPr>
      </w:pPr>
    </w:p>
    <w:p w14:paraId="73287D05" w14:textId="1D53CD91" w:rsidR="00C82017" w:rsidRPr="00AB06C8" w:rsidRDefault="00C82017" w:rsidP="00C82017">
      <w:pPr>
        <w:rPr>
          <w:rFonts w:ascii="Arial" w:hAnsi="Arial" w:cs="Arial"/>
          <w:sz w:val="20"/>
          <w:szCs w:val="20"/>
        </w:rPr>
      </w:pPr>
      <w:r w:rsidRPr="00AB06C8">
        <w:rPr>
          <w:rFonts w:ascii="Arial" w:hAnsi="Arial" w:cs="Arial"/>
          <w:b/>
          <w:sz w:val="20"/>
          <w:szCs w:val="20"/>
        </w:rPr>
        <w:t>Supplementary Table 5</w:t>
      </w:r>
      <w:r w:rsidR="00147424" w:rsidRPr="00147424">
        <w:rPr>
          <w:rFonts w:ascii="Arial" w:hAnsi="Arial" w:cs="Arial"/>
          <w:sz w:val="20"/>
          <w:szCs w:val="20"/>
        </w:rPr>
        <w:t>. (</w:t>
      </w:r>
      <w:r w:rsidRPr="00AB06C8">
        <w:rPr>
          <w:rFonts w:ascii="Arial" w:hAnsi="Arial" w:cs="Arial"/>
          <w:b/>
          <w:sz w:val="20"/>
          <w:szCs w:val="20"/>
        </w:rPr>
        <w:t>A</w:t>
      </w:r>
      <w:r w:rsidR="00147424">
        <w:rPr>
          <w:rFonts w:ascii="Arial" w:hAnsi="Arial" w:cs="Arial"/>
          <w:sz w:val="20"/>
          <w:szCs w:val="20"/>
        </w:rPr>
        <w:t>)</w:t>
      </w:r>
      <w:r w:rsidRPr="00AB06C8">
        <w:rPr>
          <w:rFonts w:ascii="Arial" w:hAnsi="Arial" w:cs="Arial"/>
          <w:sz w:val="20"/>
          <w:szCs w:val="20"/>
        </w:rPr>
        <w:t xml:space="preserve"> Rearrangements identified from whole-</w:t>
      </w:r>
      <w:r w:rsidR="00147424">
        <w:rPr>
          <w:rFonts w:ascii="Arial" w:hAnsi="Arial" w:cs="Arial"/>
          <w:sz w:val="20"/>
          <w:szCs w:val="20"/>
        </w:rPr>
        <w:t>genome or whole-exome sequencing.  (</w:t>
      </w:r>
      <w:r w:rsidRPr="00AB06C8">
        <w:rPr>
          <w:rFonts w:ascii="Arial" w:hAnsi="Arial" w:cs="Arial"/>
          <w:b/>
          <w:sz w:val="20"/>
          <w:szCs w:val="20"/>
        </w:rPr>
        <w:t>B</w:t>
      </w:r>
      <w:r w:rsidR="00147424">
        <w:rPr>
          <w:rFonts w:ascii="Arial" w:hAnsi="Arial" w:cs="Arial"/>
          <w:sz w:val="20"/>
          <w:szCs w:val="20"/>
        </w:rPr>
        <w:t>)</w:t>
      </w:r>
      <w:r w:rsidRPr="00AB06C8">
        <w:rPr>
          <w:rFonts w:ascii="Arial" w:hAnsi="Arial" w:cs="Arial"/>
          <w:sz w:val="20"/>
          <w:szCs w:val="20"/>
        </w:rPr>
        <w:t xml:space="preserve"> Genes with rearran</w:t>
      </w:r>
      <w:r w:rsidR="0055180A">
        <w:rPr>
          <w:rFonts w:ascii="Arial" w:hAnsi="Arial" w:cs="Arial"/>
          <w:sz w:val="20"/>
          <w:szCs w:val="20"/>
        </w:rPr>
        <w:t xml:space="preserve">gements in at least two samples. </w:t>
      </w:r>
    </w:p>
    <w:p w14:paraId="735111CA" w14:textId="77777777" w:rsidR="00C82017" w:rsidRPr="00AB06C8" w:rsidRDefault="00C82017" w:rsidP="00C82017">
      <w:pPr>
        <w:rPr>
          <w:rFonts w:ascii="Arial" w:hAnsi="Arial" w:cs="Arial"/>
          <w:sz w:val="20"/>
          <w:szCs w:val="20"/>
        </w:rPr>
      </w:pPr>
    </w:p>
    <w:p w14:paraId="08245EA8" w14:textId="77777777" w:rsidR="00C82017" w:rsidRDefault="00C82017" w:rsidP="00C82017">
      <w:pPr>
        <w:rPr>
          <w:rFonts w:ascii="Arial" w:hAnsi="Arial" w:cs="Arial"/>
          <w:sz w:val="20"/>
          <w:szCs w:val="20"/>
        </w:rPr>
      </w:pPr>
      <w:r w:rsidRPr="00AB06C8">
        <w:rPr>
          <w:rFonts w:ascii="Arial" w:hAnsi="Arial" w:cs="Arial"/>
          <w:b/>
          <w:bCs/>
          <w:sz w:val="20"/>
          <w:szCs w:val="20"/>
        </w:rPr>
        <w:t>Supplementary Table 6.</w:t>
      </w:r>
      <w:r w:rsidRPr="00AB06C8">
        <w:rPr>
          <w:rFonts w:ascii="Arial" w:hAnsi="Arial" w:cs="Arial"/>
          <w:bCs/>
          <w:sz w:val="20"/>
          <w:szCs w:val="20"/>
        </w:rPr>
        <w:t xml:space="preserve"> </w:t>
      </w:r>
      <w:r w:rsidRPr="00AB06C8">
        <w:rPr>
          <w:rFonts w:ascii="Arial" w:hAnsi="Arial" w:cs="Arial"/>
          <w:sz w:val="20"/>
          <w:szCs w:val="20"/>
        </w:rPr>
        <w:t xml:space="preserve">Descriptive information for patients with multiple sequenced samples. </w:t>
      </w:r>
    </w:p>
    <w:p w14:paraId="765018A3" w14:textId="77777777" w:rsidR="00C77FEA" w:rsidRPr="00AB06C8" w:rsidRDefault="00C77FEA" w:rsidP="00C82017">
      <w:pPr>
        <w:rPr>
          <w:rFonts w:ascii="Arial" w:hAnsi="Arial" w:cs="Arial"/>
          <w:sz w:val="20"/>
          <w:szCs w:val="20"/>
        </w:rPr>
      </w:pPr>
    </w:p>
    <w:p w14:paraId="79CE1B99" w14:textId="07379F41" w:rsidR="00C82017" w:rsidRDefault="00C82017" w:rsidP="00C82017">
      <w:pPr>
        <w:rPr>
          <w:rFonts w:ascii="Arial" w:hAnsi="Arial" w:cs="Arial"/>
          <w:sz w:val="20"/>
          <w:szCs w:val="20"/>
        </w:rPr>
      </w:pPr>
      <w:r w:rsidRPr="00AB06C8">
        <w:rPr>
          <w:rFonts w:ascii="Arial" w:hAnsi="Arial" w:cs="Arial"/>
          <w:b/>
          <w:sz w:val="20"/>
          <w:szCs w:val="20"/>
        </w:rPr>
        <w:t>Supplementary Table 7</w:t>
      </w:r>
      <w:r w:rsidR="00280F68">
        <w:rPr>
          <w:rFonts w:ascii="Arial" w:hAnsi="Arial" w:cs="Arial"/>
          <w:sz w:val="20"/>
          <w:szCs w:val="20"/>
        </w:rPr>
        <w:t>.</w:t>
      </w:r>
      <w:r w:rsidR="00662DB7">
        <w:rPr>
          <w:rFonts w:ascii="Arial" w:hAnsi="Arial" w:cs="Arial"/>
          <w:sz w:val="20"/>
          <w:szCs w:val="20"/>
        </w:rPr>
        <w:t xml:space="preserve"> Analysis of spatial heterogeneity for samples with two separate FFPE cores of the same resection sequenced. </w:t>
      </w:r>
    </w:p>
    <w:p w14:paraId="43AD0230" w14:textId="77777777" w:rsidR="00662DB7" w:rsidRDefault="00662DB7" w:rsidP="00C82017">
      <w:pPr>
        <w:rPr>
          <w:rFonts w:ascii="Arial" w:hAnsi="Arial" w:cs="Arial"/>
          <w:sz w:val="20"/>
          <w:szCs w:val="20"/>
        </w:rPr>
      </w:pPr>
    </w:p>
    <w:p w14:paraId="5F39CBDE" w14:textId="642E1FD4" w:rsidR="00662DB7" w:rsidRPr="00C82017" w:rsidRDefault="00662DB7" w:rsidP="00C82017">
      <w:pPr>
        <w:rPr>
          <w:rFonts w:ascii="Times New Roman" w:hAnsi="Times New Roman" w:cs="Times New Roman"/>
        </w:rPr>
      </w:pPr>
      <w:r>
        <w:rPr>
          <w:rFonts w:ascii="Arial" w:hAnsi="Arial" w:cs="Arial"/>
          <w:b/>
          <w:sz w:val="20"/>
          <w:szCs w:val="20"/>
        </w:rPr>
        <w:t>Supplementary Table 8</w:t>
      </w:r>
      <w:r>
        <w:rPr>
          <w:rFonts w:ascii="Arial" w:hAnsi="Arial" w:cs="Arial"/>
          <w:sz w:val="20"/>
          <w:szCs w:val="20"/>
        </w:rPr>
        <w:t>.</w:t>
      </w:r>
      <w:r w:rsidRPr="00AB06C8">
        <w:rPr>
          <w:rFonts w:ascii="Arial" w:hAnsi="Arial" w:cs="Arial"/>
          <w:sz w:val="20"/>
          <w:szCs w:val="20"/>
        </w:rPr>
        <w:t xml:space="preserve"> Predicted immunogenicity for mutations from whole-exome sequenced meningiomas.</w:t>
      </w:r>
    </w:p>
    <w:p w14:paraId="7305BC7B" w14:textId="77777777" w:rsidR="00C82017" w:rsidRDefault="00C82017" w:rsidP="00C82017">
      <w:pPr>
        <w:jc w:val="center"/>
      </w:pPr>
    </w:p>
    <w:sectPr w:rsidR="00C8201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7030B06" w14:textId="77777777" w:rsidR="00D85213" w:rsidRDefault="00D85213" w:rsidP="00C82017">
      <w:pPr>
        <w:spacing w:after="0" w:line="240" w:lineRule="auto"/>
      </w:pPr>
      <w:r>
        <w:separator/>
      </w:r>
    </w:p>
  </w:endnote>
  <w:endnote w:type="continuationSeparator" w:id="0">
    <w:p w14:paraId="0ADEC4BB" w14:textId="77777777" w:rsidR="00D85213" w:rsidRDefault="00D85213" w:rsidP="00C820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AA21712" w14:textId="77777777" w:rsidR="00D85213" w:rsidRDefault="00D85213" w:rsidP="00C82017">
      <w:pPr>
        <w:spacing w:after="0" w:line="240" w:lineRule="auto"/>
      </w:pPr>
      <w:r>
        <w:separator/>
      </w:r>
    </w:p>
  </w:footnote>
  <w:footnote w:type="continuationSeparator" w:id="0">
    <w:p w14:paraId="505A3146" w14:textId="77777777" w:rsidR="00D85213" w:rsidRDefault="00D85213" w:rsidP="00C8201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2017"/>
    <w:rsid w:val="00007268"/>
    <w:rsid w:val="00013145"/>
    <w:rsid w:val="00036D2D"/>
    <w:rsid w:val="000F3711"/>
    <w:rsid w:val="000F7988"/>
    <w:rsid w:val="00147424"/>
    <w:rsid w:val="00280F68"/>
    <w:rsid w:val="00297917"/>
    <w:rsid w:val="003343AA"/>
    <w:rsid w:val="003965B9"/>
    <w:rsid w:val="003B5DA8"/>
    <w:rsid w:val="004214AC"/>
    <w:rsid w:val="004763DC"/>
    <w:rsid w:val="004F6900"/>
    <w:rsid w:val="0055180A"/>
    <w:rsid w:val="00587D27"/>
    <w:rsid w:val="005947E0"/>
    <w:rsid w:val="00662DB7"/>
    <w:rsid w:val="00684D65"/>
    <w:rsid w:val="006A2ACD"/>
    <w:rsid w:val="006E65B8"/>
    <w:rsid w:val="00794FBE"/>
    <w:rsid w:val="008964ED"/>
    <w:rsid w:val="008A51E5"/>
    <w:rsid w:val="008E53B5"/>
    <w:rsid w:val="009045CD"/>
    <w:rsid w:val="00B3296E"/>
    <w:rsid w:val="00BB4B88"/>
    <w:rsid w:val="00C77FEA"/>
    <w:rsid w:val="00C82017"/>
    <w:rsid w:val="00C9297E"/>
    <w:rsid w:val="00CD532B"/>
    <w:rsid w:val="00D85213"/>
    <w:rsid w:val="00E431FA"/>
    <w:rsid w:val="00E96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2757C7"/>
  <w15:chartTrackingRefBased/>
  <w15:docId w15:val="{68AF55FF-33D5-4169-AA9E-DED1E5E616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8201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82017"/>
  </w:style>
  <w:style w:type="paragraph" w:styleId="Footer">
    <w:name w:val="footer"/>
    <w:basedOn w:val="Normal"/>
    <w:link w:val="FooterChar"/>
    <w:uiPriority w:val="99"/>
    <w:unhideWhenUsed/>
    <w:rsid w:val="00C8201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82017"/>
  </w:style>
  <w:style w:type="character" w:styleId="CommentReference">
    <w:name w:val="annotation reference"/>
    <w:basedOn w:val="DefaultParagraphFont"/>
    <w:uiPriority w:val="99"/>
    <w:semiHidden/>
    <w:unhideWhenUsed/>
    <w:rsid w:val="00036D2D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36D2D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36D2D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36D2D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36D2D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6D2D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6D2D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8</Pages>
  <Words>533</Words>
  <Characters>3041</Characters>
  <Application>Microsoft Office Word</Application>
  <DocSecurity>0</DocSecurity>
  <Lines>25</Lines>
  <Paragraphs>7</Paragraphs>
  <ScaleCrop>false</ScaleCrop>
  <Company/>
  <LinksUpToDate>false</LinksUpToDate>
  <CharactersWithSpaces>3567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Noah Greenwald</dc:creator>
  <cp:keywords/>
  <dc:description/>
  <cp:lastModifiedBy>Noah Greenwald</cp:lastModifiedBy>
  <cp:revision>24</cp:revision>
  <dcterms:created xsi:type="dcterms:W3CDTF">2016-11-16T17:23:00Z</dcterms:created>
  <dcterms:modified xsi:type="dcterms:W3CDTF">2017-02-24T18:16:00Z</dcterms:modified>
</cp:coreProperties>
</file>