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EC93" w14:textId="0A263B41" w:rsidR="00BA273A" w:rsidRPr="00F643EB" w:rsidRDefault="00BA273A" w:rsidP="00BA273A">
      <w:pPr>
        <w:jc w:val="center"/>
        <w:rPr>
          <w:b/>
          <w:bCs/>
          <w:sz w:val="28"/>
          <w:szCs w:val="28"/>
          <w:lang w:val="en-GB"/>
        </w:rPr>
      </w:pPr>
      <w:r w:rsidRPr="00F643EB">
        <w:rPr>
          <w:b/>
          <w:bCs/>
          <w:sz w:val="28"/>
          <w:szCs w:val="28"/>
          <w:lang w:val="en-GB"/>
        </w:rPr>
        <w:t xml:space="preserve">Supplementary </w:t>
      </w:r>
      <w:r w:rsidR="0039670D">
        <w:rPr>
          <w:b/>
          <w:bCs/>
          <w:sz w:val="28"/>
          <w:szCs w:val="28"/>
          <w:lang w:val="en-GB"/>
        </w:rPr>
        <w:t>Materials</w:t>
      </w:r>
    </w:p>
    <w:p w14:paraId="34E5F8C0" w14:textId="4A6F9CB6" w:rsidR="0045727C" w:rsidRPr="00F643EB" w:rsidRDefault="0045727C" w:rsidP="0045727C">
      <w:pPr>
        <w:jc w:val="center"/>
        <w:rPr>
          <w:rFonts w:cs="Arial"/>
          <w:b/>
          <w:bCs/>
          <w:lang w:val="en-GB"/>
        </w:rPr>
      </w:pPr>
      <w:r w:rsidRPr="00F643EB">
        <w:rPr>
          <w:rFonts w:cs="Arial"/>
          <w:b/>
          <w:bCs/>
          <w:sz w:val="28"/>
          <w:szCs w:val="28"/>
          <w:lang w:val="en-GB"/>
        </w:rPr>
        <w:t xml:space="preserve">Pharmacokinetic recall study of Estonian Biobank participants </w:t>
      </w:r>
      <w:r w:rsidR="00375F28">
        <w:rPr>
          <w:rFonts w:cs="Arial"/>
          <w:b/>
          <w:bCs/>
          <w:sz w:val="28"/>
          <w:szCs w:val="28"/>
          <w:lang w:val="en-GB"/>
        </w:rPr>
        <w:t>with</w:t>
      </w:r>
      <w:r w:rsidR="00375F28" w:rsidRPr="00F643EB">
        <w:rPr>
          <w:rFonts w:cs="Arial"/>
          <w:b/>
          <w:bCs/>
          <w:sz w:val="28"/>
          <w:szCs w:val="28"/>
          <w:lang w:val="en-GB"/>
        </w:rPr>
        <w:t xml:space="preserve"> </w:t>
      </w:r>
      <w:r w:rsidRPr="00F643EB">
        <w:rPr>
          <w:rFonts w:cs="Arial"/>
          <w:b/>
          <w:bCs/>
          <w:sz w:val="28"/>
          <w:szCs w:val="28"/>
          <w:lang w:val="en-GB"/>
        </w:rPr>
        <w:t xml:space="preserve">novel genetic variants in </w:t>
      </w:r>
      <w:r w:rsidRPr="00F643EB">
        <w:rPr>
          <w:rFonts w:cs="Arial"/>
          <w:b/>
          <w:bCs/>
          <w:i/>
          <w:iCs/>
          <w:sz w:val="28"/>
          <w:szCs w:val="28"/>
          <w:lang w:val="en-GB"/>
        </w:rPr>
        <w:t>CYP2C19</w:t>
      </w:r>
      <w:r w:rsidRPr="00F643EB">
        <w:rPr>
          <w:rFonts w:cs="Arial"/>
          <w:b/>
          <w:bCs/>
          <w:sz w:val="28"/>
          <w:szCs w:val="28"/>
          <w:lang w:val="en-GB"/>
        </w:rPr>
        <w:t xml:space="preserve"> and </w:t>
      </w:r>
      <w:r w:rsidRPr="00F643EB">
        <w:rPr>
          <w:rFonts w:cs="Arial"/>
          <w:b/>
          <w:bCs/>
          <w:i/>
          <w:iCs/>
          <w:sz w:val="28"/>
          <w:szCs w:val="28"/>
          <w:lang w:val="en-GB"/>
        </w:rPr>
        <w:t>CYP2D6</w:t>
      </w:r>
    </w:p>
    <w:p w14:paraId="35BE3ECF" w14:textId="77777777" w:rsidR="00216DED" w:rsidRPr="00F643EB" w:rsidRDefault="00216DED" w:rsidP="00216DED">
      <w:pPr>
        <w:rPr>
          <w:rFonts w:cs="Arial"/>
          <w:b/>
          <w:bCs/>
          <w:lang w:val="en-GB"/>
        </w:rPr>
      </w:pPr>
      <w:r w:rsidRPr="00F643EB">
        <w:rPr>
          <w:rFonts w:cs="Arial"/>
          <w:b/>
          <w:bCs/>
          <w:lang w:val="en-GB"/>
        </w:rPr>
        <w:t>Authors:</w:t>
      </w:r>
    </w:p>
    <w:p w14:paraId="5E7C5381" w14:textId="77777777" w:rsidR="00216DED" w:rsidRPr="00F643EB" w:rsidRDefault="00216DED" w:rsidP="00216DED">
      <w:pPr>
        <w:rPr>
          <w:rFonts w:cs="Arial"/>
          <w:vertAlign w:val="superscript"/>
          <w:lang w:val="en-GB"/>
        </w:rPr>
      </w:pPr>
      <w:r w:rsidRPr="00F643EB">
        <w:rPr>
          <w:rStyle w:val="normaltextrun"/>
          <w:rFonts w:cs="Arial"/>
          <w:lang w:val="en-GB"/>
        </w:rPr>
        <w:t>Kristi Krebs</w:t>
      </w:r>
      <w:r w:rsidRPr="00F643EB">
        <w:rPr>
          <w:rStyle w:val="normaltextrun"/>
          <w:rFonts w:cs="Arial"/>
          <w:vertAlign w:val="superscript"/>
          <w:lang w:val="en-GB"/>
        </w:rPr>
        <w:t>1*</w:t>
      </w:r>
      <w:r w:rsidRPr="00F643EB">
        <w:rPr>
          <w:rStyle w:val="normaltextrun"/>
          <w:rFonts w:cs="Arial"/>
          <w:lang w:val="en-GB"/>
        </w:rPr>
        <w:t>, Laura Birgit Luitva</w:t>
      </w:r>
      <w:r w:rsidRPr="00F643EB">
        <w:rPr>
          <w:rStyle w:val="normaltextrun"/>
          <w:rFonts w:cs="Arial"/>
          <w:vertAlign w:val="superscript"/>
          <w:lang w:val="en-GB"/>
        </w:rPr>
        <w:t>1,2*</w:t>
      </w:r>
      <w:r w:rsidRPr="00F643EB">
        <w:rPr>
          <w:rStyle w:val="normaltextrun"/>
          <w:rFonts w:cs="Arial"/>
          <w:lang w:val="en-GB"/>
        </w:rPr>
        <w:t>, Anette Caroline Kõre</w:t>
      </w:r>
      <w:r w:rsidRPr="00F643EB">
        <w:rPr>
          <w:rStyle w:val="normaltextrun"/>
          <w:rFonts w:cs="Arial"/>
          <w:vertAlign w:val="superscript"/>
          <w:lang w:val="en-GB"/>
        </w:rPr>
        <w:t>3</w:t>
      </w:r>
      <w:r w:rsidRPr="00F643EB">
        <w:rPr>
          <w:rStyle w:val="normaltextrun"/>
          <w:rFonts w:cs="Arial"/>
          <w:lang w:val="en-GB"/>
        </w:rPr>
        <w:t>, Raul Kokasaar</w:t>
      </w:r>
      <w:r w:rsidRPr="00F643EB">
        <w:rPr>
          <w:rStyle w:val="normaltextrun"/>
          <w:rFonts w:cs="Arial"/>
          <w:vertAlign w:val="superscript"/>
          <w:lang w:val="en-GB"/>
        </w:rPr>
        <w:t>4#</w:t>
      </w:r>
      <w:r w:rsidRPr="00F643EB">
        <w:rPr>
          <w:rStyle w:val="normaltextrun"/>
          <w:rFonts w:cs="Arial"/>
          <w:lang w:val="en-GB"/>
        </w:rPr>
        <w:t>, Maarja Jõeloo</w:t>
      </w:r>
      <w:r w:rsidRPr="00F643EB">
        <w:rPr>
          <w:rStyle w:val="normaltextrun"/>
          <w:rFonts w:cs="Arial"/>
          <w:vertAlign w:val="superscript"/>
          <w:lang w:val="en-GB"/>
        </w:rPr>
        <w:t>1</w:t>
      </w:r>
      <w:r w:rsidRPr="00F643EB">
        <w:rPr>
          <w:rStyle w:val="normaltextrun"/>
          <w:rFonts w:cs="Arial"/>
          <w:lang w:val="en-GB"/>
        </w:rPr>
        <w:t>, Georgi Hudjashov</w:t>
      </w:r>
      <w:r w:rsidRPr="00F643EB">
        <w:rPr>
          <w:rStyle w:val="normaltextrun"/>
          <w:rFonts w:cs="Arial"/>
          <w:vertAlign w:val="superscript"/>
          <w:lang w:val="en-GB"/>
        </w:rPr>
        <w:t>1</w:t>
      </w:r>
      <w:r w:rsidRPr="00F643EB">
        <w:rPr>
          <w:rStyle w:val="normaltextrun"/>
          <w:rFonts w:cs="Arial"/>
          <w:lang w:val="en-GB"/>
        </w:rPr>
        <w:t>, Kadri Maal</w:t>
      </w:r>
      <w:r w:rsidRPr="00F643EB">
        <w:rPr>
          <w:rStyle w:val="normaltextrun"/>
          <w:rFonts w:cs="Arial"/>
          <w:vertAlign w:val="superscript"/>
          <w:lang w:val="en-GB"/>
        </w:rPr>
        <w:t>1</w:t>
      </w:r>
      <w:r w:rsidRPr="00F643EB">
        <w:rPr>
          <w:rStyle w:val="normaltextrun"/>
          <w:rFonts w:cs="Arial"/>
          <w:lang w:val="en-GB"/>
        </w:rPr>
        <w:t>, Elisabet Størset</w:t>
      </w:r>
      <w:r w:rsidRPr="00F643EB">
        <w:rPr>
          <w:rStyle w:val="normaltextrun"/>
          <w:rFonts w:cs="Arial"/>
          <w:vertAlign w:val="superscript"/>
          <w:lang w:val="en-GB"/>
        </w:rPr>
        <w:t>5,6</w:t>
      </w:r>
      <w:r w:rsidRPr="00F643EB">
        <w:rPr>
          <w:rStyle w:val="normaltextrun"/>
          <w:rFonts w:cs="Arial"/>
          <w:lang w:val="en-GB"/>
        </w:rPr>
        <w:t>, Birgit Malene Wollmann</w:t>
      </w:r>
      <w:r w:rsidRPr="00F643EB">
        <w:rPr>
          <w:rStyle w:val="normaltextrun"/>
          <w:rFonts w:cs="Arial"/>
          <w:vertAlign w:val="superscript"/>
          <w:lang w:val="en-GB"/>
        </w:rPr>
        <w:t>5</w:t>
      </w:r>
      <w:r w:rsidRPr="00F643EB" w:rsidDel="2972708C">
        <w:rPr>
          <w:rStyle w:val="normaltextrun"/>
          <w:rFonts w:cs="Arial"/>
          <w:lang w:val="en-GB"/>
        </w:rPr>
        <w:t>,</w:t>
      </w:r>
      <w:r w:rsidRPr="00F643EB">
        <w:rPr>
          <w:rStyle w:val="normaltextrun"/>
          <w:rFonts w:cs="Arial"/>
          <w:lang w:val="en-GB"/>
        </w:rPr>
        <w:t xml:space="preserve"> Liis Karo-Astover</w:t>
      </w:r>
      <w:r w:rsidRPr="00F643EB">
        <w:rPr>
          <w:rStyle w:val="normaltextrun"/>
          <w:rFonts w:cs="Arial"/>
          <w:vertAlign w:val="superscript"/>
          <w:lang w:val="en-GB"/>
        </w:rPr>
        <w:t>1</w:t>
      </w:r>
      <w:r w:rsidRPr="00F643EB">
        <w:rPr>
          <w:rStyle w:val="normaltextrun"/>
          <w:rFonts w:cs="Arial"/>
          <w:lang w:val="en-GB"/>
        </w:rPr>
        <w:t>, Krista Fischer</w:t>
      </w:r>
      <w:r w:rsidRPr="00F643EB">
        <w:rPr>
          <w:rStyle w:val="normaltextrun"/>
          <w:rFonts w:cs="Arial"/>
          <w:vertAlign w:val="superscript"/>
          <w:lang w:val="en-GB"/>
        </w:rPr>
        <w:t>1,2</w:t>
      </w:r>
      <w:r w:rsidRPr="00F643EB">
        <w:rPr>
          <w:rStyle w:val="normaltextrun"/>
          <w:rFonts w:cs="Arial"/>
          <w:lang w:val="en-GB"/>
        </w:rPr>
        <w:t>, Estonian Biobank Research Team</w:t>
      </w:r>
      <w:r w:rsidRPr="00F643EB">
        <w:rPr>
          <w:rStyle w:val="normaltextrun"/>
          <w:rFonts w:cs="Arial"/>
          <w:vertAlign w:val="superscript"/>
          <w:lang w:val="en-GB"/>
        </w:rPr>
        <w:t>1</w:t>
      </w:r>
      <w:r w:rsidRPr="00F643EB">
        <w:rPr>
          <w:rStyle w:val="normaltextrun"/>
          <w:rFonts w:cs="Arial"/>
          <w:lang w:val="en-GB"/>
        </w:rPr>
        <w:t>, Volker M Lauschke</w:t>
      </w:r>
      <w:r w:rsidRPr="00F643EB">
        <w:rPr>
          <w:rStyle w:val="normaltextrun"/>
          <w:rFonts w:cs="Arial"/>
          <w:vertAlign w:val="superscript"/>
          <w:lang w:val="en-GB"/>
        </w:rPr>
        <w:t>7,8,9,10</w:t>
      </w:r>
      <w:r w:rsidRPr="00F643EB">
        <w:rPr>
          <w:rStyle w:val="normaltextrun"/>
          <w:rFonts w:cs="Arial"/>
          <w:lang w:val="en-GB"/>
        </w:rPr>
        <w:t xml:space="preserve">, </w:t>
      </w:r>
      <w:r w:rsidRPr="00F643EB">
        <w:rPr>
          <w:rStyle w:val="normaltextrun"/>
          <w:rFonts w:cs="Arial"/>
          <w:color w:val="000000" w:themeColor="text1"/>
          <w:lang w:val="en-GB"/>
        </w:rPr>
        <w:t>Magnus Ingelman-Sundberg</w:t>
      </w:r>
      <w:r w:rsidRPr="00F643EB">
        <w:rPr>
          <w:rStyle w:val="normaltextrun"/>
          <w:rFonts w:cs="Arial"/>
          <w:color w:val="000000" w:themeColor="text1"/>
          <w:vertAlign w:val="superscript"/>
          <w:lang w:val="en-GB"/>
        </w:rPr>
        <w:t>7</w:t>
      </w:r>
      <w:r w:rsidRPr="00F643EB">
        <w:rPr>
          <w:rStyle w:val="normaltextrun"/>
          <w:rFonts w:cs="Arial"/>
          <w:lang w:val="en-GB"/>
        </w:rPr>
        <w:t>, Espen Molden</w:t>
      </w:r>
      <w:r w:rsidRPr="00F643EB">
        <w:rPr>
          <w:rStyle w:val="normaltextrun"/>
          <w:rFonts w:cs="Arial"/>
          <w:vertAlign w:val="superscript"/>
          <w:lang w:val="en-GB"/>
        </w:rPr>
        <w:t>5,6</w:t>
      </w:r>
      <w:r w:rsidRPr="00F643EB">
        <w:rPr>
          <w:rStyle w:val="normaltextrun"/>
          <w:rFonts w:cs="Arial"/>
          <w:lang w:val="en-GB"/>
        </w:rPr>
        <w:t>, Alar Irs</w:t>
      </w:r>
      <w:r w:rsidRPr="00F643EB">
        <w:rPr>
          <w:rStyle w:val="normaltextrun"/>
          <w:rFonts w:cs="Arial"/>
          <w:vertAlign w:val="superscript"/>
          <w:lang w:val="en-GB"/>
        </w:rPr>
        <w:t>3</w:t>
      </w:r>
      <w:r w:rsidRPr="00F643EB">
        <w:rPr>
          <w:rStyle w:val="normaltextrun"/>
          <w:rFonts w:cs="Arial"/>
          <w:lang w:val="en-GB"/>
        </w:rPr>
        <w:t>, Kersti Oselin</w:t>
      </w:r>
      <w:r w:rsidRPr="00F643EB">
        <w:rPr>
          <w:rStyle w:val="normaltextrun"/>
          <w:rFonts w:cs="Arial"/>
          <w:vertAlign w:val="superscript"/>
          <w:lang w:val="en-GB"/>
        </w:rPr>
        <w:t>4</w:t>
      </w:r>
      <w:r w:rsidRPr="00F643EB">
        <w:rPr>
          <w:rStyle w:val="normaltextrun"/>
          <w:rFonts w:cs="Arial"/>
          <w:lang w:val="en-GB"/>
        </w:rPr>
        <w:t>, Jana Lass</w:t>
      </w:r>
      <w:r w:rsidRPr="00F643EB">
        <w:rPr>
          <w:rStyle w:val="normaltextrun"/>
          <w:rFonts w:cs="Arial"/>
          <w:vertAlign w:val="superscript"/>
          <w:lang w:val="en-GB"/>
        </w:rPr>
        <w:t>1,3,11</w:t>
      </w:r>
      <w:r w:rsidRPr="00F643EB">
        <w:rPr>
          <w:rFonts w:cs="Arial"/>
          <w:sz w:val="22"/>
          <w:szCs w:val="22"/>
          <w:vertAlign w:val="superscript"/>
          <w:lang w:val="en-GB" w:eastAsia="en-GB"/>
        </w:rPr>
        <w:t>‡</w:t>
      </w:r>
      <w:r w:rsidRPr="00F643EB">
        <w:rPr>
          <w:rStyle w:val="normaltextrun"/>
          <w:rFonts w:cs="Arial"/>
          <w:lang w:val="en-GB"/>
        </w:rPr>
        <w:t xml:space="preserve"> and Lili Milani</w:t>
      </w:r>
      <w:r w:rsidRPr="00F643EB">
        <w:rPr>
          <w:rStyle w:val="normaltextrun"/>
          <w:rFonts w:cs="Arial"/>
          <w:vertAlign w:val="superscript"/>
          <w:lang w:val="en-GB"/>
        </w:rPr>
        <w:t>1</w:t>
      </w:r>
      <w:r w:rsidRPr="00F643EB">
        <w:rPr>
          <w:rFonts w:cs="Arial"/>
          <w:sz w:val="22"/>
          <w:szCs w:val="22"/>
          <w:vertAlign w:val="superscript"/>
          <w:lang w:val="en-GB" w:eastAsia="en-GB"/>
        </w:rPr>
        <w:t>‡</w:t>
      </w:r>
    </w:p>
    <w:p w14:paraId="629C6091" w14:textId="77777777" w:rsidR="00216DED" w:rsidRPr="00F643EB" w:rsidRDefault="00216DED" w:rsidP="00216DED">
      <w:pPr>
        <w:pStyle w:val="ListParagraph"/>
        <w:numPr>
          <w:ilvl w:val="0"/>
          <w:numId w:val="2"/>
        </w:numPr>
        <w:rPr>
          <w:rFonts w:cs="Arial"/>
          <w:lang w:val="en-GB"/>
        </w:rPr>
      </w:pPr>
      <w:r w:rsidRPr="00F643EB">
        <w:rPr>
          <w:rFonts w:cs="Arial"/>
          <w:lang w:val="en-GB"/>
        </w:rPr>
        <w:t>Estonian Genome Centre, Institute of Genomics, University of Tartu, Tartu, Estonia</w:t>
      </w:r>
    </w:p>
    <w:p w14:paraId="24317950" w14:textId="77777777" w:rsidR="00216DED" w:rsidRPr="00F643EB" w:rsidRDefault="00216DED" w:rsidP="00216DED">
      <w:pPr>
        <w:pStyle w:val="ListParagraph"/>
        <w:numPr>
          <w:ilvl w:val="0"/>
          <w:numId w:val="2"/>
        </w:numPr>
        <w:rPr>
          <w:rFonts w:cs="Arial"/>
          <w:lang w:val="en-GB"/>
        </w:rPr>
      </w:pPr>
      <w:r w:rsidRPr="00F643EB">
        <w:rPr>
          <w:rFonts w:cs="Arial"/>
          <w:lang w:val="en-GB"/>
        </w:rPr>
        <w:t>Institute of Mathematics and Statistics, University of Tartu, Tartu, Estonia</w:t>
      </w:r>
    </w:p>
    <w:p w14:paraId="1907B55A" w14:textId="77777777" w:rsidR="00216DED" w:rsidRPr="00F643EB" w:rsidRDefault="00216DED" w:rsidP="00216DED">
      <w:pPr>
        <w:pStyle w:val="ListParagraph"/>
        <w:numPr>
          <w:ilvl w:val="0"/>
          <w:numId w:val="2"/>
        </w:numPr>
        <w:rPr>
          <w:rFonts w:cs="Arial"/>
          <w:lang w:val="en-GB"/>
        </w:rPr>
      </w:pPr>
      <w:r w:rsidRPr="00F643EB">
        <w:rPr>
          <w:rFonts w:cs="Arial"/>
          <w:lang w:val="en-GB"/>
        </w:rPr>
        <w:t>Tartu University Hospital, Tartu, Estonia</w:t>
      </w:r>
    </w:p>
    <w:p w14:paraId="57C4F584" w14:textId="02E85B69" w:rsidR="00216DED" w:rsidRPr="00F643EB" w:rsidRDefault="00216DED" w:rsidP="00216DED">
      <w:pPr>
        <w:pStyle w:val="ListParagraph"/>
        <w:numPr>
          <w:ilvl w:val="0"/>
          <w:numId w:val="2"/>
        </w:numPr>
        <w:rPr>
          <w:rFonts w:cs="Arial"/>
          <w:lang w:val="en-GB"/>
        </w:rPr>
      </w:pPr>
      <w:r w:rsidRPr="00F643EB">
        <w:rPr>
          <w:rFonts w:cs="Arial"/>
          <w:lang w:val="en-GB"/>
        </w:rPr>
        <w:t>Clinic of Oncology and H</w:t>
      </w:r>
      <w:r w:rsidR="00D2464E">
        <w:rPr>
          <w:rFonts w:cs="Arial"/>
          <w:lang w:val="en-GB"/>
        </w:rPr>
        <w:t>a</w:t>
      </w:r>
      <w:r w:rsidRPr="00F643EB">
        <w:rPr>
          <w:rFonts w:cs="Arial"/>
          <w:lang w:val="en-GB"/>
        </w:rPr>
        <w:t xml:space="preserve">ematology, North Estonia Medical </w:t>
      </w:r>
      <w:proofErr w:type="spellStart"/>
      <w:r w:rsidRPr="00F643EB">
        <w:rPr>
          <w:rFonts w:cs="Arial"/>
          <w:lang w:val="en-GB"/>
        </w:rPr>
        <w:t>Center</w:t>
      </w:r>
      <w:proofErr w:type="spellEnd"/>
      <w:r w:rsidRPr="00F643EB">
        <w:rPr>
          <w:rFonts w:cs="Arial"/>
          <w:lang w:val="en-GB"/>
        </w:rPr>
        <w:t>, Tallinn, Estonia</w:t>
      </w:r>
    </w:p>
    <w:p w14:paraId="3A0BAF28" w14:textId="77777777" w:rsidR="00216DED" w:rsidRPr="00F643EB" w:rsidRDefault="00216DED" w:rsidP="00216DED">
      <w:pPr>
        <w:pStyle w:val="ListParagraph"/>
        <w:numPr>
          <w:ilvl w:val="0"/>
          <w:numId w:val="2"/>
        </w:numPr>
        <w:rPr>
          <w:rFonts w:cs="Arial"/>
          <w:lang w:val="en-GB"/>
        </w:rPr>
      </w:pPr>
      <w:proofErr w:type="spellStart"/>
      <w:r w:rsidRPr="00F643EB">
        <w:rPr>
          <w:rFonts w:cs="Arial"/>
          <w:lang w:val="en-GB"/>
        </w:rPr>
        <w:t>Center</w:t>
      </w:r>
      <w:proofErr w:type="spellEnd"/>
      <w:r w:rsidRPr="00F643EB">
        <w:rPr>
          <w:rFonts w:cs="Arial"/>
          <w:lang w:val="en-GB"/>
        </w:rPr>
        <w:t xml:space="preserve"> for Psychopharmacology, </w:t>
      </w:r>
      <w:proofErr w:type="spellStart"/>
      <w:r w:rsidRPr="00F643EB">
        <w:rPr>
          <w:rFonts w:cs="Arial"/>
          <w:lang w:val="en-GB"/>
        </w:rPr>
        <w:t>Diakonhjemmet</w:t>
      </w:r>
      <w:proofErr w:type="spellEnd"/>
      <w:r w:rsidRPr="00F643EB">
        <w:rPr>
          <w:rFonts w:cs="Arial"/>
          <w:lang w:val="en-GB"/>
        </w:rPr>
        <w:t xml:space="preserve"> Hospital, Oslo, Norway</w:t>
      </w:r>
    </w:p>
    <w:p w14:paraId="6D4B6214" w14:textId="77777777" w:rsidR="00216DED" w:rsidRPr="00F643EB" w:rsidRDefault="00216DED" w:rsidP="00216DED">
      <w:pPr>
        <w:pStyle w:val="ListParagraph"/>
        <w:numPr>
          <w:ilvl w:val="0"/>
          <w:numId w:val="2"/>
        </w:numPr>
        <w:rPr>
          <w:rFonts w:cs="Arial"/>
          <w:lang w:val="en-GB"/>
        </w:rPr>
      </w:pPr>
      <w:r w:rsidRPr="00F643EB">
        <w:rPr>
          <w:rFonts w:cs="Arial"/>
          <w:lang w:val="en-GB"/>
        </w:rPr>
        <w:t>Department of Pharmacy, University of Oslo, Oslo, Norway</w:t>
      </w:r>
    </w:p>
    <w:p w14:paraId="7FFE7D37" w14:textId="77777777" w:rsidR="00216DED" w:rsidRPr="00F643EB" w:rsidRDefault="00216DED" w:rsidP="00216DED">
      <w:pPr>
        <w:pStyle w:val="ListParagraph"/>
        <w:numPr>
          <w:ilvl w:val="0"/>
          <w:numId w:val="2"/>
        </w:numPr>
        <w:rPr>
          <w:rFonts w:cs="Arial"/>
          <w:lang w:val="en-GB"/>
        </w:rPr>
      </w:pPr>
      <w:r w:rsidRPr="00F643EB">
        <w:rPr>
          <w:rFonts w:cs="Arial"/>
          <w:lang w:val="en-GB"/>
        </w:rPr>
        <w:t xml:space="preserve">Department of Physiology and Pharmacology, Karolinska </w:t>
      </w:r>
      <w:proofErr w:type="spellStart"/>
      <w:r w:rsidRPr="00F643EB">
        <w:rPr>
          <w:rFonts w:cs="Arial"/>
          <w:lang w:val="en-GB"/>
        </w:rPr>
        <w:t>Institutet</w:t>
      </w:r>
      <w:proofErr w:type="spellEnd"/>
      <w:r w:rsidRPr="00F643EB">
        <w:rPr>
          <w:rFonts w:cs="Arial"/>
          <w:lang w:val="en-GB"/>
        </w:rPr>
        <w:t>, Stockholm, Sweden</w:t>
      </w:r>
    </w:p>
    <w:p w14:paraId="6116B32B" w14:textId="77777777" w:rsidR="00216DED" w:rsidRPr="00F643EB" w:rsidRDefault="00216DED" w:rsidP="00216DED">
      <w:pPr>
        <w:pStyle w:val="ListParagraph"/>
        <w:numPr>
          <w:ilvl w:val="0"/>
          <w:numId w:val="2"/>
        </w:numPr>
        <w:rPr>
          <w:rFonts w:cs="Arial"/>
          <w:lang w:val="en-GB"/>
        </w:rPr>
      </w:pPr>
      <w:r w:rsidRPr="00F643EB">
        <w:rPr>
          <w:rFonts w:cs="Arial"/>
          <w:lang w:val="en-GB"/>
        </w:rPr>
        <w:t>Dr Margarete Fischer-Bosch Institute of Clinical Pharmacology, Stuttgart, Germany</w:t>
      </w:r>
    </w:p>
    <w:p w14:paraId="3EE47321" w14:textId="77777777" w:rsidR="00216DED" w:rsidRPr="00F643EB" w:rsidRDefault="00216DED" w:rsidP="00216DED">
      <w:pPr>
        <w:pStyle w:val="ListParagraph"/>
        <w:numPr>
          <w:ilvl w:val="0"/>
          <w:numId w:val="2"/>
        </w:numPr>
        <w:rPr>
          <w:rFonts w:cs="Arial"/>
          <w:lang w:val="en-GB"/>
        </w:rPr>
      </w:pPr>
      <w:r w:rsidRPr="00F643EB">
        <w:rPr>
          <w:rFonts w:cs="Arial"/>
          <w:lang w:val="en-GB"/>
        </w:rPr>
        <w:t>University of Tübingen, Tübingen, Germany</w:t>
      </w:r>
    </w:p>
    <w:p w14:paraId="5D219227" w14:textId="77777777" w:rsidR="00216DED" w:rsidRPr="00F643EB" w:rsidRDefault="00216DED" w:rsidP="00216DED">
      <w:pPr>
        <w:pStyle w:val="ListParagraph"/>
        <w:numPr>
          <w:ilvl w:val="0"/>
          <w:numId w:val="2"/>
        </w:numPr>
        <w:rPr>
          <w:rFonts w:cs="Arial"/>
          <w:lang w:val="en-GB"/>
        </w:rPr>
      </w:pPr>
      <w:r w:rsidRPr="00F643EB">
        <w:rPr>
          <w:rFonts w:cs="Arial"/>
          <w:lang w:val="en-GB"/>
        </w:rPr>
        <w:t xml:space="preserve">Department of Pharmacy, the Second </w:t>
      </w:r>
      <w:proofErr w:type="spellStart"/>
      <w:r w:rsidRPr="00F643EB">
        <w:rPr>
          <w:rFonts w:cs="Arial"/>
          <w:lang w:val="en-GB"/>
        </w:rPr>
        <w:t>Xiangya</w:t>
      </w:r>
      <w:proofErr w:type="spellEnd"/>
      <w:r w:rsidRPr="00F643EB">
        <w:rPr>
          <w:rFonts w:cs="Arial"/>
          <w:lang w:val="en-GB"/>
        </w:rPr>
        <w:t xml:space="preserve"> Hospital, Central South University, Changsha, China</w:t>
      </w:r>
    </w:p>
    <w:p w14:paraId="6BF0C1D9" w14:textId="77777777" w:rsidR="00216DED" w:rsidRPr="00F643EB" w:rsidRDefault="00216DED" w:rsidP="00216DED">
      <w:pPr>
        <w:pStyle w:val="ListParagraph"/>
        <w:numPr>
          <w:ilvl w:val="0"/>
          <w:numId w:val="2"/>
        </w:numPr>
        <w:rPr>
          <w:rFonts w:cs="Arial"/>
          <w:lang w:val="en-GB"/>
        </w:rPr>
      </w:pPr>
      <w:r w:rsidRPr="00F643EB">
        <w:rPr>
          <w:rFonts w:cs="Arial"/>
          <w:lang w:val="en-GB"/>
        </w:rPr>
        <w:t>Institute of Pharmacy, University of Tartu, Tartu, Estonia</w:t>
      </w:r>
    </w:p>
    <w:p w14:paraId="0E49A050" w14:textId="77777777" w:rsidR="00216DED" w:rsidRPr="00F643EB" w:rsidRDefault="00216DED" w:rsidP="00216DED">
      <w:pPr>
        <w:spacing w:line="480" w:lineRule="auto"/>
        <w:rPr>
          <w:rFonts w:cs="Arial"/>
          <w:sz w:val="22"/>
          <w:szCs w:val="22"/>
          <w:lang w:val="en-GB" w:eastAsia="en-GB"/>
        </w:rPr>
      </w:pPr>
      <w:r w:rsidRPr="00F643EB">
        <w:rPr>
          <w:rFonts w:cs="Arial"/>
          <w:sz w:val="22"/>
          <w:szCs w:val="22"/>
          <w:lang w:val="en-GB" w:eastAsia="en-GB"/>
        </w:rPr>
        <w:t xml:space="preserve">* These authors contributed equally as first authors. </w:t>
      </w:r>
    </w:p>
    <w:p w14:paraId="3997E7EB" w14:textId="77777777" w:rsidR="00216DED" w:rsidRPr="00F643EB" w:rsidRDefault="00216DED" w:rsidP="00216DED">
      <w:pPr>
        <w:spacing w:line="480" w:lineRule="auto"/>
        <w:rPr>
          <w:rFonts w:cs="Arial"/>
          <w:sz w:val="22"/>
          <w:szCs w:val="22"/>
          <w:lang w:val="en-GB" w:eastAsia="en-GB"/>
        </w:rPr>
      </w:pPr>
      <w:r w:rsidRPr="00F643EB">
        <w:rPr>
          <w:rFonts w:cs="Arial"/>
          <w:sz w:val="22"/>
          <w:szCs w:val="22"/>
          <w:lang w:val="en-GB" w:eastAsia="en-GB"/>
        </w:rPr>
        <w:t>‡ These authors contributed equally as last authors.</w:t>
      </w:r>
    </w:p>
    <w:p w14:paraId="13A8E775" w14:textId="77777777" w:rsidR="00216DED" w:rsidRPr="00F643EB" w:rsidRDefault="00216DED" w:rsidP="00216DED">
      <w:pPr>
        <w:spacing w:line="480" w:lineRule="auto"/>
        <w:rPr>
          <w:rFonts w:cs="Arial"/>
          <w:sz w:val="22"/>
          <w:szCs w:val="22"/>
          <w:lang w:val="en-GB" w:eastAsia="en-GB"/>
        </w:rPr>
      </w:pPr>
      <w:r w:rsidRPr="00F643EB">
        <w:rPr>
          <w:rFonts w:cs="Arial"/>
          <w:sz w:val="22"/>
          <w:szCs w:val="22"/>
          <w:lang w:val="en-GB" w:eastAsia="en-GB"/>
        </w:rPr>
        <w:t># Current affiliation: West Tallinn Central Hospital, Tallinn, Estonia</w:t>
      </w:r>
    </w:p>
    <w:p w14:paraId="51C4391D" w14:textId="77777777" w:rsidR="00216DED" w:rsidRPr="00F643EB" w:rsidRDefault="00216DED" w:rsidP="00216DED">
      <w:pPr>
        <w:rPr>
          <w:rFonts w:cs="Arial"/>
          <w:lang w:val="en-GB"/>
        </w:rPr>
      </w:pPr>
      <w:r w:rsidRPr="00F643EB">
        <w:rPr>
          <w:rFonts w:cs="Arial"/>
          <w:lang w:val="en-GB"/>
        </w:rPr>
        <w:t>Corresponding author E-mail: lili.milani@ut.ee (LM)</w:t>
      </w:r>
    </w:p>
    <w:p w14:paraId="6FCFDD8E" w14:textId="77777777" w:rsidR="00216DED" w:rsidRPr="00F643EB" w:rsidRDefault="00216DED" w:rsidP="00216DED">
      <w:pPr>
        <w:rPr>
          <w:rFonts w:cs="Arial"/>
          <w:lang w:val="en-GB"/>
        </w:rPr>
      </w:pPr>
    </w:p>
    <w:p w14:paraId="1473907E" w14:textId="77777777" w:rsidR="00216DED" w:rsidRPr="00F643EB" w:rsidRDefault="00216DED" w:rsidP="00216DED">
      <w:pPr>
        <w:rPr>
          <w:rFonts w:cs="Arial"/>
          <w:u w:val="single"/>
          <w:lang w:val="en-GB"/>
        </w:rPr>
      </w:pPr>
      <w:r w:rsidRPr="00F643EB">
        <w:rPr>
          <w:rFonts w:cs="Arial"/>
          <w:u w:val="single"/>
          <w:lang w:val="en-GB"/>
        </w:rPr>
        <w:t>Banner author contributors</w:t>
      </w:r>
    </w:p>
    <w:p w14:paraId="307AE7A6" w14:textId="77777777" w:rsidR="00216DED" w:rsidRPr="00F643EB" w:rsidRDefault="00216DED" w:rsidP="00216DED">
      <w:pPr>
        <w:rPr>
          <w:rFonts w:cs="Arial"/>
          <w:lang w:val="en-GB"/>
        </w:rPr>
      </w:pPr>
      <w:r w:rsidRPr="00F643EB">
        <w:rPr>
          <w:rFonts w:cs="Arial"/>
          <w:lang w:val="en-GB"/>
        </w:rPr>
        <w:t xml:space="preserve">Estonian Biobank Research Team: Andres </w:t>
      </w:r>
      <w:proofErr w:type="spellStart"/>
      <w:r w:rsidRPr="00F643EB">
        <w:rPr>
          <w:rFonts w:cs="Arial"/>
          <w:lang w:val="en-GB"/>
        </w:rPr>
        <w:t>Metspalu</w:t>
      </w:r>
      <w:proofErr w:type="spellEnd"/>
      <w:r w:rsidRPr="00F643EB">
        <w:rPr>
          <w:rFonts w:cs="Arial"/>
          <w:lang w:val="en-GB"/>
        </w:rPr>
        <w:t xml:space="preserve">, Lili Milani, </w:t>
      </w:r>
      <w:proofErr w:type="spellStart"/>
      <w:r w:rsidRPr="00F643EB">
        <w:rPr>
          <w:rFonts w:cs="Arial"/>
          <w:lang w:val="en-GB"/>
        </w:rPr>
        <w:t>Tõnu</w:t>
      </w:r>
      <w:proofErr w:type="spellEnd"/>
      <w:r w:rsidRPr="00F643EB">
        <w:rPr>
          <w:rFonts w:cs="Arial"/>
          <w:lang w:val="en-GB"/>
        </w:rPr>
        <w:t xml:space="preserve"> Esko, </w:t>
      </w:r>
      <w:proofErr w:type="spellStart"/>
      <w:r w:rsidRPr="00F643EB">
        <w:rPr>
          <w:rFonts w:cs="Arial"/>
          <w:lang w:val="en-GB"/>
        </w:rPr>
        <w:t>Reedik</w:t>
      </w:r>
      <w:proofErr w:type="spellEnd"/>
      <w:r w:rsidRPr="00F643EB">
        <w:rPr>
          <w:rFonts w:cs="Arial"/>
          <w:lang w:val="en-GB"/>
        </w:rPr>
        <w:t xml:space="preserve"> Mägi, Mait </w:t>
      </w:r>
      <w:proofErr w:type="spellStart"/>
      <w:r w:rsidRPr="00F643EB">
        <w:rPr>
          <w:rFonts w:cs="Arial"/>
          <w:lang w:val="en-GB"/>
        </w:rPr>
        <w:t>Metspalu</w:t>
      </w:r>
      <w:proofErr w:type="spellEnd"/>
      <w:r w:rsidRPr="00F643EB">
        <w:rPr>
          <w:rFonts w:cs="Arial"/>
          <w:lang w:val="en-GB"/>
        </w:rPr>
        <w:t xml:space="preserve">, Mari Nelis and Georgi </w:t>
      </w:r>
      <w:proofErr w:type="spellStart"/>
      <w:r w:rsidRPr="00F643EB">
        <w:rPr>
          <w:rFonts w:cs="Arial"/>
          <w:lang w:val="en-GB"/>
        </w:rPr>
        <w:t>Hudjashov</w:t>
      </w:r>
      <w:proofErr w:type="spellEnd"/>
    </w:p>
    <w:p w14:paraId="7EB5FD2C" w14:textId="77777777" w:rsidR="00BA273A" w:rsidRPr="00F643EB" w:rsidRDefault="00BA273A" w:rsidP="00BA273A">
      <w:pPr>
        <w:jc w:val="center"/>
        <w:rPr>
          <w:b/>
          <w:bCs/>
          <w:sz w:val="28"/>
          <w:szCs w:val="28"/>
          <w:lang w:val="en-GB"/>
        </w:rPr>
      </w:pPr>
    </w:p>
    <w:p w14:paraId="65428E34" w14:textId="77777777" w:rsidR="00BA273A" w:rsidRPr="00F643EB" w:rsidRDefault="00BA273A" w:rsidP="00BA273A">
      <w:pPr>
        <w:rPr>
          <w:lang w:val="en-GB"/>
        </w:rPr>
      </w:pPr>
    </w:p>
    <w:p w14:paraId="6A4B0582" w14:textId="77777777" w:rsidR="00BA273A" w:rsidRPr="00F643EB" w:rsidRDefault="00BA273A">
      <w:pPr>
        <w:rPr>
          <w:rFonts w:cs="Arial"/>
          <w:b/>
          <w:bCs/>
          <w:color w:val="000000" w:themeColor="text1"/>
          <w:lang w:val="en-GB"/>
        </w:rPr>
      </w:pPr>
      <w:r w:rsidRPr="00F643EB">
        <w:rPr>
          <w:rFonts w:cs="Arial"/>
          <w:b/>
          <w:bCs/>
          <w:color w:val="000000" w:themeColor="text1"/>
          <w:lang w:val="en-GB"/>
        </w:rPr>
        <w:br w:type="page"/>
      </w:r>
    </w:p>
    <w:sdt>
      <w:sdtPr>
        <w:rPr>
          <w:rFonts w:ascii="Arial" w:eastAsiaTheme="minorHAnsi" w:hAnsi="Arial" w:cstheme="minorBidi"/>
          <w:b w:val="0"/>
          <w:bCs w:val="0"/>
          <w:color w:val="auto"/>
          <w:kern w:val="2"/>
          <w:sz w:val="20"/>
          <w:szCs w:val="24"/>
          <w:lang w:val="en-GB"/>
          <w14:ligatures w14:val="standardContextual"/>
        </w:rPr>
        <w:id w:val="907353962"/>
        <w:docPartObj>
          <w:docPartGallery w:val="Table of Contents"/>
          <w:docPartUnique/>
        </w:docPartObj>
      </w:sdtPr>
      <w:sdtEndPr>
        <w:rPr>
          <w:noProof/>
        </w:rPr>
      </w:sdtEndPr>
      <w:sdtContent>
        <w:p w14:paraId="0789929A" w14:textId="51B800FE" w:rsidR="00BA273A" w:rsidRPr="006A737D" w:rsidRDefault="00BA273A">
          <w:pPr>
            <w:pStyle w:val="TOCHeading"/>
            <w:rPr>
              <w:b w:val="0"/>
              <w:bCs w:val="0"/>
              <w:color w:val="000000" w:themeColor="text1"/>
              <w:lang w:val="en-GB"/>
            </w:rPr>
          </w:pPr>
          <w:r w:rsidRPr="006A737D">
            <w:rPr>
              <w:b w:val="0"/>
              <w:bCs w:val="0"/>
              <w:color w:val="000000" w:themeColor="text1"/>
              <w:lang w:val="en-GB"/>
            </w:rPr>
            <w:t>Table of Contents</w:t>
          </w:r>
        </w:p>
        <w:p w14:paraId="6EFAAF68" w14:textId="16A08231" w:rsidR="007518E1" w:rsidRPr="007518E1" w:rsidRDefault="00BA273A">
          <w:pPr>
            <w:pStyle w:val="TOC1"/>
            <w:tabs>
              <w:tab w:val="right" w:leader="dot" w:pos="9016"/>
            </w:tabs>
            <w:rPr>
              <w:rFonts w:eastAsiaTheme="minorEastAsia"/>
              <w:b w:val="0"/>
              <w:bCs w:val="0"/>
              <w:i w:val="0"/>
              <w:iCs w:val="0"/>
              <w:noProof/>
              <w:lang w:eastAsia="en-GB"/>
            </w:rPr>
          </w:pPr>
          <w:r w:rsidRPr="007518E1">
            <w:rPr>
              <w:b w:val="0"/>
              <w:bCs w:val="0"/>
              <w:color w:val="000000" w:themeColor="text1"/>
              <w:lang w:val="en-GB"/>
            </w:rPr>
            <w:fldChar w:fldCharType="begin"/>
          </w:r>
          <w:r w:rsidRPr="007518E1">
            <w:rPr>
              <w:b w:val="0"/>
              <w:bCs w:val="0"/>
              <w:color w:val="000000" w:themeColor="text1"/>
              <w:lang w:val="en-GB"/>
            </w:rPr>
            <w:instrText xml:space="preserve"> TOC \o "1-3" \h \z \u </w:instrText>
          </w:r>
          <w:r w:rsidRPr="007518E1">
            <w:rPr>
              <w:b w:val="0"/>
              <w:bCs w:val="0"/>
              <w:color w:val="000000" w:themeColor="text1"/>
              <w:lang w:val="en-GB"/>
            </w:rPr>
            <w:fldChar w:fldCharType="separate"/>
          </w:r>
          <w:hyperlink w:anchor="_Toc214632531" w:history="1">
            <w:r w:rsidR="007518E1" w:rsidRPr="007518E1">
              <w:rPr>
                <w:rStyle w:val="Hyperlink"/>
                <w:b w:val="0"/>
                <w:bCs w:val="0"/>
                <w:noProof/>
                <w:lang w:val="en-GB"/>
              </w:rPr>
              <w:t>Supplementary</w:t>
            </w:r>
            <w:r w:rsidR="007518E1" w:rsidRPr="007518E1">
              <w:rPr>
                <w:b w:val="0"/>
                <w:bCs w:val="0"/>
                <w:noProof/>
                <w:webHidden/>
              </w:rPr>
              <w:tab/>
            </w:r>
            <w:r w:rsidR="007518E1" w:rsidRPr="007518E1">
              <w:rPr>
                <w:b w:val="0"/>
                <w:bCs w:val="0"/>
                <w:noProof/>
                <w:webHidden/>
              </w:rPr>
              <w:fldChar w:fldCharType="begin"/>
            </w:r>
            <w:r w:rsidR="007518E1" w:rsidRPr="007518E1">
              <w:rPr>
                <w:b w:val="0"/>
                <w:bCs w:val="0"/>
                <w:noProof/>
                <w:webHidden/>
              </w:rPr>
              <w:instrText xml:space="preserve"> PAGEREF _Toc214632531 \h </w:instrText>
            </w:r>
            <w:r w:rsidR="007518E1" w:rsidRPr="007518E1">
              <w:rPr>
                <w:b w:val="0"/>
                <w:bCs w:val="0"/>
                <w:noProof/>
                <w:webHidden/>
              </w:rPr>
            </w:r>
            <w:r w:rsidR="007518E1" w:rsidRPr="007518E1">
              <w:rPr>
                <w:b w:val="0"/>
                <w:bCs w:val="0"/>
                <w:noProof/>
                <w:webHidden/>
              </w:rPr>
              <w:fldChar w:fldCharType="separate"/>
            </w:r>
            <w:r w:rsidR="007518E1" w:rsidRPr="007518E1">
              <w:rPr>
                <w:b w:val="0"/>
                <w:bCs w:val="0"/>
                <w:noProof/>
                <w:webHidden/>
              </w:rPr>
              <w:t>3</w:t>
            </w:r>
            <w:r w:rsidR="007518E1" w:rsidRPr="007518E1">
              <w:rPr>
                <w:b w:val="0"/>
                <w:bCs w:val="0"/>
                <w:noProof/>
                <w:webHidden/>
              </w:rPr>
              <w:fldChar w:fldCharType="end"/>
            </w:r>
          </w:hyperlink>
        </w:p>
        <w:p w14:paraId="22280B64" w14:textId="31629407" w:rsidR="007518E1" w:rsidRPr="007518E1" w:rsidRDefault="007518E1">
          <w:pPr>
            <w:pStyle w:val="TOC2"/>
            <w:tabs>
              <w:tab w:val="right" w:leader="dot" w:pos="9016"/>
            </w:tabs>
            <w:rPr>
              <w:rFonts w:eastAsiaTheme="minorEastAsia"/>
              <w:b w:val="0"/>
              <w:bCs w:val="0"/>
              <w:noProof/>
              <w:sz w:val="24"/>
              <w:szCs w:val="24"/>
              <w:lang w:eastAsia="en-GB"/>
            </w:rPr>
          </w:pPr>
          <w:hyperlink w:anchor="_Toc214632532" w:history="1">
            <w:r w:rsidRPr="007518E1">
              <w:rPr>
                <w:rStyle w:val="Hyperlink"/>
                <w:b w:val="0"/>
                <w:bCs w:val="0"/>
                <w:i/>
                <w:iCs/>
                <w:noProof/>
                <w:lang w:val="en-GB"/>
              </w:rPr>
              <w:t>CYP2C19</w:t>
            </w:r>
            <w:r w:rsidRPr="007518E1">
              <w:rPr>
                <w:rStyle w:val="Hyperlink"/>
                <w:b w:val="0"/>
                <w:bCs w:val="0"/>
                <w:noProof/>
                <w:lang w:val="en-GB"/>
              </w:rPr>
              <w:t xml:space="preserve"> Deletion Frequency in the Estonian Biobank</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_Toc214632532 \h </w:instrText>
            </w:r>
            <w:r w:rsidRPr="007518E1">
              <w:rPr>
                <w:b w:val="0"/>
                <w:bCs w:val="0"/>
                <w:noProof/>
                <w:webHidden/>
              </w:rPr>
            </w:r>
            <w:r w:rsidRPr="007518E1">
              <w:rPr>
                <w:b w:val="0"/>
                <w:bCs w:val="0"/>
                <w:noProof/>
                <w:webHidden/>
              </w:rPr>
              <w:fldChar w:fldCharType="separate"/>
            </w:r>
            <w:r w:rsidRPr="007518E1">
              <w:rPr>
                <w:b w:val="0"/>
                <w:bCs w:val="0"/>
                <w:noProof/>
                <w:webHidden/>
              </w:rPr>
              <w:t>3</w:t>
            </w:r>
            <w:r w:rsidRPr="007518E1">
              <w:rPr>
                <w:b w:val="0"/>
                <w:bCs w:val="0"/>
                <w:noProof/>
                <w:webHidden/>
              </w:rPr>
              <w:fldChar w:fldCharType="end"/>
            </w:r>
          </w:hyperlink>
        </w:p>
        <w:p w14:paraId="7549B04D" w14:textId="79803D10" w:rsidR="007518E1" w:rsidRPr="007518E1" w:rsidRDefault="007518E1">
          <w:pPr>
            <w:pStyle w:val="TOC2"/>
            <w:tabs>
              <w:tab w:val="right" w:leader="dot" w:pos="9016"/>
            </w:tabs>
            <w:rPr>
              <w:rFonts w:eastAsiaTheme="minorEastAsia"/>
              <w:b w:val="0"/>
              <w:bCs w:val="0"/>
              <w:noProof/>
              <w:sz w:val="24"/>
              <w:szCs w:val="24"/>
              <w:lang w:eastAsia="en-GB"/>
            </w:rPr>
          </w:pPr>
          <w:hyperlink w:anchor="_Toc214632533" w:history="1">
            <w:r w:rsidRPr="007518E1">
              <w:rPr>
                <w:rStyle w:val="Hyperlink"/>
                <w:b w:val="0"/>
                <w:bCs w:val="0"/>
                <w:noProof/>
                <w:lang w:val="en-GB"/>
              </w:rPr>
              <w:t>Star Allele Diplotype Assignment and Concordance Analysis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_Toc214632533 \h </w:instrText>
            </w:r>
            <w:r w:rsidRPr="007518E1">
              <w:rPr>
                <w:b w:val="0"/>
                <w:bCs w:val="0"/>
                <w:noProof/>
                <w:webHidden/>
              </w:rPr>
            </w:r>
            <w:r w:rsidRPr="007518E1">
              <w:rPr>
                <w:b w:val="0"/>
                <w:bCs w:val="0"/>
                <w:noProof/>
                <w:webHidden/>
              </w:rPr>
              <w:fldChar w:fldCharType="separate"/>
            </w:r>
            <w:r w:rsidRPr="007518E1">
              <w:rPr>
                <w:b w:val="0"/>
                <w:bCs w:val="0"/>
                <w:noProof/>
                <w:webHidden/>
              </w:rPr>
              <w:t>3</w:t>
            </w:r>
            <w:r w:rsidRPr="007518E1">
              <w:rPr>
                <w:b w:val="0"/>
                <w:bCs w:val="0"/>
                <w:noProof/>
                <w:webHidden/>
              </w:rPr>
              <w:fldChar w:fldCharType="end"/>
            </w:r>
          </w:hyperlink>
        </w:p>
        <w:p w14:paraId="26FD63EC" w14:textId="4D8B2952" w:rsidR="007518E1" w:rsidRPr="007518E1" w:rsidRDefault="007518E1">
          <w:pPr>
            <w:pStyle w:val="TOC2"/>
            <w:tabs>
              <w:tab w:val="right" w:leader="dot" w:pos="9016"/>
            </w:tabs>
            <w:rPr>
              <w:rFonts w:eastAsiaTheme="minorEastAsia"/>
              <w:b w:val="0"/>
              <w:bCs w:val="0"/>
              <w:noProof/>
              <w:sz w:val="24"/>
              <w:szCs w:val="24"/>
              <w:lang w:eastAsia="en-GB"/>
            </w:rPr>
          </w:pPr>
          <w:hyperlink w:anchor="_Toc214632534" w:history="1">
            <w:r w:rsidRPr="007518E1">
              <w:rPr>
                <w:rStyle w:val="Hyperlink"/>
                <w:b w:val="0"/>
                <w:bCs w:val="0"/>
                <w:noProof/>
                <w:lang w:val="en-GB"/>
              </w:rPr>
              <w:t xml:space="preserve">Genome-wide screen highlights </w:t>
            </w:r>
            <w:r w:rsidRPr="007518E1">
              <w:rPr>
                <w:rStyle w:val="Hyperlink"/>
                <w:b w:val="0"/>
                <w:bCs w:val="0"/>
                <w:i/>
                <w:iCs/>
                <w:noProof/>
                <w:lang w:val="en-GB"/>
              </w:rPr>
              <w:t>CYP2C19</w:t>
            </w:r>
            <w:r w:rsidRPr="007518E1">
              <w:rPr>
                <w:rStyle w:val="Hyperlink"/>
                <w:b w:val="0"/>
                <w:bCs w:val="0"/>
                <w:noProof/>
                <w:lang w:val="en-GB"/>
              </w:rPr>
              <w:t xml:space="preserve"> and </w:t>
            </w:r>
            <w:r w:rsidRPr="007518E1">
              <w:rPr>
                <w:rStyle w:val="Hyperlink"/>
                <w:b w:val="0"/>
                <w:bCs w:val="0"/>
                <w:i/>
                <w:iCs/>
                <w:noProof/>
                <w:lang w:val="en-GB"/>
              </w:rPr>
              <w:t>CYP2D6</w:t>
            </w:r>
            <w:r w:rsidRPr="007518E1">
              <w:rPr>
                <w:rStyle w:val="Hyperlink"/>
                <w:b w:val="0"/>
                <w:bCs w:val="0"/>
                <w:noProof/>
                <w:lang w:val="en-GB"/>
              </w:rPr>
              <w:t xml:space="preserve"> primary contribution</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_Toc214632534 \h </w:instrText>
            </w:r>
            <w:r w:rsidRPr="007518E1">
              <w:rPr>
                <w:b w:val="0"/>
                <w:bCs w:val="0"/>
                <w:noProof/>
                <w:webHidden/>
              </w:rPr>
            </w:r>
            <w:r w:rsidRPr="007518E1">
              <w:rPr>
                <w:b w:val="0"/>
                <w:bCs w:val="0"/>
                <w:noProof/>
                <w:webHidden/>
              </w:rPr>
              <w:fldChar w:fldCharType="separate"/>
            </w:r>
            <w:r w:rsidRPr="007518E1">
              <w:rPr>
                <w:b w:val="0"/>
                <w:bCs w:val="0"/>
                <w:noProof/>
                <w:webHidden/>
              </w:rPr>
              <w:t>4</w:t>
            </w:r>
            <w:r w:rsidRPr="007518E1">
              <w:rPr>
                <w:b w:val="0"/>
                <w:bCs w:val="0"/>
                <w:noProof/>
                <w:webHidden/>
              </w:rPr>
              <w:fldChar w:fldCharType="end"/>
            </w:r>
          </w:hyperlink>
        </w:p>
        <w:p w14:paraId="61EF2894" w14:textId="67599F21" w:rsidR="007518E1" w:rsidRPr="007518E1" w:rsidRDefault="007518E1">
          <w:pPr>
            <w:pStyle w:val="TOC1"/>
            <w:tabs>
              <w:tab w:val="right" w:leader="dot" w:pos="9016"/>
            </w:tabs>
            <w:rPr>
              <w:rFonts w:eastAsiaTheme="minorEastAsia"/>
              <w:b w:val="0"/>
              <w:bCs w:val="0"/>
              <w:i w:val="0"/>
              <w:iCs w:val="0"/>
              <w:noProof/>
              <w:lang w:eastAsia="en-GB"/>
            </w:rPr>
          </w:pPr>
          <w:hyperlink w:anchor="_Toc214632535" w:history="1">
            <w:r w:rsidRPr="007518E1">
              <w:rPr>
                <w:rStyle w:val="Hyperlink"/>
                <w:b w:val="0"/>
                <w:bCs w:val="0"/>
                <w:noProof/>
                <w:lang w:val="en-GB"/>
              </w:rPr>
              <w:t>References for the supplementary</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_Toc214632535 \h </w:instrText>
            </w:r>
            <w:r w:rsidRPr="007518E1">
              <w:rPr>
                <w:b w:val="0"/>
                <w:bCs w:val="0"/>
                <w:noProof/>
                <w:webHidden/>
              </w:rPr>
            </w:r>
            <w:r w:rsidRPr="007518E1">
              <w:rPr>
                <w:b w:val="0"/>
                <w:bCs w:val="0"/>
                <w:noProof/>
                <w:webHidden/>
              </w:rPr>
              <w:fldChar w:fldCharType="separate"/>
            </w:r>
            <w:r w:rsidRPr="007518E1">
              <w:rPr>
                <w:b w:val="0"/>
                <w:bCs w:val="0"/>
                <w:noProof/>
                <w:webHidden/>
              </w:rPr>
              <w:t>5</w:t>
            </w:r>
            <w:r w:rsidRPr="007518E1">
              <w:rPr>
                <w:b w:val="0"/>
                <w:bCs w:val="0"/>
                <w:noProof/>
                <w:webHidden/>
              </w:rPr>
              <w:fldChar w:fldCharType="end"/>
            </w:r>
          </w:hyperlink>
        </w:p>
        <w:p w14:paraId="2EF4996C" w14:textId="089F88FF" w:rsidR="007518E1" w:rsidRPr="007518E1" w:rsidRDefault="007518E1">
          <w:pPr>
            <w:pStyle w:val="TOC1"/>
            <w:tabs>
              <w:tab w:val="right" w:leader="dot" w:pos="9016"/>
            </w:tabs>
            <w:rPr>
              <w:rFonts w:eastAsiaTheme="minorEastAsia"/>
              <w:b w:val="0"/>
              <w:bCs w:val="0"/>
              <w:i w:val="0"/>
              <w:iCs w:val="0"/>
              <w:noProof/>
              <w:lang w:eastAsia="en-GB"/>
            </w:rPr>
          </w:pPr>
          <w:hyperlink w:anchor="_Toc214632536" w:history="1">
            <w:r w:rsidRPr="007518E1">
              <w:rPr>
                <w:rStyle w:val="Hyperlink"/>
                <w:b w:val="0"/>
                <w:bCs w:val="0"/>
                <w:noProof/>
                <w:lang w:val="en-GB"/>
              </w:rPr>
              <w:t>Supplementary Figures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_Toc214632536 \h </w:instrText>
            </w:r>
            <w:r w:rsidRPr="007518E1">
              <w:rPr>
                <w:b w:val="0"/>
                <w:bCs w:val="0"/>
                <w:noProof/>
                <w:webHidden/>
              </w:rPr>
            </w:r>
            <w:r w:rsidRPr="007518E1">
              <w:rPr>
                <w:b w:val="0"/>
                <w:bCs w:val="0"/>
                <w:noProof/>
                <w:webHidden/>
              </w:rPr>
              <w:fldChar w:fldCharType="separate"/>
            </w:r>
            <w:r w:rsidRPr="007518E1">
              <w:rPr>
                <w:b w:val="0"/>
                <w:bCs w:val="0"/>
                <w:noProof/>
                <w:webHidden/>
              </w:rPr>
              <w:t>6</w:t>
            </w:r>
            <w:r w:rsidRPr="007518E1">
              <w:rPr>
                <w:b w:val="0"/>
                <w:bCs w:val="0"/>
                <w:noProof/>
                <w:webHidden/>
              </w:rPr>
              <w:fldChar w:fldCharType="end"/>
            </w:r>
          </w:hyperlink>
        </w:p>
        <w:p w14:paraId="78AE8E09" w14:textId="11EFDD73" w:rsidR="007518E1" w:rsidRPr="007518E1" w:rsidRDefault="007518E1">
          <w:pPr>
            <w:pStyle w:val="TOC2"/>
            <w:tabs>
              <w:tab w:val="right" w:leader="dot" w:pos="9016"/>
            </w:tabs>
            <w:rPr>
              <w:rFonts w:eastAsiaTheme="minorEastAsia"/>
              <w:b w:val="0"/>
              <w:bCs w:val="0"/>
              <w:noProof/>
              <w:sz w:val="24"/>
              <w:szCs w:val="24"/>
              <w:lang w:eastAsia="en-GB"/>
            </w:rPr>
          </w:pPr>
          <w:hyperlink w:anchor="_Toc214632537" w:history="1">
            <w:r w:rsidRPr="007518E1">
              <w:rPr>
                <w:rStyle w:val="Hyperlink"/>
                <w:b w:val="0"/>
                <w:bCs w:val="0"/>
                <w:noProof/>
                <w:lang w:val="en-GB"/>
              </w:rPr>
              <w:t>Supplementary Figure 1. Study enrolment flow and the characteristics of final participants.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_Toc214632537 \h </w:instrText>
            </w:r>
            <w:r w:rsidRPr="007518E1">
              <w:rPr>
                <w:b w:val="0"/>
                <w:bCs w:val="0"/>
                <w:noProof/>
                <w:webHidden/>
              </w:rPr>
            </w:r>
            <w:r w:rsidRPr="007518E1">
              <w:rPr>
                <w:b w:val="0"/>
                <w:bCs w:val="0"/>
                <w:noProof/>
                <w:webHidden/>
              </w:rPr>
              <w:fldChar w:fldCharType="separate"/>
            </w:r>
            <w:r w:rsidRPr="007518E1">
              <w:rPr>
                <w:b w:val="0"/>
                <w:bCs w:val="0"/>
                <w:noProof/>
                <w:webHidden/>
              </w:rPr>
              <w:t>6</w:t>
            </w:r>
            <w:r w:rsidRPr="007518E1">
              <w:rPr>
                <w:b w:val="0"/>
                <w:bCs w:val="0"/>
                <w:noProof/>
                <w:webHidden/>
              </w:rPr>
              <w:fldChar w:fldCharType="end"/>
            </w:r>
          </w:hyperlink>
        </w:p>
        <w:p w14:paraId="5B8BEC40" w14:textId="756C6198" w:rsidR="007518E1" w:rsidRPr="007518E1" w:rsidRDefault="007518E1">
          <w:pPr>
            <w:pStyle w:val="TOC2"/>
            <w:tabs>
              <w:tab w:val="right" w:leader="dot" w:pos="9016"/>
            </w:tabs>
            <w:rPr>
              <w:rFonts w:eastAsiaTheme="minorEastAsia"/>
              <w:b w:val="0"/>
              <w:bCs w:val="0"/>
              <w:noProof/>
              <w:sz w:val="24"/>
              <w:szCs w:val="24"/>
              <w:lang w:eastAsia="en-GB"/>
            </w:rPr>
          </w:pPr>
          <w:hyperlink w:anchor="_Toc214632538" w:history="1">
            <w:r w:rsidRPr="007518E1">
              <w:rPr>
                <w:rStyle w:val="Hyperlink"/>
                <w:b w:val="0"/>
                <w:bCs w:val="0"/>
                <w:noProof/>
                <w:lang w:val="en-GB"/>
              </w:rPr>
              <w:t>Supplementary Figure 2. Probe-drug metabolic ratios across star allele diplotypes for</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_Toc214632538 \h </w:instrText>
            </w:r>
            <w:r w:rsidRPr="007518E1">
              <w:rPr>
                <w:b w:val="0"/>
                <w:bCs w:val="0"/>
                <w:noProof/>
                <w:webHidden/>
              </w:rPr>
            </w:r>
            <w:r w:rsidRPr="007518E1">
              <w:rPr>
                <w:b w:val="0"/>
                <w:bCs w:val="0"/>
                <w:noProof/>
                <w:webHidden/>
              </w:rPr>
              <w:fldChar w:fldCharType="separate"/>
            </w:r>
            <w:r w:rsidRPr="007518E1">
              <w:rPr>
                <w:b w:val="0"/>
                <w:bCs w:val="0"/>
                <w:noProof/>
                <w:webHidden/>
              </w:rPr>
              <w:t>7</w:t>
            </w:r>
            <w:r w:rsidRPr="007518E1">
              <w:rPr>
                <w:b w:val="0"/>
                <w:bCs w:val="0"/>
                <w:noProof/>
                <w:webHidden/>
              </w:rPr>
              <w:fldChar w:fldCharType="end"/>
            </w:r>
          </w:hyperlink>
        </w:p>
        <w:p w14:paraId="21F32C31" w14:textId="571CE5DE" w:rsidR="007518E1" w:rsidRPr="007518E1" w:rsidRDefault="007518E1">
          <w:pPr>
            <w:pStyle w:val="TOC2"/>
            <w:tabs>
              <w:tab w:val="right" w:leader="dot" w:pos="9016"/>
            </w:tabs>
            <w:rPr>
              <w:rFonts w:eastAsiaTheme="minorEastAsia"/>
              <w:b w:val="0"/>
              <w:bCs w:val="0"/>
              <w:noProof/>
              <w:sz w:val="24"/>
              <w:szCs w:val="24"/>
              <w:lang w:eastAsia="en-GB"/>
            </w:rPr>
          </w:pPr>
          <w:hyperlink w:anchor="_Toc214632539" w:history="1">
            <w:r w:rsidRPr="007518E1">
              <w:rPr>
                <w:rStyle w:val="Hyperlink"/>
                <w:b w:val="0"/>
                <w:bCs w:val="0"/>
                <w:noProof/>
                <w:lang w:val="en-GB"/>
              </w:rPr>
              <w:t xml:space="preserve">Supplementary Figure 3. Concordance of </w:t>
            </w:r>
            <w:r w:rsidRPr="007518E1">
              <w:rPr>
                <w:rStyle w:val="Hyperlink"/>
                <w:b w:val="0"/>
                <w:bCs w:val="0"/>
                <w:i/>
                <w:iCs/>
                <w:noProof/>
                <w:lang w:val="en-GB"/>
              </w:rPr>
              <w:t>CYP2D6</w:t>
            </w:r>
            <w:r w:rsidRPr="007518E1">
              <w:rPr>
                <w:rStyle w:val="Hyperlink"/>
                <w:b w:val="0"/>
                <w:bCs w:val="0"/>
                <w:noProof/>
                <w:lang w:val="en-GB"/>
              </w:rPr>
              <w:t xml:space="preserve"> star allele calls across four tools.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_Toc214632539 \h </w:instrText>
            </w:r>
            <w:r w:rsidRPr="007518E1">
              <w:rPr>
                <w:b w:val="0"/>
                <w:bCs w:val="0"/>
                <w:noProof/>
                <w:webHidden/>
              </w:rPr>
            </w:r>
            <w:r w:rsidRPr="007518E1">
              <w:rPr>
                <w:b w:val="0"/>
                <w:bCs w:val="0"/>
                <w:noProof/>
                <w:webHidden/>
              </w:rPr>
              <w:fldChar w:fldCharType="separate"/>
            </w:r>
            <w:r w:rsidRPr="007518E1">
              <w:rPr>
                <w:b w:val="0"/>
                <w:bCs w:val="0"/>
                <w:noProof/>
                <w:webHidden/>
              </w:rPr>
              <w:t>8</w:t>
            </w:r>
            <w:r w:rsidRPr="007518E1">
              <w:rPr>
                <w:b w:val="0"/>
                <w:bCs w:val="0"/>
                <w:noProof/>
                <w:webHidden/>
              </w:rPr>
              <w:fldChar w:fldCharType="end"/>
            </w:r>
          </w:hyperlink>
        </w:p>
        <w:p w14:paraId="08F31E95" w14:textId="67CAAEF4" w:rsidR="007518E1" w:rsidRPr="007518E1" w:rsidRDefault="007518E1">
          <w:pPr>
            <w:pStyle w:val="TOC2"/>
            <w:tabs>
              <w:tab w:val="right" w:leader="dot" w:pos="9016"/>
            </w:tabs>
            <w:rPr>
              <w:rFonts w:eastAsiaTheme="minorEastAsia"/>
              <w:b w:val="0"/>
              <w:bCs w:val="0"/>
              <w:noProof/>
              <w:sz w:val="24"/>
              <w:szCs w:val="24"/>
              <w:lang w:eastAsia="en-GB"/>
            </w:rPr>
          </w:pPr>
          <w:hyperlink w:anchor="_Toc214632540" w:history="1">
            <w:r w:rsidRPr="007518E1">
              <w:rPr>
                <w:rStyle w:val="Hyperlink"/>
                <w:b w:val="0"/>
                <w:bCs w:val="0"/>
                <w:noProof/>
                <w:lang w:val="en-GB"/>
              </w:rPr>
              <w:t xml:space="preserve">Supplementary Figure 4. Concordance of </w:t>
            </w:r>
            <w:r w:rsidRPr="007518E1">
              <w:rPr>
                <w:rStyle w:val="Hyperlink"/>
                <w:b w:val="0"/>
                <w:bCs w:val="0"/>
                <w:i/>
                <w:iCs/>
                <w:noProof/>
                <w:lang w:val="en-GB"/>
              </w:rPr>
              <w:t>CYP2C19</w:t>
            </w:r>
            <w:r w:rsidRPr="007518E1">
              <w:rPr>
                <w:rStyle w:val="Hyperlink"/>
                <w:b w:val="0"/>
                <w:bCs w:val="0"/>
                <w:noProof/>
                <w:lang w:val="en-GB"/>
              </w:rPr>
              <w:t xml:space="preserve"> star allele calls across three tools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_Toc214632540 \h </w:instrText>
            </w:r>
            <w:r w:rsidRPr="007518E1">
              <w:rPr>
                <w:b w:val="0"/>
                <w:bCs w:val="0"/>
                <w:noProof/>
                <w:webHidden/>
              </w:rPr>
            </w:r>
            <w:r w:rsidRPr="007518E1">
              <w:rPr>
                <w:b w:val="0"/>
                <w:bCs w:val="0"/>
                <w:noProof/>
                <w:webHidden/>
              </w:rPr>
              <w:fldChar w:fldCharType="separate"/>
            </w:r>
            <w:r w:rsidRPr="007518E1">
              <w:rPr>
                <w:b w:val="0"/>
                <w:bCs w:val="0"/>
                <w:noProof/>
                <w:webHidden/>
              </w:rPr>
              <w:t>9</w:t>
            </w:r>
            <w:r w:rsidRPr="007518E1">
              <w:rPr>
                <w:b w:val="0"/>
                <w:bCs w:val="0"/>
                <w:noProof/>
                <w:webHidden/>
              </w:rPr>
              <w:fldChar w:fldCharType="end"/>
            </w:r>
          </w:hyperlink>
        </w:p>
        <w:p w14:paraId="71E8F83E" w14:textId="465E69B9" w:rsidR="007518E1" w:rsidRPr="007518E1" w:rsidRDefault="007518E1">
          <w:pPr>
            <w:pStyle w:val="TOC2"/>
            <w:tabs>
              <w:tab w:val="right" w:leader="dot" w:pos="9016"/>
            </w:tabs>
            <w:rPr>
              <w:rFonts w:eastAsiaTheme="minorEastAsia"/>
              <w:b w:val="0"/>
              <w:bCs w:val="0"/>
              <w:noProof/>
              <w:sz w:val="24"/>
              <w:szCs w:val="24"/>
              <w:lang w:eastAsia="en-GB"/>
            </w:rPr>
          </w:pPr>
          <w:hyperlink w:anchor="_Toc214632541" w:history="1">
            <w:r w:rsidRPr="007518E1">
              <w:rPr>
                <w:rStyle w:val="Hyperlink"/>
                <w:b w:val="0"/>
                <w:bCs w:val="0"/>
                <w:noProof/>
                <w:lang w:val="en-GB"/>
              </w:rPr>
              <w:t>Supplementary Figure 5. Probe-drug metabolic ratios across metaboliser phenotypes for</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_Toc214632541 \h </w:instrText>
            </w:r>
            <w:r w:rsidRPr="007518E1">
              <w:rPr>
                <w:b w:val="0"/>
                <w:bCs w:val="0"/>
                <w:noProof/>
                <w:webHidden/>
              </w:rPr>
            </w:r>
            <w:r w:rsidRPr="007518E1">
              <w:rPr>
                <w:b w:val="0"/>
                <w:bCs w:val="0"/>
                <w:noProof/>
                <w:webHidden/>
              </w:rPr>
              <w:fldChar w:fldCharType="separate"/>
            </w:r>
            <w:r w:rsidRPr="007518E1">
              <w:rPr>
                <w:b w:val="0"/>
                <w:bCs w:val="0"/>
                <w:noProof/>
                <w:webHidden/>
              </w:rPr>
              <w:t>10</w:t>
            </w:r>
            <w:r w:rsidRPr="007518E1">
              <w:rPr>
                <w:b w:val="0"/>
                <w:bCs w:val="0"/>
                <w:noProof/>
                <w:webHidden/>
              </w:rPr>
              <w:fldChar w:fldCharType="end"/>
            </w:r>
          </w:hyperlink>
        </w:p>
        <w:p w14:paraId="1188529F" w14:textId="4A5A497C" w:rsidR="007518E1" w:rsidRPr="007518E1" w:rsidRDefault="007518E1">
          <w:pPr>
            <w:pStyle w:val="TOC2"/>
            <w:tabs>
              <w:tab w:val="right" w:leader="dot" w:pos="9016"/>
            </w:tabs>
            <w:rPr>
              <w:rFonts w:eastAsiaTheme="minorEastAsia"/>
              <w:b w:val="0"/>
              <w:bCs w:val="0"/>
              <w:noProof/>
              <w:sz w:val="24"/>
              <w:szCs w:val="24"/>
              <w:lang w:eastAsia="en-GB"/>
            </w:rPr>
          </w:pPr>
          <w:hyperlink w:anchor="_Toc214632542" w:history="1">
            <w:r w:rsidRPr="007518E1">
              <w:rPr>
                <w:rStyle w:val="Hyperlink"/>
                <w:b w:val="0"/>
                <w:bCs w:val="0"/>
                <w:noProof/>
                <w:lang w:val="en-GB"/>
              </w:rPr>
              <w:t xml:space="preserve">Supplementary Figure 6. Individuals with novel </w:t>
            </w:r>
            <w:r w:rsidRPr="007518E1">
              <w:rPr>
                <w:rStyle w:val="Hyperlink"/>
                <w:b w:val="0"/>
                <w:bCs w:val="0"/>
                <w:i/>
                <w:iCs/>
                <w:noProof/>
                <w:lang w:val="en-GB"/>
              </w:rPr>
              <w:t>CYP2D6</w:t>
            </w:r>
            <w:r w:rsidRPr="007518E1">
              <w:rPr>
                <w:rStyle w:val="Hyperlink"/>
                <w:b w:val="0"/>
                <w:bCs w:val="0"/>
                <w:noProof/>
                <w:lang w:val="en-GB"/>
              </w:rPr>
              <w:t xml:space="preserve"> variants by star allele genotype and metabolic ratio.</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_Toc214632542 \h </w:instrText>
            </w:r>
            <w:r w:rsidRPr="007518E1">
              <w:rPr>
                <w:b w:val="0"/>
                <w:bCs w:val="0"/>
                <w:noProof/>
                <w:webHidden/>
              </w:rPr>
            </w:r>
            <w:r w:rsidRPr="007518E1">
              <w:rPr>
                <w:b w:val="0"/>
                <w:bCs w:val="0"/>
                <w:noProof/>
                <w:webHidden/>
              </w:rPr>
              <w:fldChar w:fldCharType="separate"/>
            </w:r>
            <w:r w:rsidRPr="007518E1">
              <w:rPr>
                <w:b w:val="0"/>
                <w:bCs w:val="0"/>
                <w:noProof/>
                <w:webHidden/>
              </w:rPr>
              <w:t>11</w:t>
            </w:r>
            <w:r w:rsidRPr="007518E1">
              <w:rPr>
                <w:b w:val="0"/>
                <w:bCs w:val="0"/>
                <w:noProof/>
                <w:webHidden/>
              </w:rPr>
              <w:fldChar w:fldCharType="end"/>
            </w:r>
          </w:hyperlink>
        </w:p>
        <w:p w14:paraId="35D6470C" w14:textId="22FA9781" w:rsidR="007518E1" w:rsidRPr="007518E1" w:rsidRDefault="007518E1">
          <w:pPr>
            <w:pStyle w:val="TOC2"/>
            <w:tabs>
              <w:tab w:val="right" w:leader="dot" w:pos="9016"/>
            </w:tabs>
            <w:rPr>
              <w:rFonts w:eastAsiaTheme="minorEastAsia"/>
              <w:b w:val="0"/>
              <w:bCs w:val="0"/>
              <w:noProof/>
              <w:sz w:val="24"/>
              <w:szCs w:val="24"/>
              <w:lang w:eastAsia="en-GB"/>
            </w:rPr>
          </w:pPr>
          <w:hyperlink w:anchor="_Toc214632543" w:history="1">
            <w:r w:rsidRPr="007518E1">
              <w:rPr>
                <w:rStyle w:val="Hyperlink"/>
                <w:b w:val="0"/>
                <w:bCs w:val="0"/>
                <w:noProof/>
                <w:lang w:val="en-GB"/>
              </w:rPr>
              <w:t>Supplementary Figure 7. Genome-wide association analysis of omeprazole and metoprolol metabolic ratios.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_Toc214632543 \h </w:instrText>
            </w:r>
            <w:r w:rsidRPr="007518E1">
              <w:rPr>
                <w:b w:val="0"/>
                <w:bCs w:val="0"/>
                <w:noProof/>
                <w:webHidden/>
              </w:rPr>
            </w:r>
            <w:r w:rsidRPr="007518E1">
              <w:rPr>
                <w:b w:val="0"/>
                <w:bCs w:val="0"/>
                <w:noProof/>
                <w:webHidden/>
              </w:rPr>
              <w:fldChar w:fldCharType="separate"/>
            </w:r>
            <w:r w:rsidRPr="007518E1">
              <w:rPr>
                <w:b w:val="0"/>
                <w:bCs w:val="0"/>
                <w:noProof/>
                <w:webHidden/>
              </w:rPr>
              <w:t>12</w:t>
            </w:r>
            <w:r w:rsidRPr="007518E1">
              <w:rPr>
                <w:b w:val="0"/>
                <w:bCs w:val="0"/>
                <w:noProof/>
                <w:webHidden/>
              </w:rPr>
              <w:fldChar w:fldCharType="end"/>
            </w:r>
          </w:hyperlink>
        </w:p>
        <w:p w14:paraId="7870746B" w14:textId="5C58820A" w:rsidR="007518E1" w:rsidRPr="007518E1" w:rsidRDefault="007518E1">
          <w:pPr>
            <w:pStyle w:val="TOC1"/>
            <w:tabs>
              <w:tab w:val="right" w:leader="dot" w:pos="9016"/>
            </w:tabs>
            <w:rPr>
              <w:rFonts w:eastAsiaTheme="minorEastAsia"/>
              <w:b w:val="0"/>
              <w:bCs w:val="0"/>
              <w:i w:val="0"/>
              <w:iCs w:val="0"/>
              <w:noProof/>
              <w:lang w:eastAsia="en-GB"/>
            </w:rPr>
          </w:pPr>
          <w:hyperlink w:anchor="_Toc214632544" w:history="1">
            <w:r w:rsidRPr="007518E1">
              <w:rPr>
                <w:rStyle w:val="Hyperlink"/>
                <w:b w:val="0"/>
                <w:bCs w:val="0"/>
                <w:noProof/>
                <w:lang w:val="en-GB"/>
              </w:rPr>
              <w:t>Overview and description of Supplementary Data Tables</w:t>
            </w:r>
            <w:r w:rsidRPr="007518E1">
              <w:rPr>
                <w:b w:val="0"/>
                <w:bCs w:val="0"/>
                <w:noProof/>
                <w:webHidden/>
              </w:rPr>
              <w:tab/>
            </w:r>
            <w:r w:rsidRPr="007518E1">
              <w:rPr>
                <w:b w:val="0"/>
                <w:bCs w:val="0"/>
                <w:noProof/>
                <w:webHidden/>
              </w:rPr>
              <w:fldChar w:fldCharType="begin"/>
            </w:r>
            <w:r w:rsidRPr="007518E1">
              <w:rPr>
                <w:b w:val="0"/>
                <w:bCs w:val="0"/>
                <w:noProof/>
                <w:webHidden/>
              </w:rPr>
              <w:instrText xml:space="preserve"> PAGEREF _Toc214632544 \h </w:instrText>
            </w:r>
            <w:r w:rsidRPr="007518E1">
              <w:rPr>
                <w:b w:val="0"/>
                <w:bCs w:val="0"/>
                <w:noProof/>
                <w:webHidden/>
              </w:rPr>
            </w:r>
            <w:r w:rsidRPr="007518E1">
              <w:rPr>
                <w:b w:val="0"/>
                <w:bCs w:val="0"/>
                <w:noProof/>
                <w:webHidden/>
              </w:rPr>
              <w:fldChar w:fldCharType="separate"/>
            </w:r>
            <w:r w:rsidRPr="007518E1">
              <w:rPr>
                <w:b w:val="0"/>
                <w:bCs w:val="0"/>
                <w:noProof/>
                <w:webHidden/>
              </w:rPr>
              <w:t>13</w:t>
            </w:r>
            <w:r w:rsidRPr="007518E1">
              <w:rPr>
                <w:b w:val="0"/>
                <w:bCs w:val="0"/>
                <w:noProof/>
                <w:webHidden/>
              </w:rPr>
              <w:fldChar w:fldCharType="end"/>
            </w:r>
          </w:hyperlink>
        </w:p>
        <w:p w14:paraId="43C9D3D2" w14:textId="37D00E53" w:rsidR="00BA273A" w:rsidRPr="004900F5" w:rsidRDefault="00BA273A">
          <w:pPr>
            <w:rPr>
              <w:lang w:val="en-GB"/>
            </w:rPr>
          </w:pPr>
          <w:r w:rsidRPr="007518E1">
            <w:rPr>
              <w:noProof/>
              <w:color w:val="000000" w:themeColor="text1"/>
              <w:lang w:val="en-GB"/>
            </w:rPr>
            <w:fldChar w:fldCharType="end"/>
          </w:r>
        </w:p>
      </w:sdtContent>
    </w:sdt>
    <w:p w14:paraId="1D09EFA2" w14:textId="77777777" w:rsidR="00BA273A" w:rsidRPr="004900F5" w:rsidRDefault="00BA273A">
      <w:pPr>
        <w:rPr>
          <w:rFonts w:cs="Arial"/>
          <w:color w:val="000000" w:themeColor="text1"/>
          <w:lang w:val="en-GB"/>
        </w:rPr>
      </w:pPr>
    </w:p>
    <w:p w14:paraId="5653F898" w14:textId="0C97E85C" w:rsidR="002B5D3F" w:rsidRPr="004900F5" w:rsidRDefault="002B5D3F">
      <w:pPr>
        <w:rPr>
          <w:rFonts w:eastAsiaTheme="majorEastAsia" w:cstheme="majorBidi"/>
          <w:color w:val="000000" w:themeColor="text1"/>
          <w:szCs w:val="32"/>
          <w:lang w:val="en-GB"/>
        </w:rPr>
      </w:pPr>
      <w:r w:rsidRPr="004900F5">
        <w:rPr>
          <w:rFonts w:cs="Arial"/>
          <w:color w:val="000000" w:themeColor="text1"/>
          <w:lang w:val="en-GB"/>
        </w:rPr>
        <w:br w:type="page"/>
      </w:r>
    </w:p>
    <w:p w14:paraId="6DC04B9C" w14:textId="10EEB96C" w:rsidR="00A97503" w:rsidRPr="00F643EB" w:rsidRDefault="00A97503" w:rsidP="001D438C">
      <w:pPr>
        <w:pStyle w:val="Heading1"/>
        <w:rPr>
          <w:lang w:val="en-GB"/>
        </w:rPr>
      </w:pPr>
      <w:bookmarkStart w:id="0" w:name="_Toc201149352"/>
      <w:bookmarkStart w:id="1" w:name="_Toc202265798"/>
      <w:bookmarkStart w:id="2" w:name="_Toc214632531"/>
      <w:r w:rsidRPr="00F643EB">
        <w:rPr>
          <w:lang w:val="en-GB"/>
        </w:rPr>
        <w:lastRenderedPageBreak/>
        <w:t>Supplementar</w:t>
      </w:r>
      <w:bookmarkEnd w:id="0"/>
      <w:bookmarkEnd w:id="1"/>
      <w:r w:rsidR="00626310">
        <w:rPr>
          <w:lang w:val="en-GB"/>
        </w:rPr>
        <w:t>y</w:t>
      </w:r>
      <w:bookmarkEnd w:id="2"/>
      <w:r w:rsidR="0006583A">
        <w:rPr>
          <w:lang w:val="en-GB"/>
        </w:rPr>
        <w:t xml:space="preserve"> Information</w:t>
      </w:r>
    </w:p>
    <w:p w14:paraId="52203F4B" w14:textId="77777777" w:rsidR="00787E92" w:rsidRPr="00F643EB" w:rsidRDefault="00787E92">
      <w:pPr>
        <w:rPr>
          <w:rFonts w:cs="Arial"/>
          <w:color w:val="000000" w:themeColor="text1"/>
          <w:lang w:val="en-GB"/>
        </w:rPr>
      </w:pPr>
    </w:p>
    <w:p w14:paraId="0369D183" w14:textId="22035AD1" w:rsidR="00626310" w:rsidRDefault="005B590B" w:rsidP="00626310">
      <w:pPr>
        <w:pStyle w:val="Heading2"/>
        <w:rPr>
          <w:rFonts w:cs="Arial"/>
          <w:sz w:val="24"/>
          <w:lang w:val="en-GB"/>
        </w:rPr>
      </w:pPr>
      <w:bookmarkStart w:id="3" w:name="_Toc201149353"/>
      <w:bookmarkStart w:id="4" w:name="_Toc202265799"/>
      <w:bookmarkStart w:id="5" w:name="_Toc214632532"/>
      <w:r w:rsidRPr="0083136D">
        <w:rPr>
          <w:i/>
          <w:iCs/>
          <w:sz w:val="24"/>
          <w:szCs w:val="44"/>
          <w:lang w:val="en-GB"/>
        </w:rPr>
        <w:t>CYP2C19</w:t>
      </w:r>
      <w:r w:rsidRPr="00F643EB">
        <w:rPr>
          <w:sz w:val="24"/>
          <w:szCs w:val="44"/>
          <w:lang w:val="en-GB"/>
        </w:rPr>
        <w:t xml:space="preserve"> Deletion Frequency in the Estonian Biobank</w:t>
      </w:r>
      <w:bookmarkEnd w:id="3"/>
      <w:bookmarkEnd w:id="4"/>
      <w:bookmarkEnd w:id="5"/>
    </w:p>
    <w:p w14:paraId="7FEDB8C8" w14:textId="4306D076" w:rsidR="00626310" w:rsidRPr="00F643EB" w:rsidRDefault="005B590B" w:rsidP="00F46784">
      <w:pPr>
        <w:spacing w:line="360" w:lineRule="auto"/>
        <w:jc w:val="both"/>
        <w:rPr>
          <w:rFonts w:cs="Arial"/>
          <w:color w:val="000000" w:themeColor="text1"/>
          <w:sz w:val="24"/>
          <w:lang w:val="en-GB"/>
        </w:rPr>
      </w:pPr>
      <w:r w:rsidRPr="00F643EB">
        <w:rPr>
          <w:rFonts w:cs="Arial"/>
          <w:color w:val="000000" w:themeColor="text1"/>
          <w:sz w:val="24"/>
          <w:lang w:val="en-GB"/>
        </w:rPr>
        <w:t xml:space="preserve">Out of a total of 211,299 individuals with genotyping data, 3,859 </w:t>
      </w:r>
      <w:r w:rsidR="004526DF">
        <w:rPr>
          <w:rFonts w:cs="Arial"/>
          <w:color w:val="000000" w:themeColor="text1"/>
          <w:sz w:val="24"/>
          <w:lang w:val="en-GB"/>
        </w:rPr>
        <w:t>had</w:t>
      </w:r>
      <w:r w:rsidR="007B1EB0">
        <w:rPr>
          <w:rFonts w:cs="Arial"/>
          <w:color w:val="000000" w:themeColor="text1"/>
          <w:sz w:val="24"/>
          <w:lang w:val="en-GB"/>
        </w:rPr>
        <w:t xml:space="preserve"> a </w:t>
      </w:r>
      <w:r w:rsidRPr="00F643EB">
        <w:rPr>
          <w:rFonts w:cs="Arial"/>
          <w:color w:val="000000" w:themeColor="text1"/>
          <w:sz w:val="24"/>
          <w:lang w:val="en-GB"/>
        </w:rPr>
        <w:t xml:space="preserve">deletion, while 204,393 </w:t>
      </w:r>
      <w:r w:rsidR="004526DF">
        <w:rPr>
          <w:rFonts w:cs="Arial"/>
          <w:color w:val="000000" w:themeColor="text1"/>
          <w:sz w:val="24"/>
          <w:lang w:val="en-GB"/>
        </w:rPr>
        <w:t>did not</w:t>
      </w:r>
      <w:r w:rsidRPr="00F643EB">
        <w:rPr>
          <w:rFonts w:cs="Arial"/>
          <w:color w:val="000000" w:themeColor="text1"/>
          <w:sz w:val="24"/>
          <w:lang w:val="en-GB"/>
        </w:rPr>
        <w:t xml:space="preserve">. </w:t>
      </w:r>
      <w:r w:rsidR="004C5374" w:rsidRPr="00F643EB">
        <w:rPr>
          <w:rFonts w:cs="Arial"/>
          <w:color w:val="000000" w:themeColor="text1"/>
          <w:sz w:val="24"/>
          <w:lang w:val="en-GB"/>
        </w:rPr>
        <w:t>We excluded</w:t>
      </w:r>
      <w:r w:rsidRPr="00F643EB">
        <w:rPr>
          <w:rFonts w:cs="Arial"/>
          <w:color w:val="000000" w:themeColor="text1"/>
          <w:sz w:val="24"/>
          <w:lang w:val="en-GB"/>
        </w:rPr>
        <w:t xml:space="preserve"> 3,047 individuals </w:t>
      </w:r>
      <w:r w:rsidR="00AE339A" w:rsidRPr="00F643EB">
        <w:rPr>
          <w:rFonts w:cs="Arial"/>
          <w:color w:val="000000" w:themeColor="text1"/>
          <w:sz w:val="24"/>
          <w:lang w:val="en-GB"/>
        </w:rPr>
        <w:t>where t</w:t>
      </w:r>
      <w:r w:rsidRPr="00F643EB">
        <w:rPr>
          <w:rFonts w:cs="Arial"/>
          <w:color w:val="000000" w:themeColor="text1"/>
          <w:sz w:val="24"/>
          <w:lang w:val="en-GB"/>
        </w:rPr>
        <w:t xml:space="preserve">he CNV status could not be reliably determined due to ambiguous signals. Among the 208,252 individuals with definitive CNV calls, the estimated frequency of the </w:t>
      </w:r>
      <w:r w:rsidRPr="00F643EB">
        <w:rPr>
          <w:rFonts w:cs="Arial"/>
          <w:i/>
          <w:iCs/>
          <w:color w:val="000000" w:themeColor="text1"/>
          <w:sz w:val="24"/>
          <w:lang w:val="en-GB"/>
        </w:rPr>
        <w:t>CYP2C19*37</w:t>
      </w:r>
      <w:r w:rsidRPr="00F643EB">
        <w:rPr>
          <w:rFonts w:cs="Arial"/>
          <w:color w:val="000000" w:themeColor="text1"/>
          <w:sz w:val="24"/>
          <w:lang w:val="en-GB"/>
        </w:rPr>
        <w:t xml:space="preserve"> partial deletion was 1.9%, suggesting that this structural variant is more prevalent in the Estonian population than previously recogni</w:t>
      </w:r>
      <w:r w:rsidR="00197470">
        <w:rPr>
          <w:rFonts w:cs="Arial"/>
          <w:color w:val="000000" w:themeColor="text1"/>
          <w:sz w:val="24"/>
          <w:lang w:val="en-GB"/>
        </w:rPr>
        <w:t>s</w:t>
      </w:r>
      <w:r w:rsidRPr="00F643EB">
        <w:rPr>
          <w:rFonts w:cs="Arial"/>
          <w:color w:val="000000" w:themeColor="text1"/>
          <w:sz w:val="24"/>
          <w:lang w:val="en-GB"/>
        </w:rPr>
        <w:t>ed</w:t>
      </w:r>
      <w:r w:rsidR="00D406B6" w:rsidRPr="00F643EB">
        <w:rPr>
          <w:rFonts w:cs="Arial"/>
          <w:color w:val="000000" w:themeColor="text1"/>
          <w:sz w:val="24"/>
          <w:lang w:val="en-GB"/>
        </w:rPr>
        <w:fldChar w:fldCharType="begin"/>
      </w:r>
      <w:r w:rsidR="00626310">
        <w:rPr>
          <w:rFonts w:cs="Arial"/>
          <w:color w:val="000000" w:themeColor="text1"/>
          <w:sz w:val="24"/>
          <w:lang w:val="en-GB"/>
        </w:rPr>
        <w:instrText xml:space="preserve"> ADDIN ZOTERO_ITEM CSL_CITATION {"citationID":"fZKDuNBz","properties":{"formattedCitation":"\\super 1\\nosupersub{}","plainCitation":"1","noteIndex":0},"citationItems":[{"id":42,"uris":["http://zotero.org/users/17147026/items/8ZND6ZEK"],"itemData":{"id":42,"type":"article-journal","abstract":"The human CYP2C locus harbors the polymorphic CYP2C18, CYP2C19, CYP2C9, and CYP2C8 genes, and of these, CYP2C19 and CYP2C9 are directly involved in the metabolism of 15% of all medications. All variant CYP2C19 and CYP2C9 star (*) allele haplotypes currently cataloged by the Pharmacogene Variation (PharmVar) Consortium are defined by sequence variants. To determine if structural variation also occurs at the CYP2C locus, the 10q23.33 region was interrogated across deidentified clinical chromosomal microarray (CMA) data from 20,642 patients tested at two academic medical centers. Fourteen copy number variants that affected the coding region of CYP2C genes were detected in the clinical CMA cohorts, which ranged in size from 39.2 to 1,043.3 kb. Selected deletions and duplications were confirmed by MLPA or ddPCR. Analysis of the clinical CMA and an additional 78,839 cases from the Database of Genomic Variants (DGV) and ClinGen (total n = 99,481) indicated that the carrier frequency of a CYP2C structural variant is 1 in 1,000, with 1 in 2,000 being a CYP2C19 full gene or partial-gene deletion carrier, designated by PharmVar as CYP2C19*36 and *37, respectively. Although these structural variants are rare in the general population, their detection will likely improve metabolizer phenotype prediction when interrogated for research and/or clinical testing.","container-title":"Human Mutation","DOI":"10.1002/humu.23855","ISSN":"1098-1004","issue":"11","language":"en","license":"© 2019 Wiley Periodicals, Inc.","note":"_eprint: https://onlinelibrary.wiley.com/doi/pdf/10.1002/humu.23855","page":"e37-e51","source":"Wiley Online Library","title":"Structural variation at the CYP2C locus: Characterization of deletion and duplication alleles","title-short":"Structural variation at the CYP2C locus","volume":"40","author":[{"family":"Botton","given":"Mariana R."},{"family":"Lu","given":"Xingwu"},{"family":"Zhao","given":"Geping"},{"family":"Repnikova","given":"Elena"},{"family":"Seki","given":"Yoshinori"},{"family":"Gaedigk","given":"Andrea"},{"family":"Schadt","given":"Eric E."},{"family":"Edelmann","given":"Lisa"},{"family":"Scott","given":"Stuart A."}],"issued":{"date-parts":[["2019"]]}}}],"schema":"https://github.com/citation-style-language/schema/raw/master/csl-citation.json"} </w:instrText>
      </w:r>
      <w:r w:rsidR="00D406B6" w:rsidRPr="00F643EB">
        <w:rPr>
          <w:rFonts w:cs="Arial"/>
          <w:color w:val="000000" w:themeColor="text1"/>
          <w:sz w:val="24"/>
          <w:lang w:val="en-GB"/>
        </w:rPr>
        <w:fldChar w:fldCharType="separate"/>
      </w:r>
      <w:r w:rsidR="00626310" w:rsidRPr="00626310">
        <w:rPr>
          <w:rFonts w:cs="Arial"/>
          <w:color w:val="000000"/>
          <w:kern w:val="0"/>
          <w:sz w:val="24"/>
          <w:vertAlign w:val="superscript"/>
          <w:lang w:val="en-GB"/>
        </w:rPr>
        <w:t>1</w:t>
      </w:r>
      <w:r w:rsidR="00D406B6" w:rsidRPr="00F643EB">
        <w:rPr>
          <w:rFonts w:cs="Arial"/>
          <w:color w:val="000000" w:themeColor="text1"/>
          <w:sz w:val="24"/>
          <w:lang w:val="en-GB"/>
        </w:rPr>
        <w:fldChar w:fldCharType="end"/>
      </w:r>
      <w:r w:rsidR="00F91E4D" w:rsidRPr="00F643EB">
        <w:rPr>
          <w:rFonts w:cs="Arial"/>
          <w:color w:val="000000" w:themeColor="text1"/>
          <w:sz w:val="24"/>
          <w:lang w:val="en-GB"/>
        </w:rPr>
        <w:t>.</w:t>
      </w:r>
    </w:p>
    <w:p w14:paraId="07D3DB48" w14:textId="7106B452" w:rsidR="00737ADF" w:rsidRPr="00F643EB" w:rsidRDefault="009010CD" w:rsidP="00D77711">
      <w:pPr>
        <w:pStyle w:val="Heading2"/>
        <w:rPr>
          <w:sz w:val="24"/>
          <w:szCs w:val="44"/>
          <w:lang w:val="en-GB"/>
        </w:rPr>
      </w:pPr>
      <w:bookmarkStart w:id="6" w:name="_Toc201149354"/>
      <w:bookmarkStart w:id="7" w:name="_Toc202265801"/>
      <w:bookmarkStart w:id="8" w:name="_Toc214632533"/>
      <w:r w:rsidRPr="00F643EB">
        <w:rPr>
          <w:sz w:val="24"/>
          <w:szCs w:val="44"/>
          <w:lang w:val="en-GB"/>
        </w:rPr>
        <w:t xml:space="preserve">Star Allele </w:t>
      </w:r>
      <w:proofErr w:type="spellStart"/>
      <w:r w:rsidRPr="00F643EB">
        <w:rPr>
          <w:sz w:val="24"/>
          <w:szCs w:val="44"/>
          <w:lang w:val="en-GB"/>
        </w:rPr>
        <w:t>Diplotype</w:t>
      </w:r>
      <w:proofErr w:type="spellEnd"/>
      <w:r w:rsidRPr="00F643EB">
        <w:rPr>
          <w:sz w:val="24"/>
          <w:szCs w:val="44"/>
          <w:lang w:val="en-GB"/>
        </w:rPr>
        <w:t xml:space="preserve"> Assignment and Concordance Analysis</w:t>
      </w:r>
      <w:bookmarkEnd w:id="6"/>
      <w:bookmarkEnd w:id="7"/>
      <w:bookmarkEnd w:id="8"/>
    </w:p>
    <w:p w14:paraId="42F9202D" w14:textId="7AFD59D4" w:rsidR="009010CD" w:rsidRPr="00F643EB" w:rsidRDefault="009010CD" w:rsidP="00862368">
      <w:pPr>
        <w:spacing w:line="360" w:lineRule="auto"/>
        <w:jc w:val="both"/>
        <w:rPr>
          <w:rFonts w:cs="Arial"/>
          <w:color w:val="000000" w:themeColor="text1"/>
          <w:sz w:val="24"/>
          <w:lang w:val="en-GB"/>
        </w:rPr>
      </w:pPr>
      <w:proofErr w:type="spellStart"/>
      <w:r w:rsidRPr="00F643EB">
        <w:rPr>
          <w:rFonts w:cs="Arial"/>
          <w:color w:val="000000" w:themeColor="text1"/>
          <w:sz w:val="24"/>
          <w:lang w:val="en-GB"/>
        </w:rPr>
        <w:t>Diplotype</w:t>
      </w:r>
      <w:r w:rsidR="00B447E6" w:rsidRPr="00F643EB">
        <w:rPr>
          <w:rFonts w:cs="Arial"/>
          <w:color w:val="000000" w:themeColor="text1"/>
          <w:sz w:val="24"/>
          <w:lang w:val="en-GB"/>
        </w:rPr>
        <w:t>s</w:t>
      </w:r>
      <w:proofErr w:type="spellEnd"/>
      <w:r w:rsidRPr="00F643EB">
        <w:rPr>
          <w:rFonts w:cs="Arial"/>
          <w:color w:val="000000" w:themeColor="text1"/>
          <w:sz w:val="24"/>
          <w:lang w:val="en-GB"/>
        </w:rPr>
        <w:t xml:space="preserve"> assign</w:t>
      </w:r>
      <w:r w:rsidR="00B447E6" w:rsidRPr="00F643EB">
        <w:rPr>
          <w:rFonts w:cs="Arial"/>
          <w:color w:val="000000" w:themeColor="text1"/>
          <w:sz w:val="24"/>
          <w:lang w:val="en-GB"/>
        </w:rPr>
        <w:t>ed</w:t>
      </w:r>
      <w:r w:rsidRPr="00F643EB">
        <w:rPr>
          <w:rFonts w:cs="Arial"/>
          <w:color w:val="000000" w:themeColor="text1"/>
          <w:sz w:val="24"/>
          <w:lang w:val="en-GB"/>
        </w:rPr>
        <w:t xml:space="preserve"> </w:t>
      </w:r>
      <w:r w:rsidR="00B447E6" w:rsidRPr="00F643EB">
        <w:rPr>
          <w:rFonts w:cs="Arial"/>
          <w:color w:val="000000" w:themeColor="text1"/>
          <w:sz w:val="24"/>
          <w:lang w:val="en-GB"/>
        </w:rPr>
        <w:t>with</w:t>
      </w:r>
      <w:r w:rsidRPr="00F643EB">
        <w:rPr>
          <w:rFonts w:cs="Arial"/>
          <w:color w:val="000000" w:themeColor="text1"/>
          <w:sz w:val="24"/>
          <w:lang w:val="en-GB"/>
        </w:rPr>
        <w:t xml:space="preserve"> the pb-</w:t>
      </w:r>
      <w:proofErr w:type="spellStart"/>
      <w:r w:rsidRPr="00F643EB">
        <w:rPr>
          <w:rFonts w:cs="Arial"/>
          <w:color w:val="000000" w:themeColor="text1"/>
          <w:sz w:val="24"/>
          <w:lang w:val="en-GB"/>
        </w:rPr>
        <w:t>StarPhase</w:t>
      </w:r>
      <w:proofErr w:type="spellEnd"/>
      <w:r w:rsidRPr="00F643EB">
        <w:rPr>
          <w:rFonts w:cs="Arial"/>
          <w:color w:val="000000" w:themeColor="text1"/>
          <w:sz w:val="24"/>
          <w:lang w:val="en-GB"/>
        </w:rPr>
        <w:t xml:space="preserve"> algorithm</w:t>
      </w:r>
      <w:r w:rsidR="002F4F9A" w:rsidRPr="00F643EB">
        <w:rPr>
          <w:rFonts w:cs="Arial"/>
          <w:color w:val="000000" w:themeColor="text1"/>
          <w:sz w:val="24"/>
          <w:lang w:val="en-GB"/>
        </w:rPr>
        <w:fldChar w:fldCharType="begin"/>
      </w:r>
      <w:r w:rsidR="00626310">
        <w:rPr>
          <w:rFonts w:cs="Arial"/>
          <w:color w:val="000000" w:themeColor="text1"/>
          <w:sz w:val="24"/>
          <w:lang w:val="en-GB"/>
        </w:rPr>
        <w:instrText xml:space="preserve"> ADDIN ZOTERO_ITEM CSL_CITATION {"citationID":"3oA86wd3","properties":{"formattedCitation":"\\super 2\\nosupersub{}","plainCitation":"2","noteIndex":0},"citationItems":[{"id":37,"uris":["http://zotero.org/users/17147026/items/L9B97D8R"],"itemData":{"id":37,"type":"article","abstract":"Pharmacogenomics is central to precision medicine, informing medication safety and efficacy. Phar-macogenomic diplotyping of complex genes requires full-length DNA sequences and detection of structural rearrangements. We introduce StarPhase, a tool that leverages PacBio HiFi sequence data to diplotype 21 CPIC Level A pharmacogenes and provides detailed haplotypes and supporting visualizations for HLA-A, HLA-B, and CYP2D6. StarPhase diplotypes have high concordance with benchmarks where 99.5% are either exact matches or minor discrepancies. Manual inspection of the 0.5% mismatches indicates they were correctly called by StarPhase. With StarPhase, we update or correct 26.2% of GeT-RM pharmacogenomic diplotypes. Population distributions from StarPhase mostly reflect those of the All of Us cohort, while also highlighting gaps in existing pharmacogenomic databases that long-read sequencing can fill. With a single HiFi whole genome sequencing assay, StarPhase enables robust PGx diplotyping even as additional pharmacogenes and haplotypes are discovered.","DOI":"10.1101/2024.12.10.627527","language":"en","license":"© 2024, Posted by Cold Spring Harbor Laboratory. This pre-print is available under a Creative Commons License (Attribution-NonCommercial-NoDerivs 4.0 International), CC BY-NC-ND 4.0, as described at http://creativecommons.org/licenses/by-nc-nd/4.0/","note":"page: 2024.12.10.627527\nsection: New Results","publisher":"bioRxiv","source":"bioRxiv","title":"StarPhase: Comprehensive Phase-Aware Pharmacogenomic Diplotyper for Long-Read Sequencing Data","title-short":"StarPhase","URL":"https://www.biorxiv.org/content/10.1101/2024.12.10.627527v1","author":[{"family":"Holt","given":"James M."},{"family":"Harting","given":"John"},{"family":"Chen","given":"Xiao"},{"family":"Baker","given":"Daniel"},{"family":"Saunders","given":"Christopher T."},{"family":"Kronenberg","given":"Zev"},{"family":"Gonzaludo","given":"Nina"},{"family":"Yoo","given":"Byunggil"},{"family":"Hudjashov","given":"Georgi"},{"family":"Jõeloo","given":"Maarja"},{"family":"Lawlor","given":"James M. J."},{"family":"Lim","given":"Weng Khong"},{"family":"Team","given":"Estonian Biobank Research"},{"family":"Jamuar","given":"Saumya S."},{"family":"Cooper","given":"Gregory M."},{"family":"Milani","given":"Lili"},{"family":"Pastinen","given":"Tomi"},{"family":"Eberle","given":"Michael A."}],"accessed":{"date-parts":[["2025",5,13]]},"issued":{"date-parts":[["2024",12,11]]}}}],"schema":"https://github.com/citation-style-language/schema/raw/master/csl-citation.json"} </w:instrText>
      </w:r>
      <w:r w:rsidR="002F4F9A" w:rsidRPr="00F643EB">
        <w:rPr>
          <w:rFonts w:cs="Arial"/>
          <w:color w:val="000000" w:themeColor="text1"/>
          <w:sz w:val="24"/>
          <w:lang w:val="en-GB"/>
        </w:rPr>
        <w:fldChar w:fldCharType="separate"/>
      </w:r>
      <w:r w:rsidR="00626310" w:rsidRPr="00626310">
        <w:rPr>
          <w:rFonts w:cs="Arial"/>
          <w:color w:val="000000"/>
          <w:kern w:val="0"/>
          <w:sz w:val="24"/>
          <w:vertAlign w:val="superscript"/>
          <w:lang w:val="en-GB"/>
        </w:rPr>
        <w:t>2</w:t>
      </w:r>
      <w:r w:rsidR="002F4F9A" w:rsidRPr="00F643EB">
        <w:rPr>
          <w:rFonts w:cs="Arial"/>
          <w:color w:val="000000" w:themeColor="text1"/>
          <w:sz w:val="24"/>
          <w:lang w:val="en-GB"/>
        </w:rPr>
        <w:fldChar w:fldCharType="end"/>
      </w:r>
      <w:r w:rsidRPr="00F643EB">
        <w:rPr>
          <w:rFonts w:cs="Arial"/>
          <w:color w:val="000000" w:themeColor="text1"/>
          <w:sz w:val="24"/>
          <w:lang w:val="en-GB"/>
        </w:rPr>
        <w:t xml:space="preserve"> </w:t>
      </w:r>
      <w:r w:rsidR="00111DD1" w:rsidRPr="00F643EB">
        <w:rPr>
          <w:rFonts w:cs="Arial"/>
          <w:color w:val="000000" w:themeColor="text1"/>
          <w:sz w:val="24"/>
          <w:lang w:val="en-GB"/>
        </w:rPr>
        <w:t>were</w:t>
      </w:r>
      <w:r w:rsidRPr="00F643EB">
        <w:rPr>
          <w:rFonts w:cs="Arial"/>
          <w:color w:val="000000" w:themeColor="text1"/>
          <w:sz w:val="24"/>
          <w:lang w:val="en-GB"/>
        </w:rPr>
        <w:t xml:space="preserve"> used for all downstream analyses. To assess the similarities of </w:t>
      </w:r>
      <w:r w:rsidRPr="00F643EB">
        <w:rPr>
          <w:rFonts w:cs="Arial"/>
          <w:i/>
          <w:iCs/>
          <w:color w:val="000000" w:themeColor="text1"/>
          <w:sz w:val="24"/>
          <w:lang w:val="en-GB"/>
        </w:rPr>
        <w:t>CYP2D6</w:t>
      </w:r>
      <w:r w:rsidRPr="00F643EB">
        <w:rPr>
          <w:rFonts w:cs="Arial"/>
          <w:color w:val="000000" w:themeColor="text1"/>
          <w:sz w:val="24"/>
          <w:lang w:val="en-GB"/>
        </w:rPr>
        <w:t xml:space="preserve"> </w:t>
      </w:r>
      <w:proofErr w:type="spellStart"/>
      <w:r w:rsidRPr="00F643EB">
        <w:rPr>
          <w:rFonts w:cs="Arial"/>
          <w:color w:val="000000" w:themeColor="text1"/>
          <w:sz w:val="24"/>
          <w:lang w:val="en-GB"/>
        </w:rPr>
        <w:t>diplotype</w:t>
      </w:r>
      <w:r w:rsidR="00111DD1" w:rsidRPr="00F643EB">
        <w:rPr>
          <w:rFonts w:cs="Arial"/>
          <w:color w:val="000000" w:themeColor="text1"/>
          <w:sz w:val="24"/>
          <w:lang w:val="en-GB"/>
        </w:rPr>
        <w:t>s</w:t>
      </w:r>
      <w:proofErr w:type="spellEnd"/>
      <w:r w:rsidRPr="00F643EB">
        <w:rPr>
          <w:rFonts w:cs="Arial"/>
          <w:color w:val="000000" w:themeColor="text1"/>
          <w:sz w:val="24"/>
          <w:lang w:val="en-GB"/>
        </w:rPr>
        <w:t xml:space="preserve"> derived from short-read sequencing data, we compared the </w:t>
      </w:r>
      <w:proofErr w:type="spellStart"/>
      <w:r w:rsidRPr="00F643EB">
        <w:rPr>
          <w:rFonts w:cs="Arial"/>
          <w:color w:val="000000" w:themeColor="text1"/>
          <w:sz w:val="24"/>
          <w:lang w:val="en-GB"/>
        </w:rPr>
        <w:t>diplotype</w:t>
      </w:r>
      <w:proofErr w:type="spellEnd"/>
      <w:r w:rsidRPr="00F643EB">
        <w:rPr>
          <w:rFonts w:cs="Arial"/>
          <w:color w:val="000000" w:themeColor="text1"/>
          <w:sz w:val="24"/>
          <w:lang w:val="en-GB"/>
        </w:rPr>
        <w:t xml:space="preserve"> calls obtained using the Cyrius</w:t>
      </w:r>
      <w:r w:rsidR="00A5331B" w:rsidRPr="00F643EB">
        <w:rPr>
          <w:rFonts w:cs="Arial"/>
          <w:color w:val="000000" w:themeColor="text1"/>
          <w:sz w:val="24"/>
          <w:lang w:val="en-GB"/>
        </w:rPr>
        <w:fldChar w:fldCharType="begin"/>
      </w:r>
      <w:r w:rsidR="00F46784" w:rsidRPr="00F643EB">
        <w:rPr>
          <w:rFonts w:cs="Arial"/>
          <w:color w:val="000000" w:themeColor="text1"/>
          <w:sz w:val="24"/>
          <w:lang w:val="en-GB"/>
        </w:rPr>
        <w:instrText xml:space="preserve"> ADDIN ZOTERO_ITEM CSL_CITATION {"citationID":"8ZWmQ99Y","properties":{"formattedCitation":"\\super 3\\nosupersub{}","plainCitation":"3","noteIndex":0},"citationItems":[{"id":99,"uris":["http://zotero.org/users/17147026/items/S76BTFDQ"],"itemData":{"id":99,"type":"article-journal","abstract":"Responsible for the metabolism of ~21% of clinically used drugs, CYP2D6 is a critical component of personalized medicine initiatives. Genotyping CYP2D6 is challenging due to sequence similarity with its pseudogene paralog CYP2D7 and a high number and variety of common structural variants (SVs). Here we describe a novel bioinformatics method, Cyrius, that accurately genotypes CYP2D6 using whole-genome sequencing (WGS) data. We show that Cyrius has superior performance (96.5% concordance with truth genotypes) compared to existing methods (84-86.8%). After implementing the improvements identified from the comparison against the truth data, Cyrius's accuracy has since been improved to 99.3%. Using Cyrius, we built a haplotype frequency database from 2504 ethnically diverse samples and estimate that SV-containing star alleles are more frequent than previously reported. Cyrius will be an important tool to incorporate pharmacogenomics in WGS-based precision medicine initiatives.","container-title":"The Pharmacogenomics Journal","DOI":"10.1038/s41397-020-00205-5","ISSN":"1473-1150","issue":"2","journalAbbreviation":"Pharmacogenomics J","language":"eng","note":"PMID: 33462347\nPMCID: PMC7997805","page":"251-261","source":"PubMed","title":"Cyrius: accurate CYP2D6 genotyping using whole-genome sequencing data","title-short":"Cyrius","volume":"21","author":[{"family":"Chen","given":"Xiao"},{"family":"Shen","given":"Fei"},{"family":"Gonzaludo","given":"Nina"},{"family":"Malhotra","given":"Alka"},{"family":"Rogert","given":"Cande"},{"family":"Taft","given":"Ryan J."},{"family":"Bentley","given":"David R."},{"family":"Eberle","given":"Michael A."}],"issued":{"date-parts":[["2021",4]]}}}],"schema":"https://github.com/citation-style-language/schema/raw/master/csl-citation.json"} </w:instrText>
      </w:r>
      <w:r w:rsidR="00A5331B" w:rsidRPr="00F643EB">
        <w:rPr>
          <w:rFonts w:cs="Arial"/>
          <w:color w:val="000000" w:themeColor="text1"/>
          <w:sz w:val="24"/>
          <w:lang w:val="en-GB"/>
        </w:rPr>
        <w:fldChar w:fldCharType="separate"/>
      </w:r>
      <w:r w:rsidR="00F46784" w:rsidRPr="00F643EB">
        <w:rPr>
          <w:rFonts w:cs="Arial"/>
          <w:color w:val="000000"/>
          <w:kern w:val="0"/>
          <w:sz w:val="24"/>
          <w:vertAlign w:val="superscript"/>
          <w:lang w:val="en-GB"/>
        </w:rPr>
        <w:t>3</w:t>
      </w:r>
      <w:r w:rsidR="00A5331B" w:rsidRPr="00F643EB">
        <w:rPr>
          <w:rFonts w:cs="Arial"/>
          <w:color w:val="000000" w:themeColor="text1"/>
          <w:sz w:val="24"/>
          <w:lang w:val="en-GB"/>
        </w:rPr>
        <w:fldChar w:fldCharType="end"/>
      </w:r>
      <w:r w:rsidRPr="00F643EB">
        <w:rPr>
          <w:rFonts w:cs="Arial"/>
          <w:color w:val="000000" w:themeColor="text1"/>
          <w:sz w:val="24"/>
          <w:lang w:val="en-GB"/>
        </w:rPr>
        <w:t xml:space="preserve"> and Aldy</w:t>
      </w:r>
      <w:r w:rsidR="00786DF8" w:rsidRPr="00F643EB">
        <w:rPr>
          <w:rFonts w:cs="Arial"/>
          <w:color w:val="000000" w:themeColor="text1"/>
          <w:sz w:val="24"/>
          <w:lang w:val="en-GB"/>
        </w:rPr>
        <w:fldChar w:fldCharType="begin"/>
      </w:r>
      <w:r w:rsidR="00F46784" w:rsidRPr="00F643EB">
        <w:rPr>
          <w:rFonts w:cs="Arial"/>
          <w:color w:val="000000" w:themeColor="text1"/>
          <w:sz w:val="24"/>
          <w:lang w:val="en-GB"/>
        </w:rPr>
        <w:instrText xml:space="preserve"> ADDIN ZOTERO_ITEM CSL_CITATION {"citationID":"Zq5b9wj9","properties":{"formattedCitation":"\\super 4\\nosupersub{}","plainCitation":"4","noteIndex":0},"citationItems":[{"id":102,"uris":["http://zotero.org/users/17147026/items/FHTXS4BA"],"itemData":{"id":102,"type":"article-journal","abstract":"High-throughput sequencing provides sufficient means for determining genotypes of clinically important pharmacogenes that can be used to tailor medical decisions to individual patients. However, pharmacogene genotyping, also known as star-allele calling, is a challenging problem that requires accurate copy number calling, structural variation identification, variant calling, and phasing within each pharmacogene copy present in the sample. Here we introduce Aldy 4, a fast and efficient tool for genotyping pharmacogenes that uses combinatorial optimization for accurate star-allele calling across different sequencing technologies. Aldy 4 adds support for long reads and uses a novel phasing model and improved copy number and variant calling models. We compare Aldy 4 against the current state-of-the-art star-allele callers on a large and diverse set of samples and genes sequenced by various sequencing technologies, such as whole-genome and targeted Illumina sequencing, barcoded 10x Genomics, and Pacific Biosciences (PacBio) HiFi. We show that Aldy 4 is the most accurate star-allele caller with near-perfect accuracy in all evaluated contexts, and hope that Aldy remains an invaluable tool in the clinical toolbox even with the advent of long-read sequencing technologies.","container-title":"Genome Research","DOI":"10.1101/gr.277075.122","ISSN":"1549-5469","issue":"1","journalAbbreviation":"Genome Res","language":"eng","note":"PMID: 36657977\nPMCID: PMC9977157","page":"61-70","source":"PubMed","title":"An efficient genotyper and star-allele caller for pharmacogenomics","volume":"33","author":[{"family":"Hari","given":"Ananth"},{"family":"Zhou","given":"Qinghui"},{"family":"Gonzaludo","given":"Nina"},{"family":"Harting","given":"John"},{"family":"Scott","given":"Stuart A."},{"family":"Qin","given":"Xiang"},{"family":"Scherer","given":"Steve"},{"family":"Sahinalp","given":"S. Cenk"},{"family":"Numanagić","given":"Ibrahim"}],"issued":{"date-parts":[["2023",1]]}}}],"schema":"https://github.com/citation-style-language/schema/raw/master/csl-citation.json"} </w:instrText>
      </w:r>
      <w:r w:rsidR="00786DF8" w:rsidRPr="00F643EB">
        <w:rPr>
          <w:rFonts w:cs="Arial"/>
          <w:color w:val="000000" w:themeColor="text1"/>
          <w:sz w:val="24"/>
          <w:lang w:val="en-GB"/>
        </w:rPr>
        <w:fldChar w:fldCharType="separate"/>
      </w:r>
      <w:r w:rsidR="00F46784" w:rsidRPr="00F643EB">
        <w:rPr>
          <w:rFonts w:cs="Arial"/>
          <w:color w:val="000000"/>
          <w:kern w:val="0"/>
          <w:sz w:val="24"/>
          <w:vertAlign w:val="superscript"/>
          <w:lang w:val="en-GB"/>
        </w:rPr>
        <w:t>4</w:t>
      </w:r>
      <w:r w:rsidR="00786DF8" w:rsidRPr="00F643EB">
        <w:rPr>
          <w:rFonts w:cs="Arial"/>
          <w:color w:val="000000" w:themeColor="text1"/>
          <w:sz w:val="24"/>
          <w:lang w:val="en-GB"/>
        </w:rPr>
        <w:fldChar w:fldCharType="end"/>
      </w:r>
      <w:r w:rsidRPr="00F643EB">
        <w:rPr>
          <w:rFonts w:cs="Arial"/>
          <w:color w:val="000000" w:themeColor="text1"/>
          <w:sz w:val="24"/>
          <w:lang w:val="en-GB"/>
        </w:rPr>
        <w:t xml:space="preserve"> tools against the results from pb-</w:t>
      </w:r>
      <w:proofErr w:type="spellStart"/>
      <w:r w:rsidRPr="00F643EB">
        <w:rPr>
          <w:rFonts w:cs="Arial"/>
          <w:color w:val="000000" w:themeColor="text1"/>
          <w:sz w:val="24"/>
          <w:lang w:val="en-GB"/>
        </w:rPr>
        <w:t>StarPhase</w:t>
      </w:r>
      <w:proofErr w:type="spellEnd"/>
      <w:r w:rsidRPr="00F643EB">
        <w:rPr>
          <w:rFonts w:cs="Arial"/>
          <w:color w:val="000000" w:themeColor="text1"/>
          <w:sz w:val="24"/>
          <w:lang w:val="en-GB"/>
        </w:rPr>
        <w:t xml:space="preserve"> in a subset of 43 participants (with available </w:t>
      </w:r>
      <w:r w:rsidR="009C36B4" w:rsidRPr="00F643EB">
        <w:rPr>
          <w:rFonts w:cs="Arial"/>
          <w:color w:val="000000" w:themeColor="text1"/>
          <w:sz w:val="24"/>
          <w:lang w:val="en-GB"/>
        </w:rPr>
        <w:t xml:space="preserve">genome sequencing </w:t>
      </w:r>
      <w:r w:rsidRPr="00F643EB">
        <w:rPr>
          <w:rFonts w:cs="Arial"/>
          <w:color w:val="000000" w:themeColor="text1"/>
          <w:sz w:val="24"/>
          <w:lang w:val="en-GB"/>
        </w:rPr>
        <w:t>data). Both short-read-based tools performed well, with Cyrius demonstrating a concordance rate of 93.0% and Aldy achieving 90.7% when compared to the long-read-based pb-</w:t>
      </w:r>
      <w:proofErr w:type="spellStart"/>
      <w:r w:rsidRPr="00F643EB">
        <w:rPr>
          <w:rFonts w:cs="Arial"/>
          <w:color w:val="000000" w:themeColor="text1"/>
          <w:sz w:val="24"/>
          <w:lang w:val="en-GB"/>
        </w:rPr>
        <w:t>StarPhase</w:t>
      </w:r>
      <w:proofErr w:type="spellEnd"/>
      <w:r w:rsidRPr="00F643EB">
        <w:rPr>
          <w:rFonts w:cs="Arial"/>
          <w:color w:val="000000" w:themeColor="text1"/>
          <w:sz w:val="24"/>
          <w:lang w:val="en-GB"/>
        </w:rPr>
        <w:t xml:space="preserve"> calls (Supplementary Figure 2, Supplementary </w:t>
      </w:r>
      <w:r w:rsidR="00115A82">
        <w:rPr>
          <w:rFonts w:cs="Arial"/>
          <w:color w:val="000000" w:themeColor="text1"/>
          <w:sz w:val="24"/>
          <w:lang w:val="en-GB"/>
        </w:rPr>
        <w:t>Data</w:t>
      </w:r>
      <w:r w:rsidRPr="00F643EB">
        <w:rPr>
          <w:rFonts w:cs="Arial"/>
          <w:color w:val="000000" w:themeColor="text1"/>
          <w:sz w:val="24"/>
          <w:lang w:val="en-GB"/>
        </w:rPr>
        <w:t xml:space="preserve"> 4). The observed mismatches were primarily linked to hybrid allele classifications, highlighting the advantage of pb-</w:t>
      </w:r>
      <w:proofErr w:type="spellStart"/>
      <w:r w:rsidRPr="00F643EB">
        <w:rPr>
          <w:rFonts w:cs="Arial"/>
          <w:color w:val="000000" w:themeColor="text1"/>
          <w:sz w:val="24"/>
          <w:lang w:val="en-GB"/>
        </w:rPr>
        <w:t>StarPhase’s</w:t>
      </w:r>
      <w:proofErr w:type="spellEnd"/>
      <w:r w:rsidRPr="00F643EB">
        <w:rPr>
          <w:rFonts w:cs="Arial"/>
          <w:color w:val="000000" w:themeColor="text1"/>
          <w:sz w:val="24"/>
          <w:lang w:val="en-GB"/>
        </w:rPr>
        <w:t xml:space="preserve"> long-read approach in resolving structural complexities. The previously u</w:t>
      </w:r>
      <w:r w:rsidR="00351A91" w:rsidRPr="00F643EB">
        <w:rPr>
          <w:rFonts w:cs="Arial"/>
          <w:color w:val="000000" w:themeColor="text1"/>
          <w:sz w:val="24"/>
          <w:lang w:val="en-GB"/>
        </w:rPr>
        <w:t>s</w:t>
      </w:r>
      <w:r w:rsidRPr="00F643EB">
        <w:rPr>
          <w:rFonts w:cs="Arial"/>
          <w:color w:val="000000" w:themeColor="text1"/>
          <w:sz w:val="24"/>
          <w:lang w:val="en-GB"/>
        </w:rPr>
        <w:t>ed UT-tool</w:t>
      </w:r>
      <w:r w:rsidR="00040624" w:rsidRPr="00F643EB">
        <w:rPr>
          <w:rFonts w:cs="Arial"/>
          <w:color w:val="000000" w:themeColor="text1"/>
          <w:sz w:val="24"/>
          <w:lang w:val="en-GB"/>
        </w:rPr>
        <w:fldChar w:fldCharType="begin"/>
      </w:r>
      <w:r w:rsidR="00F46784" w:rsidRPr="00F643EB">
        <w:rPr>
          <w:rFonts w:cs="Arial"/>
          <w:color w:val="000000" w:themeColor="text1"/>
          <w:sz w:val="24"/>
          <w:lang w:val="en-GB"/>
        </w:rPr>
        <w:instrText xml:space="preserve"> ADDIN ZOTERO_ITEM CSL_CITATION {"citationID":"fhq7F0Zd","properties":{"formattedCitation":"\\super 5\\nosupersub{}","plainCitation":"5","noteIndex":0},"citationItems":[{"id":86,"uris":["http://zotero.org/users/17147026/items/EK9N93RV"],"itemData":{"id":86,"type":"article-journal","abstract":"PURPOSE: Biomedical databases combining electronic medical records and phenotypic and genomic data constitute a powerful resource for the personalization of treatment. To leverage the wealth of information provided, algorithms are required that systematically translate the contained information into treatment recommendations based on existing genotype-phenotype associations.\nMETHODS: We developed and tested algorithms for translation of preexisting genotype data of over 44,000 participants of the Estonian biobank into pharmacogenetic recommendations. We compared the results obtained by genome sequencing, exome sequencing, and genotyping using microarrays, and evaluated the impact of pharmacogenetic reporting based on drug prescription statistics in the Nordic countries and Estonia.\nRESULTS: Our most striking result was that the performance of genotyping arrays is similar to that of genome sequencing, whereas exome sequencing is not suitable for pharmacogenetic predictions. Interestingly, 99.8% of all assessed individuals had a genotype associated with increased risks to at least one medication, and thereby the implementation of pharmacogenetic recommendations based on genotyping affects at least 50 daily drug doses per 1000 inhabitants.\nCONCLUSION: We find that microarrays are a cost-effective solution for creating preemptive pharmacogenetic reports, and with slight modifications, existing databases can be applied for automated pharmacogenetic decision support for clinicians.","container-title":"Genetics in Medicine: Official Journal of the American College of Medical Genetics","DOI":"10.1038/s41436-018-0337-5","ISSN":"1530-0366","issue":"6","journalAbbreviation":"Genet Med","language":"eng","note":"PMID: 30327539\nPMCID: PMC6752278","page":"1345-1354","source":"PubMed","title":"Translating genotype data of 44,000 biobank participants into clinical pharmacogenetic recommendations: challenges and solutions","title-short":"Translating genotype data of 44,000 biobank participants into clinical pharmacogenetic recommendations","volume":"21","author":[{"family":"Reisberg","given":"Sulev"},{"family":"Krebs","given":"Kristi"},{"family":"Lepamets","given":"Maarja"},{"family":"Kals","given":"Mart"},{"family":"Mägi","given":"Reedik"},{"family":"Metsalu","given":"Kristjan"},{"family":"Lauschke","given":"Volker M."},{"family":"Vilo","given":"Jaak"},{"family":"Milani","given":"Lili"}],"issued":{"date-parts":[["2019",6]]}}}],"schema":"https://github.com/citation-style-language/schema/raw/master/csl-citation.json"} </w:instrText>
      </w:r>
      <w:r w:rsidR="00040624" w:rsidRPr="00F643EB">
        <w:rPr>
          <w:rFonts w:cs="Arial"/>
          <w:color w:val="000000" w:themeColor="text1"/>
          <w:sz w:val="24"/>
          <w:lang w:val="en-GB"/>
        </w:rPr>
        <w:fldChar w:fldCharType="separate"/>
      </w:r>
      <w:r w:rsidR="00F46784" w:rsidRPr="00F643EB">
        <w:rPr>
          <w:rFonts w:cs="Arial"/>
          <w:color w:val="000000"/>
          <w:kern w:val="0"/>
          <w:sz w:val="24"/>
          <w:vertAlign w:val="superscript"/>
          <w:lang w:val="en-GB"/>
        </w:rPr>
        <w:t>5</w:t>
      </w:r>
      <w:r w:rsidR="00040624" w:rsidRPr="00F643EB">
        <w:rPr>
          <w:rFonts w:cs="Arial"/>
          <w:color w:val="000000" w:themeColor="text1"/>
          <w:sz w:val="24"/>
          <w:lang w:val="en-GB"/>
        </w:rPr>
        <w:fldChar w:fldCharType="end"/>
      </w:r>
      <w:r w:rsidRPr="00F643EB">
        <w:rPr>
          <w:rFonts w:cs="Arial"/>
          <w:color w:val="000000" w:themeColor="text1"/>
          <w:sz w:val="24"/>
          <w:lang w:val="en-GB"/>
        </w:rPr>
        <w:t xml:space="preserve"> exhibited a lower concordance rate of 83.7%, largely due to its limitations in identifying hybrid alleles. </w:t>
      </w:r>
    </w:p>
    <w:p w14:paraId="2759E935" w14:textId="725BF067" w:rsidR="00F520B4" w:rsidRPr="00F643EB" w:rsidRDefault="009010CD" w:rsidP="00737ADF">
      <w:pPr>
        <w:spacing w:line="360" w:lineRule="auto"/>
        <w:jc w:val="both"/>
        <w:rPr>
          <w:rFonts w:cs="Arial"/>
          <w:color w:val="000000" w:themeColor="text1"/>
          <w:sz w:val="24"/>
          <w:lang w:val="en-GB"/>
        </w:rPr>
      </w:pPr>
      <w:r w:rsidRPr="00F643EB">
        <w:rPr>
          <w:rFonts w:cs="Arial"/>
          <w:color w:val="000000" w:themeColor="text1"/>
          <w:sz w:val="24"/>
          <w:lang w:val="en-GB"/>
        </w:rPr>
        <w:t xml:space="preserve">For the </w:t>
      </w:r>
      <w:r w:rsidRPr="00F643EB">
        <w:rPr>
          <w:rFonts w:cs="Arial"/>
          <w:i/>
          <w:iCs/>
          <w:color w:val="000000" w:themeColor="text1"/>
          <w:sz w:val="24"/>
          <w:lang w:val="en-GB"/>
        </w:rPr>
        <w:t>CYP2C19</w:t>
      </w:r>
      <w:r w:rsidRPr="00F643EB">
        <w:rPr>
          <w:rFonts w:cs="Arial"/>
          <w:color w:val="000000" w:themeColor="text1"/>
          <w:sz w:val="24"/>
          <w:lang w:val="en-GB"/>
        </w:rPr>
        <w:t xml:space="preserve"> gene, we also compared the pb-</w:t>
      </w:r>
      <w:proofErr w:type="spellStart"/>
      <w:r w:rsidRPr="00F643EB">
        <w:rPr>
          <w:rFonts w:cs="Arial"/>
          <w:color w:val="000000" w:themeColor="text1"/>
          <w:sz w:val="24"/>
          <w:lang w:val="en-GB"/>
        </w:rPr>
        <w:t>StarPhase</w:t>
      </w:r>
      <w:proofErr w:type="spellEnd"/>
      <w:r w:rsidRPr="00F643EB">
        <w:rPr>
          <w:rFonts w:cs="Arial"/>
          <w:color w:val="000000" w:themeColor="text1"/>
          <w:sz w:val="24"/>
          <w:lang w:val="en-GB"/>
        </w:rPr>
        <w:t xml:space="preserve"> results with </w:t>
      </w:r>
      <w:proofErr w:type="spellStart"/>
      <w:r w:rsidRPr="00F643EB">
        <w:rPr>
          <w:rFonts w:cs="Arial"/>
          <w:color w:val="000000" w:themeColor="text1"/>
          <w:sz w:val="24"/>
          <w:lang w:val="en-GB"/>
        </w:rPr>
        <w:t>diplotype</w:t>
      </w:r>
      <w:proofErr w:type="spellEnd"/>
      <w:r w:rsidRPr="00F643EB">
        <w:rPr>
          <w:rFonts w:cs="Arial"/>
          <w:color w:val="000000" w:themeColor="text1"/>
          <w:sz w:val="24"/>
          <w:lang w:val="en-GB"/>
        </w:rPr>
        <w:t xml:space="preserve"> calls generated using the UT-tool and the PharmCAT</w:t>
      </w:r>
      <w:r w:rsidR="00D0611E" w:rsidRPr="00F643EB">
        <w:rPr>
          <w:rFonts w:cs="Arial"/>
          <w:color w:val="000000" w:themeColor="text1"/>
          <w:sz w:val="24"/>
          <w:lang w:val="en-GB"/>
        </w:rPr>
        <w:fldChar w:fldCharType="begin"/>
      </w:r>
      <w:r w:rsidR="00626310">
        <w:rPr>
          <w:rFonts w:cs="Arial"/>
          <w:color w:val="000000" w:themeColor="text1"/>
          <w:sz w:val="24"/>
          <w:lang w:val="en-GB"/>
        </w:rPr>
        <w:instrText xml:space="preserve"> ADDIN ZOTERO_ITEM CSL_CITATION {"citationID":"fQBI9i59","properties":{"formattedCitation":"\\super 6\\nosupersub{}","plainCitation":"6","noteIndex":0},"citationItems":[{"id":105,"uris":["http://zotero.org/users/17147026/items/B27G27T2"],"itemData":{"id":105,"type":"article-journal","abstract":"Pharmacogenomics (PGx) decision support and return of results is an active area of precision medicine. One challenge of implementing PGx is extracting genomic variants and assigning haplotypes in order to apply prescribing recommendations and information from the Clinical Pharmacogenetics Implementation Consortium (CPIC), the US Food and Drug Administration (FDA), the Pharmacogenomics Knowledgebase (PharmGKB), etc. Pharmacogenomics Clinical Annotation Tool (PharmCAT) (i) extracts variants specified in guidelines from a genetic data set derived from sequencing or genotyping technologies, (ii) infers haplotypes and diplotypes, and (iii) generates a report containing genotype/diplotype-based annotations and guideline recommendations. We describe PharmCAT and a pilot validation project comparing results for 1000 Genomes Project sequences of Coriell samples with corresponding Genetic Testing Reference Materials Coordination Program (GeT-RM) sample characterization. PharmCAT was highly concordant with the GeT-RM data. PharmCAT is available in GitHub to evaluate, test, and report results back to the community. As precision medicine becomes more prevalent, our ability to consistently, accurately, and clearly define and report PGx annotations and prescribing recommendations is critical.","container-title":"Clinical Pharmacology and Therapeutics","DOI":"10.1002/cpt.1568","ISSN":"1532-6535","issue":"1","journalAbbreviation":"Clin Pharmacol Ther","language":"eng","note":"PMID: 31306493\nPMCID: PMC6977333","page":"203-210","source":"PubMed","title":"Pharmacogenomics Clinical Annotation Tool (PharmCAT)","volume":"107","author":[{"family":"Sangkuhl","given":"Katrin"},{"family":"Whirl-Carrillo","given":"Michelle"},{"family":"Whaley","given":"Ryan M."},{"family":"Woon","given":"Mark"},{"family":"Lavertu","given":"Adam"},{"family":"Altman","given":"Russ B."},{"family":"Carter","given":"Lester"},{"family":"Verma","given":"Anurag"},{"family":"Ritchie","given":"Marylyn D."},{"family":"Klein","given":"Teri E."}],"issued":{"date-parts":[["2020",1]]}}}],"schema":"https://github.com/citation-style-language/schema/raw/master/csl-citation.json"} </w:instrText>
      </w:r>
      <w:r w:rsidR="00D0611E" w:rsidRPr="00F643EB">
        <w:rPr>
          <w:rFonts w:cs="Arial"/>
          <w:color w:val="000000" w:themeColor="text1"/>
          <w:sz w:val="24"/>
          <w:lang w:val="en-GB"/>
        </w:rPr>
        <w:fldChar w:fldCharType="separate"/>
      </w:r>
      <w:r w:rsidR="00626310" w:rsidRPr="00626310">
        <w:rPr>
          <w:rFonts w:cs="Arial"/>
          <w:color w:val="000000"/>
          <w:kern w:val="0"/>
          <w:sz w:val="24"/>
          <w:vertAlign w:val="superscript"/>
          <w:lang w:val="en-GB"/>
        </w:rPr>
        <w:t>6</w:t>
      </w:r>
      <w:r w:rsidR="00D0611E" w:rsidRPr="00F643EB">
        <w:rPr>
          <w:rFonts w:cs="Arial"/>
          <w:color w:val="000000" w:themeColor="text1"/>
          <w:sz w:val="24"/>
          <w:lang w:val="en-GB"/>
        </w:rPr>
        <w:fldChar w:fldCharType="end"/>
      </w:r>
      <w:r w:rsidRPr="00F643EB">
        <w:rPr>
          <w:rFonts w:cs="Arial"/>
          <w:color w:val="000000" w:themeColor="text1"/>
          <w:sz w:val="24"/>
          <w:lang w:val="en-GB"/>
        </w:rPr>
        <w:t xml:space="preserve"> algorithm across all 114 participants (</w:t>
      </w:r>
      <w:proofErr w:type="spellStart"/>
      <w:r w:rsidRPr="00F643EB">
        <w:rPr>
          <w:rFonts w:cs="Arial"/>
          <w:color w:val="000000" w:themeColor="text1"/>
          <w:sz w:val="24"/>
          <w:lang w:val="en-GB"/>
        </w:rPr>
        <w:t>GS+microarray</w:t>
      </w:r>
      <w:proofErr w:type="spellEnd"/>
      <w:r w:rsidRPr="00F643EB">
        <w:rPr>
          <w:rFonts w:cs="Arial"/>
          <w:color w:val="000000" w:themeColor="text1"/>
          <w:sz w:val="24"/>
          <w:lang w:val="en-GB"/>
        </w:rPr>
        <w:t xml:space="preserve">). The overall concordance was notably low, primarily because neither </w:t>
      </w:r>
      <w:r w:rsidR="00176BBC" w:rsidRPr="00F643EB">
        <w:rPr>
          <w:rFonts w:cs="Arial"/>
          <w:color w:val="000000" w:themeColor="text1"/>
          <w:sz w:val="24"/>
          <w:lang w:val="en-GB"/>
        </w:rPr>
        <w:t xml:space="preserve">the </w:t>
      </w:r>
      <w:r w:rsidRPr="00F643EB">
        <w:rPr>
          <w:rFonts w:cs="Arial"/>
          <w:color w:val="000000" w:themeColor="text1"/>
          <w:sz w:val="24"/>
          <w:lang w:val="en-GB"/>
        </w:rPr>
        <w:t xml:space="preserve">UT-tool nor </w:t>
      </w:r>
      <w:proofErr w:type="spellStart"/>
      <w:r w:rsidRPr="00F643EB">
        <w:rPr>
          <w:rFonts w:cs="Arial"/>
          <w:color w:val="000000" w:themeColor="text1"/>
          <w:sz w:val="24"/>
          <w:lang w:val="en-GB"/>
        </w:rPr>
        <w:t>PharmCAT</w:t>
      </w:r>
      <w:proofErr w:type="spellEnd"/>
      <w:r w:rsidRPr="00F643EB">
        <w:rPr>
          <w:rFonts w:cs="Arial"/>
          <w:color w:val="000000" w:themeColor="text1"/>
          <w:sz w:val="24"/>
          <w:lang w:val="en-GB"/>
        </w:rPr>
        <w:t xml:space="preserve"> could call structural variants for </w:t>
      </w:r>
      <w:r w:rsidRPr="00F643EB">
        <w:rPr>
          <w:rFonts w:cs="Arial"/>
          <w:i/>
          <w:iCs/>
          <w:color w:val="000000" w:themeColor="text1"/>
          <w:sz w:val="24"/>
          <w:lang w:val="en-GB"/>
        </w:rPr>
        <w:t>CYP2C19</w:t>
      </w:r>
      <w:r w:rsidRPr="00F643EB">
        <w:rPr>
          <w:rFonts w:cs="Arial"/>
          <w:color w:val="000000" w:themeColor="text1"/>
          <w:sz w:val="24"/>
          <w:lang w:val="en-GB"/>
        </w:rPr>
        <w:t xml:space="preserve">. In particular, the partial gene deletion allele </w:t>
      </w:r>
      <w:r w:rsidRPr="00F643EB">
        <w:rPr>
          <w:rFonts w:cs="Arial"/>
          <w:i/>
          <w:iCs/>
          <w:color w:val="000000" w:themeColor="text1"/>
          <w:sz w:val="24"/>
          <w:lang w:val="en-GB"/>
        </w:rPr>
        <w:t>CYP2C19*37</w:t>
      </w:r>
      <w:r w:rsidRPr="00F643EB">
        <w:rPr>
          <w:rFonts w:cs="Arial"/>
          <w:color w:val="000000" w:themeColor="text1"/>
          <w:sz w:val="24"/>
          <w:lang w:val="en-GB"/>
        </w:rPr>
        <w:t xml:space="preserve"> was uniquely identified by pb-</w:t>
      </w:r>
      <w:proofErr w:type="spellStart"/>
      <w:r w:rsidRPr="00F643EB">
        <w:rPr>
          <w:rFonts w:cs="Arial"/>
          <w:color w:val="000000" w:themeColor="text1"/>
          <w:sz w:val="24"/>
          <w:lang w:val="en-GB"/>
        </w:rPr>
        <w:t>StarPhase</w:t>
      </w:r>
      <w:proofErr w:type="spellEnd"/>
      <w:r w:rsidRPr="00F643EB">
        <w:rPr>
          <w:rFonts w:cs="Arial"/>
          <w:color w:val="000000" w:themeColor="text1"/>
          <w:sz w:val="24"/>
          <w:lang w:val="en-GB"/>
        </w:rPr>
        <w:t xml:space="preserve">, leading to significant mismatches with both the UT-tool (concordance: 28.1%) and </w:t>
      </w:r>
      <w:proofErr w:type="spellStart"/>
      <w:r w:rsidRPr="00F643EB">
        <w:rPr>
          <w:rFonts w:cs="Arial"/>
          <w:color w:val="000000" w:themeColor="text1"/>
          <w:sz w:val="24"/>
          <w:lang w:val="en-GB"/>
        </w:rPr>
        <w:t>PharmCAT</w:t>
      </w:r>
      <w:proofErr w:type="spellEnd"/>
      <w:r w:rsidRPr="00F643EB">
        <w:rPr>
          <w:rFonts w:cs="Arial"/>
          <w:color w:val="000000" w:themeColor="text1"/>
          <w:sz w:val="24"/>
          <w:lang w:val="en-GB"/>
        </w:rPr>
        <w:t xml:space="preserve"> (concordance: 41.2%, as shown in Supplementary Figure 3, Supplementary </w:t>
      </w:r>
      <w:r w:rsidR="00115A82">
        <w:rPr>
          <w:rFonts w:cs="Arial"/>
          <w:color w:val="000000" w:themeColor="text1"/>
          <w:sz w:val="24"/>
          <w:lang w:val="en-GB"/>
        </w:rPr>
        <w:t>Data</w:t>
      </w:r>
      <w:r w:rsidRPr="00F643EB">
        <w:rPr>
          <w:rFonts w:cs="Arial"/>
          <w:color w:val="000000" w:themeColor="text1"/>
          <w:sz w:val="24"/>
          <w:lang w:val="en-GB"/>
        </w:rPr>
        <w:t xml:space="preserve"> 4). Furthermore, the more recently characteri</w:t>
      </w:r>
      <w:r w:rsidR="00115A82">
        <w:rPr>
          <w:rFonts w:cs="Arial"/>
          <w:color w:val="000000" w:themeColor="text1"/>
          <w:sz w:val="24"/>
          <w:lang w:val="en-GB"/>
        </w:rPr>
        <w:t>s</w:t>
      </w:r>
      <w:r w:rsidRPr="00F643EB">
        <w:rPr>
          <w:rFonts w:cs="Arial"/>
          <w:color w:val="000000" w:themeColor="text1"/>
          <w:sz w:val="24"/>
          <w:lang w:val="en-GB"/>
        </w:rPr>
        <w:t xml:space="preserve">ed </w:t>
      </w:r>
      <w:r w:rsidRPr="0083136D">
        <w:rPr>
          <w:rFonts w:cs="Arial"/>
          <w:i/>
          <w:iCs/>
          <w:color w:val="000000" w:themeColor="text1"/>
          <w:sz w:val="24"/>
          <w:lang w:val="en-GB"/>
        </w:rPr>
        <w:t>CYP2C19</w:t>
      </w:r>
      <w:r w:rsidRPr="00F643EB">
        <w:rPr>
          <w:rFonts w:cs="Arial"/>
          <w:color w:val="000000" w:themeColor="text1"/>
          <w:sz w:val="24"/>
          <w:lang w:val="en-GB"/>
        </w:rPr>
        <w:t>*</w:t>
      </w:r>
      <w:r w:rsidRPr="0083136D">
        <w:rPr>
          <w:rFonts w:cs="Arial"/>
          <w:i/>
          <w:iCs/>
          <w:color w:val="000000" w:themeColor="text1"/>
          <w:sz w:val="24"/>
          <w:lang w:val="en-GB"/>
        </w:rPr>
        <w:t>38</w:t>
      </w:r>
      <w:r w:rsidRPr="00F643EB">
        <w:rPr>
          <w:rFonts w:cs="Arial"/>
          <w:color w:val="000000" w:themeColor="text1"/>
          <w:sz w:val="24"/>
          <w:lang w:val="en-GB"/>
        </w:rPr>
        <w:t xml:space="preserve"> </w:t>
      </w:r>
      <w:r w:rsidR="008A4EA5" w:rsidRPr="00F643EB">
        <w:rPr>
          <w:rFonts w:cs="Arial"/>
          <w:color w:val="000000" w:themeColor="text1"/>
          <w:sz w:val="24"/>
          <w:lang w:val="en-GB"/>
        </w:rPr>
        <w:t xml:space="preserve">allele </w:t>
      </w:r>
      <w:r w:rsidRPr="00F643EB">
        <w:rPr>
          <w:rFonts w:cs="Arial"/>
          <w:color w:val="000000" w:themeColor="text1"/>
          <w:sz w:val="24"/>
          <w:lang w:val="en-GB"/>
        </w:rPr>
        <w:t>was not included in UT-tool’s original allele database, which contributed considerably to its lower concordance rate.</w:t>
      </w:r>
    </w:p>
    <w:p w14:paraId="424F1A30" w14:textId="77777777" w:rsidR="00AF6FFB" w:rsidRPr="00F643EB" w:rsidRDefault="00AF6FFB" w:rsidP="00737ADF">
      <w:pPr>
        <w:spacing w:line="360" w:lineRule="auto"/>
        <w:jc w:val="both"/>
        <w:rPr>
          <w:rFonts w:cs="Arial"/>
          <w:color w:val="000000" w:themeColor="text1"/>
          <w:sz w:val="24"/>
          <w:lang w:val="en-GB"/>
        </w:rPr>
      </w:pPr>
    </w:p>
    <w:p w14:paraId="7F786319" w14:textId="650C4C8D" w:rsidR="00882A4F" w:rsidRPr="00F643EB" w:rsidRDefault="007D7890" w:rsidP="00AF6FFB">
      <w:pPr>
        <w:pStyle w:val="Heading2"/>
        <w:rPr>
          <w:sz w:val="24"/>
          <w:szCs w:val="44"/>
          <w:lang w:val="en-GB"/>
        </w:rPr>
      </w:pPr>
      <w:bookmarkStart w:id="9" w:name="_Toc202265803"/>
      <w:bookmarkStart w:id="10" w:name="_Toc214632534"/>
      <w:r w:rsidRPr="00F643EB">
        <w:rPr>
          <w:sz w:val="24"/>
          <w:szCs w:val="44"/>
          <w:lang w:val="en-GB"/>
        </w:rPr>
        <w:lastRenderedPageBreak/>
        <w:t xml:space="preserve">Genome-wide screen highlights </w:t>
      </w:r>
      <w:r w:rsidRPr="00F643EB">
        <w:rPr>
          <w:i/>
          <w:iCs/>
          <w:sz w:val="24"/>
          <w:szCs w:val="44"/>
          <w:lang w:val="en-GB"/>
        </w:rPr>
        <w:t>CYP2C19</w:t>
      </w:r>
      <w:r w:rsidRPr="00F643EB">
        <w:rPr>
          <w:sz w:val="24"/>
          <w:szCs w:val="44"/>
          <w:lang w:val="en-GB"/>
        </w:rPr>
        <w:t xml:space="preserve"> and </w:t>
      </w:r>
      <w:r w:rsidRPr="00F643EB">
        <w:rPr>
          <w:i/>
          <w:iCs/>
          <w:sz w:val="24"/>
          <w:szCs w:val="44"/>
          <w:lang w:val="en-GB"/>
        </w:rPr>
        <w:t>CYP2D6</w:t>
      </w:r>
      <w:r w:rsidRPr="00F643EB">
        <w:rPr>
          <w:sz w:val="24"/>
          <w:szCs w:val="44"/>
          <w:lang w:val="en-GB"/>
        </w:rPr>
        <w:t xml:space="preserve"> primary contribution</w:t>
      </w:r>
      <w:bookmarkEnd w:id="9"/>
      <w:bookmarkEnd w:id="10"/>
    </w:p>
    <w:p w14:paraId="623F2D7F" w14:textId="77777777" w:rsidR="00882A4F" w:rsidRPr="00F643EB" w:rsidRDefault="00882A4F" w:rsidP="003638F7">
      <w:pPr>
        <w:spacing w:line="360" w:lineRule="auto"/>
        <w:jc w:val="both"/>
        <w:rPr>
          <w:rFonts w:cs="Arial"/>
          <w:color w:val="000000" w:themeColor="text1"/>
          <w:sz w:val="24"/>
          <w:lang w:val="en-GB"/>
        </w:rPr>
      </w:pPr>
      <w:r w:rsidRPr="00F643EB">
        <w:rPr>
          <w:rFonts w:cs="Arial"/>
          <w:color w:val="000000" w:themeColor="text1"/>
          <w:sz w:val="24"/>
          <w:lang w:val="en-GB"/>
        </w:rPr>
        <w:t xml:space="preserve">To assess whether genomic regions beyond </w:t>
      </w:r>
      <w:r w:rsidRPr="00F643EB">
        <w:rPr>
          <w:rFonts w:cs="Arial"/>
          <w:i/>
          <w:iCs/>
          <w:color w:val="000000" w:themeColor="text1"/>
          <w:sz w:val="24"/>
          <w:lang w:val="en-GB"/>
        </w:rPr>
        <w:t>CYP2C19</w:t>
      </w:r>
      <w:r w:rsidRPr="00F643EB">
        <w:rPr>
          <w:rFonts w:cs="Arial"/>
          <w:color w:val="000000" w:themeColor="text1"/>
          <w:sz w:val="24"/>
          <w:lang w:val="en-GB"/>
        </w:rPr>
        <w:t xml:space="preserve"> and </w:t>
      </w:r>
      <w:r w:rsidRPr="00F643EB">
        <w:rPr>
          <w:rFonts w:cs="Arial"/>
          <w:i/>
          <w:iCs/>
          <w:color w:val="000000" w:themeColor="text1"/>
          <w:sz w:val="24"/>
          <w:lang w:val="en-GB"/>
        </w:rPr>
        <w:t>CYP2D6</w:t>
      </w:r>
      <w:r w:rsidRPr="00F643EB">
        <w:rPr>
          <w:rFonts w:cs="Arial"/>
          <w:color w:val="000000" w:themeColor="text1"/>
          <w:sz w:val="24"/>
          <w:lang w:val="en-GB"/>
        </w:rPr>
        <w:t xml:space="preserve"> affect the variability of drug metabolism, we conducted genome-wide association analyses (GWAS) using the metabolic ratios of omeprazole and metoprolol. </w:t>
      </w:r>
    </w:p>
    <w:p w14:paraId="5632A0D1" w14:textId="3954D41F" w:rsidR="003638F7" w:rsidRPr="00F643EB" w:rsidRDefault="003638F7" w:rsidP="003638F7">
      <w:pPr>
        <w:spacing w:line="360" w:lineRule="auto"/>
        <w:jc w:val="both"/>
        <w:rPr>
          <w:rFonts w:cs="Arial"/>
          <w:color w:val="000000" w:themeColor="text1"/>
          <w:sz w:val="24"/>
          <w:lang w:val="en-GB"/>
        </w:rPr>
      </w:pPr>
      <w:r w:rsidRPr="00F643EB">
        <w:rPr>
          <w:rFonts w:cs="Arial"/>
          <w:color w:val="000000" w:themeColor="text1"/>
          <w:sz w:val="24"/>
          <w:lang w:val="en-GB"/>
        </w:rPr>
        <w:t xml:space="preserve">For omeprazole, the GWAS revealed a genome-wide significant peak on chromosome 10, </w:t>
      </w:r>
      <w:r w:rsidR="004324E2" w:rsidRPr="00F643EB">
        <w:rPr>
          <w:rFonts w:cs="Arial"/>
          <w:color w:val="000000" w:themeColor="text1"/>
          <w:sz w:val="24"/>
          <w:lang w:val="en-GB"/>
        </w:rPr>
        <w:t>overlapping</w:t>
      </w:r>
      <w:r w:rsidRPr="00F643EB">
        <w:rPr>
          <w:rFonts w:cs="Arial"/>
          <w:color w:val="000000" w:themeColor="text1"/>
          <w:sz w:val="24"/>
          <w:lang w:val="en-GB"/>
        </w:rPr>
        <w:t xml:space="preserve"> with the </w:t>
      </w:r>
      <w:r w:rsidRPr="00F643EB">
        <w:rPr>
          <w:rFonts w:cs="Arial"/>
          <w:i/>
          <w:iCs/>
          <w:color w:val="000000" w:themeColor="text1"/>
          <w:sz w:val="24"/>
          <w:lang w:val="en-GB"/>
        </w:rPr>
        <w:t>CYP2C19</w:t>
      </w:r>
      <w:r w:rsidRPr="00F643EB">
        <w:rPr>
          <w:rFonts w:cs="Arial"/>
          <w:color w:val="000000" w:themeColor="text1"/>
          <w:sz w:val="24"/>
          <w:lang w:val="en-GB"/>
        </w:rPr>
        <w:t xml:space="preserve"> locus (Supplementary Figure </w:t>
      </w:r>
      <w:r w:rsidR="00236CF6" w:rsidRPr="00F643EB">
        <w:rPr>
          <w:rFonts w:cs="Arial"/>
          <w:color w:val="000000" w:themeColor="text1"/>
          <w:sz w:val="24"/>
          <w:lang w:val="en-GB"/>
        </w:rPr>
        <w:t>7</w:t>
      </w:r>
      <w:r w:rsidRPr="00F643EB">
        <w:rPr>
          <w:rFonts w:cs="Arial"/>
          <w:color w:val="000000" w:themeColor="text1"/>
          <w:sz w:val="24"/>
          <w:lang w:val="en-GB"/>
        </w:rPr>
        <w:t xml:space="preserve">, Supplementary </w:t>
      </w:r>
      <w:r w:rsidR="00115A82">
        <w:rPr>
          <w:rFonts w:cs="Arial"/>
          <w:color w:val="000000" w:themeColor="text1"/>
          <w:sz w:val="24"/>
          <w:lang w:val="en-GB"/>
        </w:rPr>
        <w:t>Data</w:t>
      </w:r>
      <w:r w:rsidRPr="00F643EB">
        <w:rPr>
          <w:rFonts w:cs="Arial"/>
          <w:color w:val="000000" w:themeColor="text1"/>
          <w:sz w:val="24"/>
          <w:lang w:val="en-GB"/>
        </w:rPr>
        <w:t xml:space="preserve"> 11). The lead variant is in the </w:t>
      </w:r>
      <w:r w:rsidRPr="0083136D">
        <w:rPr>
          <w:rFonts w:cs="Arial"/>
          <w:i/>
          <w:iCs/>
          <w:color w:val="000000" w:themeColor="text1"/>
          <w:sz w:val="24"/>
          <w:lang w:val="en-GB"/>
        </w:rPr>
        <w:t>CYP2C</w:t>
      </w:r>
      <w:r w:rsidRPr="00F643EB">
        <w:rPr>
          <w:rFonts w:cs="Arial"/>
          <w:color w:val="000000" w:themeColor="text1"/>
          <w:sz w:val="24"/>
          <w:lang w:val="en-GB"/>
        </w:rPr>
        <w:t xml:space="preserve"> locus (rs71482318, P=1.7×10</w:t>
      </w:r>
      <w:r w:rsidRPr="00F643EB">
        <w:rPr>
          <w:rFonts w:cs="Arial"/>
          <w:color w:val="000000" w:themeColor="text1"/>
          <w:sz w:val="24"/>
          <w:vertAlign w:val="superscript"/>
          <w:lang w:val="en-GB"/>
        </w:rPr>
        <w:t>-11</w:t>
      </w:r>
      <w:r w:rsidRPr="00F643EB">
        <w:rPr>
          <w:rFonts w:cs="Arial"/>
          <w:color w:val="000000" w:themeColor="text1"/>
          <w:sz w:val="24"/>
          <w:lang w:val="en-GB"/>
        </w:rPr>
        <w:t>), consistent with prior knowledge that CYP2C19 is the primary enzyme responsible for omeprazole metabolism.</w:t>
      </w:r>
      <w:r w:rsidR="009934DA" w:rsidRPr="00F643EB">
        <w:rPr>
          <w:rFonts w:cs="Arial"/>
          <w:color w:val="000000" w:themeColor="text1"/>
          <w:sz w:val="24"/>
          <w:lang w:val="en-GB"/>
        </w:rPr>
        <w:t xml:space="preserve"> </w:t>
      </w:r>
      <w:r w:rsidR="00020D99" w:rsidRPr="00F643EB">
        <w:rPr>
          <w:rFonts w:cs="Arial"/>
          <w:color w:val="000000" w:themeColor="text1"/>
          <w:sz w:val="24"/>
          <w:lang w:val="en-GB"/>
        </w:rPr>
        <w:t>This intronic lead variant is not part of any star</w:t>
      </w:r>
      <w:r w:rsidR="00C3206D" w:rsidRPr="00F643EB">
        <w:rPr>
          <w:rFonts w:cs="Arial"/>
          <w:color w:val="000000" w:themeColor="text1"/>
          <w:sz w:val="24"/>
          <w:lang w:val="en-GB"/>
        </w:rPr>
        <w:t xml:space="preserve"> </w:t>
      </w:r>
      <w:r w:rsidR="00020D99" w:rsidRPr="00F643EB">
        <w:rPr>
          <w:rFonts w:cs="Arial"/>
          <w:color w:val="000000" w:themeColor="text1"/>
          <w:sz w:val="24"/>
          <w:lang w:val="en-GB"/>
        </w:rPr>
        <w:t xml:space="preserve">allele but is in </w:t>
      </w:r>
      <w:r w:rsidR="001E794A" w:rsidRPr="00F643EB">
        <w:rPr>
          <w:rFonts w:cs="Arial"/>
          <w:color w:val="000000" w:themeColor="text1"/>
          <w:sz w:val="24"/>
          <w:lang w:val="en-GB"/>
        </w:rPr>
        <w:t xml:space="preserve">complete </w:t>
      </w:r>
      <w:r w:rsidR="00020D99" w:rsidRPr="00F643EB">
        <w:rPr>
          <w:rFonts w:cs="Arial"/>
          <w:color w:val="000000" w:themeColor="text1"/>
          <w:sz w:val="24"/>
          <w:lang w:val="en-GB"/>
        </w:rPr>
        <w:t>linkage disequilibrium (LD) (r</w:t>
      </w:r>
      <w:r w:rsidR="00020D99" w:rsidRPr="00F643EB">
        <w:rPr>
          <w:rFonts w:cs="Arial"/>
          <w:color w:val="000000" w:themeColor="text1"/>
          <w:sz w:val="24"/>
          <w:vertAlign w:val="superscript"/>
          <w:lang w:val="en-GB"/>
        </w:rPr>
        <w:t>2</w:t>
      </w:r>
      <w:r w:rsidR="00020D99" w:rsidRPr="00F643EB">
        <w:rPr>
          <w:rFonts w:cs="Arial"/>
          <w:color w:val="000000" w:themeColor="text1"/>
          <w:sz w:val="24"/>
          <w:lang w:val="en-GB"/>
        </w:rPr>
        <w:t xml:space="preserve">=1) with rs12769205 and rs4244285, which define the poor metabolizer </w:t>
      </w:r>
      <w:r w:rsidR="00C3206D" w:rsidRPr="00F643EB">
        <w:rPr>
          <w:rFonts w:cs="Arial"/>
          <w:i/>
          <w:iCs/>
          <w:color w:val="000000" w:themeColor="text1"/>
          <w:sz w:val="24"/>
          <w:lang w:val="en-GB"/>
        </w:rPr>
        <w:t>CYP2C19</w:t>
      </w:r>
      <w:r w:rsidR="00020D99" w:rsidRPr="00F643EB">
        <w:rPr>
          <w:rFonts w:cs="Arial"/>
          <w:i/>
          <w:iCs/>
          <w:color w:val="000000" w:themeColor="text1"/>
          <w:sz w:val="24"/>
          <w:lang w:val="en-GB"/>
        </w:rPr>
        <w:t>*2</w:t>
      </w:r>
      <w:r w:rsidR="00020D99" w:rsidRPr="00F643EB">
        <w:rPr>
          <w:rFonts w:cs="Arial"/>
          <w:color w:val="000000" w:themeColor="text1"/>
          <w:sz w:val="24"/>
          <w:lang w:val="en-GB"/>
        </w:rPr>
        <w:t xml:space="preserve"> allele.</w:t>
      </w:r>
      <w:r w:rsidRPr="00F643EB">
        <w:rPr>
          <w:rFonts w:cs="Arial"/>
          <w:color w:val="000000" w:themeColor="text1"/>
          <w:sz w:val="24"/>
          <w:lang w:val="en-GB"/>
        </w:rPr>
        <w:t xml:space="preserve"> No other loci neared genome-wide significance (P &lt; 5 × 10</w:t>
      </w:r>
      <w:r w:rsidRPr="00F643EB">
        <w:rPr>
          <w:rFonts w:cs="Arial"/>
          <w:color w:val="000000" w:themeColor="text1"/>
          <w:sz w:val="24"/>
          <w:vertAlign w:val="superscript"/>
          <w:lang w:val="en-GB"/>
        </w:rPr>
        <w:t>-8</w:t>
      </w:r>
      <w:r w:rsidRPr="00F643EB">
        <w:rPr>
          <w:rFonts w:cs="Arial"/>
          <w:color w:val="000000" w:themeColor="text1"/>
          <w:sz w:val="24"/>
          <w:lang w:val="en-GB"/>
        </w:rPr>
        <w:t>), indicating no strong evidence for other genomic regions contributing to omeprazole metabolic variability in this dataset.</w:t>
      </w:r>
      <w:r w:rsidR="00093166" w:rsidRPr="00F643EB">
        <w:rPr>
          <w:rFonts w:cs="Arial"/>
          <w:color w:val="000000" w:themeColor="text1"/>
          <w:sz w:val="24"/>
          <w:lang w:val="en-GB"/>
        </w:rPr>
        <w:t xml:space="preserve"> </w:t>
      </w:r>
      <w:r w:rsidR="009C50B5" w:rsidRPr="00F643EB">
        <w:rPr>
          <w:rFonts w:cs="Arial"/>
          <w:color w:val="000000" w:themeColor="text1"/>
          <w:sz w:val="24"/>
          <w:lang w:val="en-GB"/>
        </w:rPr>
        <w:t xml:space="preserve">To assess whether the observed association was specifically driven by the </w:t>
      </w:r>
      <w:r w:rsidR="00080B7D" w:rsidRPr="0083136D">
        <w:rPr>
          <w:rFonts w:cs="Arial"/>
          <w:i/>
          <w:iCs/>
          <w:color w:val="000000" w:themeColor="text1"/>
          <w:sz w:val="24"/>
          <w:lang w:val="en-GB"/>
        </w:rPr>
        <w:t>CYP2C19</w:t>
      </w:r>
      <w:r w:rsidR="009C50B5" w:rsidRPr="0083136D">
        <w:rPr>
          <w:rFonts w:cs="Arial"/>
          <w:i/>
          <w:iCs/>
          <w:color w:val="000000" w:themeColor="text1"/>
          <w:sz w:val="24"/>
          <w:lang w:val="en-GB"/>
        </w:rPr>
        <w:t>*2</w:t>
      </w:r>
      <w:r w:rsidR="009C50B5" w:rsidRPr="00F643EB">
        <w:rPr>
          <w:rFonts w:cs="Arial"/>
          <w:color w:val="000000" w:themeColor="text1"/>
          <w:sz w:val="24"/>
          <w:lang w:val="en-GB"/>
        </w:rPr>
        <w:t xml:space="preserve"> allele, we performed a conditional analysis including rs4244285 as a covariate (in LD with rs12769205). As expected, the chromosome 10 signal at the </w:t>
      </w:r>
      <w:r w:rsidR="009C50B5" w:rsidRPr="00F643EB">
        <w:rPr>
          <w:rFonts w:cs="Arial"/>
          <w:i/>
          <w:iCs/>
          <w:color w:val="000000" w:themeColor="text1"/>
          <w:sz w:val="24"/>
          <w:lang w:val="en-GB"/>
        </w:rPr>
        <w:t>CYP2C19</w:t>
      </w:r>
      <w:r w:rsidR="009C50B5" w:rsidRPr="00F643EB">
        <w:rPr>
          <w:rFonts w:cs="Arial"/>
          <w:color w:val="000000" w:themeColor="text1"/>
          <w:sz w:val="24"/>
          <w:lang w:val="en-GB"/>
        </w:rPr>
        <w:t xml:space="preserve"> locus was markedly attenuated (data not shown), confirming that the association was largely attributable to the </w:t>
      </w:r>
      <w:r w:rsidR="002976A4" w:rsidRPr="0083136D">
        <w:rPr>
          <w:rFonts w:cs="Arial"/>
          <w:i/>
          <w:iCs/>
          <w:color w:val="000000" w:themeColor="text1"/>
          <w:sz w:val="24"/>
          <w:lang w:val="en-GB"/>
        </w:rPr>
        <w:t>CYP2C19</w:t>
      </w:r>
      <w:r w:rsidR="009C50B5" w:rsidRPr="0083136D">
        <w:rPr>
          <w:rFonts w:cs="Arial"/>
          <w:i/>
          <w:iCs/>
          <w:color w:val="000000" w:themeColor="text1"/>
          <w:sz w:val="24"/>
          <w:lang w:val="en-GB"/>
        </w:rPr>
        <w:t>*2</w:t>
      </w:r>
      <w:r w:rsidR="009C50B5" w:rsidRPr="00F643EB">
        <w:rPr>
          <w:rFonts w:cs="Arial"/>
          <w:color w:val="000000" w:themeColor="text1"/>
          <w:sz w:val="24"/>
          <w:lang w:val="en-GB"/>
        </w:rPr>
        <w:t>-defining variants.</w:t>
      </w:r>
    </w:p>
    <w:p w14:paraId="63A936D1" w14:textId="77782750" w:rsidR="00737ADF" w:rsidRPr="00F643EB" w:rsidRDefault="003638F7" w:rsidP="00737ADF">
      <w:pPr>
        <w:spacing w:line="360" w:lineRule="auto"/>
        <w:jc w:val="both"/>
        <w:rPr>
          <w:rFonts w:cs="Arial"/>
          <w:color w:val="000000" w:themeColor="text1"/>
          <w:sz w:val="24"/>
          <w:lang w:val="en-GB"/>
        </w:rPr>
      </w:pPr>
      <w:r w:rsidRPr="00F643EB">
        <w:rPr>
          <w:rFonts w:cs="Arial"/>
          <w:color w:val="000000" w:themeColor="text1"/>
          <w:sz w:val="24"/>
          <w:lang w:val="en-GB"/>
        </w:rPr>
        <w:t xml:space="preserve">For metoprolol, the GWAS identified a prominent association peak on chromosome 22, next to the </w:t>
      </w:r>
      <w:r w:rsidRPr="00F643EB">
        <w:rPr>
          <w:rFonts w:cs="Arial"/>
          <w:i/>
          <w:iCs/>
          <w:color w:val="000000" w:themeColor="text1"/>
          <w:sz w:val="24"/>
          <w:lang w:val="en-GB"/>
        </w:rPr>
        <w:t>CYP2D6</w:t>
      </w:r>
      <w:r w:rsidRPr="00F643EB">
        <w:rPr>
          <w:rFonts w:cs="Arial"/>
          <w:color w:val="000000" w:themeColor="text1"/>
          <w:sz w:val="24"/>
          <w:lang w:val="en-GB"/>
        </w:rPr>
        <w:t xml:space="preserve"> locus (Supplementary Figure </w:t>
      </w:r>
      <w:r w:rsidR="00236CF6" w:rsidRPr="00F643EB">
        <w:rPr>
          <w:rFonts w:cs="Arial"/>
          <w:color w:val="000000" w:themeColor="text1"/>
          <w:sz w:val="24"/>
          <w:lang w:val="en-GB"/>
        </w:rPr>
        <w:t>7</w:t>
      </w:r>
      <w:r w:rsidRPr="00F643EB">
        <w:rPr>
          <w:rFonts w:cs="Arial"/>
          <w:color w:val="000000" w:themeColor="text1"/>
          <w:sz w:val="24"/>
          <w:lang w:val="en-GB"/>
        </w:rPr>
        <w:t xml:space="preserve">, Supplementary </w:t>
      </w:r>
      <w:r w:rsidR="00115A82">
        <w:rPr>
          <w:rFonts w:cs="Arial"/>
          <w:color w:val="000000" w:themeColor="text1"/>
          <w:sz w:val="24"/>
          <w:lang w:val="en-GB"/>
        </w:rPr>
        <w:t>Data</w:t>
      </w:r>
      <w:r w:rsidRPr="00F643EB">
        <w:rPr>
          <w:rFonts w:cs="Arial"/>
          <w:color w:val="000000" w:themeColor="text1"/>
          <w:sz w:val="24"/>
          <w:lang w:val="en-GB"/>
        </w:rPr>
        <w:t xml:space="preserve"> 11). Six lead variants with the same p-value (P=6.7x10</w:t>
      </w:r>
      <w:r w:rsidRPr="00F643EB">
        <w:rPr>
          <w:rFonts w:cs="Arial"/>
          <w:color w:val="000000" w:themeColor="text1"/>
          <w:sz w:val="24"/>
          <w:vertAlign w:val="superscript"/>
          <w:lang w:val="en-GB"/>
        </w:rPr>
        <w:t>-8</w:t>
      </w:r>
      <w:r w:rsidRPr="00F643EB">
        <w:rPr>
          <w:rFonts w:cs="Arial"/>
          <w:color w:val="000000" w:themeColor="text1"/>
          <w:sz w:val="24"/>
          <w:lang w:val="en-GB"/>
        </w:rPr>
        <w:t xml:space="preserve">) are in </w:t>
      </w:r>
      <w:r w:rsidRPr="00F643EB">
        <w:rPr>
          <w:rFonts w:cs="Arial"/>
          <w:i/>
          <w:iCs/>
          <w:color w:val="000000" w:themeColor="text1"/>
          <w:sz w:val="24"/>
          <w:lang w:val="en-GB"/>
        </w:rPr>
        <w:t>WBP2NL</w:t>
      </w:r>
      <w:r w:rsidRPr="00F643EB">
        <w:rPr>
          <w:rFonts w:cs="Arial"/>
          <w:color w:val="000000" w:themeColor="text1"/>
          <w:sz w:val="24"/>
          <w:lang w:val="en-GB"/>
        </w:rPr>
        <w:t xml:space="preserve"> or </w:t>
      </w:r>
      <w:r w:rsidRPr="00F643EB">
        <w:rPr>
          <w:rFonts w:cs="Arial"/>
          <w:i/>
          <w:iCs/>
          <w:color w:val="000000" w:themeColor="text1"/>
          <w:sz w:val="24"/>
          <w:lang w:val="en-GB"/>
        </w:rPr>
        <w:t>SEPTIN3</w:t>
      </w:r>
      <w:r w:rsidRPr="00F643EB">
        <w:rPr>
          <w:rFonts w:cs="Arial"/>
          <w:color w:val="000000" w:themeColor="text1"/>
          <w:sz w:val="24"/>
          <w:lang w:val="en-GB"/>
        </w:rPr>
        <w:t xml:space="preserve"> that are adjacent</w:t>
      </w:r>
      <w:r w:rsidR="00DB4894" w:rsidRPr="00F643EB">
        <w:rPr>
          <w:rFonts w:cs="Arial"/>
          <w:color w:val="000000" w:themeColor="text1"/>
          <w:sz w:val="24"/>
          <w:lang w:val="en-GB"/>
        </w:rPr>
        <w:t xml:space="preserve"> to</w:t>
      </w:r>
      <w:r w:rsidRPr="00F643EB">
        <w:rPr>
          <w:rFonts w:cs="Arial"/>
          <w:color w:val="000000" w:themeColor="text1"/>
          <w:sz w:val="24"/>
          <w:lang w:val="en-GB"/>
        </w:rPr>
        <w:t xml:space="preserve"> the </w:t>
      </w:r>
      <w:r w:rsidRPr="00F643EB">
        <w:rPr>
          <w:rFonts w:cs="Arial"/>
          <w:i/>
          <w:iCs/>
          <w:color w:val="000000" w:themeColor="text1"/>
          <w:sz w:val="24"/>
          <w:lang w:val="en-GB"/>
        </w:rPr>
        <w:t>CYP2D6</w:t>
      </w:r>
      <w:r w:rsidRPr="00F643EB">
        <w:rPr>
          <w:rFonts w:cs="Arial"/>
          <w:color w:val="000000" w:themeColor="text1"/>
          <w:sz w:val="24"/>
          <w:lang w:val="en-GB"/>
        </w:rPr>
        <w:t xml:space="preserve"> gene. </w:t>
      </w:r>
      <w:r w:rsidR="00E07B47" w:rsidRPr="00F643EB">
        <w:rPr>
          <w:rFonts w:cs="Arial"/>
          <w:color w:val="000000" w:themeColor="text1"/>
          <w:sz w:val="24"/>
          <w:lang w:val="en-GB"/>
        </w:rPr>
        <w:t>In addition, t</w:t>
      </w:r>
      <w:r w:rsidR="00465E48" w:rsidRPr="00F643EB">
        <w:rPr>
          <w:rFonts w:cs="Arial"/>
          <w:color w:val="000000" w:themeColor="text1"/>
          <w:sz w:val="24"/>
          <w:lang w:val="en-GB"/>
        </w:rPr>
        <w:t>wo genome-wide significant loci were identified</w:t>
      </w:r>
      <w:r w:rsidR="00CF64DA" w:rsidRPr="00F643EB">
        <w:rPr>
          <w:rFonts w:cs="Arial"/>
          <w:color w:val="000000" w:themeColor="text1"/>
          <w:sz w:val="24"/>
          <w:lang w:val="en-GB"/>
        </w:rPr>
        <w:t xml:space="preserve"> (Supplementary Figure </w:t>
      </w:r>
      <w:r w:rsidR="00236CF6" w:rsidRPr="00F643EB">
        <w:rPr>
          <w:rFonts w:cs="Arial"/>
          <w:color w:val="000000" w:themeColor="text1"/>
          <w:sz w:val="24"/>
          <w:lang w:val="en-GB"/>
        </w:rPr>
        <w:t>7</w:t>
      </w:r>
      <w:r w:rsidR="00CF64DA" w:rsidRPr="00F643EB">
        <w:rPr>
          <w:rFonts w:cs="Arial"/>
          <w:color w:val="000000" w:themeColor="text1"/>
          <w:sz w:val="24"/>
          <w:lang w:val="en-GB"/>
        </w:rPr>
        <w:t>)</w:t>
      </w:r>
      <w:r w:rsidR="00465E48" w:rsidRPr="00F643EB">
        <w:rPr>
          <w:rFonts w:cs="Arial"/>
          <w:color w:val="000000" w:themeColor="text1"/>
          <w:sz w:val="24"/>
          <w:lang w:val="en-GB"/>
        </w:rPr>
        <w:t xml:space="preserve">: one on chromosome 10, with the lead variant in </w:t>
      </w:r>
      <w:r w:rsidR="00465E48" w:rsidRPr="00F643EB">
        <w:rPr>
          <w:rFonts w:cs="Arial"/>
          <w:i/>
          <w:iCs/>
          <w:color w:val="000000" w:themeColor="text1"/>
          <w:sz w:val="24"/>
          <w:lang w:val="en-GB"/>
        </w:rPr>
        <w:t>LRMDA</w:t>
      </w:r>
      <w:r w:rsidR="006168AC" w:rsidRPr="00F643EB">
        <w:rPr>
          <w:rFonts w:cs="Arial"/>
          <w:i/>
          <w:iCs/>
          <w:color w:val="000000" w:themeColor="text1"/>
          <w:sz w:val="24"/>
          <w:lang w:val="en-GB"/>
        </w:rPr>
        <w:t xml:space="preserve"> </w:t>
      </w:r>
      <w:r w:rsidR="006168AC" w:rsidRPr="00F643EB">
        <w:rPr>
          <w:rFonts w:cs="Arial"/>
          <w:color w:val="000000" w:themeColor="text1"/>
          <w:sz w:val="24"/>
          <w:lang w:val="en-GB"/>
        </w:rPr>
        <w:t>(</w:t>
      </w:r>
      <w:r w:rsidR="00F770A6" w:rsidRPr="00F643EB">
        <w:rPr>
          <w:rFonts w:cs="Arial"/>
          <w:color w:val="000000" w:themeColor="text1"/>
          <w:sz w:val="24"/>
          <w:lang w:val="en-GB"/>
        </w:rPr>
        <w:t>rs182557066, P=</w:t>
      </w:r>
      <w:r w:rsidR="00CC4BDA" w:rsidRPr="00F643EB">
        <w:rPr>
          <w:rFonts w:cs="Arial"/>
          <w:color w:val="000000" w:themeColor="text1"/>
          <w:sz w:val="24"/>
          <w:lang w:val="en-GB"/>
        </w:rPr>
        <w:t>9.5x10</w:t>
      </w:r>
      <w:r w:rsidR="00CC4BDA" w:rsidRPr="00F643EB">
        <w:rPr>
          <w:rFonts w:cs="Arial"/>
          <w:color w:val="000000" w:themeColor="text1"/>
          <w:sz w:val="24"/>
          <w:vertAlign w:val="superscript"/>
          <w:lang w:val="en-GB"/>
        </w:rPr>
        <w:t>-9</w:t>
      </w:r>
      <w:r w:rsidR="00CC4BDA" w:rsidRPr="00F643EB">
        <w:rPr>
          <w:rFonts w:cs="Arial"/>
          <w:color w:val="000000" w:themeColor="text1"/>
          <w:sz w:val="24"/>
          <w:lang w:val="en-GB"/>
        </w:rPr>
        <w:t>)</w:t>
      </w:r>
      <w:r w:rsidR="006B6716" w:rsidRPr="00F643EB">
        <w:rPr>
          <w:rFonts w:cs="Arial"/>
          <w:color w:val="000000" w:themeColor="text1"/>
          <w:sz w:val="24"/>
          <w:lang w:val="en-GB"/>
        </w:rPr>
        <w:t xml:space="preserve"> </w:t>
      </w:r>
      <w:r w:rsidR="00465E48" w:rsidRPr="00F643EB">
        <w:rPr>
          <w:rFonts w:cs="Arial"/>
          <w:color w:val="000000" w:themeColor="text1"/>
          <w:sz w:val="24"/>
          <w:lang w:val="en-GB"/>
        </w:rPr>
        <w:t xml:space="preserve">and another on chromosome </w:t>
      </w:r>
      <w:r w:rsidR="00FB42DD">
        <w:rPr>
          <w:rFonts w:cs="Arial"/>
          <w:color w:val="000000" w:themeColor="text1"/>
          <w:sz w:val="24"/>
          <w:lang w:val="en-GB"/>
        </w:rPr>
        <w:t>seven</w:t>
      </w:r>
      <w:r w:rsidR="00465E48" w:rsidRPr="00F643EB">
        <w:rPr>
          <w:rFonts w:cs="Arial"/>
          <w:color w:val="000000" w:themeColor="text1"/>
          <w:sz w:val="24"/>
          <w:lang w:val="en-GB"/>
        </w:rPr>
        <w:t xml:space="preserve">, with the lead variant in </w:t>
      </w:r>
      <w:r w:rsidR="00465E48" w:rsidRPr="00F643EB">
        <w:rPr>
          <w:rFonts w:cs="Arial"/>
          <w:i/>
          <w:iCs/>
          <w:color w:val="000000" w:themeColor="text1"/>
          <w:sz w:val="24"/>
          <w:lang w:val="en-GB"/>
        </w:rPr>
        <w:t>AKAP9</w:t>
      </w:r>
      <w:r w:rsidR="000E6B9A" w:rsidRPr="00F643EB">
        <w:rPr>
          <w:rFonts w:cs="Arial"/>
          <w:i/>
          <w:iCs/>
          <w:color w:val="000000" w:themeColor="text1"/>
          <w:sz w:val="24"/>
          <w:lang w:val="en-GB"/>
        </w:rPr>
        <w:t xml:space="preserve"> </w:t>
      </w:r>
      <w:r w:rsidR="000E6B9A" w:rsidRPr="00F643EB">
        <w:rPr>
          <w:rFonts w:cs="Arial"/>
          <w:color w:val="000000" w:themeColor="text1"/>
          <w:sz w:val="24"/>
          <w:lang w:val="en-GB"/>
        </w:rPr>
        <w:t>(rs188755628,</w:t>
      </w:r>
      <w:r w:rsidR="006168AC" w:rsidRPr="00F643EB">
        <w:rPr>
          <w:rFonts w:cs="Arial"/>
          <w:color w:val="000000" w:themeColor="text1"/>
          <w:sz w:val="24"/>
          <w:lang w:val="en-GB"/>
        </w:rPr>
        <w:t xml:space="preserve"> P=1.0x10</w:t>
      </w:r>
      <w:r w:rsidR="006168AC" w:rsidRPr="00F643EB">
        <w:rPr>
          <w:rFonts w:cs="Arial"/>
          <w:color w:val="000000" w:themeColor="text1"/>
          <w:sz w:val="24"/>
          <w:vertAlign w:val="superscript"/>
          <w:lang w:val="en-GB"/>
        </w:rPr>
        <w:t>-8</w:t>
      </w:r>
      <w:r w:rsidR="006168AC" w:rsidRPr="00F643EB">
        <w:rPr>
          <w:rFonts w:cs="Arial"/>
          <w:color w:val="000000" w:themeColor="text1"/>
          <w:sz w:val="24"/>
          <w:lang w:val="en-GB"/>
        </w:rPr>
        <w:t>)</w:t>
      </w:r>
      <w:r w:rsidR="00E07B47" w:rsidRPr="00F643EB">
        <w:rPr>
          <w:rFonts w:cs="Arial"/>
          <w:color w:val="000000" w:themeColor="text1"/>
          <w:sz w:val="24"/>
          <w:lang w:val="en-GB"/>
        </w:rPr>
        <w:t>. B</w:t>
      </w:r>
      <w:r w:rsidR="0018460E" w:rsidRPr="00F643EB">
        <w:rPr>
          <w:rFonts w:cs="Arial"/>
          <w:color w:val="000000" w:themeColor="text1"/>
          <w:sz w:val="24"/>
          <w:lang w:val="en-GB"/>
        </w:rPr>
        <w:t>oth</w:t>
      </w:r>
      <w:r w:rsidR="00E07B47" w:rsidRPr="00F643EB">
        <w:rPr>
          <w:rFonts w:cs="Arial"/>
          <w:color w:val="000000" w:themeColor="text1"/>
          <w:sz w:val="24"/>
          <w:lang w:val="en-GB"/>
        </w:rPr>
        <w:t xml:space="preserve"> genes </w:t>
      </w:r>
      <w:r w:rsidR="00BF0442" w:rsidRPr="00F643EB">
        <w:rPr>
          <w:rFonts w:cs="Arial"/>
          <w:color w:val="000000" w:themeColor="text1"/>
          <w:sz w:val="24"/>
          <w:lang w:val="en-GB"/>
        </w:rPr>
        <w:t>have been reported previously</w:t>
      </w:r>
      <w:r w:rsidR="00BE2299" w:rsidRPr="00F643EB">
        <w:rPr>
          <w:rFonts w:cs="Arial"/>
          <w:color w:val="000000" w:themeColor="text1"/>
          <w:sz w:val="24"/>
          <w:lang w:val="en-GB"/>
        </w:rPr>
        <w:t xml:space="preserve"> to be</w:t>
      </w:r>
      <w:r w:rsidR="00CF64DA" w:rsidRPr="00F643EB">
        <w:rPr>
          <w:rFonts w:cs="Arial"/>
          <w:color w:val="000000" w:themeColor="text1"/>
          <w:sz w:val="24"/>
          <w:lang w:val="en-GB"/>
        </w:rPr>
        <w:t xml:space="preserve"> </w:t>
      </w:r>
      <w:r w:rsidR="0018460E" w:rsidRPr="00F643EB">
        <w:rPr>
          <w:rFonts w:cs="Arial"/>
          <w:color w:val="000000" w:themeColor="text1"/>
          <w:sz w:val="24"/>
          <w:lang w:val="en-GB"/>
        </w:rPr>
        <w:t>linked most significantly to atrial fibrillation and flutter in pooled biobank GWAS (mvp-ukbb.finngen.fi: P</w:t>
      </w:r>
      <w:r w:rsidR="0018460E" w:rsidRPr="00F643EB">
        <w:rPr>
          <w:rFonts w:cs="Arial"/>
          <w:i/>
          <w:iCs/>
          <w:color w:val="000000" w:themeColor="text1"/>
          <w:sz w:val="24"/>
          <w:vertAlign w:val="subscript"/>
          <w:lang w:val="en-GB"/>
        </w:rPr>
        <w:t>LRMDA</w:t>
      </w:r>
      <w:r w:rsidR="0018460E" w:rsidRPr="00F643EB">
        <w:rPr>
          <w:rFonts w:cs="Arial"/>
          <w:color w:val="000000" w:themeColor="text1"/>
          <w:sz w:val="24"/>
          <w:lang w:val="en-GB"/>
        </w:rPr>
        <w:t>=7.9x10</w:t>
      </w:r>
      <w:r w:rsidR="0018460E" w:rsidRPr="00F643EB">
        <w:rPr>
          <w:rFonts w:cs="Arial"/>
          <w:color w:val="000000" w:themeColor="text1"/>
          <w:sz w:val="24"/>
          <w:vertAlign w:val="superscript"/>
          <w:lang w:val="en-GB"/>
        </w:rPr>
        <w:t>-22</w:t>
      </w:r>
      <w:r w:rsidR="0018460E" w:rsidRPr="00F643EB">
        <w:rPr>
          <w:rFonts w:cs="Arial"/>
          <w:color w:val="000000" w:themeColor="text1"/>
          <w:sz w:val="24"/>
          <w:lang w:val="en-GB"/>
        </w:rPr>
        <w:t xml:space="preserve"> and P</w:t>
      </w:r>
      <w:r w:rsidR="0018460E" w:rsidRPr="00F643EB">
        <w:rPr>
          <w:rFonts w:cs="Arial"/>
          <w:i/>
          <w:iCs/>
          <w:color w:val="000000" w:themeColor="text1"/>
          <w:sz w:val="24"/>
          <w:vertAlign w:val="subscript"/>
          <w:lang w:val="en-GB"/>
        </w:rPr>
        <w:t>AKAP9</w:t>
      </w:r>
      <w:r w:rsidR="0018460E" w:rsidRPr="00F643EB">
        <w:rPr>
          <w:rFonts w:cs="Arial"/>
          <w:color w:val="000000" w:themeColor="text1"/>
          <w:sz w:val="24"/>
          <w:lang w:val="en-GB"/>
        </w:rPr>
        <w:t>=1.1x10</w:t>
      </w:r>
      <w:r w:rsidR="0018460E" w:rsidRPr="00F643EB">
        <w:rPr>
          <w:rFonts w:cs="Arial"/>
          <w:color w:val="000000" w:themeColor="text1"/>
          <w:sz w:val="24"/>
          <w:vertAlign w:val="superscript"/>
          <w:lang w:val="en-GB"/>
        </w:rPr>
        <w:t>-11</w:t>
      </w:r>
      <w:r w:rsidR="0018460E" w:rsidRPr="00F643EB">
        <w:rPr>
          <w:rFonts w:cs="Arial"/>
          <w:color w:val="000000" w:themeColor="text1"/>
          <w:sz w:val="24"/>
          <w:lang w:val="en-GB"/>
        </w:rPr>
        <w:t>)</w:t>
      </w:r>
      <w:r w:rsidR="00465E48" w:rsidRPr="00F643EB">
        <w:rPr>
          <w:rFonts w:cs="Arial"/>
          <w:color w:val="000000" w:themeColor="text1"/>
          <w:sz w:val="24"/>
          <w:lang w:val="en-GB"/>
        </w:rPr>
        <w:t>.</w:t>
      </w:r>
      <w:r w:rsidR="00852815" w:rsidRPr="00F643EB">
        <w:rPr>
          <w:rFonts w:cs="Arial"/>
          <w:color w:val="000000" w:themeColor="text1"/>
          <w:sz w:val="24"/>
          <w:lang w:val="en-GB"/>
        </w:rPr>
        <w:t xml:space="preserve"> </w:t>
      </w:r>
      <w:r w:rsidRPr="00F643EB">
        <w:rPr>
          <w:rFonts w:cs="Arial"/>
          <w:color w:val="000000" w:themeColor="text1"/>
          <w:sz w:val="24"/>
          <w:lang w:val="en-GB"/>
        </w:rPr>
        <w:t xml:space="preserve">To determine whether </w:t>
      </w:r>
      <w:r w:rsidR="00852815" w:rsidRPr="00F643EB">
        <w:rPr>
          <w:rFonts w:cs="Arial"/>
          <w:color w:val="000000" w:themeColor="text1"/>
          <w:sz w:val="24"/>
          <w:lang w:val="en-GB"/>
        </w:rPr>
        <w:t xml:space="preserve">the chromosome 22 </w:t>
      </w:r>
      <w:r w:rsidRPr="00F643EB">
        <w:rPr>
          <w:rFonts w:cs="Arial"/>
          <w:color w:val="000000" w:themeColor="text1"/>
          <w:sz w:val="24"/>
          <w:lang w:val="en-GB"/>
        </w:rPr>
        <w:t>signal was driven by known functional variant</w:t>
      </w:r>
      <w:r w:rsidR="00852815" w:rsidRPr="00F643EB">
        <w:rPr>
          <w:rFonts w:cs="Arial"/>
          <w:color w:val="000000" w:themeColor="text1"/>
          <w:sz w:val="24"/>
          <w:lang w:val="en-GB"/>
        </w:rPr>
        <w:t xml:space="preserve">s of </w:t>
      </w:r>
      <w:r w:rsidR="00852815" w:rsidRPr="00F643EB">
        <w:rPr>
          <w:rFonts w:cs="Arial"/>
          <w:i/>
          <w:iCs/>
          <w:color w:val="000000" w:themeColor="text1"/>
          <w:sz w:val="24"/>
          <w:lang w:val="en-GB"/>
        </w:rPr>
        <w:t>CYP2D6</w:t>
      </w:r>
      <w:r w:rsidRPr="00F643EB">
        <w:rPr>
          <w:rFonts w:cs="Arial"/>
          <w:color w:val="000000" w:themeColor="text1"/>
          <w:sz w:val="24"/>
          <w:lang w:val="en-GB"/>
        </w:rPr>
        <w:t xml:space="preserve">, we performed a conditional analysis including rs3892097, the splice site variant that defines the loss-of-function allele </w:t>
      </w:r>
      <w:r w:rsidRPr="00F643EB">
        <w:rPr>
          <w:rFonts w:cs="Arial"/>
          <w:i/>
          <w:iCs/>
          <w:color w:val="000000" w:themeColor="text1"/>
          <w:sz w:val="24"/>
          <w:lang w:val="en-GB"/>
        </w:rPr>
        <w:t>CYP2D6*4</w:t>
      </w:r>
      <w:r w:rsidRPr="00F643EB">
        <w:rPr>
          <w:rFonts w:cs="Arial"/>
          <w:color w:val="000000" w:themeColor="text1"/>
          <w:sz w:val="24"/>
          <w:lang w:val="en-GB"/>
        </w:rPr>
        <w:t>, as a covariate. After conditioning, the association signal on chromosome 22</w:t>
      </w:r>
      <w:r w:rsidR="00852815" w:rsidRPr="00F643EB">
        <w:rPr>
          <w:rFonts w:cs="Arial"/>
          <w:color w:val="000000" w:themeColor="text1"/>
          <w:sz w:val="24"/>
          <w:lang w:val="en-GB"/>
        </w:rPr>
        <w:t xml:space="preserve">, as well as </w:t>
      </w:r>
      <w:r w:rsidR="00B63638" w:rsidRPr="00F643EB">
        <w:rPr>
          <w:rFonts w:cs="Arial"/>
          <w:color w:val="000000" w:themeColor="text1"/>
          <w:sz w:val="24"/>
          <w:lang w:val="en-GB"/>
        </w:rPr>
        <w:t xml:space="preserve">the ones </w:t>
      </w:r>
      <w:r w:rsidR="00852815" w:rsidRPr="00F643EB">
        <w:rPr>
          <w:rFonts w:cs="Arial"/>
          <w:color w:val="000000" w:themeColor="text1"/>
          <w:sz w:val="24"/>
          <w:lang w:val="en-GB"/>
        </w:rPr>
        <w:t xml:space="preserve">on chromosomes 10 and 7, </w:t>
      </w:r>
      <w:r w:rsidR="00B63638" w:rsidRPr="00F643EB">
        <w:rPr>
          <w:rFonts w:cs="Arial"/>
          <w:color w:val="000000" w:themeColor="text1"/>
          <w:sz w:val="24"/>
          <w:lang w:val="en-GB"/>
        </w:rPr>
        <w:t>were</w:t>
      </w:r>
      <w:r w:rsidRPr="00F643EB">
        <w:rPr>
          <w:rFonts w:cs="Arial"/>
          <w:color w:val="000000" w:themeColor="text1"/>
          <w:sz w:val="24"/>
          <w:lang w:val="en-GB"/>
        </w:rPr>
        <w:t xml:space="preserve"> fully attenuated (data not shown), indicating that the </w:t>
      </w:r>
      <w:r w:rsidRPr="00F643EB">
        <w:rPr>
          <w:rFonts w:cs="Arial"/>
          <w:color w:val="000000" w:themeColor="text1"/>
          <w:sz w:val="24"/>
          <w:lang w:val="en-GB"/>
        </w:rPr>
        <w:lastRenderedPageBreak/>
        <w:t xml:space="preserve">observed signal is largely attributable to the </w:t>
      </w:r>
      <w:r w:rsidR="00047014" w:rsidRPr="0083136D">
        <w:rPr>
          <w:rFonts w:cs="Arial"/>
          <w:i/>
          <w:iCs/>
          <w:color w:val="000000" w:themeColor="text1"/>
          <w:sz w:val="24"/>
          <w:lang w:val="en-GB"/>
        </w:rPr>
        <w:t>CYP2D6</w:t>
      </w:r>
      <w:r w:rsidRPr="0083136D">
        <w:rPr>
          <w:rFonts w:cs="Arial"/>
          <w:i/>
          <w:iCs/>
          <w:color w:val="000000" w:themeColor="text1"/>
          <w:sz w:val="24"/>
          <w:lang w:val="en-GB"/>
        </w:rPr>
        <w:t>*4</w:t>
      </w:r>
      <w:r w:rsidRPr="00F643EB">
        <w:rPr>
          <w:rFonts w:cs="Arial"/>
          <w:color w:val="000000" w:themeColor="text1"/>
          <w:sz w:val="24"/>
          <w:lang w:val="en-GB"/>
        </w:rPr>
        <w:t xml:space="preserve"> allele. These findings reaffirm the central role of </w:t>
      </w:r>
      <w:r w:rsidRPr="00F643EB">
        <w:rPr>
          <w:rFonts w:cs="Arial"/>
          <w:i/>
          <w:iCs/>
          <w:color w:val="000000" w:themeColor="text1"/>
          <w:sz w:val="24"/>
          <w:lang w:val="en-GB"/>
        </w:rPr>
        <w:t>CYP2D6</w:t>
      </w:r>
      <w:r w:rsidRPr="00F643EB">
        <w:rPr>
          <w:rFonts w:cs="Arial"/>
          <w:color w:val="000000" w:themeColor="text1"/>
          <w:sz w:val="24"/>
          <w:lang w:val="en-GB"/>
        </w:rPr>
        <w:t xml:space="preserve"> in metoprolol metabolism, consistent with previous results</w:t>
      </w:r>
      <w:r w:rsidR="00882A4F" w:rsidRPr="00F643EB">
        <w:rPr>
          <w:rFonts w:cs="Arial"/>
          <w:color w:val="000000" w:themeColor="text1"/>
          <w:sz w:val="24"/>
          <w:lang w:val="en-GB"/>
        </w:rPr>
        <w:fldChar w:fldCharType="begin"/>
      </w:r>
      <w:r w:rsidR="00626310">
        <w:rPr>
          <w:rFonts w:cs="Arial"/>
          <w:color w:val="000000" w:themeColor="text1"/>
          <w:sz w:val="24"/>
          <w:lang w:val="en-GB"/>
        </w:rPr>
        <w:instrText xml:space="preserve"> ADDIN ZOTERO_ITEM CSL_CITATION {"citationID":"DwrT3ffE","properties":{"formattedCitation":"\\super 7\\nosupersub{}","plainCitation":"7","noteIndex":0},"citationItems":[{"id":166,"uris":["http://zotero.org/users/17147026/items/U4XWVNLC"],"itemData":{"id":166,"type":"article-journal","abstract":"Aim: Few genome-wide association studies (GWASs) have been conducted to identify predictors of drug concentrations. The authors therefore sought to discover the pharmacogenomic markers involved in metoprolol pharmacokinetics. Patients &amp; methods: The authors performed a GWAS of a cross-sectional study of 993 patients from the Montreal Heart Institute Biobank taking metoprolol. Results: A total of 391 and 444 SNPs reached the significance threshold of 5 × 10-8 for metoprolol and α-OH-metoprolol concentrations, respectively. All were located on chromosome 22 at or near the CYP2D6 gene, encoding CYP450 2D6, metoprolol's main metabolizing enzyme. Conclusion: The results reinforce previous findings of the importance of the CYP2D6 locus for metoprolol concentrations and confirm that large biobanks can be used to identify genetic determinants of drug pharmacokinetics at a GWAS significance level.","container-title":"Pharmacogenomics","DOI":"10.2217/pgs-2023-0067","ISSN":"1744-8042","issue":"8","journalAbbreviation":"Pharmacogenomics","language":"eng","note":"PMID: 37307170","page":"441-448","source":"PubMed","title":"Pharmacogenomic markers of metoprolol and α-OH-metoprolol concentrations: a genome-wide association study","title-short":"Pharmacogenomic markers of metoprolol and α-OH-metoprolol concentrations","volume":"24","author":[{"family":"Laverdière","given":"Jean"},{"family":"Meloche","given":"Maxime"},{"family":"Provost","given":"Sylvie"},{"family":"Leclair","given":"Grégoire"},{"family":"Oussaïd","given":"Essaïd"},{"family":"Jutras","given":"Martin"},{"family":"Perreault","given":"Louis-Philippe Lemieux"},{"family":"Valois","given":"Diane"},{"family":"Mongrain","given":"Ian"},{"family":"Busseuil","given":"David"},{"family":"Rouleau","given":"Jean Lucien"},{"family":"Tardif","given":"Jean-Claude"},{"family":"Dubé","given":"Marie-Pierre"},{"family":"Denus","given":"Simon","dropping-particle":"de"}],"issued":{"date-parts":[["2023",6]]}}}],"schema":"https://github.com/citation-style-language/schema/raw/master/csl-citation.json"} </w:instrText>
      </w:r>
      <w:r w:rsidR="00882A4F" w:rsidRPr="00F643EB">
        <w:rPr>
          <w:rFonts w:cs="Arial"/>
          <w:color w:val="000000" w:themeColor="text1"/>
          <w:sz w:val="24"/>
          <w:lang w:val="en-GB"/>
        </w:rPr>
        <w:fldChar w:fldCharType="separate"/>
      </w:r>
      <w:r w:rsidR="00626310" w:rsidRPr="00626310">
        <w:rPr>
          <w:rFonts w:cs="Arial"/>
          <w:color w:val="000000"/>
          <w:kern w:val="0"/>
          <w:sz w:val="24"/>
          <w:vertAlign w:val="superscript"/>
          <w:lang w:val="en-GB"/>
        </w:rPr>
        <w:t>7</w:t>
      </w:r>
      <w:r w:rsidR="00882A4F" w:rsidRPr="00F643EB">
        <w:rPr>
          <w:rFonts w:cs="Arial"/>
          <w:color w:val="000000" w:themeColor="text1"/>
          <w:sz w:val="24"/>
          <w:lang w:val="en-GB"/>
        </w:rPr>
        <w:fldChar w:fldCharType="end"/>
      </w:r>
      <w:r w:rsidR="00882A4F" w:rsidRPr="00F643EB">
        <w:rPr>
          <w:rFonts w:cs="Arial"/>
          <w:color w:val="000000" w:themeColor="text1"/>
          <w:sz w:val="24"/>
          <w:lang w:val="en-GB"/>
        </w:rPr>
        <w:t>.</w:t>
      </w:r>
    </w:p>
    <w:p w14:paraId="0FEDDC5D" w14:textId="5BBFC47A" w:rsidR="003F76EB" w:rsidRPr="00F643EB" w:rsidRDefault="003F76EB" w:rsidP="00CF64DA">
      <w:pPr>
        <w:pStyle w:val="Heading1"/>
        <w:spacing w:line="276" w:lineRule="auto"/>
        <w:rPr>
          <w:sz w:val="24"/>
          <w:szCs w:val="24"/>
          <w:lang w:val="en-GB"/>
        </w:rPr>
      </w:pPr>
      <w:bookmarkStart w:id="11" w:name="_Toc202265804"/>
      <w:bookmarkStart w:id="12" w:name="_Toc214632535"/>
      <w:r w:rsidRPr="00F643EB">
        <w:rPr>
          <w:sz w:val="24"/>
          <w:szCs w:val="24"/>
          <w:lang w:val="en-GB"/>
        </w:rPr>
        <w:t xml:space="preserve">References </w:t>
      </w:r>
      <w:r w:rsidR="00440463" w:rsidRPr="00F643EB">
        <w:rPr>
          <w:sz w:val="24"/>
          <w:szCs w:val="24"/>
          <w:lang w:val="en-GB"/>
        </w:rPr>
        <w:t>for the supplementary</w:t>
      </w:r>
      <w:bookmarkEnd w:id="11"/>
      <w:bookmarkEnd w:id="12"/>
    </w:p>
    <w:p w14:paraId="20661586" w14:textId="77777777" w:rsidR="00642A2B" w:rsidRPr="00F643EB" w:rsidRDefault="00642A2B" w:rsidP="00CF64DA">
      <w:pPr>
        <w:spacing w:line="276" w:lineRule="auto"/>
        <w:rPr>
          <w:sz w:val="24"/>
          <w:lang w:val="en-GB"/>
        </w:rPr>
      </w:pPr>
    </w:p>
    <w:p w14:paraId="714EE8DD" w14:textId="77777777" w:rsidR="00626310" w:rsidRPr="00626310" w:rsidRDefault="00626310" w:rsidP="00626310">
      <w:pPr>
        <w:pStyle w:val="Bibliography"/>
        <w:rPr>
          <w:rFonts w:cs="Arial"/>
          <w:color w:val="000000"/>
          <w:sz w:val="24"/>
          <w:lang w:val="en-GB"/>
        </w:rPr>
      </w:pPr>
      <w:r>
        <w:rPr>
          <w:rFonts w:cs="Arial"/>
          <w:color w:val="000000" w:themeColor="text1"/>
          <w:lang w:val="en-GB"/>
        </w:rPr>
        <w:fldChar w:fldCharType="begin"/>
      </w:r>
      <w:r w:rsidRPr="0039670D">
        <w:rPr>
          <w:rFonts w:cs="Arial"/>
          <w:color w:val="000000" w:themeColor="text1"/>
        </w:rPr>
        <w:instrText xml:space="preserve"> ADDIN ZOTERO_BIBL {"uncited":[],"omitted":[],"custom":[]} CSL_BIBLIOGRAPHY </w:instrText>
      </w:r>
      <w:r>
        <w:rPr>
          <w:rFonts w:cs="Arial"/>
          <w:color w:val="000000" w:themeColor="text1"/>
          <w:lang w:val="en-GB"/>
        </w:rPr>
        <w:fldChar w:fldCharType="separate"/>
      </w:r>
      <w:r w:rsidRPr="0039670D">
        <w:rPr>
          <w:rFonts w:cs="Arial"/>
          <w:color w:val="000000"/>
          <w:sz w:val="24"/>
        </w:rPr>
        <w:t>1.</w:t>
      </w:r>
      <w:r w:rsidRPr="0039670D">
        <w:rPr>
          <w:rFonts w:cs="Arial"/>
          <w:color w:val="000000"/>
          <w:sz w:val="24"/>
        </w:rPr>
        <w:tab/>
        <w:t xml:space="preserve">Botton, M. R. </w:t>
      </w:r>
      <w:r w:rsidRPr="0039670D">
        <w:rPr>
          <w:rFonts w:cs="Arial"/>
          <w:i/>
          <w:iCs/>
          <w:color w:val="000000"/>
          <w:sz w:val="24"/>
        </w:rPr>
        <w:t>et al.</w:t>
      </w:r>
      <w:r w:rsidRPr="0039670D">
        <w:rPr>
          <w:rFonts w:cs="Arial"/>
          <w:color w:val="000000"/>
          <w:sz w:val="24"/>
        </w:rPr>
        <w:t xml:space="preserve"> </w:t>
      </w:r>
      <w:r w:rsidRPr="00626310">
        <w:rPr>
          <w:rFonts w:cs="Arial"/>
          <w:color w:val="000000"/>
          <w:sz w:val="24"/>
          <w:lang w:val="en-GB"/>
        </w:rPr>
        <w:t xml:space="preserve">Structural variation at the CYP2C locus: Characterization of deletion and duplication alleles. </w:t>
      </w:r>
      <w:r w:rsidRPr="00626310">
        <w:rPr>
          <w:rFonts w:cs="Arial"/>
          <w:i/>
          <w:iCs/>
          <w:color w:val="000000"/>
          <w:sz w:val="24"/>
          <w:lang w:val="en-GB"/>
        </w:rPr>
        <w:t>Hum. Mutat.</w:t>
      </w:r>
      <w:r w:rsidRPr="00626310">
        <w:rPr>
          <w:rFonts w:cs="Arial"/>
          <w:color w:val="000000"/>
          <w:sz w:val="24"/>
          <w:lang w:val="en-GB"/>
        </w:rPr>
        <w:t xml:space="preserve"> </w:t>
      </w:r>
      <w:r w:rsidRPr="00626310">
        <w:rPr>
          <w:rFonts w:cs="Arial"/>
          <w:b/>
          <w:bCs/>
          <w:color w:val="000000"/>
          <w:sz w:val="24"/>
          <w:lang w:val="en-GB"/>
        </w:rPr>
        <w:t>40</w:t>
      </w:r>
      <w:r w:rsidRPr="00626310">
        <w:rPr>
          <w:rFonts w:cs="Arial"/>
          <w:color w:val="000000"/>
          <w:sz w:val="24"/>
          <w:lang w:val="en-GB"/>
        </w:rPr>
        <w:t>, e37–e51 (2019).</w:t>
      </w:r>
    </w:p>
    <w:p w14:paraId="7B484C7C"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2.</w:t>
      </w:r>
      <w:r w:rsidRPr="00626310">
        <w:rPr>
          <w:rFonts w:cs="Arial"/>
          <w:color w:val="000000"/>
          <w:sz w:val="24"/>
          <w:lang w:val="en-GB"/>
        </w:rPr>
        <w:tab/>
        <w:t xml:space="preserve">Holt, J. M. </w:t>
      </w:r>
      <w:r w:rsidRPr="00626310">
        <w:rPr>
          <w:rFonts w:cs="Arial"/>
          <w:i/>
          <w:iCs/>
          <w:color w:val="000000"/>
          <w:sz w:val="24"/>
          <w:lang w:val="en-GB"/>
        </w:rPr>
        <w:t>et al.</w:t>
      </w:r>
      <w:r w:rsidRPr="00626310">
        <w:rPr>
          <w:rFonts w:cs="Arial"/>
          <w:color w:val="000000"/>
          <w:sz w:val="24"/>
          <w:lang w:val="en-GB"/>
        </w:rPr>
        <w:t xml:space="preserve"> StarPhase: Comprehensive Phase-Aware Pharmacogenomic Diplotyper for Long-Read Sequencing Data. 2024.12.10.627527 Preprint at https://doi.org/10.1101/2024.12.10.627527 (2024).</w:t>
      </w:r>
    </w:p>
    <w:p w14:paraId="1FAB27F6"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3.</w:t>
      </w:r>
      <w:r w:rsidRPr="00626310">
        <w:rPr>
          <w:rFonts w:cs="Arial"/>
          <w:color w:val="000000"/>
          <w:sz w:val="24"/>
          <w:lang w:val="en-GB"/>
        </w:rPr>
        <w:tab/>
        <w:t xml:space="preserve">Chen, X. </w:t>
      </w:r>
      <w:r w:rsidRPr="00626310">
        <w:rPr>
          <w:rFonts w:cs="Arial"/>
          <w:i/>
          <w:iCs/>
          <w:color w:val="000000"/>
          <w:sz w:val="24"/>
          <w:lang w:val="en-GB"/>
        </w:rPr>
        <w:t>et al.</w:t>
      </w:r>
      <w:r w:rsidRPr="00626310">
        <w:rPr>
          <w:rFonts w:cs="Arial"/>
          <w:color w:val="000000"/>
          <w:sz w:val="24"/>
          <w:lang w:val="en-GB"/>
        </w:rPr>
        <w:t xml:space="preserve"> Cyrius: accurate CYP2D6 genotyping using whole-genome sequencing data. </w:t>
      </w:r>
      <w:r w:rsidRPr="00626310">
        <w:rPr>
          <w:rFonts w:cs="Arial"/>
          <w:i/>
          <w:iCs/>
          <w:color w:val="000000"/>
          <w:sz w:val="24"/>
          <w:lang w:val="en-GB"/>
        </w:rPr>
        <w:t>Pharmacogenomics J.</w:t>
      </w:r>
      <w:r w:rsidRPr="00626310">
        <w:rPr>
          <w:rFonts w:cs="Arial"/>
          <w:color w:val="000000"/>
          <w:sz w:val="24"/>
          <w:lang w:val="en-GB"/>
        </w:rPr>
        <w:t xml:space="preserve"> </w:t>
      </w:r>
      <w:r w:rsidRPr="00626310">
        <w:rPr>
          <w:rFonts w:cs="Arial"/>
          <w:b/>
          <w:bCs/>
          <w:color w:val="000000"/>
          <w:sz w:val="24"/>
          <w:lang w:val="en-GB"/>
        </w:rPr>
        <w:t>21</w:t>
      </w:r>
      <w:r w:rsidRPr="00626310">
        <w:rPr>
          <w:rFonts w:cs="Arial"/>
          <w:color w:val="000000"/>
          <w:sz w:val="24"/>
          <w:lang w:val="en-GB"/>
        </w:rPr>
        <w:t>, 251–261 (2021).</w:t>
      </w:r>
    </w:p>
    <w:p w14:paraId="0428C60A"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4.</w:t>
      </w:r>
      <w:r w:rsidRPr="00626310">
        <w:rPr>
          <w:rFonts w:cs="Arial"/>
          <w:color w:val="000000"/>
          <w:sz w:val="24"/>
          <w:lang w:val="en-GB"/>
        </w:rPr>
        <w:tab/>
        <w:t xml:space="preserve">Hari, A. </w:t>
      </w:r>
      <w:r w:rsidRPr="00626310">
        <w:rPr>
          <w:rFonts w:cs="Arial"/>
          <w:i/>
          <w:iCs/>
          <w:color w:val="000000"/>
          <w:sz w:val="24"/>
          <w:lang w:val="en-GB"/>
        </w:rPr>
        <w:t>et al.</w:t>
      </w:r>
      <w:r w:rsidRPr="00626310">
        <w:rPr>
          <w:rFonts w:cs="Arial"/>
          <w:color w:val="000000"/>
          <w:sz w:val="24"/>
          <w:lang w:val="en-GB"/>
        </w:rPr>
        <w:t xml:space="preserve"> An efficient genotyper and star-allele caller for pharmacogenomics. </w:t>
      </w:r>
      <w:r w:rsidRPr="00626310">
        <w:rPr>
          <w:rFonts w:cs="Arial"/>
          <w:i/>
          <w:iCs/>
          <w:color w:val="000000"/>
          <w:sz w:val="24"/>
          <w:lang w:val="en-GB"/>
        </w:rPr>
        <w:t>Genome Res.</w:t>
      </w:r>
      <w:r w:rsidRPr="00626310">
        <w:rPr>
          <w:rFonts w:cs="Arial"/>
          <w:color w:val="000000"/>
          <w:sz w:val="24"/>
          <w:lang w:val="en-GB"/>
        </w:rPr>
        <w:t xml:space="preserve"> </w:t>
      </w:r>
      <w:r w:rsidRPr="00626310">
        <w:rPr>
          <w:rFonts w:cs="Arial"/>
          <w:b/>
          <w:bCs/>
          <w:color w:val="000000"/>
          <w:sz w:val="24"/>
          <w:lang w:val="en-GB"/>
        </w:rPr>
        <w:t>33</w:t>
      </w:r>
      <w:r w:rsidRPr="00626310">
        <w:rPr>
          <w:rFonts w:cs="Arial"/>
          <w:color w:val="000000"/>
          <w:sz w:val="24"/>
          <w:lang w:val="en-GB"/>
        </w:rPr>
        <w:t>, 61–70 (2023).</w:t>
      </w:r>
    </w:p>
    <w:p w14:paraId="2B420D8E"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5.</w:t>
      </w:r>
      <w:r w:rsidRPr="00626310">
        <w:rPr>
          <w:rFonts w:cs="Arial"/>
          <w:color w:val="000000"/>
          <w:sz w:val="24"/>
          <w:lang w:val="en-GB"/>
        </w:rPr>
        <w:tab/>
        <w:t xml:space="preserve">Reisberg, S. </w:t>
      </w:r>
      <w:r w:rsidRPr="00626310">
        <w:rPr>
          <w:rFonts w:cs="Arial"/>
          <w:i/>
          <w:iCs/>
          <w:color w:val="000000"/>
          <w:sz w:val="24"/>
          <w:lang w:val="en-GB"/>
        </w:rPr>
        <w:t>et al.</w:t>
      </w:r>
      <w:r w:rsidRPr="00626310">
        <w:rPr>
          <w:rFonts w:cs="Arial"/>
          <w:color w:val="000000"/>
          <w:sz w:val="24"/>
          <w:lang w:val="en-GB"/>
        </w:rPr>
        <w:t xml:space="preserve"> Translating genotype data of 44,000 biobank participants into clinical pharmacogenetic recommendations: challenges and solutions. </w:t>
      </w:r>
      <w:r w:rsidRPr="00626310">
        <w:rPr>
          <w:rFonts w:cs="Arial"/>
          <w:i/>
          <w:iCs/>
          <w:color w:val="000000"/>
          <w:sz w:val="24"/>
          <w:lang w:val="en-GB"/>
        </w:rPr>
        <w:t>Genet. Med. Off. J. Am. Coll. Med. Genet.</w:t>
      </w:r>
      <w:r w:rsidRPr="00626310">
        <w:rPr>
          <w:rFonts w:cs="Arial"/>
          <w:color w:val="000000"/>
          <w:sz w:val="24"/>
          <w:lang w:val="en-GB"/>
        </w:rPr>
        <w:t xml:space="preserve"> </w:t>
      </w:r>
      <w:r w:rsidRPr="00626310">
        <w:rPr>
          <w:rFonts w:cs="Arial"/>
          <w:b/>
          <w:bCs/>
          <w:color w:val="000000"/>
          <w:sz w:val="24"/>
          <w:lang w:val="en-GB"/>
        </w:rPr>
        <w:t>21</w:t>
      </w:r>
      <w:r w:rsidRPr="00626310">
        <w:rPr>
          <w:rFonts w:cs="Arial"/>
          <w:color w:val="000000"/>
          <w:sz w:val="24"/>
          <w:lang w:val="en-GB"/>
        </w:rPr>
        <w:t>, 1345–1354 (2019).</w:t>
      </w:r>
    </w:p>
    <w:p w14:paraId="200EC29A"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6.</w:t>
      </w:r>
      <w:r w:rsidRPr="00626310">
        <w:rPr>
          <w:rFonts w:cs="Arial"/>
          <w:color w:val="000000"/>
          <w:sz w:val="24"/>
          <w:lang w:val="en-GB"/>
        </w:rPr>
        <w:tab/>
        <w:t xml:space="preserve">Sangkuhl, K. </w:t>
      </w:r>
      <w:r w:rsidRPr="00626310">
        <w:rPr>
          <w:rFonts w:cs="Arial"/>
          <w:i/>
          <w:iCs/>
          <w:color w:val="000000"/>
          <w:sz w:val="24"/>
          <w:lang w:val="en-GB"/>
        </w:rPr>
        <w:t>et al.</w:t>
      </w:r>
      <w:r w:rsidRPr="00626310">
        <w:rPr>
          <w:rFonts w:cs="Arial"/>
          <w:color w:val="000000"/>
          <w:sz w:val="24"/>
          <w:lang w:val="en-GB"/>
        </w:rPr>
        <w:t xml:space="preserve"> Pharmacogenomics Clinical Annotation Tool (PharmCAT). </w:t>
      </w:r>
      <w:r w:rsidRPr="00626310">
        <w:rPr>
          <w:rFonts w:cs="Arial"/>
          <w:i/>
          <w:iCs/>
          <w:color w:val="000000"/>
          <w:sz w:val="24"/>
          <w:lang w:val="en-GB"/>
        </w:rPr>
        <w:t>Clin. Pharmacol. Ther.</w:t>
      </w:r>
      <w:r w:rsidRPr="00626310">
        <w:rPr>
          <w:rFonts w:cs="Arial"/>
          <w:color w:val="000000"/>
          <w:sz w:val="24"/>
          <w:lang w:val="en-GB"/>
        </w:rPr>
        <w:t xml:space="preserve"> </w:t>
      </w:r>
      <w:r w:rsidRPr="00626310">
        <w:rPr>
          <w:rFonts w:cs="Arial"/>
          <w:b/>
          <w:bCs/>
          <w:color w:val="000000"/>
          <w:sz w:val="24"/>
          <w:lang w:val="en-GB"/>
        </w:rPr>
        <w:t>107</w:t>
      </w:r>
      <w:r w:rsidRPr="00626310">
        <w:rPr>
          <w:rFonts w:cs="Arial"/>
          <w:color w:val="000000"/>
          <w:sz w:val="24"/>
          <w:lang w:val="en-GB"/>
        </w:rPr>
        <w:t>, 203–210 (2020).</w:t>
      </w:r>
    </w:p>
    <w:p w14:paraId="714C4264" w14:textId="77777777" w:rsidR="00626310" w:rsidRPr="00626310" w:rsidRDefault="00626310" w:rsidP="00626310">
      <w:pPr>
        <w:pStyle w:val="Bibliography"/>
        <w:rPr>
          <w:rFonts w:cs="Arial"/>
          <w:color w:val="000000"/>
          <w:sz w:val="24"/>
          <w:lang w:val="en-GB"/>
        </w:rPr>
      </w:pPr>
      <w:r w:rsidRPr="00626310">
        <w:rPr>
          <w:rFonts w:cs="Arial"/>
          <w:color w:val="000000"/>
          <w:sz w:val="24"/>
          <w:lang w:val="en-GB"/>
        </w:rPr>
        <w:t>7.</w:t>
      </w:r>
      <w:r w:rsidRPr="00626310">
        <w:rPr>
          <w:rFonts w:cs="Arial"/>
          <w:color w:val="000000"/>
          <w:sz w:val="24"/>
          <w:lang w:val="en-GB"/>
        </w:rPr>
        <w:tab/>
        <w:t xml:space="preserve">Laverdière, J. </w:t>
      </w:r>
      <w:r w:rsidRPr="00626310">
        <w:rPr>
          <w:rFonts w:cs="Arial"/>
          <w:i/>
          <w:iCs/>
          <w:color w:val="000000"/>
          <w:sz w:val="24"/>
          <w:lang w:val="en-GB"/>
        </w:rPr>
        <w:t>et al.</w:t>
      </w:r>
      <w:r w:rsidRPr="00626310">
        <w:rPr>
          <w:rFonts w:cs="Arial"/>
          <w:color w:val="000000"/>
          <w:sz w:val="24"/>
          <w:lang w:val="en-GB"/>
        </w:rPr>
        <w:t xml:space="preserve"> Pharmacogenomic markers of metoprolol and α-OH-metoprolol concentrations: a genome-wide association study. </w:t>
      </w:r>
      <w:r w:rsidRPr="00626310">
        <w:rPr>
          <w:rFonts w:cs="Arial"/>
          <w:i/>
          <w:iCs/>
          <w:color w:val="000000"/>
          <w:sz w:val="24"/>
          <w:lang w:val="en-GB"/>
        </w:rPr>
        <w:t>Pharmacogenomics</w:t>
      </w:r>
      <w:r w:rsidRPr="00626310">
        <w:rPr>
          <w:rFonts w:cs="Arial"/>
          <w:color w:val="000000"/>
          <w:sz w:val="24"/>
          <w:lang w:val="en-GB"/>
        </w:rPr>
        <w:t xml:space="preserve"> </w:t>
      </w:r>
      <w:r w:rsidRPr="00626310">
        <w:rPr>
          <w:rFonts w:cs="Arial"/>
          <w:b/>
          <w:bCs/>
          <w:color w:val="000000"/>
          <w:sz w:val="24"/>
          <w:lang w:val="en-GB"/>
        </w:rPr>
        <w:t>24</w:t>
      </w:r>
      <w:r w:rsidRPr="00626310">
        <w:rPr>
          <w:rFonts w:cs="Arial"/>
          <w:color w:val="000000"/>
          <w:sz w:val="24"/>
          <w:lang w:val="en-GB"/>
        </w:rPr>
        <w:t>, 441–448 (2023).</w:t>
      </w:r>
    </w:p>
    <w:p w14:paraId="42FDADF5" w14:textId="159BFC3A" w:rsidR="003F76EB" w:rsidRPr="00F643EB" w:rsidRDefault="00626310" w:rsidP="00CF64DA">
      <w:pPr>
        <w:pStyle w:val="Bibliography"/>
        <w:spacing w:line="276" w:lineRule="auto"/>
        <w:rPr>
          <w:rFonts w:cs="Arial"/>
          <w:color w:val="000000" w:themeColor="text1"/>
          <w:sz w:val="24"/>
          <w:lang w:val="en-GB"/>
        </w:rPr>
      </w:pPr>
      <w:r>
        <w:rPr>
          <w:rFonts w:cs="Arial"/>
          <w:color w:val="000000" w:themeColor="text1"/>
          <w:sz w:val="24"/>
          <w:lang w:val="en-GB"/>
        </w:rPr>
        <w:fldChar w:fldCharType="end"/>
      </w:r>
    </w:p>
    <w:p w14:paraId="766A47F2" w14:textId="5807ADDA" w:rsidR="00737ADF" w:rsidRPr="00F643EB" w:rsidRDefault="00A871B0" w:rsidP="00A871B0">
      <w:pPr>
        <w:rPr>
          <w:rFonts w:cs="Arial"/>
          <w:color w:val="000000" w:themeColor="text1"/>
          <w:sz w:val="24"/>
          <w:lang w:val="en-GB"/>
        </w:rPr>
      </w:pPr>
      <w:r w:rsidRPr="00F643EB">
        <w:rPr>
          <w:rFonts w:cs="Arial"/>
          <w:color w:val="000000" w:themeColor="text1"/>
          <w:sz w:val="24"/>
          <w:lang w:val="en-GB"/>
        </w:rPr>
        <w:br w:type="page"/>
      </w:r>
    </w:p>
    <w:p w14:paraId="4E8CB8EB" w14:textId="038FC584" w:rsidR="00A97503" w:rsidRPr="00F643EB" w:rsidRDefault="00A97503" w:rsidP="00C30773">
      <w:pPr>
        <w:pStyle w:val="Heading1"/>
        <w:rPr>
          <w:lang w:val="en-GB"/>
        </w:rPr>
      </w:pPr>
      <w:bookmarkStart w:id="13" w:name="_Toc201149355"/>
      <w:bookmarkStart w:id="14" w:name="_Toc202265805"/>
      <w:bookmarkStart w:id="15" w:name="_Toc214632536"/>
      <w:r w:rsidRPr="00F643EB">
        <w:rPr>
          <w:lang w:val="en-GB"/>
        </w:rPr>
        <w:lastRenderedPageBreak/>
        <w:t>Supplementary Figures</w:t>
      </w:r>
      <w:bookmarkEnd w:id="13"/>
      <w:bookmarkEnd w:id="14"/>
      <w:bookmarkEnd w:id="15"/>
    </w:p>
    <w:p w14:paraId="76F02646" w14:textId="77777777" w:rsidR="00A871B0" w:rsidRPr="00F643EB" w:rsidRDefault="00A871B0" w:rsidP="00A871B0">
      <w:pPr>
        <w:rPr>
          <w:rFonts w:cs="Arial"/>
          <w:color w:val="000000" w:themeColor="text1"/>
          <w:lang w:val="en-GB"/>
        </w:rPr>
      </w:pPr>
    </w:p>
    <w:p w14:paraId="039EB921" w14:textId="1CD2320D" w:rsidR="00625369" w:rsidRPr="00F643EB" w:rsidRDefault="00625369" w:rsidP="00625369">
      <w:pPr>
        <w:rPr>
          <w:rFonts w:cs="Arial"/>
          <w:color w:val="000000" w:themeColor="text1"/>
          <w:lang w:val="en-GB"/>
        </w:rPr>
      </w:pPr>
      <w:r w:rsidRPr="00F643EB">
        <w:rPr>
          <w:rFonts w:cs="Arial"/>
          <w:noProof/>
          <w:color w:val="000000" w:themeColor="text1"/>
          <w:lang w:val="en-GB"/>
        </w:rPr>
        <w:drawing>
          <wp:inline distT="0" distB="0" distL="0" distR="0" wp14:anchorId="46D6DB96" wp14:editId="756D87AB">
            <wp:extent cx="4508500" cy="6083300"/>
            <wp:effectExtent l="0" t="0" r="0" b="0"/>
            <wp:docPr id="1605521872"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21872" name="Picture 1" descr="A screenshot of a medical repor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08500" cy="6083300"/>
                    </a:xfrm>
                    <a:prstGeom prst="rect">
                      <a:avLst/>
                    </a:prstGeom>
                  </pic:spPr>
                </pic:pic>
              </a:graphicData>
            </a:graphic>
          </wp:inline>
        </w:drawing>
      </w:r>
    </w:p>
    <w:p w14:paraId="72AB7D1F" w14:textId="701443E6" w:rsidR="00625369" w:rsidRPr="00F643EB" w:rsidRDefault="00625369" w:rsidP="00625369">
      <w:pPr>
        <w:jc w:val="both"/>
        <w:rPr>
          <w:rFonts w:cs="Arial"/>
          <w:color w:val="000000" w:themeColor="text1"/>
          <w:lang w:val="en-GB"/>
        </w:rPr>
      </w:pPr>
      <w:bookmarkStart w:id="16" w:name="_Toc201149356"/>
      <w:bookmarkStart w:id="17" w:name="_Toc202265806"/>
      <w:bookmarkStart w:id="18" w:name="_Toc214632537"/>
      <w:r w:rsidRPr="00F643EB">
        <w:rPr>
          <w:rStyle w:val="Heading2Char"/>
          <w:lang w:val="en-GB"/>
        </w:rPr>
        <w:t>Supplementary Figure 1.</w:t>
      </w:r>
      <w:r w:rsidR="00A87E91" w:rsidRPr="00F643EB">
        <w:rPr>
          <w:rStyle w:val="Heading2Char"/>
          <w:lang w:val="en-GB"/>
        </w:rPr>
        <w:t xml:space="preserve"> </w:t>
      </w:r>
      <w:r w:rsidR="00433963" w:rsidRPr="00F643EB">
        <w:rPr>
          <w:rStyle w:val="Heading2Char"/>
          <w:lang w:val="en-GB"/>
        </w:rPr>
        <w:t xml:space="preserve">Study </w:t>
      </w:r>
      <w:r w:rsidR="00F643EB" w:rsidRPr="00F643EB">
        <w:rPr>
          <w:rStyle w:val="Heading2Char"/>
          <w:lang w:val="en-GB"/>
        </w:rPr>
        <w:t>enrolment</w:t>
      </w:r>
      <w:r w:rsidR="00433963" w:rsidRPr="00F643EB">
        <w:rPr>
          <w:rStyle w:val="Heading2Char"/>
          <w:lang w:val="en-GB"/>
        </w:rPr>
        <w:t xml:space="preserve"> flow and</w:t>
      </w:r>
      <w:r w:rsidR="00716378" w:rsidRPr="00F643EB">
        <w:rPr>
          <w:rStyle w:val="Heading2Char"/>
          <w:lang w:val="en-GB"/>
        </w:rPr>
        <w:t xml:space="preserve"> </w:t>
      </w:r>
      <w:r w:rsidR="00331CD6" w:rsidRPr="00F643EB">
        <w:rPr>
          <w:rStyle w:val="Heading2Char"/>
          <w:lang w:val="en-GB"/>
        </w:rPr>
        <w:t xml:space="preserve">the characteristics of final </w:t>
      </w:r>
      <w:r w:rsidR="00433963" w:rsidRPr="00F643EB">
        <w:rPr>
          <w:rStyle w:val="Heading2Char"/>
          <w:lang w:val="en-GB"/>
        </w:rPr>
        <w:t>participants.</w:t>
      </w:r>
      <w:bookmarkEnd w:id="16"/>
      <w:bookmarkEnd w:id="17"/>
      <w:bookmarkEnd w:id="18"/>
      <w:r w:rsidRPr="00F643EB">
        <w:rPr>
          <w:rFonts w:cs="Arial"/>
          <w:color w:val="000000" w:themeColor="text1"/>
          <w:lang w:val="en-GB"/>
        </w:rPr>
        <w:t xml:space="preserve"> </w:t>
      </w:r>
      <w:r w:rsidR="00BC2BDF" w:rsidRPr="00F643EB">
        <w:rPr>
          <w:rFonts w:cs="Arial"/>
          <w:color w:val="000000" w:themeColor="text1"/>
          <w:lang w:val="en-GB"/>
        </w:rPr>
        <w:t xml:space="preserve">The table summarises the clinical characteristics of all participants who completed the study. </w:t>
      </w:r>
    </w:p>
    <w:p w14:paraId="3A95FE0C" w14:textId="77777777" w:rsidR="00A871B0" w:rsidRPr="00F643EB" w:rsidRDefault="00A871B0" w:rsidP="00625369">
      <w:pPr>
        <w:jc w:val="both"/>
        <w:rPr>
          <w:rFonts w:cs="Arial"/>
          <w:color w:val="000000" w:themeColor="text1"/>
          <w:lang w:val="en-GB"/>
        </w:rPr>
      </w:pPr>
    </w:p>
    <w:p w14:paraId="1C6ADF06" w14:textId="42D2A21E" w:rsidR="00625369" w:rsidRPr="00F643EB" w:rsidRDefault="00A871B0" w:rsidP="00625369">
      <w:pPr>
        <w:rPr>
          <w:rFonts w:cs="Arial"/>
          <w:color w:val="000000" w:themeColor="text1"/>
          <w:lang w:val="en-GB"/>
        </w:rPr>
      </w:pPr>
      <w:r w:rsidRPr="00F643EB">
        <w:rPr>
          <w:rFonts w:cs="Arial"/>
          <w:color w:val="000000" w:themeColor="text1"/>
          <w:lang w:val="en-GB"/>
        </w:rPr>
        <w:br w:type="page"/>
      </w:r>
    </w:p>
    <w:p w14:paraId="30FDA679" w14:textId="6C00ECBA" w:rsidR="000348F9" w:rsidRPr="00F643EB" w:rsidRDefault="003101F2">
      <w:pPr>
        <w:rPr>
          <w:rFonts w:cs="Arial"/>
          <w:color w:val="000000" w:themeColor="text1"/>
          <w:lang w:val="en-GB"/>
        </w:rPr>
      </w:pPr>
      <w:r>
        <w:rPr>
          <w:rFonts w:cs="Arial"/>
          <w:noProof/>
          <w:color w:val="000000" w:themeColor="text1"/>
          <w:lang w:val="en-GB"/>
        </w:rPr>
        <w:lastRenderedPageBreak/>
        <w:drawing>
          <wp:inline distT="0" distB="0" distL="0" distR="0" wp14:anchorId="7A8680B8" wp14:editId="761A9907">
            <wp:extent cx="5731510" cy="6076950"/>
            <wp:effectExtent l="0" t="0" r="0" b="6350"/>
            <wp:docPr id="162110268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02682" name="Picture 1" descr="A screenshot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076950"/>
                    </a:xfrm>
                    <a:prstGeom prst="rect">
                      <a:avLst/>
                    </a:prstGeom>
                  </pic:spPr>
                </pic:pic>
              </a:graphicData>
            </a:graphic>
          </wp:inline>
        </w:drawing>
      </w:r>
    </w:p>
    <w:p w14:paraId="6D41B62B" w14:textId="3CA39996" w:rsidR="006015B3" w:rsidRPr="00F643EB" w:rsidRDefault="000348F9" w:rsidP="006015B3">
      <w:pPr>
        <w:jc w:val="both"/>
        <w:rPr>
          <w:rFonts w:cs="Arial"/>
          <w:color w:val="000000" w:themeColor="text1"/>
          <w:lang w:val="en-GB"/>
        </w:rPr>
      </w:pPr>
      <w:bookmarkStart w:id="19" w:name="_Toc201149357"/>
      <w:bookmarkStart w:id="20" w:name="_Toc202265807"/>
      <w:bookmarkStart w:id="21" w:name="_Toc214632538"/>
      <w:r w:rsidRPr="00DB3578">
        <w:rPr>
          <w:rStyle w:val="Heading2Char"/>
          <w:lang w:val="en-GB"/>
        </w:rPr>
        <w:t xml:space="preserve">Supplementary Figure </w:t>
      </w:r>
      <w:r w:rsidR="004A7020" w:rsidRPr="00DB3578">
        <w:rPr>
          <w:rStyle w:val="Heading2Char"/>
          <w:lang w:val="en-GB"/>
        </w:rPr>
        <w:t>2</w:t>
      </w:r>
      <w:r w:rsidR="00C30773" w:rsidRPr="00DB3578">
        <w:rPr>
          <w:rStyle w:val="Heading2Char"/>
          <w:lang w:val="en-GB"/>
        </w:rPr>
        <w:t xml:space="preserve">. </w:t>
      </w:r>
      <w:r w:rsidR="005836D1" w:rsidRPr="00DB3578">
        <w:rPr>
          <w:rStyle w:val="Heading2Char"/>
          <w:lang w:val="en-GB"/>
        </w:rPr>
        <w:t>Probe-drug metabolic ratios across star</w:t>
      </w:r>
      <w:r w:rsidR="00662409" w:rsidRPr="00DB3578">
        <w:rPr>
          <w:rStyle w:val="Heading2Char"/>
          <w:lang w:val="en-GB"/>
        </w:rPr>
        <w:t xml:space="preserve"> </w:t>
      </w:r>
      <w:r w:rsidR="005836D1" w:rsidRPr="00DB3578">
        <w:rPr>
          <w:rStyle w:val="Heading2Char"/>
          <w:lang w:val="en-GB"/>
        </w:rPr>
        <w:t xml:space="preserve">allele </w:t>
      </w:r>
      <w:proofErr w:type="spellStart"/>
      <w:r w:rsidR="005836D1" w:rsidRPr="00DB3578">
        <w:rPr>
          <w:rStyle w:val="Heading2Char"/>
          <w:lang w:val="en-GB"/>
        </w:rPr>
        <w:t>diplotypes</w:t>
      </w:r>
      <w:bookmarkEnd w:id="19"/>
      <w:bookmarkEnd w:id="20"/>
      <w:proofErr w:type="spellEnd"/>
      <w:r w:rsidR="00DB3578" w:rsidRPr="00DB3578">
        <w:rPr>
          <w:rStyle w:val="Heading2Char"/>
          <w:lang w:val="en-GB"/>
        </w:rPr>
        <w:t xml:space="preserve"> for</w:t>
      </w:r>
      <w:bookmarkEnd w:id="21"/>
      <w:r w:rsidR="00DB3578" w:rsidRPr="00DB3578">
        <w:rPr>
          <w:rStyle w:val="Heading2Char"/>
          <w:lang w:val="en-GB"/>
        </w:rPr>
        <w:t xml:space="preserve"> </w:t>
      </w:r>
      <w:r w:rsidR="005836D1" w:rsidRPr="00DB3578">
        <w:rPr>
          <w:rFonts w:cs="Arial"/>
          <w:b/>
          <w:bCs/>
          <w:color w:val="000000" w:themeColor="text1"/>
          <w:lang w:val="en-GB"/>
        </w:rPr>
        <w:t xml:space="preserve">(A) </w:t>
      </w:r>
      <w:r w:rsidR="005836D1" w:rsidRPr="0083136D">
        <w:rPr>
          <w:rFonts w:cs="Arial"/>
          <w:b/>
          <w:bCs/>
          <w:i/>
          <w:iCs/>
          <w:color w:val="000000" w:themeColor="text1"/>
          <w:lang w:val="en-GB"/>
        </w:rPr>
        <w:t>CYP2C19</w:t>
      </w:r>
      <w:r w:rsidR="005836D1" w:rsidRPr="00DB3578">
        <w:rPr>
          <w:rFonts w:cs="Arial"/>
          <w:b/>
          <w:bCs/>
          <w:color w:val="000000" w:themeColor="text1"/>
          <w:lang w:val="en-GB"/>
        </w:rPr>
        <w:t xml:space="preserve"> and (B) </w:t>
      </w:r>
      <w:r w:rsidR="005836D1" w:rsidRPr="0083136D">
        <w:rPr>
          <w:rFonts w:cs="Arial"/>
          <w:b/>
          <w:bCs/>
          <w:i/>
          <w:iCs/>
          <w:color w:val="000000" w:themeColor="text1"/>
          <w:lang w:val="en-GB"/>
        </w:rPr>
        <w:t>CYP2D6</w:t>
      </w:r>
      <w:r w:rsidR="005836D1" w:rsidRPr="00DB3578">
        <w:rPr>
          <w:rFonts w:cs="Arial"/>
          <w:color w:val="000000" w:themeColor="text1"/>
          <w:lang w:val="en-GB"/>
        </w:rPr>
        <w:t>.</w:t>
      </w:r>
      <w:r w:rsidR="005836D1" w:rsidRPr="00F643EB">
        <w:rPr>
          <w:rFonts w:cs="Arial"/>
          <w:color w:val="000000" w:themeColor="text1"/>
          <w:lang w:val="en-GB"/>
        </w:rPr>
        <w:t xml:space="preserve"> The x-axis shows </w:t>
      </w:r>
      <w:proofErr w:type="spellStart"/>
      <w:r w:rsidR="005836D1" w:rsidRPr="00F643EB">
        <w:rPr>
          <w:rFonts w:cs="Arial"/>
          <w:color w:val="000000" w:themeColor="text1"/>
          <w:lang w:val="en-GB"/>
        </w:rPr>
        <w:t>diplotypes</w:t>
      </w:r>
      <w:proofErr w:type="spellEnd"/>
      <w:r w:rsidR="005836D1" w:rsidRPr="00F643EB">
        <w:rPr>
          <w:rFonts w:cs="Arial"/>
          <w:color w:val="000000" w:themeColor="text1"/>
          <w:lang w:val="en-GB"/>
        </w:rPr>
        <w:t xml:space="preserve"> (with the number of individuals per group), and the y-axis shows the metabolic ratios of omeprazole for CYP2C19 and metoprolol for CYP2D6. Genotypes are colo</w:t>
      </w:r>
      <w:r w:rsidR="00145F20">
        <w:rPr>
          <w:rFonts w:cs="Arial"/>
          <w:color w:val="000000" w:themeColor="text1"/>
          <w:lang w:val="en-GB"/>
        </w:rPr>
        <w:t>u</w:t>
      </w:r>
      <w:r w:rsidR="005836D1" w:rsidRPr="00F643EB">
        <w:rPr>
          <w:rFonts w:cs="Arial"/>
          <w:color w:val="000000" w:themeColor="text1"/>
          <w:lang w:val="en-GB"/>
        </w:rPr>
        <w:t>red by predicted metaboli</w:t>
      </w:r>
      <w:r w:rsidR="00145F20">
        <w:rPr>
          <w:rFonts w:cs="Arial"/>
          <w:color w:val="000000" w:themeColor="text1"/>
          <w:lang w:val="en-GB"/>
        </w:rPr>
        <w:t>s</w:t>
      </w:r>
      <w:r w:rsidR="005836D1" w:rsidRPr="00F643EB">
        <w:rPr>
          <w:rFonts w:cs="Arial"/>
          <w:color w:val="000000" w:themeColor="text1"/>
          <w:lang w:val="en-GB"/>
        </w:rPr>
        <w:t>er phenotype: dark blue for poor metaboli</w:t>
      </w:r>
      <w:r w:rsidR="00145F20">
        <w:rPr>
          <w:rFonts w:cs="Arial"/>
          <w:color w:val="000000" w:themeColor="text1"/>
          <w:lang w:val="en-GB"/>
        </w:rPr>
        <w:t>s</w:t>
      </w:r>
      <w:r w:rsidR="005836D1" w:rsidRPr="00F643EB">
        <w:rPr>
          <w:rFonts w:cs="Arial"/>
          <w:color w:val="000000" w:themeColor="text1"/>
          <w:lang w:val="en-GB"/>
        </w:rPr>
        <w:t>ers, light blue for intermediate metaboli</w:t>
      </w:r>
      <w:r w:rsidR="00145F20">
        <w:rPr>
          <w:rFonts w:cs="Arial"/>
          <w:color w:val="000000" w:themeColor="text1"/>
          <w:lang w:val="en-GB"/>
        </w:rPr>
        <w:t>s</w:t>
      </w:r>
      <w:r w:rsidR="005836D1" w:rsidRPr="00F643EB">
        <w:rPr>
          <w:rFonts w:cs="Arial"/>
          <w:color w:val="000000" w:themeColor="text1"/>
          <w:lang w:val="en-GB"/>
        </w:rPr>
        <w:t>ers, orange for rapid metaboli</w:t>
      </w:r>
      <w:r w:rsidR="00145F20">
        <w:rPr>
          <w:rFonts w:cs="Arial"/>
          <w:color w:val="000000" w:themeColor="text1"/>
          <w:lang w:val="en-GB"/>
        </w:rPr>
        <w:t>s</w:t>
      </w:r>
      <w:r w:rsidR="005836D1" w:rsidRPr="00F643EB">
        <w:rPr>
          <w:rFonts w:cs="Arial"/>
          <w:color w:val="000000" w:themeColor="text1"/>
          <w:lang w:val="en-GB"/>
        </w:rPr>
        <w:t>ers, and red for ultrarapid metaboli</w:t>
      </w:r>
      <w:r w:rsidR="00145F20">
        <w:rPr>
          <w:rFonts w:cs="Arial"/>
          <w:color w:val="000000" w:themeColor="text1"/>
          <w:lang w:val="en-GB"/>
        </w:rPr>
        <w:t>s</w:t>
      </w:r>
      <w:r w:rsidR="005836D1" w:rsidRPr="00F643EB">
        <w:rPr>
          <w:rFonts w:cs="Arial"/>
          <w:color w:val="000000" w:themeColor="text1"/>
          <w:lang w:val="en-GB"/>
        </w:rPr>
        <w:t>ers.</w:t>
      </w:r>
      <w:r w:rsidR="00F162A2" w:rsidRPr="00F643EB">
        <w:rPr>
          <w:rFonts w:cs="Arial"/>
          <w:color w:val="000000" w:themeColor="text1"/>
          <w:lang w:val="en-GB"/>
        </w:rPr>
        <w:t xml:space="preserve"> </w:t>
      </w:r>
    </w:p>
    <w:p w14:paraId="24705186" w14:textId="77777777" w:rsidR="00F530FF" w:rsidRPr="00F643EB" w:rsidRDefault="00F530FF" w:rsidP="00F530FF">
      <w:pPr>
        <w:rPr>
          <w:rFonts w:cs="Arial"/>
          <w:color w:val="000000" w:themeColor="text1"/>
          <w:lang w:val="en-GB"/>
        </w:rPr>
      </w:pPr>
      <w:r w:rsidRPr="00F643EB">
        <w:rPr>
          <w:rFonts w:cs="Arial"/>
          <w:noProof/>
          <w:color w:val="000000" w:themeColor="text1"/>
          <w:lang w:val="en-GB"/>
        </w:rPr>
        <w:lastRenderedPageBreak/>
        <w:drawing>
          <wp:inline distT="0" distB="0" distL="0" distR="0" wp14:anchorId="4BBC04CA" wp14:editId="4C1BCAA7">
            <wp:extent cx="5731510" cy="5094605"/>
            <wp:effectExtent l="0" t="0" r="0" b="0"/>
            <wp:docPr id="2051636371" name="Picture 4"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36371" name="Picture 4" descr="A diagram of different colo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094605"/>
                    </a:xfrm>
                    <a:prstGeom prst="rect">
                      <a:avLst/>
                    </a:prstGeom>
                  </pic:spPr>
                </pic:pic>
              </a:graphicData>
            </a:graphic>
          </wp:inline>
        </w:drawing>
      </w:r>
    </w:p>
    <w:p w14:paraId="03F43C5A" w14:textId="4DAFA0DD" w:rsidR="00F530FF" w:rsidRPr="00F643EB" w:rsidRDefault="00F530FF" w:rsidP="00F530FF">
      <w:pPr>
        <w:jc w:val="both"/>
        <w:rPr>
          <w:rFonts w:cs="Arial"/>
          <w:color w:val="000000" w:themeColor="text1"/>
          <w:lang w:val="en-GB"/>
        </w:rPr>
      </w:pPr>
      <w:bookmarkStart w:id="22" w:name="_Toc201149358"/>
      <w:bookmarkStart w:id="23" w:name="_Toc202265808"/>
      <w:bookmarkStart w:id="24" w:name="_Toc214632539"/>
      <w:r w:rsidRPr="00F643EB">
        <w:rPr>
          <w:rStyle w:val="Heading2Char"/>
          <w:lang w:val="en-GB"/>
        </w:rPr>
        <w:t xml:space="preserve">Supplementary Figure </w:t>
      </w:r>
      <w:r w:rsidR="004A7020" w:rsidRPr="00F643EB">
        <w:rPr>
          <w:rStyle w:val="Heading2Char"/>
          <w:lang w:val="en-GB"/>
        </w:rPr>
        <w:t>3</w:t>
      </w:r>
      <w:r w:rsidRPr="00F643EB">
        <w:rPr>
          <w:rStyle w:val="Heading2Char"/>
          <w:lang w:val="en-GB"/>
        </w:rPr>
        <w:t xml:space="preserve">. Concordance of </w:t>
      </w:r>
      <w:r w:rsidRPr="0083136D">
        <w:rPr>
          <w:rStyle w:val="Heading2Char"/>
          <w:i/>
          <w:iCs/>
          <w:lang w:val="en-GB"/>
        </w:rPr>
        <w:t>CYP2D6</w:t>
      </w:r>
      <w:r w:rsidRPr="00F643EB">
        <w:rPr>
          <w:rStyle w:val="Heading2Char"/>
          <w:lang w:val="en-GB"/>
        </w:rPr>
        <w:t xml:space="preserve"> star</w:t>
      </w:r>
      <w:r w:rsidR="00662409" w:rsidRPr="00F643EB">
        <w:rPr>
          <w:rStyle w:val="Heading2Char"/>
          <w:lang w:val="en-GB"/>
        </w:rPr>
        <w:t xml:space="preserve"> </w:t>
      </w:r>
      <w:r w:rsidRPr="00F643EB">
        <w:rPr>
          <w:rStyle w:val="Heading2Char"/>
          <w:lang w:val="en-GB"/>
        </w:rPr>
        <w:t>allele calls across four tools.</w:t>
      </w:r>
      <w:bookmarkEnd w:id="22"/>
      <w:bookmarkEnd w:id="23"/>
      <w:bookmarkEnd w:id="24"/>
      <w:r w:rsidRPr="00F643EB">
        <w:rPr>
          <w:rStyle w:val="Heading2Char"/>
          <w:lang w:val="en-GB"/>
        </w:rPr>
        <w:t xml:space="preserve"> </w:t>
      </w:r>
      <w:r w:rsidRPr="00F643EB">
        <w:rPr>
          <w:rFonts w:cs="Arial"/>
          <w:color w:val="000000" w:themeColor="text1"/>
          <w:lang w:val="en-GB"/>
        </w:rPr>
        <w:t xml:space="preserve">An alluvial plot showing </w:t>
      </w:r>
      <w:r w:rsidR="00145F20">
        <w:rPr>
          <w:rFonts w:cs="Arial"/>
          <w:color w:val="000000" w:themeColor="text1"/>
          <w:lang w:val="en-GB"/>
        </w:rPr>
        <w:t>differences</w:t>
      </w:r>
      <w:r w:rsidRPr="00F643EB">
        <w:rPr>
          <w:rFonts w:cs="Arial"/>
          <w:color w:val="000000" w:themeColor="text1"/>
          <w:lang w:val="en-GB"/>
        </w:rPr>
        <w:t xml:space="preserve"> in star</w:t>
      </w:r>
      <w:r w:rsidR="00662409" w:rsidRPr="00F643EB">
        <w:rPr>
          <w:rFonts w:cs="Arial"/>
          <w:color w:val="000000" w:themeColor="text1"/>
          <w:lang w:val="en-GB"/>
        </w:rPr>
        <w:t xml:space="preserve"> </w:t>
      </w:r>
      <w:r w:rsidRPr="00F643EB">
        <w:rPr>
          <w:rFonts w:cs="Arial"/>
          <w:color w:val="000000" w:themeColor="text1"/>
          <w:lang w:val="en-GB"/>
        </w:rPr>
        <w:t xml:space="preserve">allele </w:t>
      </w:r>
      <w:proofErr w:type="spellStart"/>
      <w:r w:rsidRPr="00F643EB">
        <w:rPr>
          <w:rFonts w:cs="Arial"/>
          <w:color w:val="000000" w:themeColor="text1"/>
          <w:lang w:val="en-GB"/>
        </w:rPr>
        <w:t>diplotype</w:t>
      </w:r>
      <w:proofErr w:type="spellEnd"/>
      <w:r w:rsidRPr="00F643EB">
        <w:rPr>
          <w:rFonts w:cs="Arial"/>
          <w:color w:val="000000" w:themeColor="text1"/>
          <w:lang w:val="en-GB"/>
        </w:rPr>
        <w:t xml:space="preserve"> calls in a subset of 43 participants with short-read genome sequencing data, comparing PacBio </w:t>
      </w:r>
      <w:proofErr w:type="spellStart"/>
      <w:r w:rsidRPr="00F643EB">
        <w:rPr>
          <w:rFonts w:cs="Arial"/>
          <w:color w:val="000000" w:themeColor="text1"/>
          <w:lang w:val="en-GB"/>
        </w:rPr>
        <w:t>StarPhase</w:t>
      </w:r>
      <w:proofErr w:type="spellEnd"/>
      <w:r w:rsidRPr="00F643EB">
        <w:rPr>
          <w:rFonts w:cs="Arial"/>
          <w:color w:val="000000" w:themeColor="text1"/>
          <w:lang w:val="en-GB"/>
        </w:rPr>
        <w:t xml:space="preserve"> (pb-</w:t>
      </w:r>
      <w:proofErr w:type="spellStart"/>
      <w:r w:rsidRPr="00F643EB">
        <w:rPr>
          <w:rFonts w:cs="Arial"/>
          <w:color w:val="000000" w:themeColor="text1"/>
          <w:lang w:val="en-GB"/>
        </w:rPr>
        <w:t>StarPhase</w:t>
      </w:r>
      <w:proofErr w:type="spellEnd"/>
      <w:r w:rsidRPr="00F643EB">
        <w:rPr>
          <w:rFonts w:cs="Arial"/>
          <w:color w:val="000000" w:themeColor="text1"/>
          <w:lang w:val="en-GB"/>
        </w:rPr>
        <w:t xml:space="preserve">), Cyrius, Aldy, and the UT-tool. The y-axis indicates the number of individuals, and different colours represent </w:t>
      </w:r>
      <w:proofErr w:type="spellStart"/>
      <w:r w:rsidRPr="00F643EB">
        <w:rPr>
          <w:rFonts w:cs="Arial"/>
          <w:color w:val="000000" w:themeColor="text1"/>
          <w:lang w:val="en-GB"/>
        </w:rPr>
        <w:t>diplotypes</w:t>
      </w:r>
      <w:proofErr w:type="spellEnd"/>
      <w:r w:rsidRPr="00F643EB">
        <w:rPr>
          <w:rFonts w:cs="Arial"/>
          <w:color w:val="000000" w:themeColor="text1"/>
          <w:lang w:val="en-GB"/>
        </w:rPr>
        <w:t xml:space="preserve">. The width of the connecting lines reflects the number of individuals. For clarity, matching </w:t>
      </w:r>
      <w:r w:rsidR="00D50631" w:rsidRPr="00664E1B">
        <w:rPr>
          <w:rFonts w:cs="Arial"/>
          <w:i/>
          <w:iCs/>
          <w:color w:val="000000" w:themeColor="text1"/>
          <w:lang w:val="en-GB"/>
        </w:rPr>
        <w:t>CYP2D6</w:t>
      </w:r>
      <w:r w:rsidRPr="0083136D">
        <w:rPr>
          <w:rFonts w:cs="Arial"/>
          <w:i/>
          <w:iCs/>
          <w:color w:val="000000" w:themeColor="text1"/>
          <w:lang w:val="en-GB"/>
        </w:rPr>
        <w:t>*1/*1</w:t>
      </w:r>
      <w:r w:rsidRPr="00F643EB">
        <w:rPr>
          <w:rFonts w:cs="Arial"/>
          <w:color w:val="000000" w:themeColor="text1"/>
          <w:lang w:val="en-GB"/>
        </w:rPr>
        <w:t xml:space="preserve"> calls were excluded from the plot.</w:t>
      </w:r>
    </w:p>
    <w:p w14:paraId="1D06AEE5" w14:textId="77777777" w:rsidR="00F530FF" w:rsidRPr="00F643EB" w:rsidRDefault="00F530FF" w:rsidP="006015B3">
      <w:pPr>
        <w:jc w:val="both"/>
        <w:rPr>
          <w:rFonts w:cs="Arial"/>
          <w:color w:val="000000" w:themeColor="text1"/>
          <w:lang w:val="en-GB"/>
        </w:rPr>
      </w:pPr>
    </w:p>
    <w:p w14:paraId="0C0605F2" w14:textId="77777777" w:rsidR="00F530FF" w:rsidRPr="00F643EB" w:rsidRDefault="00F530FF" w:rsidP="00F530FF">
      <w:pPr>
        <w:rPr>
          <w:rFonts w:cs="Arial"/>
          <w:color w:val="000000" w:themeColor="text1"/>
          <w:lang w:val="en-GB"/>
        </w:rPr>
      </w:pPr>
      <w:r w:rsidRPr="00F643EB">
        <w:rPr>
          <w:rFonts w:cs="Arial"/>
          <w:noProof/>
          <w:color w:val="000000" w:themeColor="text1"/>
          <w:lang w:val="en-GB"/>
        </w:rPr>
        <w:lastRenderedPageBreak/>
        <w:drawing>
          <wp:inline distT="0" distB="0" distL="0" distR="0" wp14:anchorId="611DE1DA" wp14:editId="526E53CB">
            <wp:extent cx="5731510" cy="4847590"/>
            <wp:effectExtent l="0" t="0" r="0" b="3810"/>
            <wp:docPr id="91630984" name="Picture 5"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0984" name="Picture 5" descr="A diagram of different colo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847590"/>
                    </a:xfrm>
                    <a:prstGeom prst="rect">
                      <a:avLst/>
                    </a:prstGeom>
                  </pic:spPr>
                </pic:pic>
              </a:graphicData>
            </a:graphic>
          </wp:inline>
        </w:drawing>
      </w:r>
    </w:p>
    <w:p w14:paraId="5E1EDD55" w14:textId="47740BDA" w:rsidR="00F530FF" w:rsidRPr="00F643EB" w:rsidRDefault="00F530FF" w:rsidP="00F530FF">
      <w:pPr>
        <w:jc w:val="both"/>
        <w:rPr>
          <w:rFonts w:cs="Arial"/>
          <w:color w:val="000000" w:themeColor="text1"/>
          <w:lang w:val="en-GB"/>
        </w:rPr>
      </w:pPr>
      <w:bookmarkStart w:id="25" w:name="_Toc201149359"/>
      <w:bookmarkStart w:id="26" w:name="_Toc202265809"/>
      <w:bookmarkStart w:id="27" w:name="_Toc214632540"/>
      <w:r w:rsidRPr="00F643EB">
        <w:rPr>
          <w:rStyle w:val="Heading2Char"/>
          <w:lang w:val="en-GB"/>
        </w:rPr>
        <w:t xml:space="preserve">Supplementary Figure </w:t>
      </w:r>
      <w:r w:rsidR="004A7020" w:rsidRPr="00F643EB">
        <w:rPr>
          <w:rStyle w:val="Heading2Char"/>
          <w:lang w:val="en-GB"/>
        </w:rPr>
        <w:t>4</w:t>
      </w:r>
      <w:r w:rsidRPr="00F643EB">
        <w:rPr>
          <w:rStyle w:val="Heading2Char"/>
          <w:lang w:val="en-GB"/>
        </w:rPr>
        <w:t xml:space="preserve">. Concordance of </w:t>
      </w:r>
      <w:r w:rsidRPr="0083136D">
        <w:rPr>
          <w:rStyle w:val="Heading2Char"/>
          <w:i/>
          <w:iCs/>
          <w:lang w:val="en-GB"/>
        </w:rPr>
        <w:t>CYP2C19</w:t>
      </w:r>
      <w:r w:rsidRPr="00F643EB">
        <w:rPr>
          <w:rStyle w:val="Heading2Char"/>
          <w:lang w:val="en-GB"/>
        </w:rPr>
        <w:t xml:space="preserve"> star</w:t>
      </w:r>
      <w:r w:rsidR="00662409" w:rsidRPr="00F643EB">
        <w:rPr>
          <w:rStyle w:val="Heading2Char"/>
          <w:lang w:val="en-GB"/>
        </w:rPr>
        <w:t xml:space="preserve"> </w:t>
      </w:r>
      <w:r w:rsidRPr="00F643EB">
        <w:rPr>
          <w:rStyle w:val="Heading2Char"/>
          <w:lang w:val="en-GB"/>
        </w:rPr>
        <w:t>allele calls across three tools</w:t>
      </w:r>
      <w:bookmarkEnd w:id="25"/>
      <w:bookmarkEnd w:id="26"/>
      <w:bookmarkEnd w:id="27"/>
      <w:r w:rsidRPr="00F643EB">
        <w:rPr>
          <w:rFonts w:cs="Arial"/>
          <w:b/>
          <w:color w:val="000000" w:themeColor="text1"/>
          <w:lang w:val="en-GB"/>
        </w:rPr>
        <w:t>.</w:t>
      </w:r>
      <w:r w:rsidRPr="00F643EB">
        <w:rPr>
          <w:rFonts w:cs="Arial"/>
          <w:color w:val="000000" w:themeColor="text1"/>
          <w:lang w:val="en-GB"/>
        </w:rPr>
        <w:t xml:space="preserve"> An alluvial plot showing how star</w:t>
      </w:r>
      <w:r w:rsidR="00662409" w:rsidRPr="00F643EB">
        <w:rPr>
          <w:rFonts w:cs="Arial"/>
          <w:color w:val="000000" w:themeColor="text1"/>
          <w:lang w:val="en-GB"/>
        </w:rPr>
        <w:t xml:space="preserve"> </w:t>
      </w:r>
      <w:r w:rsidRPr="00F643EB">
        <w:rPr>
          <w:rFonts w:cs="Arial"/>
          <w:color w:val="000000" w:themeColor="text1"/>
          <w:lang w:val="en-GB"/>
        </w:rPr>
        <w:t xml:space="preserve">allele </w:t>
      </w:r>
      <w:proofErr w:type="spellStart"/>
      <w:r w:rsidRPr="00F643EB">
        <w:rPr>
          <w:rFonts w:cs="Arial"/>
          <w:color w:val="000000" w:themeColor="text1"/>
          <w:lang w:val="en-GB"/>
        </w:rPr>
        <w:t>diplotype</w:t>
      </w:r>
      <w:proofErr w:type="spellEnd"/>
      <w:r w:rsidRPr="00F643EB">
        <w:rPr>
          <w:rFonts w:cs="Arial"/>
          <w:color w:val="000000" w:themeColor="text1"/>
          <w:lang w:val="en-GB"/>
        </w:rPr>
        <w:t xml:space="preserve"> calls (n = 114) vary between PacBio </w:t>
      </w:r>
      <w:proofErr w:type="spellStart"/>
      <w:r w:rsidRPr="00F643EB">
        <w:rPr>
          <w:rFonts w:cs="Arial"/>
          <w:color w:val="000000" w:themeColor="text1"/>
          <w:lang w:val="en-GB"/>
        </w:rPr>
        <w:t>StarPhase</w:t>
      </w:r>
      <w:proofErr w:type="spellEnd"/>
      <w:r w:rsidRPr="00F643EB">
        <w:rPr>
          <w:rFonts w:cs="Arial"/>
          <w:color w:val="000000" w:themeColor="text1"/>
          <w:lang w:val="en-GB"/>
        </w:rPr>
        <w:t xml:space="preserve"> (pb-</w:t>
      </w:r>
      <w:proofErr w:type="spellStart"/>
      <w:r w:rsidRPr="00F643EB">
        <w:rPr>
          <w:rFonts w:cs="Arial"/>
          <w:color w:val="000000" w:themeColor="text1"/>
          <w:lang w:val="en-GB"/>
        </w:rPr>
        <w:t>StarPhase</w:t>
      </w:r>
      <w:proofErr w:type="spellEnd"/>
      <w:r w:rsidRPr="00F643EB">
        <w:rPr>
          <w:rFonts w:cs="Arial"/>
          <w:color w:val="000000" w:themeColor="text1"/>
          <w:lang w:val="en-GB"/>
        </w:rPr>
        <w:t xml:space="preserve">), </w:t>
      </w:r>
      <w:proofErr w:type="spellStart"/>
      <w:r w:rsidRPr="00F643EB">
        <w:rPr>
          <w:rFonts w:cs="Arial"/>
          <w:color w:val="000000" w:themeColor="text1"/>
          <w:lang w:val="en-GB"/>
        </w:rPr>
        <w:t>PharmCAT</w:t>
      </w:r>
      <w:proofErr w:type="spellEnd"/>
      <w:r w:rsidRPr="00F643EB">
        <w:rPr>
          <w:rFonts w:cs="Arial"/>
          <w:color w:val="000000" w:themeColor="text1"/>
          <w:lang w:val="en-GB"/>
        </w:rPr>
        <w:t xml:space="preserve">, and UT-tool. The y-axis indicates the number of individuals, and different colours represent </w:t>
      </w:r>
      <w:proofErr w:type="spellStart"/>
      <w:r w:rsidRPr="00F643EB">
        <w:rPr>
          <w:rFonts w:cs="Arial"/>
          <w:color w:val="000000" w:themeColor="text1"/>
          <w:lang w:val="en-GB"/>
        </w:rPr>
        <w:t>diplotypes</w:t>
      </w:r>
      <w:proofErr w:type="spellEnd"/>
      <w:r w:rsidRPr="00F643EB">
        <w:rPr>
          <w:rFonts w:cs="Arial"/>
          <w:color w:val="000000" w:themeColor="text1"/>
          <w:lang w:val="en-GB"/>
        </w:rPr>
        <w:t>. The width of the connecting lines reflects the number of individuals shared between categories.</w:t>
      </w:r>
    </w:p>
    <w:p w14:paraId="31E3D242" w14:textId="77777777" w:rsidR="00F530FF" w:rsidRPr="00F643EB" w:rsidRDefault="00F530FF" w:rsidP="006015B3">
      <w:pPr>
        <w:jc w:val="both"/>
        <w:rPr>
          <w:rFonts w:cs="Arial"/>
          <w:color w:val="000000" w:themeColor="text1"/>
          <w:lang w:val="en-GB"/>
        </w:rPr>
      </w:pPr>
    </w:p>
    <w:p w14:paraId="3B889BC9" w14:textId="77777777" w:rsidR="005B6C16" w:rsidRPr="00F643EB" w:rsidRDefault="000C7B3F" w:rsidP="005B6C16">
      <w:pPr>
        <w:jc w:val="both"/>
        <w:rPr>
          <w:rStyle w:val="Heading2Char"/>
          <w:lang w:val="en-GB"/>
        </w:rPr>
      </w:pPr>
      <w:r w:rsidRPr="00F643EB">
        <w:rPr>
          <w:rFonts w:cs="Arial"/>
          <w:noProof/>
          <w:color w:val="000000" w:themeColor="text1"/>
          <w:lang w:val="en-GB"/>
        </w:rPr>
        <w:lastRenderedPageBreak/>
        <w:drawing>
          <wp:inline distT="0" distB="0" distL="0" distR="0" wp14:anchorId="4779F7FF" wp14:editId="0C2F6405">
            <wp:extent cx="4819338" cy="7832332"/>
            <wp:effectExtent l="0" t="0" r="0" b="3810"/>
            <wp:docPr id="1135226806"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26806" name="Picture 3" descr="A screenshot of a graph&#10;&#10;AI-generated content may be incorrect."/>
                    <pic:cNvPicPr/>
                  </pic:nvPicPr>
                  <pic:blipFill rotWithShape="1">
                    <a:blip r:embed="rId10" cstate="print">
                      <a:extLst>
                        <a:ext uri="{28A0092B-C50C-407E-A947-70E740481C1C}">
                          <a14:useLocalDpi xmlns:a14="http://schemas.microsoft.com/office/drawing/2010/main" val="0"/>
                        </a:ext>
                      </a:extLst>
                    </a:blip>
                    <a:srcRect t="1184" b="3678"/>
                    <a:stretch>
                      <a:fillRect/>
                    </a:stretch>
                  </pic:blipFill>
                  <pic:spPr bwMode="auto">
                    <a:xfrm>
                      <a:off x="0" y="0"/>
                      <a:ext cx="4858238" cy="7895551"/>
                    </a:xfrm>
                    <a:prstGeom prst="rect">
                      <a:avLst/>
                    </a:prstGeom>
                    <a:ln>
                      <a:noFill/>
                    </a:ln>
                    <a:extLst>
                      <a:ext uri="{53640926-AAD7-44D8-BBD7-CCE9431645EC}">
                        <a14:shadowObscured xmlns:a14="http://schemas.microsoft.com/office/drawing/2010/main"/>
                      </a:ext>
                    </a:extLst>
                  </pic:spPr>
                </pic:pic>
              </a:graphicData>
            </a:graphic>
          </wp:inline>
        </w:drawing>
      </w:r>
      <w:r w:rsidR="0032259B" w:rsidRPr="00F643EB">
        <w:rPr>
          <w:rFonts w:cs="Arial"/>
          <w:color w:val="000000" w:themeColor="text1"/>
          <w:lang w:val="en-GB"/>
        </w:rPr>
        <w:t xml:space="preserve"> </w:t>
      </w:r>
    </w:p>
    <w:p w14:paraId="723BE72F" w14:textId="60385E14" w:rsidR="005B6C16" w:rsidRPr="00F643EB" w:rsidRDefault="005B6C16" w:rsidP="005B6C16">
      <w:pPr>
        <w:jc w:val="both"/>
        <w:rPr>
          <w:rFonts w:cs="Arial"/>
          <w:color w:val="000000" w:themeColor="text1"/>
          <w:lang w:val="en-GB"/>
        </w:rPr>
      </w:pPr>
      <w:bookmarkStart w:id="28" w:name="_Toc214632541"/>
      <w:r w:rsidRPr="00F643EB">
        <w:rPr>
          <w:rStyle w:val="Heading2Char"/>
          <w:lang w:val="en-GB"/>
        </w:rPr>
        <w:t>Supplementary Figure 5. Probe-drug metabolic ratios across metaboli</w:t>
      </w:r>
      <w:r w:rsidR="00CB15DE">
        <w:rPr>
          <w:rStyle w:val="Heading2Char"/>
          <w:lang w:val="en-GB"/>
        </w:rPr>
        <w:t>s</w:t>
      </w:r>
      <w:r w:rsidRPr="00F643EB">
        <w:rPr>
          <w:rStyle w:val="Heading2Char"/>
          <w:lang w:val="en-GB"/>
        </w:rPr>
        <w:t>er phenotypes</w:t>
      </w:r>
      <w:r w:rsidR="00CB15DE">
        <w:rPr>
          <w:rStyle w:val="Heading2Char"/>
          <w:lang w:val="en-GB"/>
        </w:rPr>
        <w:t xml:space="preserve"> for</w:t>
      </w:r>
      <w:bookmarkEnd w:id="28"/>
      <w:r w:rsidRPr="00CB15DE">
        <w:rPr>
          <w:rFonts w:cs="Arial"/>
          <w:b/>
          <w:bCs/>
          <w:color w:val="000000" w:themeColor="text1"/>
          <w:lang w:val="en-GB"/>
        </w:rPr>
        <w:t xml:space="preserve"> </w:t>
      </w:r>
      <w:r w:rsidR="000C3E54" w:rsidRPr="00CB15DE">
        <w:rPr>
          <w:rFonts w:cs="Arial"/>
          <w:b/>
          <w:bCs/>
          <w:color w:val="000000" w:themeColor="text1"/>
          <w:lang w:val="en-GB"/>
        </w:rPr>
        <w:t>(A) CYP2C19 and (B) CYP2D6</w:t>
      </w:r>
      <w:r w:rsidR="000C3E54" w:rsidRPr="00F643EB">
        <w:rPr>
          <w:rFonts w:cs="Arial"/>
          <w:color w:val="000000" w:themeColor="text1"/>
          <w:lang w:val="en-GB"/>
        </w:rPr>
        <w:t>. The x-axis groups individuals by predicted metaboli</w:t>
      </w:r>
      <w:r w:rsidR="00CB15DE">
        <w:rPr>
          <w:rFonts w:cs="Arial"/>
          <w:color w:val="000000" w:themeColor="text1"/>
          <w:lang w:val="en-GB"/>
        </w:rPr>
        <w:t>s</w:t>
      </w:r>
      <w:r w:rsidR="000C3E54" w:rsidRPr="00F643EB">
        <w:rPr>
          <w:rFonts w:cs="Arial"/>
          <w:color w:val="000000" w:themeColor="text1"/>
          <w:lang w:val="en-GB"/>
        </w:rPr>
        <w:t>er phenotype (A,</w:t>
      </w:r>
      <w:r w:rsidR="00F04680">
        <w:rPr>
          <w:rFonts w:cs="Arial"/>
          <w:color w:val="000000" w:themeColor="text1"/>
          <w:lang w:val="en-GB"/>
        </w:rPr>
        <w:t xml:space="preserve"> </w:t>
      </w:r>
      <w:r w:rsidR="000C3E54" w:rsidRPr="00F643EB">
        <w:rPr>
          <w:rFonts w:cs="Arial"/>
          <w:color w:val="000000" w:themeColor="text1"/>
          <w:lang w:val="en-GB"/>
        </w:rPr>
        <w:t>B) and CYP2D6 activity score (C). The y-axis shows metabolic ratios of omeprazole (A) and metoprolol (B). Colour coding corresponds to phenotype: dark blue for poor metaboli</w:t>
      </w:r>
      <w:r w:rsidR="00CB15DE">
        <w:rPr>
          <w:rFonts w:cs="Arial"/>
          <w:color w:val="000000" w:themeColor="text1"/>
          <w:lang w:val="en-GB"/>
        </w:rPr>
        <w:t>s</w:t>
      </w:r>
      <w:r w:rsidR="000C3E54" w:rsidRPr="00F643EB">
        <w:rPr>
          <w:rFonts w:cs="Arial"/>
          <w:color w:val="000000" w:themeColor="text1"/>
          <w:lang w:val="en-GB"/>
        </w:rPr>
        <w:t>ers, light blue for intermediate metaboli</w:t>
      </w:r>
      <w:r w:rsidR="00CB15DE">
        <w:rPr>
          <w:rFonts w:cs="Arial"/>
          <w:color w:val="000000" w:themeColor="text1"/>
          <w:lang w:val="en-GB"/>
        </w:rPr>
        <w:t>s</w:t>
      </w:r>
      <w:r w:rsidR="000C3E54" w:rsidRPr="00F643EB">
        <w:rPr>
          <w:rFonts w:cs="Arial"/>
          <w:color w:val="000000" w:themeColor="text1"/>
          <w:lang w:val="en-GB"/>
        </w:rPr>
        <w:t>ers, orange for rapid metaboli</w:t>
      </w:r>
      <w:r w:rsidR="00CB15DE">
        <w:rPr>
          <w:rFonts w:cs="Arial"/>
          <w:color w:val="000000" w:themeColor="text1"/>
          <w:lang w:val="en-GB"/>
        </w:rPr>
        <w:t>s</w:t>
      </w:r>
      <w:r w:rsidR="000C3E54" w:rsidRPr="00F643EB">
        <w:rPr>
          <w:rFonts w:cs="Arial"/>
          <w:color w:val="000000" w:themeColor="text1"/>
          <w:lang w:val="en-GB"/>
        </w:rPr>
        <w:t>ers, and red for ultrarapid metaboli</w:t>
      </w:r>
      <w:r w:rsidR="00CB15DE">
        <w:rPr>
          <w:rFonts w:cs="Arial"/>
          <w:color w:val="000000" w:themeColor="text1"/>
          <w:lang w:val="en-GB"/>
        </w:rPr>
        <w:t>s</w:t>
      </w:r>
      <w:r w:rsidR="000C3E54" w:rsidRPr="00F643EB">
        <w:rPr>
          <w:rFonts w:cs="Arial"/>
          <w:color w:val="000000" w:themeColor="text1"/>
          <w:lang w:val="en-GB"/>
        </w:rPr>
        <w:t>ers.</w:t>
      </w:r>
    </w:p>
    <w:p w14:paraId="121C7418" w14:textId="57893035" w:rsidR="000E1A3B" w:rsidRPr="00EC4EF9" w:rsidRDefault="00040EC5" w:rsidP="00A97503">
      <w:pPr>
        <w:rPr>
          <w:rFonts w:cs="Arial"/>
          <w:color w:val="000000" w:themeColor="text1"/>
        </w:rPr>
      </w:pPr>
      <w:r>
        <w:rPr>
          <w:rFonts w:cs="Arial"/>
          <w:noProof/>
          <w:color w:val="000000" w:themeColor="text1"/>
        </w:rPr>
        <w:lastRenderedPageBreak/>
        <w:drawing>
          <wp:inline distT="0" distB="0" distL="0" distR="0" wp14:anchorId="12C167A3" wp14:editId="1B1E57CA">
            <wp:extent cx="5731510" cy="6692900"/>
            <wp:effectExtent l="0" t="0" r="0" b="0"/>
            <wp:docPr id="403900440"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00440" name="Picture 2" descr="A screenshot of a grap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692900"/>
                    </a:xfrm>
                    <a:prstGeom prst="rect">
                      <a:avLst/>
                    </a:prstGeom>
                  </pic:spPr>
                </pic:pic>
              </a:graphicData>
            </a:graphic>
          </wp:inline>
        </w:drawing>
      </w:r>
    </w:p>
    <w:p w14:paraId="7C8A1399" w14:textId="3E64949A" w:rsidR="00204CCE" w:rsidRPr="00F643EB" w:rsidRDefault="00233554" w:rsidP="00243B4E">
      <w:pPr>
        <w:jc w:val="both"/>
        <w:rPr>
          <w:rFonts w:cs="Arial"/>
          <w:color w:val="000000" w:themeColor="text1"/>
          <w:lang w:val="en-GB"/>
        </w:rPr>
      </w:pPr>
      <w:bookmarkStart w:id="29" w:name="_Toc201149362"/>
      <w:bookmarkStart w:id="30" w:name="_Toc202265812"/>
      <w:bookmarkStart w:id="31" w:name="_Toc214632542"/>
      <w:r w:rsidRPr="00F643EB">
        <w:rPr>
          <w:rStyle w:val="Heading2Char"/>
          <w:lang w:val="en-GB"/>
        </w:rPr>
        <w:t xml:space="preserve">Supplementary </w:t>
      </w:r>
      <w:r w:rsidR="00243B4E" w:rsidRPr="00F643EB">
        <w:rPr>
          <w:rStyle w:val="Heading2Char"/>
          <w:lang w:val="en-GB"/>
        </w:rPr>
        <w:t>F</w:t>
      </w:r>
      <w:r w:rsidRPr="00F643EB">
        <w:rPr>
          <w:rStyle w:val="Heading2Char"/>
          <w:lang w:val="en-GB"/>
        </w:rPr>
        <w:t xml:space="preserve">igure </w:t>
      </w:r>
      <w:r w:rsidR="005B6C16" w:rsidRPr="00F643EB">
        <w:rPr>
          <w:rStyle w:val="Heading2Char"/>
          <w:lang w:val="en-GB"/>
        </w:rPr>
        <w:t>6</w:t>
      </w:r>
      <w:r w:rsidRPr="00F643EB">
        <w:rPr>
          <w:rStyle w:val="Heading2Char"/>
          <w:lang w:val="en-GB"/>
        </w:rPr>
        <w:t xml:space="preserve">. </w:t>
      </w:r>
      <w:r w:rsidR="00073ACE">
        <w:rPr>
          <w:rStyle w:val="Heading2Char"/>
          <w:lang w:val="en-GB"/>
        </w:rPr>
        <w:t>Individuals with</w:t>
      </w:r>
      <w:r w:rsidRPr="00F643EB">
        <w:rPr>
          <w:rStyle w:val="Heading2Char"/>
          <w:lang w:val="en-GB"/>
        </w:rPr>
        <w:t xml:space="preserve"> novel </w:t>
      </w:r>
      <w:r w:rsidRPr="0083136D">
        <w:rPr>
          <w:rStyle w:val="Heading2Char"/>
          <w:i/>
          <w:iCs/>
          <w:lang w:val="en-GB"/>
        </w:rPr>
        <w:t>CYP2D6</w:t>
      </w:r>
      <w:r w:rsidRPr="00F643EB">
        <w:rPr>
          <w:rStyle w:val="Heading2Char"/>
          <w:lang w:val="en-GB"/>
        </w:rPr>
        <w:t xml:space="preserve"> variants by star</w:t>
      </w:r>
      <w:r w:rsidR="00662409" w:rsidRPr="00F643EB">
        <w:rPr>
          <w:rStyle w:val="Heading2Char"/>
          <w:lang w:val="en-GB"/>
        </w:rPr>
        <w:t xml:space="preserve"> </w:t>
      </w:r>
      <w:r w:rsidRPr="00F643EB">
        <w:rPr>
          <w:rStyle w:val="Heading2Char"/>
          <w:lang w:val="en-GB"/>
        </w:rPr>
        <w:t>allele genotype and metabolic ratio.</w:t>
      </w:r>
      <w:bookmarkEnd w:id="29"/>
      <w:bookmarkEnd w:id="30"/>
      <w:bookmarkEnd w:id="31"/>
      <w:r w:rsidRPr="00F643EB">
        <w:rPr>
          <w:rFonts w:cs="Arial"/>
          <w:b/>
          <w:bCs/>
          <w:color w:val="000000" w:themeColor="text1"/>
          <w:lang w:val="en-GB"/>
        </w:rPr>
        <w:t xml:space="preserve"> </w:t>
      </w:r>
      <w:r w:rsidR="00362ED0">
        <w:rPr>
          <w:rFonts w:cs="Arial"/>
          <w:color w:val="000000" w:themeColor="text1"/>
          <w:lang w:val="en-GB"/>
        </w:rPr>
        <w:t>Individuals with</w:t>
      </w:r>
      <w:r w:rsidRPr="00F643EB">
        <w:rPr>
          <w:rFonts w:cs="Arial"/>
          <w:color w:val="000000" w:themeColor="text1"/>
          <w:lang w:val="en-GB"/>
        </w:rPr>
        <w:t xml:space="preserve"> variants are shown as pink dots; </w:t>
      </w:r>
      <w:r w:rsidR="00CF3604">
        <w:rPr>
          <w:rFonts w:cs="Arial"/>
          <w:color w:val="000000" w:themeColor="text1"/>
          <w:lang w:val="en-GB"/>
        </w:rPr>
        <w:t>individuals without variants</w:t>
      </w:r>
      <w:r w:rsidRPr="00F643EB">
        <w:rPr>
          <w:rFonts w:cs="Arial"/>
          <w:color w:val="000000" w:themeColor="text1"/>
          <w:lang w:val="en-GB"/>
        </w:rPr>
        <w:t xml:space="preserve"> are shown as blue dots. The x-axis indicates </w:t>
      </w:r>
      <w:proofErr w:type="spellStart"/>
      <w:r w:rsidRPr="00F643EB">
        <w:rPr>
          <w:rFonts w:cs="Arial"/>
          <w:color w:val="000000" w:themeColor="text1"/>
          <w:lang w:val="en-GB"/>
        </w:rPr>
        <w:t>diplotypes</w:t>
      </w:r>
      <w:proofErr w:type="spellEnd"/>
      <w:r w:rsidRPr="00F643EB">
        <w:rPr>
          <w:rFonts w:cs="Arial"/>
          <w:color w:val="000000" w:themeColor="text1"/>
          <w:lang w:val="en-GB"/>
        </w:rPr>
        <w:t xml:space="preserve"> and the number of individuals per group, while the y-axis shows metoprolol metabolic ratio. Text labels on dots indicate the variant positions and predicted functional consequences.</w:t>
      </w:r>
      <w:r w:rsidR="00C579CC" w:rsidRPr="00F643EB">
        <w:rPr>
          <w:rFonts w:cs="Arial"/>
          <w:color w:val="000000" w:themeColor="text1"/>
          <w:lang w:val="en-GB"/>
        </w:rPr>
        <w:t xml:space="preserve"> </w:t>
      </w:r>
      <w:r w:rsidR="006661C6" w:rsidRPr="00F643EB">
        <w:rPr>
          <w:rFonts w:cs="Arial"/>
          <w:color w:val="000000" w:themeColor="text1"/>
          <w:lang w:val="en-GB"/>
        </w:rPr>
        <w:t xml:space="preserve">Furthermore, a schematic representation of the </w:t>
      </w:r>
      <w:r w:rsidR="006661C6" w:rsidRPr="0083136D">
        <w:rPr>
          <w:rFonts w:cs="Arial"/>
          <w:i/>
          <w:iCs/>
          <w:color w:val="000000" w:themeColor="text1"/>
          <w:lang w:val="en-GB"/>
        </w:rPr>
        <w:t>CYP2D6</w:t>
      </w:r>
      <w:r w:rsidR="006661C6" w:rsidRPr="00F643EB">
        <w:rPr>
          <w:rFonts w:cs="Arial"/>
          <w:color w:val="000000" w:themeColor="text1"/>
          <w:lang w:val="en-GB"/>
        </w:rPr>
        <w:t xml:space="preserve"> gene, with the exons highlighted in blue (coordinates from </w:t>
      </w:r>
      <w:proofErr w:type="spellStart"/>
      <w:r w:rsidR="006661C6" w:rsidRPr="00F643EB">
        <w:rPr>
          <w:rFonts w:cs="Arial"/>
          <w:color w:val="000000" w:themeColor="text1"/>
          <w:lang w:val="en-GB"/>
        </w:rPr>
        <w:t>Ensembl</w:t>
      </w:r>
      <w:proofErr w:type="spellEnd"/>
      <w:r w:rsidR="006661C6" w:rsidRPr="00F643EB">
        <w:rPr>
          <w:rFonts w:cs="Arial"/>
          <w:color w:val="000000" w:themeColor="text1"/>
          <w:lang w:val="en-GB"/>
        </w:rPr>
        <w:t xml:space="preserve">), illustrates the locations of the novel missense variant and the </w:t>
      </w:r>
      <w:r w:rsidR="00D2464E" w:rsidRPr="00664E1B">
        <w:rPr>
          <w:rFonts w:cs="Arial"/>
          <w:i/>
          <w:iCs/>
          <w:color w:val="000000" w:themeColor="text1"/>
          <w:lang w:val="en-GB"/>
        </w:rPr>
        <w:t>CYP2D6</w:t>
      </w:r>
      <w:r w:rsidR="006661C6" w:rsidRPr="0083136D">
        <w:rPr>
          <w:rFonts w:cs="Arial"/>
          <w:i/>
          <w:iCs/>
          <w:color w:val="000000" w:themeColor="text1"/>
          <w:lang w:val="en-GB"/>
        </w:rPr>
        <w:t>*124</w:t>
      </w:r>
      <w:r w:rsidR="006661C6" w:rsidRPr="00F643EB">
        <w:rPr>
          <w:rFonts w:cs="Arial"/>
          <w:color w:val="000000" w:themeColor="text1"/>
          <w:lang w:val="en-GB"/>
        </w:rPr>
        <w:t xml:space="preserve"> </w:t>
      </w:r>
      <w:r w:rsidR="001E738C" w:rsidRPr="00EC4EF9">
        <w:rPr>
          <w:rFonts w:cs="Arial"/>
        </w:rPr>
        <w:t>nonfunctional</w:t>
      </w:r>
      <w:r w:rsidR="001E738C" w:rsidRPr="006426EF">
        <w:rPr>
          <w:rFonts w:cs="Arial"/>
          <w:i/>
          <w:iCs/>
        </w:rPr>
        <w:t xml:space="preserve"> </w:t>
      </w:r>
      <w:r w:rsidR="006661C6" w:rsidRPr="00F643EB">
        <w:rPr>
          <w:rFonts w:cs="Arial"/>
          <w:color w:val="000000" w:themeColor="text1"/>
          <w:lang w:val="en-GB"/>
        </w:rPr>
        <w:t>variant.</w:t>
      </w:r>
    </w:p>
    <w:p w14:paraId="0C3E45E6" w14:textId="77777777" w:rsidR="00A77CE8" w:rsidRPr="00F643EB" w:rsidRDefault="00A77CE8" w:rsidP="00243B4E">
      <w:pPr>
        <w:jc w:val="both"/>
        <w:rPr>
          <w:rFonts w:cs="Arial"/>
          <w:color w:val="000000" w:themeColor="text1"/>
          <w:lang w:val="en-GB"/>
        </w:rPr>
      </w:pPr>
    </w:p>
    <w:p w14:paraId="54579212" w14:textId="77777777" w:rsidR="00E16C5C" w:rsidRPr="00F643EB" w:rsidRDefault="00E16C5C" w:rsidP="00243B4E">
      <w:pPr>
        <w:jc w:val="both"/>
        <w:rPr>
          <w:rFonts w:cs="Arial"/>
          <w:b/>
          <w:bCs/>
          <w:color w:val="000000" w:themeColor="text1"/>
          <w:lang w:val="en-GB"/>
        </w:rPr>
      </w:pPr>
    </w:p>
    <w:p w14:paraId="1BF00205" w14:textId="7D645FAF" w:rsidR="00955F95" w:rsidRPr="00F643EB" w:rsidRDefault="00911307" w:rsidP="00A97503">
      <w:pPr>
        <w:rPr>
          <w:rFonts w:cs="Arial"/>
          <w:b/>
          <w:bCs/>
          <w:color w:val="000000" w:themeColor="text1"/>
          <w:lang w:val="en-GB"/>
        </w:rPr>
      </w:pPr>
      <w:r w:rsidRPr="00F643EB">
        <w:rPr>
          <w:rFonts w:cs="Arial"/>
          <w:b/>
          <w:bCs/>
          <w:noProof/>
          <w:color w:val="000000" w:themeColor="text1"/>
          <w:lang w:val="en-GB"/>
        </w:rPr>
        <w:lastRenderedPageBreak/>
        <w:drawing>
          <wp:inline distT="0" distB="0" distL="0" distR="0" wp14:anchorId="0EB7A9F9" wp14:editId="461643B8">
            <wp:extent cx="5731510" cy="6363970"/>
            <wp:effectExtent l="0" t="0" r="0" b="0"/>
            <wp:docPr id="176014548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45489" name="Picture 1"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363970"/>
                    </a:xfrm>
                    <a:prstGeom prst="rect">
                      <a:avLst/>
                    </a:prstGeom>
                  </pic:spPr>
                </pic:pic>
              </a:graphicData>
            </a:graphic>
          </wp:inline>
        </w:drawing>
      </w:r>
    </w:p>
    <w:p w14:paraId="6A771BE3" w14:textId="388477AE" w:rsidR="000E7B9E" w:rsidRDefault="00955F95" w:rsidP="000A5048">
      <w:pPr>
        <w:jc w:val="both"/>
        <w:rPr>
          <w:rFonts w:cs="Arial"/>
          <w:color w:val="000000" w:themeColor="text1"/>
          <w:lang w:val="en-GB"/>
        </w:rPr>
      </w:pPr>
      <w:bookmarkStart w:id="32" w:name="_Toc201149363"/>
      <w:bookmarkStart w:id="33" w:name="_Toc202265813"/>
      <w:bookmarkStart w:id="34" w:name="_Toc214632543"/>
      <w:r w:rsidRPr="00F643EB">
        <w:rPr>
          <w:rStyle w:val="Heading2Char"/>
          <w:lang w:val="en-GB"/>
        </w:rPr>
        <w:t xml:space="preserve">Supplementary Figure </w:t>
      </w:r>
      <w:r w:rsidR="005B6C16" w:rsidRPr="00F643EB">
        <w:rPr>
          <w:rStyle w:val="Heading2Char"/>
          <w:lang w:val="en-GB"/>
        </w:rPr>
        <w:t>7</w:t>
      </w:r>
      <w:r w:rsidR="00A77CE8" w:rsidRPr="00F643EB">
        <w:rPr>
          <w:rStyle w:val="Heading2Char"/>
          <w:lang w:val="en-GB"/>
        </w:rPr>
        <w:t>.</w:t>
      </w:r>
      <w:r w:rsidRPr="00F643EB">
        <w:rPr>
          <w:rStyle w:val="Heading2Char"/>
          <w:lang w:val="en-GB"/>
        </w:rPr>
        <w:t xml:space="preserve"> </w:t>
      </w:r>
      <w:r w:rsidR="00DA1A0D" w:rsidRPr="00F643EB">
        <w:rPr>
          <w:rStyle w:val="Heading2Char"/>
          <w:lang w:val="en-GB"/>
        </w:rPr>
        <w:t>Genome-wide association analysis of omeprazole and metoprolol metabolic ratios.</w:t>
      </w:r>
      <w:bookmarkEnd w:id="32"/>
      <w:bookmarkEnd w:id="33"/>
      <w:bookmarkEnd w:id="34"/>
      <w:r w:rsidR="00DA1A0D" w:rsidRPr="00F643EB">
        <w:rPr>
          <w:rStyle w:val="Heading2Char"/>
          <w:lang w:val="en-GB"/>
        </w:rPr>
        <w:t xml:space="preserve"> </w:t>
      </w:r>
      <w:r w:rsidR="008B186D" w:rsidRPr="00F643EB">
        <w:rPr>
          <w:rFonts w:cs="Arial"/>
          <w:color w:val="000000" w:themeColor="text1"/>
          <w:lang w:val="en-GB"/>
        </w:rPr>
        <w:t xml:space="preserve">Manhattan plots for omeprazole (A) and metoprolol (B) metabolic ratios are shown on the left. </w:t>
      </w:r>
      <w:r w:rsidR="00852E17" w:rsidRPr="00F643EB">
        <w:rPr>
          <w:rFonts w:cs="Arial"/>
          <w:color w:val="000000" w:themeColor="text1"/>
          <w:lang w:val="en-GB"/>
        </w:rPr>
        <w:t>The y-axis represents −log10(P) for the association of SNVs, the horizontal dashed line indicates the genome-wide significance threshold (P&lt;5×10</w:t>
      </w:r>
      <w:r w:rsidR="00852E17" w:rsidRPr="00C3023C">
        <w:rPr>
          <w:rFonts w:cs="Arial"/>
          <w:color w:val="000000" w:themeColor="text1"/>
          <w:vertAlign w:val="superscript"/>
          <w:lang w:val="en-GB"/>
        </w:rPr>
        <w:t>−8</w:t>
      </w:r>
      <w:r w:rsidR="00997575" w:rsidRPr="00F643EB">
        <w:rPr>
          <w:rFonts w:cs="Arial"/>
          <w:color w:val="000000" w:themeColor="text1"/>
          <w:lang w:val="en-GB"/>
        </w:rPr>
        <w:t>)</w:t>
      </w:r>
      <w:r w:rsidR="00634233" w:rsidRPr="00F643EB">
        <w:rPr>
          <w:rFonts w:cs="Arial"/>
          <w:color w:val="000000" w:themeColor="text1"/>
          <w:lang w:val="en-GB"/>
        </w:rPr>
        <w:t xml:space="preserve">. </w:t>
      </w:r>
      <w:r w:rsidR="00705946" w:rsidRPr="00F643EB">
        <w:rPr>
          <w:rFonts w:cs="Arial"/>
          <w:color w:val="000000" w:themeColor="text1"/>
          <w:lang w:val="en-GB"/>
        </w:rPr>
        <w:t>The genomic inflation factor (λ) was 1.0 for omeprazole (A) and</w:t>
      </w:r>
      <w:r w:rsidR="00126ADA" w:rsidRPr="00F643EB">
        <w:rPr>
          <w:rFonts w:cs="Arial"/>
          <w:color w:val="000000" w:themeColor="text1"/>
          <w:lang w:val="en-GB"/>
        </w:rPr>
        <w:t xml:space="preserve"> </w:t>
      </w:r>
      <w:r w:rsidR="00CC0385" w:rsidRPr="00F643EB">
        <w:rPr>
          <w:rFonts w:cs="Arial"/>
          <w:color w:val="000000" w:themeColor="text1"/>
          <w:lang w:val="en-GB"/>
        </w:rPr>
        <w:t>0</w:t>
      </w:r>
      <w:r w:rsidR="00126ADA" w:rsidRPr="00F643EB">
        <w:rPr>
          <w:rFonts w:cs="Arial"/>
          <w:color w:val="000000" w:themeColor="text1"/>
          <w:lang w:val="en-GB"/>
        </w:rPr>
        <w:t>.</w:t>
      </w:r>
      <w:r w:rsidR="00CC0385" w:rsidRPr="00F643EB">
        <w:rPr>
          <w:rFonts w:cs="Arial"/>
          <w:color w:val="000000" w:themeColor="text1"/>
          <w:lang w:val="en-GB"/>
        </w:rPr>
        <w:t>9</w:t>
      </w:r>
      <w:r w:rsidR="00126ADA" w:rsidRPr="00F643EB">
        <w:rPr>
          <w:rFonts w:cs="Arial"/>
          <w:color w:val="000000" w:themeColor="text1"/>
          <w:lang w:val="en-GB"/>
        </w:rPr>
        <w:t xml:space="preserve"> </w:t>
      </w:r>
      <w:r w:rsidR="00705946" w:rsidRPr="00F643EB">
        <w:rPr>
          <w:rFonts w:cs="Arial"/>
          <w:color w:val="000000" w:themeColor="text1"/>
          <w:lang w:val="en-GB"/>
        </w:rPr>
        <w:t xml:space="preserve">for metoprolol (B). </w:t>
      </w:r>
      <w:r w:rsidR="00C37F09" w:rsidRPr="00F643EB">
        <w:rPr>
          <w:rFonts w:cs="Arial"/>
          <w:color w:val="000000" w:themeColor="text1"/>
          <w:lang w:val="en-GB"/>
        </w:rPr>
        <w:t>On the right</w:t>
      </w:r>
      <w:r w:rsidR="00DE3179" w:rsidRPr="00F643EB">
        <w:rPr>
          <w:rFonts w:cs="Arial"/>
          <w:color w:val="000000" w:themeColor="text1"/>
          <w:lang w:val="en-GB"/>
        </w:rPr>
        <w:t xml:space="preserve"> (and below for metoprolol)</w:t>
      </w:r>
      <w:r w:rsidR="00C37F09" w:rsidRPr="00F643EB">
        <w:rPr>
          <w:rFonts w:cs="Arial"/>
          <w:color w:val="000000" w:themeColor="text1"/>
          <w:lang w:val="en-GB"/>
        </w:rPr>
        <w:t>, corresponding regional association plots display the genomic loci surrounding the top</w:t>
      </w:r>
      <w:r w:rsidR="00DE3179" w:rsidRPr="00F643EB">
        <w:rPr>
          <w:rFonts w:cs="Arial"/>
          <w:color w:val="000000" w:themeColor="text1"/>
          <w:lang w:val="en-GB"/>
        </w:rPr>
        <w:t>-</w:t>
      </w:r>
      <w:r w:rsidR="00C37F09" w:rsidRPr="00F643EB">
        <w:rPr>
          <w:rFonts w:cs="Arial"/>
          <w:color w:val="000000" w:themeColor="text1"/>
          <w:lang w:val="en-GB"/>
        </w:rPr>
        <w:t>associated variants. The x-axis shows the genomic position (in megabases, Mb), and the y-axis indicates statistical significance (−log</w:t>
      </w:r>
      <w:r w:rsidR="00C37F09" w:rsidRPr="00F643EB">
        <w:rPr>
          <w:rFonts w:ascii="Cambria Math" w:hAnsi="Cambria Math" w:cs="Cambria Math"/>
          <w:color w:val="000000" w:themeColor="text1"/>
          <w:lang w:val="en-GB"/>
        </w:rPr>
        <w:t>₁₀</w:t>
      </w:r>
      <w:r w:rsidR="00C37F09" w:rsidRPr="00F643EB">
        <w:rPr>
          <w:rFonts w:cs="Arial"/>
          <w:color w:val="000000" w:themeColor="text1"/>
          <w:lang w:val="en-GB"/>
        </w:rPr>
        <w:t>(P)). The purple diamond marks the most significantly associated SNP within each locus. SNPs are colour-coded according to their linkage disequilibrium (LD, r²) with the lead SNP, based on data from the European population in the 1000 Genomes Project</w:t>
      </w:r>
      <w:r w:rsidR="00834AEB" w:rsidRPr="00F643EB">
        <w:rPr>
          <w:rFonts w:cs="Arial"/>
          <w:color w:val="000000" w:themeColor="text1"/>
          <w:lang w:val="en-GB"/>
        </w:rPr>
        <w:t>.</w:t>
      </w:r>
      <w:r w:rsidR="000E7B9E" w:rsidRPr="00F643EB">
        <w:rPr>
          <w:rFonts w:cs="Arial"/>
          <w:color w:val="000000" w:themeColor="text1"/>
          <w:lang w:val="en-GB"/>
        </w:rPr>
        <w:t xml:space="preserve"> </w:t>
      </w:r>
    </w:p>
    <w:p w14:paraId="4D585A88" w14:textId="77777777" w:rsidR="00D735CE" w:rsidRDefault="00D735CE" w:rsidP="000A5048">
      <w:pPr>
        <w:jc w:val="both"/>
        <w:rPr>
          <w:rFonts w:cs="Arial"/>
          <w:color w:val="000000" w:themeColor="text1"/>
          <w:lang w:val="en-GB"/>
        </w:rPr>
      </w:pPr>
    </w:p>
    <w:p w14:paraId="7F510057" w14:textId="77777777" w:rsidR="00D735CE" w:rsidRDefault="00D735CE" w:rsidP="000A5048">
      <w:pPr>
        <w:jc w:val="both"/>
        <w:rPr>
          <w:rFonts w:cs="Arial"/>
          <w:color w:val="000000" w:themeColor="text1"/>
          <w:lang w:val="en-GB"/>
        </w:rPr>
      </w:pPr>
    </w:p>
    <w:p w14:paraId="166386A6" w14:textId="69E5CABB" w:rsidR="00D735CE" w:rsidRPr="00A049BE" w:rsidRDefault="00D735CE" w:rsidP="00A049BE">
      <w:pPr>
        <w:pStyle w:val="Heading1"/>
        <w:rPr>
          <w:lang w:val="en-GB"/>
        </w:rPr>
      </w:pPr>
      <w:bookmarkStart w:id="35" w:name="_Toc214632544"/>
      <w:r w:rsidRPr="00A049BE">
        <w:rPr>
          <w:lang w:val="en-GB"/>
        </w:rPr>
        <w:lastRenderedPageBreak/>
        <w:t>Overview and description of Supplementary</w:t>
      </w:r>
      <w:r w:rsidR="00A049BE" w:rsidRPr="00A049BE">
        <w:rPr>
          <w:lang w:val="en-GB"/>
        </w:rPr>
        <w:t xml:space="preserve"> Data</w:t>
      </w:r>
      <w:r w:rsidRPr="00A049BE">
        <w:rPr>
          <w:lang w:val="en-GB"/>
        </w:rPr>
        <w:t xml:space="preserve"> Tables</w:t>
      </w:r>
      <w:bookmarkEnd w:id="35"/>
      <w:r w:rsidRPr="00A049BE">
        <w:rPr>
          <w:lang w:val="en-GB"/>
        </w:rPr>
        <w:tab/>
      </w:r>
    </w:p>
    <w:p w14:paraId="033150D8" w14:textId="77777777" w:rsidR="00D735CE" w:rsidRPr="00D735CE" w:rsidRDefault="00D735CE" w:rsidP="00D735CE">
      <w:pPr>
        <w:jc w:val="both"/>
        <w:rPr>
          <w:rFonts w:cs="Arial"/>
          <w:bCs/>
          <w:color w:val="000000" w:themeColor="text1"/>
          <w:lang w:val="en-GB"/>
        </w:rPr>
      </w:pPr>
      <w:r w:rsidRPr="00D735CE">
        <w:rPr>
          <w:rFonts w:cs="Arial"/>
          <w:bCs/>
          <w:color w:val="000000" w:themeColor="text1"/>
          <w:lang w:val="en-GB"/>
        </w:rPr>
        <w:tab/>
      </w:r>
    </w:p>
    <w:p w14:paraId="596A5F14" w14:textId="451E980D" w:rsidR="003F26C7"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1.</w:t>
      </w:r>
      <w:r w:rsidRPr="00626310">
        <w:rPr>
          <w:rFonts w:cs="Arial"/>
          <w:bCs/>
          <w:color w:val="000000" w:themeColor="text1"/>
          <w:sz w:val="24"/>
          <w:lang w:val="en-GB"/>
        </w:rPr>
        <w:tab/>
      </w:r>
      <w:r w:rsidR="003F26C7" w:rsidRPr="003F26C7">
        <w:rPr>
          <w:rFonts w:cs="Arial"/>
          <w:bCs/>
          <w:color w:val="000000" w:themeColor="text1"/>
          <w:sz w:val="24"/>
          <w:lang w:val="en-GB"/>
        </w:rPr>
        <w:t xml:space="preserve">Rare, novel, and incompletely characterised variants in </w:t>
      </w:r>
      <w:r w:rsidR="003F26C7" w:rsidRPr="00EC4EF9">
        <w:rPr>
          <w:rFonts w:cs="Arial"/>
          <w:bCs/>
          <w:i/>
          <w:iCs/>
          <w:color w:val="000000" w:themeColor="text1"/>
          <w:sz w:val="24"/>
          <w:lang w:val="en-GB"/>
        </w:rPr>
        <w:t>CYP2C19</w:t>
      </w:r>
      <w:r w:rsidR="003F26C7" w:rsidRPr="003F26C7">
        <w:rPr>
          <w:rFonts w:cs="Arial"/>
          <w:bCs/>
          <w:color w:val="000000" w:themeColor="text1"/>
          <w:sz w:val="24"/>
          <w:lang w:val="en-GB"/>
        </w:rPr>
        <w:t xml:space="preserve"> and </w:t>
      </w:r>
      <w:r w:rsidR="003F26C7" w:rsidRPr="00EC4EF9">
        <w:rPr>
          <w:rFonts w:cs="Arial"/>
          <w:bCs/>
          <w:i/>
          <w:iCs/>
          <w:color w:val="000000" w:themeColor="text1"/>
          <w:sz w:val="24"/>
          <w:lang w:val="en-GB"/>
        </w:rPr>
        <w:t>CYP2D6</w:t>
      </w:r>
      <w:r w:rsidR="003F26C7" w:rsidRPr="003F26C7">
        <w:rPr>
          <w:rFonts w:cs="Arial"/>
          <w:bCs/>
          <w:color w:val="000000" w:themeColor="text1"/>
          <w:sz w:val="24"/>
          <w:lang w:val="en-GB"/>
        </w:rPr>
        <w:t xml:space="preserve"> selected for recall invitations.</w:t>
      </w:r>
    </w:p>
    <w:p w14:paraId="4692FEEE" w14:textId="59862C54"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2. </w:t>
      </w:r>
      <w:r w:rsidRPr="00626310">
        <w:rPr>
          <w:rFonts w:cs="Arial"/>
          <w:bCs/>
          <w:color w:val="000000" w:themeColor="text1"/>
          <w:sz w:val="24"/>
          <w:lang w:val="en-GB"/>
        </w:rPr>
        <w:tab/>
        <w:t xml:space="preserve">Inclusion criteria for study invitations and participant recruitment summary. </w:t>
      </w:r>
    </w:p>
    <w:p w14:paraId="104AD445" w14:textId="41BC1412"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3.</w:t>
      </w:r>
      <w:r w:rsidRPr="00626310">
        <w:rPr>
          <w:rFonts w:cs="Arial"/>
          <w:bCs/>
          <w:color w:val="000000" w:themeColor="text1"/>
          <w:sz w:val="24"/>
          <w:lang w:val="en-GB"/>
        </w:rPr>
        <w:tab/>
        <w:t>Star</w:t>
      </w:r>
      <w:r w:rsidR="003F26C7">
        <w:rPr>
          <w:rFonts w:cs="Arial"/>
          <w:bCs/>
          <w:color w:val="000000" w:themeColor="text1"/>
          <w:sz w:val="24"/>
          <w:lang w:val="en-GB"/>
        </w:rPr>
        <w:t xml:space="preserve"> </w:t>
      </w:r>
      <w:r w:rsidRPr="00626310">
        <w:rPr>
          <w:rFonts w:cs="Arial"/>
          <w:bCs/>
          <w:color w:val="000000" w:themeColor="text1"/>
          <w:sz w:val="24"/>
          <w:lang w:val="en-GB"/>
        </w:rPr>
        <w:t>allele calls for the 114 study participants: pre-recruitment and post-recruitment tools.</w:t>
      </w:r>
    </w:p>
    <w:p w14:paraId="21BE0C72" w14:textId="675ADF36"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6B67EE" w:rsidRPr="00626310">
        <w:rPr>
          <w:rFonts w:cs="Arial"/>
          <w:bCs/>
          <w:color w:val="000000" w:themeColor="text1"/>
          <w:sz w:val="24"/>
          <w:lang w:val="en-GB"/>
        </w:rPr>
        <w:t>Data</w:t>
      </w:r>
      <w:r w:rsidRPr="00626310">
        <w:rPr>
          <w:rFonts w:cs="Arial"/>
          <w:bCs/>
          <w:color w:val="000000" w:themeColor="text1"/>
          <w:sz w:val="24"/>
          <w:lang w:val="en-GB"/>
        </w:rPr>
        <w:t xml:space="preserve"> 4. </w:t>
      </w:r>
      <w:r w:rsidRPr="00626310">
        <w:rPr>
          <w:rFonts w:cs="Arial"/>
          <w:bCs/>
          <w:color w:val="000000" w:themeColor="text1"/>
          <w:sz w:val="24"/>
          <w:lang w:val="en-GB"/>
        </w:rPr>
        <w:tab/>
        <w:t>Concordance of star</w:t>
      </w:r>
      <w:r w:rsidR="006E76CC">
        <w:rPr>
          <w:rFonts w:cs="Arial"/>
          <w:bCs/>
          <w:color w:val="000000" w:themeColor="text1"/>
          <w:sz w:val="24"/>
          <w:lang w:val="en-GB"/>
        </w:rPr>
        <w:t xml:space="preserve"> </w:t>
      </w:r>
      <w:r w:rsidRPr="00626310">
        <w:rPr>
          <w:rFonts w:cs="Arial"/>
          <w:bCs/>
          <w:color w:val="000000" w:themeColor="text1"/>
          <w:sz w:val="24"/>
          <w:lang w:val="en-GB"/>
        </w:rPr>
        <w:t xml:space="preserve">allele calls between different tools for </w:t>
      </w:r>
      <w:r w:rsidRPr="00626310">
        <w:rPr>
          <w:rFonts w:cs="Arial"/>
          <w:bCs/>
          <w:i/>
          <w:iCs/>
          <w:color w:val="000000" w:themeColor="text1"/>
          <w:sz w:val="24"/>
          <w:lang w:val="en-GB"/>
        </w:rPr>
        <w:t>CYP2C19</w:t>
      </w:r>
      <w:r w:rsidRPr="00626310">
        <w:rPr>
          <w:rFonts w:cs="Arial"/>
          <w:bCs/>
          <w:color w:val="000000" w:themeColor="text1"/>
          <w:sz w:val="24"/>
          <w:lang w:val="en-GB"/>
        </w:rPr>
        <w:t xml:space="preserve"> and </w:t>
      </w:r>
      <w:r w:rsidRPr="00626310">
        <w:rPr>
          <w:rFonts w:cs="Arial"/>
          <w:bCs/>
          <w:i/>
          <w:iCs/>
          <w:color w:val="000000" w:themeColor="text1"/>
          <w:sz w:val="24"/>
          <w:lang w:val="en-GB"/>
        </w:rPr>
        <w:t>CYP2D6</w:t>
      </w:r>
      <w:r w:rsidRPr="00626310">
        <w:rPr>
          <w:rFonts w:cs="Arial"/>
          <w:bCs/>
          <w:color w:val="000000" w:themeColor="text1"/>
          <w:sz w:val="24"/>
          <w:lang w:val="en-GB"/>
        </w:rPr>
        <w:t xml:space="preserve">. </w:t>
      </w:r>
    </w:p>
    <w:p w14:paraId="12F03FCB" w14:textId="305B5FD3"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5. </w:t>
      </w:r>
      <w:r w:rsidRPr="00626310">
        <w:rPr>
          <w:rFonts w:cs="Arial"/>
          <w:bCs/>
          <w:color w:val="000000" w:themeColor="text1"/>
          <w:sz w:val="24"/>
          <w:lang w:val="en-GB"/>
        </w:rPr>
        <w:tab/>
        <w:t xml:space="preserve">Linear regression results assessing the effects of </w:t>
      </w:r>
      <w:r w:rsidRPr="00626310">
        <w:rPr>
          <w:rFonts w:cs="Arial"/>
          <w:bCs/>
          <w:i/>
          <w:iCs/>
          <w:color w:val="000000" w:themeColor="text1"/>
          <w:sz w:val="24"/>
          <w:lang w:val="en-GB"/>
        </w:rPr>
        <w:t>CYP2C19</w:t>
      </w:r>
      <w:r w:rsidRPr="00626310">
        <w:rPr>
          <w:rFonts w:cs="Arial"/>
          <w:bCs/>
          <w:color w:val="000000" w:themeColor="text1"/>
          <w:sz w:val="24"/>
          <w:lang w:val="en-GB"/>
        </w:rPr>
        <w:t xml:space="preserve"> and </w:t>
      </w:r>
      <w:r w:rsidRPr="00626310">
        <w:rPr>
          <w:rFonts w:cs="Arial"/>
          <w:bCs/>
          <w:i/>
          <w:iCs/>
          <w:color w:val="000000" w:themeColor="text1"/>
          <w:sz w:val="24"/>
          <w:lang w:val="en-GB"/>
        </w:rPr>
        <w:t>CYP2D6</w:t>
      </w:r>
      <w:r w:rsidRPr="00626310">
        <w:rPr>
          <w:rFonts w:cs="Arial"/>
          <w:bCs/>
          <w:color w:val="000000" w:themeColor="text1"/>
          <w:sz w:val="24"/>
          <w:lang w:val="en-GB"/>
        </w:rPr>
        <w:t xml:space="preserve"> phenotypes on omeprazole and metoprolol metabolic ratios, respectively.</w:t>
      </w:r>
    </w:p>
    <w:p w14:paraId="25CC0213" w14:textId="351E3797"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6. </w:t>
      </w:r>
      <w:r w:rsidRPr="00626310">
        <w:rPr>
          <w:rFonts w:cs="Arial"/>
          <w:bCs/>
          <w:color w:val="000000" w:themeColor="text1"/>
          <w:sz w:val="24"/>
          <w:lang w:val="en-GB"/>
        </w:rPr>
        <w:tab/>
        <w:t xml:space="preserve">All variants detected by long-read sequencing (n = 112) within the </w:t>
      </w:r>
      <w:r w:rsidRPr="00626310">
        <w:rPr>
          <w:rFonts w:cs="Arial"/>
          <w:bCs/>
          <w:i/>
          <w:iCs/>
          <w:color w:val="000000" w:themeColor="text1"/>
          <w:sz w:val="24"/>
          <w:lang w:val="en-GB"/>
        </w:rPr>
        <w:t>CYP2C19</w:t>
      </w:r>
      <w:r w:rsidRPr="00626310">
        <w:rPr>
          <w:rFonts w:cs="Arial"/>
          <w:bCs/>
          <w:color w:val="000000" w:themeColor="text1"/>
          <w:sz w:val="24"/>
          <w:lang w:val="en-GB"/>
        </w:rPr>
        <w:t xml:space="preserve"> gene (including the </w:t>
      </w:r>
      <w:r w:rsidR="008510AC" w:rsidRPr="0083136D">
        <w:rPr>
          <w:rFonts w:cs="Arial"/>
          <w:bCs/>
          <w:i/>
          <w:iCs/>
          <w:color w:val="000000" w:themeColor="text1"/>
          <w:sz w:val="24"/>
          <w:lang w:val="en-GB"/>
        </w:rPr>
        <w:t>CYP2C19</w:t>
      </w:r>
      <w:r w:rsidRPr="0083136D">
        <w:rPr>
          <w:rFonts w:cs="Arial"/>
          <w:bCs/>
          <w:i/>
          <w:iCs/>
          <w:color w:val="000000" w:themeColor="text1"/>
          <w:sz w:val="24"/>
          <w:lang w:val="en-GB"/>
        </w:rPr>
        <w:t>*17</w:t>
      </w:r>
      <w:r w:rsidRPr="00626310">
        <w:rPr>
          <w:rFonts w:cs="Arial"/>
          <w:bCs/>
          <w:color w:val="000000" w:themeColor="text1"/>
          <w:sz w:val="24"/>
          <w:lang w:val="en-GB"/>
        </w:rPr>
        <w:t xml:space="preserve"> regulatory variant).</w:t>
      </w:r>
    </w:p>
    <w:p w14:paraId="1E7856A4" w14:textId="1CE4E05D"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7.</w:t>
      </w:r>
      <w:r w:rsidRPr="00626310">
        <w:rPr>
          <w:rFonts w:cs="Arial"/>
          <w:bCs/>
          <w:color w:val="000000" w:themeColor="text1"/>
          <w:sz w:val="24"/>
          <w:lang w:val="en-GB"/>
        </w:rPr>
        <w:tab/>
        <w:t xml:space="preserve">Linear regression results assessing </w:t>
      </w:r>
      <w:r w:rsidRPr="00626310">
        <w:rPr>
          <w:rFonts w:cs="Arial"/>
          <w:bCs/>
          <w:i/>
          <w:iCs/>
          <w:color w:val="000000" w:themeColor="text1"/>
          <w:sz w:val="24"/>
          <w:lang w:val="en-GB"/>
        </w:rPr>
        <w:t>CYP2C19</w:t>
      </w:r>
      <w:r w:rsidRPr="00626310">
        <w:rPr>
          <w:rFonts w:cs="Arial"/>
          <w:bCs/>
          <w:color w:val="000000" w:themeColor="text1"/>
          <w:sz w:val="24"/>
          <w:lang w:val="en-GB"/>
        </w:rPr>
        <w:t xml:space="preserve"> </w:t>
      </w:r>
      <w:proofErr w:type="spellStart"/>
      <w:r w:rsidRPr="00626310">
        <w:rPr>
          <w:rFonts w:cs="Arial"/>
          <w:bCs/>
          <w:color w:val="000000" w:themeColor="text1"/>
          <w:sz w:val="24"/>
          <w:lang w:val="en-GB"/>
        </w:rPr>
        <w:t>diplotype</w:t>
      </w:r>
      <w:proofErr w:type="spellEnd"/>
      <w:r w:rsidRPr="00626310">
        <w:rPr>
          <w:rFonts w:cs="Arial"/>
          <w:bCs/>
          <w:color w:val="000000" w:themeColor="text1"/>
          <w:sz w:val="24"/>
          <w:lang w:val="en-GB"/>
        </w:rPr>
        <w:t xml:space="preserve"> effects on omeprazole metabolic ratios</w:t>
      </w:r>
    </w:p>
    <w:p w14:paraId="09A08CDA" w14:textId="32770297"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8. </w:t>
      </w:r>
      <w:r w:rsidRPr="00626310">
        <w:rPr>
          <w:rFonts w:cs="Arial"/>
          <w:bCs/>
          <w:color w:val="000000" w:themeColor="text1"/>
          <w:sz w:val="24"/>
          <w:lang w:val="en-GB"/>
        </w:rPr>
        <w:tab/>
        <w:t xml:space="preserve">All variants detected by long-read sequencing (n = 112) within the </w:t>
      </w:r>
      <w:r w:rsidRPr="00626310">
        <w:rPr>
          <w:rFonts w:cs="Arial"/>
          <w:bCs/>
          <w:i/>
          <w:iCs/>
          <w:color w:val="000000" w:themeColor="text1"/>
          <w:sz w:val="24"/>
          <w:lang w:val="en-GB"/>
        </w:rPr>
        <w:t>CYP2D6</w:t>
      </w:r>
      <w:r w:rsidRPr="00626310">
        <w:rPr>
          <w:rFonts w:cs="Arial"/>
          <w:bCs/>
          <w:color w:val="000000" w:themeColor="text1"/>
          <w:sz w:val="24"/>
          <w:lang w:val="en-GB"/>
        </w:rPr>
        <w:t xml:space="preserve"> gene</w:t>
      </w:r>
    </w:p>
    <w:p w14:paraId="6F482E4E" w14:textId="314E6DA9"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9. </w:t>
      </w:r>
      <w:r w:rsidRPr="00626310">
        <w:rPr>
          <w:rFonts w:cs="Arial"/>
          <w:bCs/>
          <w:color w:val="000000" w:themeColor="text1"/>
          <w:sz w:val="24"/>
          <w:lang w:val="en-GB"/>
        </w:rPr>
        <w:tab/>
        <w:t xml:space="preserve">Linear regression results assessing </w:t>
      </w:r>
      <w:r w:rsidRPr="00626310">
        <w:rPr>
          <w:rFonts w:cs="Arial"/>
          <w:bCs/>
          <w:i/>
          <w:iCs/>
          <w:color w:val="000000" w:themeColor="text1"/>
          <w:sz w:val="24"/>
          <w:lang w:val="en-GB"/>
        </w:rPr>
        <w:t>CYP2D6</w:t>
      </w:r>
      <w:r w:rsidRPr="00626310">
        <w:rPr>
          <w:rFonts w:cs="Arial"/>
          <w:bCs/>
          <w:color w:val="000000" w:themeColor="text1"/>
          <w:sz w:val="24"/>
          <w:lang w:val="en-GB"/>
        </w:rPr>
        <w:t xml:space="preserve"> </w:t>
      </w:r>
      <w:proofErr w:type="spellStart"/>
      <w:r w:rsidRPr="00626310">
        <w:rPr>
          <w:rFonts w:cs="Arial"/>
          <w:bCs/>
          <w:color w:val="000000" w:themeColor="text1"/>
          <w:sz w:val="24"/>
          <w:lang w:val="en-GB"/>
        </w:rPr>
        <w:t>diplotype</w:t>
      </w:r>
      <w:proofErr w:type="spellEnd"/>
      <w:r w:rsidRPr="00626310">
        <w:rPr>
          <w:rFonts w:cs="Arial"/>
          <w:bCs/>
          <w:color w:val="000000" w:themeColor="text1"/>
          <w:sz w:val="24"/>
          <w:lang w:val="en-GB"/>
        </w:rPr>
        <w:t xml:space="preserve"> effects on metoprolol metabolic ratios</w:t>
      </w:r>
    </w:p>
    <w:p w14:paraId="3F255F7F" w14:textId="12895F27"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10.</w:t>
      </w:r>
      <w:r w:rsidRPr="00626310">
        <w:rPr>
          <w:rFonts w:cs="Arial"/>
          <w:bCs/>
          <w:color w:val="000000" w:themeColor="text1"/>
          <w:sz w:val="24"/>
          <w:lang w:val="en-GB"/>
        </w:rPr>
        <w:tab/>
        <w:t xml:space="preserve">Presence of </w:t>
      </w:r>
      <w:r w:rsidRPr="0083136D">
        <w:rPr>
          <w:rFonts w:cs="Arial"/>
          <w:bCs/>
          <w:color w:val="000000" w:themeColor="text1"/>
          <w:sz w:val="24"/>
          <w:lang w:val="en-GB"/>
        </w:rPr>
        <w:t>CYP2D6</w:t>
      </w:r>
      <w:r w:rsidRPr="00626310">
        <w:rPr>
          <w:rFonts w:cs="Arial"/>
          <w:bCs/>
          <w:color w:val="000000" w:themeColor="text1"/>
          <w:sz w:val="24"/>
          <w:lang w:val="en-GB"/>
        </w:rPr>
        <w:t xml:space="preserve"> and </w:t>
      </w:r>
      <w:r w:rsidRPr="0083136D">
        <w:rPr>
          <w:rFonts w:cs="Arial"/>
          <w:bCs/>
          <w:color w:val="000000" w:themeColor="text1"/>
          <w:sz w:val="24"/>
          <w:lang w:val="en-GB"/>
        </w:rPr>
        <w:t>CYP2C19</w:t>
      </w:r>
      <w:r w:rsidRPr="00626310">
        <w:rPr>
          <w:rFonts w:cs="Arial"/>
          <w:bCs/>
          <w:color w:val="000000" w:themeColor="text1"/>
          <w:sz w:val="24"/>
          <w:lang w:val="en-GB"/>
        </w:rPr>
        <w:t xml:space="preserve"> inhibitors among study participants to assess the impact of drug–drug interactions.</w:t>
      </w:r>
    </w:p>
    <w:p w14:paraId="14597E55" w14:textId="0DB8E824" w:rsidR="00D735CE" w:rsidRPr="00626310" w:rsidRDefault="00D735CE" w:rsidP="00D735CE">
      <w:pPr>
        <w:jc w:val="both"/>
        <w:rPr>
          <w:rFonts w:cs="Arial"/>
          <w:bCs/>
          <w:color w:val="000000" w:themeColor="text1"/>
          <w:sz w:val="24"/>
          <w:lang w:val="en-GB"/>
        </w:rPr>
      </w:pPr>
      <w:r w:rsidRPr="00626310">
        <w:rPr>
          <w:rFonts w:cs="Arial"/>
          <w:bCs/>
          <w:color w:val="000000" w:themeColor="text1"/>
          <w:sz w:val="24"/>
          <w:lang w:val="en-GB"/>
        </w:rPr>
        <w:t xml:space="preserve">Supplementary </w:t>
      </w:r>
      <w:r w:rsidR="00AA6BC2" w:rsidRPr="00626310">
        <w:rPr>
          <w:rFonts w:cs="Arial"/>
          <w:bCs/>
          <w:color w:val="000000" w:themeColor="text1"/>
          <w:sz w:val="24"/>
          <w:lang w:val="en-GB"/>
        </w:rPr>
        <w:t>Data</w:t>
      </w:r>
      <w:r w:rsidRPr="00626310">
        <w:rPr>
          <w:rFonts w:cs="Arial"/>
          <w:bCs/>
          <w:color w:val="000000" w:themeColor="text1"/>
          <w:sz w:val="24"/>
          <w:lang w:val="en-GB"/>
        </w:rPr>
        <w:t xml:space="preserve"> 11.</w:t>
      </w:r>
      <w:r w:rsidRPr="00626310">
        <w:rPr>
          <w:rFonts w:cs="Arial"/>
          <w:bCs/>
          <w:color w:val="000000" w:themeColor="text1"/>
          <w:sz w:val="24"/>
          <w:lang w:val="en-GB"/>
        </w:rPr>
        <w:tab/>
        <w:t>Genome-wide association results of log-transformed metabolic ratios of omeprazole and metoprolol</w:t>
      </w:r>
    </w:p>
    <w:sectPr w:rsidR="00D735CE" w:rsidRPr="00626310" w:rsidSect="00CB15DE">
      <w:pgSz w:w="11906" w:h="16838"/>
      <w:pgMar w:top="1361"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D081C"/>
    <w:multiLevelType w:val="hybridMultilevel"/>
    <w:tmpl w:val="C25E1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726D59"/>
    <w:multiLevelType w:val="hybridMultilevel"/>
    <w:tmpl w:val="B78ADB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3992335">
    <w:abstractNumId w:val="0"/>
  </w:num>
  <w:num w:numId="2" w16cid:durableId="1585843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503"/>
    <w:rsid w:val="00006553"/>
    <w:rsid w:val="0001455E"/>
    <w:rsid w:val="00015343"/>
    <w:rsid w:val="00020D99"/>
    <w:rsid w:val="00033EB7"/>
    <w:rsid w:val="000348F9"/>
    <w:rsid w:val="0004031E"/>
    <w:rsid w:val="00040624"/>
    <w:rsid w:val="00040EC5"/>
    <w:rsid w:val="000457D9"/>
    <w:rsid w:val="00047014"/>
    <w:rsid w:val="00052D3E"/>
    <w:rsid w:val="000613F7"/>
    <w:rsid w:val="0006583A"/>
    <w:rsid w:val="00073ACE"/>
    <w:rsid w:val="00073C5D"/>
    <w:rsid w:val="00080B7D"/>
    <w:rsid w:val="00084A00"/>
    <w:rsid w:val="000856B0"/>
    <w:rsid w:val="0008619E"/>
    <w:rsid w:val="000861B1"/>
    <w:rsid w:val="00093166"/>
    <w:rsid w:val="000A5048"/>
    <w:rsid w:val="000A75C9"/>
    <w:rsid w:val="000C0E97"/>
    <w:rsid w:val="000C3E54"/>
    <w:rsid w:val="000C49C1"/>
    <w:rsid w:val="000C7B3F"/>
    <w:rsid w:val="000D4463"/>
    <w:rsid w:val="000D5692"/>
    <w:rsid w:val="000E1A3B"/>
    <w:rsid w:val="000E6B9A"/>
    <w:rsid w:val="000E7B9E"/>
    <w:rsid w:val="000F48DA"/>
    <w:rsid w:val="00101C8C"/>
    <w:rsid w:val="00111DD1"/>
    <w:rsid w:val="00113924"/>
    <w:rsid w:val="00115A82"/>
    <w:rsid w:val="0011633B"/>
    <w:rsid w:val="00126ADA"/>
    <w:rsid w:val="0013193A"/>
    <w:rsid w:val="00141770"/>
    <w:rsid w:val="00145F20"/>
    <w:rsid w:val="00150EB0"/>
    <w:rsid w:val="00152E0C"/>
    <w:rsid w:val="001548C9"/>
    <w:rsid w:val="00160633"/>
    <w:rsid w:val="00176BBC"/>
    <w:rsid w:val="0018460E"/>
    <w:rsid w:val="001966C3"/>
    <w:rsid w:val="00196CD1"/>
    <w:rsid w:val="00197470"/>
    <w:rsid w:val="001C6C08"/>
    <w:rsid w:val="001D275E"/>
    <w:rsid w:val="001D438C"/>
    <w:rsid w:val="001D7216"/>
    <w:rsid w:val="001E738C"/>
    <w:rsid w:val="001E794A"/>
    <w:rsid w:val="001F4641"/>
    <w:rsid w:val="00204CCE"/>
    <w:rsid w:val="00205386"/>
    <w:rsid w:val="002145FB"/>
    <w:rsid w:val="00216884"/>
    <w:rsid w:val="00216DED"/>
    <w:rsid w:val="00221960"/>
    <w:rsid w:val="00222212"/>
    <w:rsid w:val="00226D4D"/>
    <w:rsid w:val="00233554"/>
    <w:rsid w:val="0023675C"/>
    <w:rsid w:val="00236CF6"/>
    <w:rsid w:val="0024318E"/>
    <w:rsid w:val="00243B4E"/>
    <w:rsid w:val="00247AA1"/>
    <w:rsid w:val="00267081"/>
    <w:rsid w:val="00275F4B"/>
    <w:rsid w:val="00276777"/>
    <w:rsid w:val="002815B0"/>
    <w:rsid w:val="00285DB0"/>
    <w:rsid w:val="002869AF"/>
    <w:rsid w:val="00294639"/>
    <w:rsid w:val="0029662F"/>
    <w:rsid w:val="002976A4"/>
    <w:rsid w:val="002B50E2"/>
    <w:rsid w:val="002B5D3F"/>
    <w:rsid w:val="002B6EE7"/>
    <w:rsid w:val="002C3C8C"/>
    <w:rsid w:val="002E3DF9"/>
    <w:rsid w:val="002E4FDE"/>
    <w:rsid w:val="002E7CBB"/>
    <w:rsid w:val="002F4F9A"/>
    <w:rsid w:val="00305A71"/>
    <w:rsid w:val="003101F2"/>
    <w:rsid w:val="00311C24"/>
    <w:rsid w:val="0032259B"/>
    <w:rsid w:val="00325D5A"/>
    <w:rsid w:val="00331CD6"/>
    <w:rsid w:val="00333280"/>
    <w:rsid w:val="00337D55"/>
    <w:rsid w:val="003502BC"/>
    <w:rsid w:val="00351A91"/>
    <w:rsid w:val="003536E3"/>
    <w:rsid w:val="00357CCC"/>
    <w:rsid w:val="00362ED0"/>
    <w:rsid w:val="003638F7"/>
    <w:rsid w:val="0036738D"/>
    <w:rsid w:val="00374BA4"/>
    <w:rsid w:val="00374EA4"/>
    <w:rsid w:val="00375F28"/>
    <w:rsid w:val="003779C9"/>
    <w:rsid w:val="003825EA"/>
    <w:rsid w:val="00384444"/>
    <w:rsid w:val="0039201F"/>
    <w:rsid w:val="00395151"/>
    <w:rsid w:val="0039670D"/>
    <w:rsid w:val="003C1EAA"/>
    <w:rsid w:val="003C26DA"/>
    <w:rsid w:val="003C507E"/>
    <w:rsid w:val="003E4C7D"/>
    <w:rsid w:val="003F26C7"/>
    <w:rsid w:val="003F57E3"/>
    <w:rsid w:val="003F76EB"/>
    <w:rsid w:val="00403FA0"/>
    <w:rsid w:val="004200F6"/>
    <w:rsid w:val="00426CB8"/>
    <w:rsid w:val="00427B8C"/>
    <w:rsid w:val="00431F52"/>
    <w:rsid w:val="004324E2"/>
    <w:rsid w:val="00433963"/>
    <w:rsid w:val="00434D91"/>
    <w:rsid w:val="00437852"/>
    <w:rsid w:val="00440463"/>
    <w:rsid w:val="00443F66"/>
    <w:rsid w:val="00444689"/>
    <w:rsid w:val="004526DF"/>
    <w:rsid w:val="0045727C"/>
    <w:rsid w:val="00465E48"/>
    <w:rsid w:val="004669C0"/>
    <w:rsid w:val="00480126"/>
    <w:rsid w:val="004838BE"/>
    <w:rsid w:val="00484C47"/>
    <w:rsid w:val="004900F5"/>
    <w:rsid w:val="00496D02"/>
    <w:rsid w:val="004A0AD5"/>
    <w:rsid w:val="004A43AF"/>
    <w:rsid w:val="004A7020"/>
    <w:rsid w:val="004B0E9A"/>
    <w:rsid w:val="004C1182"/>
    <w:rsid w:val="004C5374"/>
    <w:rsid w:val="004D109E"/>
    <w:rsid w:val="004D7072"/>
    <w:rsid w:val="004E0246"/>
    <w:rsid w:val="004E5A1A"/>
    <w:rsid w:val="004F02BC"/>
    <w:rsid w:val="004F2E4D"/>
    <w:rsid w:val="004F3F0A"/>
    <w:rsid w:val="005073DD"/>
    <w:rsid w:val="00507ABD"/>
    <w:rsid w:val="0051514C"/>
    <w:rsid w:val="005377B7"/>
    <w:rsid w:val="00555C5E"/>
    <w:rsid w:val="0057334E"/>
    <w:rsid w:val="00581AE8"/>
    <w:rsid w:val="005836D1"/>
    <w:rsid w:val="00586F4E"/>
    <w:rsid w:val="00591389"/>
    <w:rsid w:val="00597853"/>
    <w:rsid w:val="005A767D"/>
    <w:rsid w:val="005B529D"/>
    <w:rsid w:val="005B590B"/>
    <w:rsid w:val="005B69A6"/>
    <w:rsid w:val="005B6C16"/>
    <w:rsid w:val="005E1C1A"/>
    <w:rsid w:val="005F6F55"/>
    <w:rsid w:val="006015B3"/>
    <w:rsid w:val="006168AC"/>
    <w:rsid w:val="00620BC9"/>
    <w:rsid w:val="00625369"/>
    <w:rsid w:val="00626310"/>
    <w:rsid w:val="00634233"/>
    <w:rsid w:val="00642A2B"/>
    <w:rsid w:val="00646B49"/>
    <w:rsid w:val="00662409"/>
    <w:rsid w:val="00663405"/>
    <w:rsid w:val="006661C6"/>
    <w:rsid w:val="00670F79"/>
    <w:rsid w:val="00671FC7"/>
    <w:rsid w:val="006776D3"/>
    <w:rsid w:val="006941E0"/>
    <w:rsid w:val="006A38F0"/>
    <w:rsid w:val="006A737D"/>
    <w:rsid w:val="006B6064"/>
    <w:rsid w:val="006B6716"/>
    <w:rsid w:val="006B67EE"/>
    <w:rsid w:val="006C5BC2"/>
    <w:rsid w:val="006E76CC"/>
    <w:rsid w:val="006F289F"/>
    <w:rsid w:val="006F3DF9"/>
    <w:rsid w:val="00703301"/>
    <w:rsid w:val="00705946"/>
    <w:rsid w:val="00713B31"/>
    <w:rsid w:val="0071462F"/>
    <w:rsid w:val="00716378"/>
    <w:rsid w:val="00720B97"/>
    <w:rsid w:val="00725B19"/>
    <w:rsid w:val="00730835"/>
    <w:rsid w:val="007338E2"/>
    <w:rsid w:val="00734A09"/>
    <w:rsid w:val="00737ADF"/>
    <w:rsid w:val="00743C23"/>
    <w:rsid w:val="007450D0"/>
    <w:rsid w:val="007452D4"/>
    <w:rsid w:val="007518E1"/>
    <w:rsid w:val="00764855"/>
    <w:rsid w:val="007658C8"/>
    <w:rsid w:val="007819BD"/>
    <w:rsid w:val="00786DF8"/>
    <w:rsid w:val="00787E92"/>
    <w:rsid w:val="007918CD"/>
    <w:rsid w:val="007956F2"/>
    <w:rsid w:val="007A0537"/>
    <w:rsid w:val="007A063D"/>
    <w:rsid w:val="007A11EB"/>
    <w:rsid w:val="007B1EB0"/>
    <w:rsid w:val="007C4447"/>
    <w:rsid w:val="007D2FE5"/>
    <w:rsid w:val="007D7890"/>
    <w:rsid w:val="007E4EDE"/>
    <w:rsid w:val="007F548E"/>
    <w:rsid w:val="00807C2E"/>
    <w:rsid w:val="008100EA"/>
    <w:rsid w:val="00814A72"/>
    <w:rsid w:val="00816262"/>
    <w:rsid w:val="008234EB"/>
    <w:rsid w:val="0083136D"/>
    <w:rsid w:val="00832EF9"/>
    <w:rsid w:val="00834AEB"/>
    <w:rsid w:val="008407CA"/>
    <w:rsid w:val="00844D24"/>
    <w:rsid w:val="00847E8E"/>
    <w:rsid w:val="0085001A"/>
    <w:rsid w:val="008510AC"/>
    <w:rsid w:val="00852815"/>
    <w:rsid w:val="00852E17"/>
    <w:rsid w:val="00860F72"/>
    <w:rsid w:val="00862368"/>
    <w:rsid w:val="00863FBC"/>
    <w:rsid w:val="00865671"/>
    <w:rsid w:val="0086633F"/>
    <w:rsid w:val="00871F5E"/>
    <w:rsid w:val="00875378"/>
    <w:rsid w:val="008779DB"/>
    <w:rsid w:val="00882A4F"/>
    <w:rsid w:val="00884E24"/>
    <w:rsid w:val="00887B4D"/>
    <w:rsid w:val="00892B5C"/>
    <w:rsid w:val="008A4EA5"/>
    <w:rsid w:val="008B186D"/>
    <w:rsid w:val="008C2BB0"/>
    <w:rsid w:val="008C69F7"/>
    <w:rsid w:val="008D6C8F"/>
    <w:rsid w:val="009010CD"/>
    <w:rsid w:val="00902DA8"/>
    <w:rsid w:val="00903782"/>
    <w:rsid w:val="00907EB3"/>
    <w:rsid w:val="00911307"/>
    <w:rsid w:val="00926DE3"/>
    <w:rsid w:val="009435BE"/>
    <w:rsid w:val="009459C1"/>
    <w:rsid w:val="00945EF5"/>
    <w:rsid w:val="00955F95"/>
    <w:rsid w:val="009653D3"/>
    <w:rsid w:val="00965F24"/>
    <w:rsid w:val="009807F8"/>
    <w:rsid w:val="00985965"/>
    <w:rsid w:val="00991FD3"/>
    <w:rsid w:val="009934DA"/>
    <w:rsid w:val="009941C1"/>
    <w:rsid w:val="00996B3D"/>
    <w:rsid w:val="00997575"/>
    <w:rsid w:val="009A0F70"/>
    <w:rsid w:val="009A11B9"/>
    <w:rsid w:val="009B45BE"/>
    <w:rsid w:val="009C36B4"/>
    <w:rsid w:val="009C50B5"/>
    <w:rsid w:val="009C52AC"/>
    <w:rsid w:val="009C534D"/>
    <w:rsid w:val="009D59CB"/>
    <w:rsid w:val="009F2D69"/>
    <w:rsid w:val="009F4345"/>
    <w:rsid w:val="00A049BE"/>
    <w:rsid w:val="00A05835"/>
    <w:rsid w:val="00A13BF9"/>
    <w:rsid w:val="00A1530C"/>
    <w:rsid w:val="00A221A1"/>
    <w:rsid w:val="00A42655"/>
    <w:rsid w:val="00A5331B"/>
    <w:rsid w:val="00A7731B"/>
    <w:rsid w:val="00A77CE8"/>
    <w:rsid w:val="00A77F7E"/>
    <w:rsid w:val="00A83E5F"/>
    <w:rsid w:val="00A871B0"/>
    <w:rsid w:val="00A87E91"/>
    <w:rsid w:val="00A97503"/>
    <w:rsid w:val="00AA0A3A"/>
    <w:rsid w:val="00AA6BC2"/>
    <w:rsid w:val="00AC05BF"/>
    <w:rsid w:val="00AC21DD"/>
    <w:rsid w:val="00AD0E53"/>
    <w:rsid w:val="00AD37CC"/>
    <w:rsid w:val="00AE1DE7"/>
    <w:rsid w:val="00AE3129"/>
    <w:rsid w:val="00AE339A"/>
    <w:rsid w:val="00AE6F0D"/>
    <w:rsid w:val="00AE7E47"/>
    <w:rsid w:val="00AF4682"/>
    <w:rsid w:val="00AF4BCF"/>
    <w:rsid w:val="00AF6FFB"/>
    <w:rsid w:val="00B05398"/>
    <w:rsid w:val="00B434D3"/>
    <w:rsid w:val="00B447E6"/>
    <w:rsid w:val="00B45B43"/>
    <w:rsid w:val="00B63638"/>
    <w:rsid w:val="00B658FA"/>
    <w:rsid w:val="00B9046C"/>
    <w:rsid w:val="00B93683"/>
    <w:rsid w:val="00BA273A"/>
    <w:rsid w:val="00BB0AD5"/>
    <w:rsid w:val="00BB586C"/>
    <w:rsid w:val="00BC2BDF"/>
    <w:rsid w:val="00BE2299"/>
    <w:rsid w:val="00BE232D"/>
    <w:rsid w:val="00BE37DB"/>
    <w:rsid w:val="00BF0442"/>
    <w:rsid w:val="00BF1763"/>
    <w:rsid w:val="00C0411A"/>
    <w:rsid w:val="00C17A63"/>
    <w:rsid w:val="00C22501"/>
    <w:rsid w:val="00C3023C"/>
    <w:rsid w:val="00C30773"/>
    <w:rsid w:val="00C3206D"/>
    <w:rsid w:val="00C36EF8"/>
    <w:rsid w:val="00C37F09"/>
    <w:rsid w:val="00C579CC"/>
    <w:rsid w:val="00C7076C"/>
    <w:rsid w:val="00C8000C"/>
    <w:rsid w:val="00C958C5"/>
    <w:rsid w:val="00CA6476"/>
    <w:rsid w:val="00CB15DE"/>
    <w:rsid w:val="00CC0385"/>
    <w:rsid w:val="00CC17EC"/>
    <w:rsid w:val="00CC398A"/>
    <w:rsid w:val="00CC4BDA"/>
    <w:rsid w:val="00CC60EF"/>
    <w:rsid w:val="00CC6338"/>
    <w:rsid w:val="00CD50AA"/>
    <w:rsid w:val="00CF0655"/>
    <w:rsid w:val="00CF3604"/>
    <w:rsid w:val="00CF64DA"/>
    <w:rsid w:val="00D03C08"/>
    <w:rsid w:val="00D0611E"/>
    <w:rsid w:val="00D07BA7"/>
    <w:rsid w:val="00D2464E"/>
    <w:rsid w:val="00D267C4"/>
    <w:rsid w:val="00D3101C"/>
    <w:rsid w:val="00D3327D"/>
    <w:rsid w:val="00D336E8"/>
    <w:rsid w:val="00D33B8E"/>
    <w:rsid w:val="00D3765D"/>
    <w:rsid w:val="00D406B6"/>
    <w:rsid w:val="00D50631"/>
    <w:rsid w:val="00D527C9"/>
    <w:rsid w:val="00D55B34"/>
    <w:rsid w:val="00D55F63"/>
    <w:rsid w:val="00D604BA"/>
    <w:rsid w:val="00D7153C"/>
    <w:rsid w:val="00D735CE"/>
    <w:rsid w:val="00D77711"/>
    <w:rsid w:val="00D77DD2"/>
    <w:rsid w:val="00D91E6D"/>
    <w:rsid w:val="00DA1A0D"/>
    <w:rsid w:val="00DB3578"/>
    <w:rsid w:val="00DB4894"/>
    <w:rsid w:val="00DB5D44"/>
    <w:rsid w:val="00DD3B0A"/>
    <w:rsid w:val="00DE00CE"/>
    <w:rsid w:val="00DE2589"/>
    <w:rsid w:val="00DE3179"/>
    <w:rsid w:val="00E01ECD"/>
    <w:rsid w:val="00E041A9"/>
    <w:rsid w:val="00E06473"/>
    <w:rsid w:val="00E07B47"/>
    <w:rsid w:val="00E10CD0"/>
    <w:rsid w:val="00E12B91"/>
    <w:rsid w:val="00E16C5C"/>
    <w:rsid w:val="00E23B96"/>
    <w:rsid w:val="00E27884"/>
    <w:rsid w:val="00E34648"/>
    <w:rsid w:val="00E57AC4"/>
    <w:rsid w:val="00E60B20"/>
    <w:rsid w:val="00E61091"/>
    <w:rsid w:val="00E838F9"/>
    <w:rsid w:val="00E9496F"/>
    <w:rsid w:val="00E9660F"/>
    <w:rsid w:val="00EB4547"/>
    <w:rsid w:val="00EB74C5"/>
    <w:rsid w:val="00EC4EF9"/>
    <w:rsid w:val="00EE2D35"/>
    <w:rsid w:val="00EF1084"/>
    <w:rsid w:val="00EF3352"/>
    <w:rsid w:val="00EF3E7A"/>
    <w:rsid w:val="00EF52B5"/>
    <w:rsid w:val="00F04680"/>
    <w:rsid w:val="00F162A2"/>
    <w:rsid w:val="00F17DE4"/>
    <w:rsid w:val="00F34C49"/>
    <w:rsid w:val="00F46784"/>
    <w:rsid w:val="00F47026"/>
    <w:rsid w:val="00F520B4"/>
    <w:rsid w:val="00F52F7F"/>
    <w:rsid w:val="00F530FF"/>
    <w:rsid w:val="00F547DD"/>
    <w:rsid w:val="00F5491B"/>
    <w:rsid w:val="00F643EB"/>
    <w:rsid w:val="00F65AC3"/>
    <w:rsid w:val="00F770A6"/>
    <w:rsid w:val="00F91E4D"/>
    <w:rsid w:val="00F93895"/>
    <w:rsid w:val="00FB42DD"/>
    <w:rsid w:val="00FB73B0"/>
    <w:rsid w:val="00FC234A"/>
    <w:rsid w:val="00FC3E19"/>
    <w:rsid w:val="00FC4008"/>
    <w:rsid w:val="00FC5F54"/>
    <w:rsid w:val="00FE0A8D"/>
    <w:rsid w:val="00FF3311"/>
    <w:rsid w:val="099F09AB"/>
    <w:rsid w:val="0C09E6E5"/>
    <w:rsid w:val="324ED00B"/>
    <w:rsid w:val="37B08EE8"/>
    <w:rsid w:val="59C76FC6"/>
    <w:rsid w:val="67C977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14D5"/>
  <w15:chartTrackingRefBased/>
  <w15:docId w15:val="{242232E9-FD8D-4D53-AC64-260DCD03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D1"/>
    <w:rPr>
      <w:rFonts w:ascii="Arial" w:hAnsi="Arial"/>
      <w:sz w:val="20"/>
    </w:rPr>
  </w:style>
  <w:style w:type="paragraph" w:styleId="Heading1">
    <w:name w:val="heading 1"/>
    <w:basedOn w:val="Normal"/>
    <w:next w:val="Normal"/>
    <w:link w:val="Heading1Char"/>
    <w:uiPriority w:val="9"/>
    <w:qFormat/>
    <w:rsid w:val="001D438C"/>
    <w:pPr>
      <w:keepNext/>
      <w:keepLines/>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233554"/>
    <w:pPr>
      <w:keepNext/>
      <w:keepLines/>
      <w:spacing w:before="160" w:after="80"/>
      <w:jc w:val="both"/>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A97503"/>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A97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38C"/>
    <w:rPr>
      <w:rFonts w:ascii="Arial" w:eastAsiaTheme="majorEastAsia" w:hAnsi="Arial" w:cstheme="majorBidi"/>
      <w:b/>
      <w:color w:val="000000" w:themeColor="text1"/>
      <w:sz w:val="28"/>
      <w:szCs w:val="40"/>
    </w:rPr>
  </w:style>
  <w:style w:type="character" w:customStyle="1" w:styleId="Heading2Char">
    <w:name w:val="Heading 2 Char"/>
    <w:basedOn w:val="DefaultParagraphFont"/>
    <w:link w:val="Heading2"/>
    <w:uiPriority w:val="9"/>
    <w:rsid w:val="00233554"/>
    <w:rPr>
      <w:rFonts w:ascii="Arial" w:eastAsiaTheme="majorEastAsia" w:hAnsi="Arial" w:cstheme="majorBidi"/>
      <w:b/>
      <w:color w:val="000000" w:themeColor="text1"/>
      <w:sz w:val="20"/>
      <w:szCs w:val="32"/>
    </w:rPr>
  </w:style>
  <w:style w:type="character" w:customStyle="1" w:styleId="Heading3Char">
    <w:name w:val="Heading 3 Char"/>
    <w:basedOn w:val="DefaultParagraphFont"/>
    <w:link w:val="Heading3"/>
    <w:uiPriority w:val="9"/>
    <w:rsid w:val="00A97503"/>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A97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503"/>
    <w:rPr>
      <w:rFonts w:eastAsiaTheme="majorEastAsia" w:cstheme="majorBidi"/>
      <w:color w:val="272727" w:themeColor="text1" w:themeTint="D8"/>
    </w:rPr>
  </w:style>
  <w:style w:type="paragraph" w:styleId="Title">
    <w:name w:val="Title"/>
    <w:basedOn w:val="Normal"/>
    <w:next w:val="Normal"/>
    <w:link w:val="TitleChar"/>
    <w:uiPriority w:val="10"/>
    <w:qFormat/>
    <w:rsid w:val="00A97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503"/>
    <w:pPr>
      <w:spacing w:before="160"/>
      <w:jc w:val="center"/>
    </w:pPr>
    <w:rPr>
      <w:i/>
      <w:iCs/>
      <w:color w:val="404040" w:themeColor="text1" w:themeTint="BF"/>
    </w:rPr>
  </w:style>
  <w:style w:type="character" w:customStyle="1" w:styleId="QuoteChar">
    <w:name w:val="Quote Char"/>
    <w:basedOn w:val="DefaultParagraphFont"/>
    <w:link w:val="Quote"/>
    <w:uiPriority w:val="29"/>
    <w:rsid w:val="00A97503"/>
    <w:rPr>
      <w:i/>
      <w:iCs/>
      <w:color w:val="404040" w:themeColor="text1" w:themeTint="BF"/>
    </w:rPr>
  </w:style>
  <w:style w:type="paragraph" w:styleId="ListParagraph">
    <w:name w:val="List Paragraph"/>
    <w:basedOn w:val="Normal"/>
    <w:uiPriority w:val="34"/>
    <w:qFormat/>
    <w:rsid w:val="00A97503"/>
    <w:pPr>
      <w:ind w:left="720"/>
      <w:contextualSpacing/>
    </w:pPr>
  </w:style>
  <w:style w:type="character" w:styleId="IntenseEmphasis">
    <w:name w:val="Intense Emphasis"/>
    <w:basedOn w:val="DefaultParagraphFont"/>
    <w:uiPriority w:val="21"/>
    <w:qFormat/>
    <w:rsid w:val="00A97503"/>
    <w:rPr>
      <w:i/>
      <w:iCs/>
      <w:color w:val="0F4761" w:themeColor="accent1" w:themeShade="BF"/>
    </w:rPr>
  </w:style>
  <w:style w:type="paragraph" w:styleId="IntenseQuote">
    <w:name w:val="Intense Quote"/>
    <w:basedOn w:val="Normal"/>
    <w:next w:val="Normal"/>
    <w:link w:val="IntenseQuoteChar"/>
    <w:uiPriority w:val="30"/>
    <w:qFormat/>
    <w:rsid w:val="00A97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503"/>
    <w:rPr>
      <w:i/>
      <w:iCs/>
      <w:color w:val="0F4761" w:themeColor="accent1" w:themeShade="BF"/>
    </w:rPr>
  </w:style>
  <w:style w:type="character" w:styleId="IntenseReference">
    <w:name w:val="Intense Reference"/>
    <w:basedOn w:val="DefaultParagraphFont"/>
    <w:uiPriority w:val="32"/>
    <w:qFormat/>
    <w:rsid w:val="00A97503"/>
    <w:rPr>
      <w:b/>
      <w:bCs/>
      <w:smallCaps/>
      <w:color w:val="0F4761" w:themeColor="accent1" w:themeShade="BF"/>
      <w:spacing w:val="5"/>
    </w:rPr>
  </w:style>
  <w:style w:type="character" w:customStyle="1" w:styleId="apple-converted-space">
    <w:name w:val="apple-converted-space"/>
    <w:basedOn w:val="DefaultParagraphFont"/>
    <w:rsid w:val="0029662F"/>
  </w:style>
  <w:style w:type="character" w:styleId="Emphasis">
    <w:name w:val="Emphasis"/>
    <w:basedOn w:val="DefaultParagraphFont"/>
    <w:uiPriority w:val="20"/>
    <w:qFormat/>
    <w:rsid w:val="0029662F"/>
    <w:rPr>
      <w:i/>
      <w:iCs/>
    </w:rPr>
  </w:style>
  <w:style w:type="character" w:styleId="HTMLCode">
    <w:name w:val="HTML Code"/>
    <w:basedOn w:val="DefaultParagraphFont"/>
    <w:uiPriority w:val="99"/>
    <w:semiHidden/>
    <w:unhideWhenUsed/>
    <w:rsid w:val="0029662F"/>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243B4E"/>
    <w:pPr>
      <w:spacing w:before="480" w:after="0" w:line="276" w:lineRule="auto"/>
      <w:outlineLvl w:val="9"/>
    </w:pPr>
    <w:rPr>
      <w:rFonts w:asciiTheme="majorHAnsi" w:hAnsiTheme="majorHAnsi"/>
      <w:bCs/>
      <w:color w:val="0F4761" w:themeColor="accent1" w:themeShade="BF"/>
      <w:kern w:val="0"/>
      <w:szCs w:val="28"/>
      <w14:ligatures w14:val="none"/>
    </w:rPr>
  </w:style>
  <w:style w:type="paragraph" w:styleId="TOC1">
    <w:name w:val="toc 1"/>
    <w:basedOn w:val="Normal"/>
    <w:next w:val="Normal"/>
    <w:autoRedefine/>
    <w:uiPriority w:val="39"/>
    <w:unhideWhenUsed/>
    <w:rsid w:val="00243B4E"/>
    <w:pPr>
      <w:spacing w:before="120" w:after="0"/>
    </w:pPr>
    <w:rPr>
      <w:rFonts w:asciiTheme="minorHAnsi" w:hAnsiTheme="minorHAnsi"/>
      <w:b/>
      <w:bCs/>
      <w:i/>
      <w:iCs/>
      <w:sz w:val="24"/>
    </w:rPr>
  </w:style>
  <w:style w:type="paragraph" w:styleId="TOC2">
    <w:name w:val="toc 2"/>
    <w:basedOn w:val="Normal"/>
    <w:next w:val="Normal"/>
    <w:autoRedefine/>
    <w:uiPriority w:val="39"/>
    <w:unhideWhenUsed/>
    <w:rsid w:val="00243B4E"/>
    <w:pPr>
      <w:spacing w:before="120" w:after="0"/>
      <w:ind w:left="200"/>
    </w:pPr>
    <w:rPr>
      <w:rFonts w:asciiTheme="minorHAnsi" w:hAnsiTheme="minorHAnsi"/>
      <w:b/>
      <w:bCs/>
      <w:sz w:val="22"/>
      <w:szCs w:val="22"/>
    </w:rPr>
  </w:style>
  <w:style w:type="paragraph" w:styleId="TOC3">
    <w:name w:val="toc 3"/>
    <w:basedOn w:val="Normal"/>
    <w:next w:val="Normal"/>
    <w:autoRedefine/>
    <w:uiPriority w:val="39"/>
    <w:unhideWhenUsed/>
    <w:rsid w:val="00243B4E"/>
    <w:pPr>
      <w:spacing w:after="0"/>
      <w:ind w:left="400"/>
    </w:pPr>
    <w:rPr>
      <w:rFonts w:asciiTheme="minorHAnsi" w:hAnsiTheme="minorHAnsi"/>
      <w:szCs w:val="20"/>
    </w:rPr>
  </w:style>
  <w:style w:type="character" w:styleId="Hyperlink">
    <w:name w:val="Hyperlink"/>
    <w:basedOn w:val="DefaultParagraphFont"/>
    <w:uiPriority w:val="99"/>
    <w:unhideWhenUsed/>
    <w:rsid w:val="00243B4E"/>
    <w:rPr>
      <w:color w:val="467886" w:themeColor="hyperlink"/>
      <w:u w:val="single"/>
    </w:rPr>
  </w:style>
  <w:style w:type="paragraph" w:styleId="TOC4">
    <w:name w:val="toc 4"/>
    <w:basedOn w:val="Normal"/>
    <w:next w:val="Normal"/>
    <w:autoRedefine/>
    <w:uiPriority w:val="39"/>
    <w:semiHidden/>
    <w:unhideWhenUsed/>
    <w:rsid w:val="00243B4E"/>
    <w:pPr>
      <w:spacing w:after="0"/>
      <w:ind w:left="600"/>
    </w:pPr>
    <w:rPr>
      <w:rFonts w:asciiTheme="minorHAnsi" w:hAnsiTheme="minorHAnsi"/>
      <w:szCs w:val="20"/>
    </w:rPr>
  </w:style>
  <w:style w:type="paragraph" w:styleId="TOC5">
    <w:name w:val="toc 5"/>
    <w:basedOn w:val="Normal"/>
    <w:next w:val="Normal"/>
    <w:autoRedefine/>
    <w:uiPriority w:val="39"/>
    <w:semiHidden/>
    <w:unhideWhenUsed/>
    <w:rsid w:val="00243B4E"/>
    <w:pPr>
      <w:spacing w:after="0"/>
      <w:ind w:left="800"/>
    </w:pPr>
    <w:rPr>
      <w:rFonts w:asciiTheme="minorHAnsi" w:hAnsiTheme="minorHAnsi"/>
      <w:szCs w:val="20"/>
    </w:rPr>
  </w:style>
  <w:style w:type="paragraph" w:styleId="TOC6">
    <w:name w:val="toc 6"/>
    <w:basedOn w:val="Normal"/>
    <w:next w:val="Normal"/>
    <w:autoRedefine/>
    <w:uiPriority w:val="39"/>
    <w:semiHidden/>
    <w:unhideWhenUsed/>
    <w:rsid w:val="00243B4E"/>
    <w:pPr>
      <w:spacing w:after="0"/>
      <w:ind w:left="1000"/>
    </w:pPr>
    <w:rPr>
      <w:rFonts w:asciiTheme="minorHAnsi" w:hAnsiTheme="minorHAnsi"/>
      <w:szCs w:val="20"/>
    </w:rPr>
  </w:style>
  <w:style w:type="paragraph" w:styleId="TOC7">
    <w:name w:val="toc 7"/>
    <w:basedOn w:val="Normal"/>
    <w:next w:val="Normal"/>
    <w:autoRedefine/>
    <w:uiPriority w:val="39"/>
    <w:semiHidden/>
    <w:unhideWhenUsed/>
    <w:rsid w:val="00243B4E"/>
    <w:pPr>
      <w:spacing w:after="0"/>
      <w:ind w:left="1200"/>
    </w:pPr>
    <w:rPr>
      <w:rFonts w:asciiTheme="minorHAnsi" w:hAnsiTheme="minorHAnsi"/>
      <w:szCs w:val="20"/>
    </w:rPr>
  </w:style>
  <w:style w:type="paragraph" w:styleId="TOC8">
    <w:name w:val="toc 8"/>
    <w:basedOn w:val="Normal"/>
    <w:next w:val="Normal"/>
    <w:autoRedefine/>
    <w:uiPriority w:val="39"/>
    <w:semiHidden/>
    <w:unhideWhenUsed/>
    <w:rsid w:val="00243B4E"/>
    <w:pPr>
      <w:spacing w:after="0"/>
      <w:ind w:left="1400"/>
    </w:pPr>
    <w:rPr>
      <w:rFonts w:asciiTheme="minorHAnsi" w:hAnsiTheme="minorHAnsi"/>
      <w:szCs w:val="20"/>
    </w:rPr>
  </w:style>
  <w:style w:type="paragraph" w:styleId="TOC9">
    <w:name w:val="toc 9"/>
    <w:basedOn w:val="Normal"/>
    <w:next w:val="Normal"/>
    <w:autoRedefine/>
    <w:uiPriority w:val="39"/>
    <w:semiHidden/>
    <w:unhideWhenUsed/>
    <w:rsid w:val="00243B4E"/>
    <w:pPr>
      <w:spacing w:after="0"/>
      <w:ind w:left="1600"/>
    </w:pPr>
    <w:rPr>
      <w:rFonts w:asciiTheme="minorHAnsi" w:hAnsiTheme="minorHAnsi"/>
      <w:szCs w:val="20"/>
    </w:rPr>
  </w:style>
  <w:style w:type="paragraph" w:styleId="NoSpacing">
    <w:name w:val="No Spacing"/>
    <w:uiPriority w:val="1"/>
    <w:qFormat/>
    <w:rsid w:val="00DA1A0D"/>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9010C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34AEB"/>
    <w:rPr>
      <w:b/>
      <w:bCs/>
    </w:rPr>
  </w:style>
  <w:style w:type="character" w:customStyle="1" w:styleId="CommentSubjectChar">
    <w:name w:val="Comment Subject Char"/>
    <w:basedOn w:val="CommentTextChar"/>
    <w:link w:val="CommentSubject"/>
    <w:uiPriority w:val="99"/>
    <w:semiHidden/>
    <w:rsid w:val="00834AEB"/>
    <w:rPr>
      <w:rFonts w:ascii="Arial" w:hAnsi="Arial"/>
      <w:b/>
      <w:bCs/>
      <w:sz w:val="20"/>
      <w:szCs w:val="20"/>
    </w:rPr>
  </w:style>
  <w:style w:type="character" w:styleId="Mention">
    <w:name w:val="Mention"/>
    <w:basedOn w:val="DefaultParagraphFont"/>
    <w:uiPriority w:val="99"/>
    <w:unhideWhenUsed/>
    <w:rsid w:val="00737ADF"/>
    <w:rPr>
      <w:color w:val="2B579A"/>
      <w:shd w:val="clear" w:color="auto" w:fill="E1DFDD"/>
    </w:rPr>
  </w:style>
  <w:style w:type="paragraph" w:styleId="Bibliography">
    <w:name w:val="Bibliography"/>
    <w:basedOn w:val="Normal"/>
    <w:next w:val="Normal"/>
    <w:uiPriority w:val="37"/>
    <w:unhideWhenUsed/>
    <w:rsid w:val="003F76EB"/>
    <w:pPr>
      <w:tabs>
        <w:tab w:val="left" w:pos="260"/>
      </w:tabs>
      <w:spacing w:after="0" w:line="480" w:lineRule="auto"/>
      <w:ind w:left="264" w:hanging="264"/>
    </w:pPr>
  </w:style>
  <w:style w:type="character" w:customStyle="1" w:styleId="normaltextrun">
    <w:name w:val="normaltextrun"/>
    <w:basedOn w:val="DefaultParagraphFont"/>
    <w:rsid w:val="0045727C"/>
  </w:style>
  <w:style w:type="paragraph" w:styleId="Revision">
    <w:name w:val="Revision"/>
    <w:hidden/>
    <w:uiPriority w:val="99"/>
    <w:semiHidden/>
    <w:rsid w:val="007338E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13283">
      <w:bodyDiv w:val="1"/>
      <w:marLeft w:val="0"/>
      <w:marRight w:val="0"/>
      <w:marTop w:val="0"/>
      <w:marBottom w:val="0"/>
      <w:divBdr>
        <w:top w:val="none" w:sz="0" w:space="0" w:color="auto"/>
        <w:left w:val="none" w:sz="0" w:space="0" w:color="auto"/>
        <w:bottom w:val="none" w:sz="0" w:space="0" w:color="auto"/>
        <w:right w:val="none" w:sz="0" w:space="0" w:color="auto"/>
      </w:divBdr>
    </w:div>
    <w:div w:id="610212252">
      <w:bodyDiv w:val="1"/>
      <w:marLeft w:val="0"/>
      <w:marRight w:val="0"/>
      <w:marTop w:val="0"/>
      <w:marBottom w:val="0"/>
      <w:divBdr>
        <w:top w:val="none" w:sz="0" w:space="0" w:color="auto"/>
        <w:left w:val="none" w:sz="0" w:space="0" w:color="auto"/>
        <w:bottom w:val="none" w:sz="0" w:space="0" w:color="auto"/>
        <w:right w:val="none" w:sz="0" w:space="0" w:color="auto"/>
      </w:divBdr>
    </w:div>
    <w:div w:id="630938350">
      <w:bodyDiv w:val="1"/>
      <w:marLeft w:val="0"/>
      <w:marRight w:val="0"/>
      <w:marTop w:val="0"/>
      <w:marBottom w:val="0"/>
      <w:divBdr>
        <w:top w:val="none" w:sz="0" w:space="0" w:color="auto"/>
        <w:left w:val="none" w:sz="0" w:space="0" w:color="auto"/>
        <w:bottom w:val="none" w:sz="0" w:space="0" w:color="auto"/>
        <w:right w:val="none" w:sz="0" w:space="0" w:color="auto"/>
      </w:divBdr>
    </w:div>
    <w:div w:id="1015378730">
      <w:bodyDiv w:val="1"/>
      <w:marLeft w:val="0"/>
      <w:marRight w:val="0"/>
      <w:marTop w:val="0"/>
      <w:marBottom w:val="0"/>
      <w:divBdr>
        <w:top w:val="none" w:sz="0" w:space="0" w:color="auto"/>
        <w:left w:val="none" w:sz="0" w:space="0" w:color="auto"/>
        <w:bottom w:val="none" w:sz="0" w:space="0" w:color="auto"/>
        <w:right w:val="none" w:sz="0" w:space="0" w:color="auto"/>
      </w:divBdr>
    </w:div>
    <w:div w:id="175566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77FC2-620A-2449-92C1-BDFAABBED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4850</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32431</CharactersWithSpaces>
  <SharedDoc>false</SharedDoc>
  <HLinks>
    <vt:vector size="84" baseType="variant">
      <vt:variant>
        <vt:i4>1441840</vt:i4>
      </vt:variant>
      <vt:variant>
        <vt:i4>80</vt:i4>
      </vt:variant>
      <vt:variant>
        <vt:i4>0</vt:i4>
      </vt:variant>
      <vt:variant>
        <vt:i4>5</vt:i4>
      </vt:variant>
      <vt:variant>
        <vt:lpwstr/>
      </vt:variant>
      <vt:variant>
        <vt:lpwstr>_Toc214632544</vt:lpwstr>
      </vt:variant>
      <vt:variant>
        <vt:i4>1441840</vt:i4>
      </vt:variant>
      <vt:variant>
        <vt:i4>74</vt:i4>
      </vt:variant>
      <vt:variant>
        <vt:i4>0</vt:i4>
      </vt:variant>
      <vt:variant>
        <vt:i4>5</vt:i4>
      </vt:variant>
      <vt:variant>
        <vt:lpwstr/>
      </vt:variant>
      <vt:variant>
        <vt:lpwstr>_Toc214632543</vt:lpwstr>
      </vt:variant>
      <vt:variant>
        <vt:i4>1441840</vt:i4>
      </vt:variant>
      <vt:variant>
        <vt:i4>68</vt:i4>
      </vt:variant>
      <vt:variant>
        <vt:i4>0</vt:i4>
      </vt:variant>
      <vt:variant>
        <vt:i4>5</vt:i4>
      </vt:variant>
      <vt:variant>
        <vt:lpwstr/>
      </vt:variant>
      <vt:variant>
        <vt:lpwstr>_Toc214632542</vt:lpwstr>
      </vt:variant>
      <vt:variant>
        <vt:i4>1441840</vt:i4>
      </vt:variant>
      <vt:variant>
        <vt:i4>62</vt:i4>
      </vt:variant>
      <vt:variant>
        <vt:i4>0</vt:i4>
      </vt:variant>
      <vt:variant>
        <vt:i4>5</vt:i4>
      </vt:variant>
      <vt:variant>
        <vt:lpwstr/>
      </vt:variant>
      <vt:variant>
        <vt:lpwstr>_Toc214632541</vt:lpwstr>
      </vt:variant>
      <vt:variant>
        <vt:i4>1441840</vt:i4>
      </vt:variant>
      <vt:variant>
        <vt:i4>56</vt:i4>
      </vt:variant>
      <vt:variant>
        <vt:i4>0</vt:i4>
      </vt:variant>
      <vt:variant>
        <vt:i4>5</vt:i4>
      </vt:variant>
      <vt:variant>
        <vt:lpwstr/>
      </vt:variant>
      <vt:variant>
        <vt:lpwstr>_Toc214632540</vt:lpwstr>
      </vt:variant>
      <vt:variant>
        <vt:i4>1114160</vt:i4>
      </vt:variant>
      <vt:variant>
        <vt:i4>50</vt:i4>
      </vt:variant>
      <vt:variant>
        <vt:i4>0</vt:i4>
      </vt:variant>
      <vt:variant>
        <vt:i4>5</vt:i4>
      </vt:variant>
      <vt:variant>
        <vt:lpwstr/>
      </vt:variant>
      <vt:variant>
        <vt:lpwstr>_Toc214632539</vt:lpwstr>
      </vt:variant>
      <vt:variant>
        <vt:i4>1114160</vt:i4>
      </vt:variant>
      <vt:variant>
        <vt:i4>44</vt:i4>
      </vt:variant>
      <vt:variant>
        <vt:i4>0</vt:i4>
      </vt:variant>
      <vt:variant>
        <vt:i4>5</vt:i4>
      </vt:variant>
      <vt:variant>
        <vt:lpwstr/>
      </vt:variant>
      <vt:variant>
        <vt:lpwstr>_Toc214632538</vt:lpwstr>
      </vt:variant>
      <vt:variant>
        <vt:i4>1114160</vt:i4>
      </vt:variant>
      <vt:variant>
        <vt:i4>38</vt:i4>
      </vt:variant>
      <vt:variant>
        <vt:i4>0</vt:i4>
      </vt:variant>
      <vt:variant>
        <vt:i4>5</vt:i4>
      </vt:variant>
      <vt:variant>
        <vt:lpwstr/>
      </vt:variant>
      <vt:variant>
        <vt:lpwstr>_Toc214632537</vt:lpwstr>
      </vt:variant>
      <vt:variant>
        <vt:i4>1114160</vt:i4>
      </vt:variant>
      <vt:variant>
        <vt:i4>32</vt:i4>
      </vt:variant>
      <vt:variant>
        <vt:i4>0</vt:i4>
      </vt:variant>
      <vt:variant>
        <vt:i4>5</vt:i4>
      </vt:variant>
      <vt:variant>
        <vt:lpwstr/>
      </vt:variant>
      <vt:variant>
        <vt:lpwstr>_Toc214632536</vt:lpwstr>
      </vt:variant>
      <vt:variant>
        <vt:i4>1114160</vt:i4>
      </vt:variant>
      <vt:variant>
        <vt:i4>26</vt:i4>
      </vt:variant>
      <vt:variant>
        <vt:i4>0</vt:i4>
      </vt:variant>
      <vt:variant>
        <vt:i4>5</vt:i4>
      </vt:variant>
      <vt:variant>
        <vt:lpwstr/>
      </vt:variant>
      <vt:variant>
        <vt:lpwstr>_Toc214632535</vt:lpwstr>
      </vt:variant>
      <vt:variant>
        <vt:i4>1114160</vt:i4>
      </vt:variant>
      <vt:variant>
        <vt:i4>20</vt:i4>
      </vt:variant>
      <vt:variant>
        <vt:i4>0</vt:i4>
      </vt:variant>
      <vt:variant>
        <vt:i4>5</vt:i4>
      </vt:variant>
      <vt:variant>
        <vt:lpwstr/>
      </vt:variant>
      <vt:variant>
        <vt:lpwstr>_Toc214632534</vt:lpwstr>
      </vt:variant>
      <vt:variant>
        <vt:i4>1114160</vt:i4>
      </vt:variant>
      <vt:variant>
        <vt:i4>14</vt:i4>
      </vt:variant>
      <vt:variant>
        <vt:i4>0</vt:i4>
      </vt:variant>
      <vt:variant>
        <vt:i4>5</vt:i4>
      </vt:variant>
      <vt:variant>
        <vt:lpwstr/>
      </vt:variant>
      <vt:variant>
        <vt:lpwstr>_Toc214632533</vt:lpwstr>
      </vt:variant>
      <vt:variant>
        <vt:i4>1114160</vt:i4>
      </vt:variant>
      <vt:variant>
        <vt:i4>8</vt:i4>
      </vt:variant>
      <vt:variant>
        <vt:i4>0</vt:i4>
      </vt:variant>
      <vt:variant>
        <vt:i4>5</vt:i4>
      </vt:variant>
      <vt:variant>
        <vt:lpwstr/>
      </vt:variant>
      <vt:variant>
        <vt:lpwstr>_Toc214632532</vt:lpwstr>
      </vt:variant>
      <vt:variant>
        <vt:i4>1114160</vt:i4>
      </vt:variant>
      <vt:variant>
        <vt:i4>2</vt:i4>
      </vt:variant>
      <vt:variant>
        <vt:i4>0</vt:i4>
      </vt:variant>
      <vt:variant>
        <vt:i4>5</vt:i4>
      </vt:variant>
      <vt:variant>
        <vt:lpwstr/>
      </vt:variant>
      <vt:variant>
        <vt:lpwstr>_Toc214632531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Krebs</dc:creator>
  <cp:keywords/>
  <dc:description/>
  <cp:lastModifiedBy>Kristi Krebs</cp:lastModifiedBy>
  <cp:revision>13</cp:revision>
  <dcterms:created xsi:type="dcterms:W3CDTF">2025-11-24T21:02:00Z</dcterms:created>
  <dcterms:modified xsi:type="dcterms:W3CDTF">2026-01-06T13:56:00Z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zotero-version="7.0.20"&gt;&lt;session id="DIwST0ZS"/&gt;&lt;style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