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59290" w14:textId="7EDD3E5E" w:rsidR="00680C77" w:rsidRPr="002B59B2" w:rsidRDefault="00680C77" w:rsidP="00680C77">
      <w:pPr>
        <w:keepNext/>
        <w:keepLines/>
        <w:spacing w:before="240" w:after="0"/>
        <w:jc w:val="center"/>
        <w:outlineLvl w:val="0"/>
        <w:rPr>
          <w:rFonts w:ascii="Times New Roman" w:eastAsiaTheme="majorEastAsia" w:hAnsi="Times New Roman" w:cs="Times New Roman"/>
          <w:b/>
          <w:bCs/>
          <w:color w:val="000000" w:themeColor="text1"/>
          <w:sz w:val="28"/>
          <w:szCs w:val="32"/>
          <w:lang w:val="en-US"/>
        </w:rPr>
      </w:pPr>
      <w:r w:rsidRPr="002B59B2">
        <w:rPr>
          <w:rFonts w:ascii="Times New Roman" w:eastAsiaTheme="majorEastAsia" w:hAnsi="Times New Roman" w:cs="Times New Roman"/>
          <w:b/>
          <w:bCs/>
          <w:color w:val="000000" w:themeColor="text1"/>
          <w:sz w:val="28"/>
          <w:szCs w:val="32"/>
          <w:lang w:val="en-US"/>
        </w:rPr>
        <w:t>Supplementary Information</w:t>
      </w:r>
      <w:r w:rsidR="00825BF4">
        <w:rPr>
          <w:rFonts w:ascii="Times New Roman" w:eastAsiaTheme="majorEastAsia" w:hAnsi="Times New Roman" w:cs="Times New Roman"/>
          <w:b/>
          <w:bCs/>
          <w:color w:val="000000" w:themeColor="text1"/>
          <w:sz w:val="28"/>
          <w:szCs w:val="32"/>
          <w:lang w:val="en-US"/>
        </w:rPr>
        <w:t xml:space="preserve"> for: </w:t>
      </w:r>
    </w:p>
    <w:p w14:paraId="11B4886A" w14:textId="77777777" w:rsidR="00680C77" w:rsidRPr="002B59B2" w:rsidRDefault="00680C77" w:rsidP="00680C77">
      <w:pPr>
        <w:jc w:val="center"/>
        <w:rPr>
          <w:rFonts w:ascii="Times New Roman" w:hAnsi="Times New Roman" w:cs="Times New Roman"/>
          <w:b/>
          <w:sz w:val="24"/>
          <w:szCs w:val="24"/>
          <w:lang w:val="en-US"/>
        </w:rPr>
      </w:pPr>
      <w:r w:rsidRPr="002B59B2">
        <w:rPr>
          <w:rFonts w:ascii="Times New Roman" w:hAnsi="Times New Roman" w:cs="Times New Roman"/>
          <w:b/>
          <w:sz w:val="24"/>
          <w:szCs w:val="24"/>
          <w:lang w:val="en-US"/>
        </w:rPr>
        <w:t>High yield manufacturing of fully screen printed organic electrochemical transistors</w:t>
      </w:r>
    </w:p>
    <w:p w14:paraId="55E21429" w14:textId="30FA9D0C" w:rsidR="00680C77" w:rsidRPr="002B59B2" w:rsidRDefault="00680C77" w:rsidP="00680C77">
      <w:pPr>
        <w:jc w:val="both"/>
        <w:rPr>
          <w:rFonts w:ascii="Times New Roman" w:hAnsi="Times New Roman" w:cs="Times New Roman"/>
          <w:szCs w:val="24"/>
        </w:rPr>
      </w:pPr>
      <w:r w:rsidRPr="002B59B2">
        <w:rPr>
          <w:rFonts w:ascii="Times New Roman" w:hAnsi="Times New Roman" w:cs="Times New Roman"/>
          <w:szCs w:val="24"/>
        </w:rPr>
        <w:t>Marzieh Zabihipour</w:t>
      </w:r>
      <w:r w:rsidRPr="002B59B2">
        <w:rPr>
          <w:rFonts w:ascii="Times New Roman" w:hAnsi="Times New Roman" w:cs="Times New Roman"/>
          <w:szCs w:val="24"/>
          <w:vertAlign w:val="superscript"/>
        </w:rPr>
        <w:t>1</w:t>
      </w:r>
      <w:r w:rsidRPr="002B59B2">
        <w:rPr>
          <w:rFonts w:ascii="Times New Roman" w:hAnsi="Times New Roman" w:cs="Times New Roman"/>
          <w:szCs w:val="24"/>
        </w:rPr>
        <w:t>, Roman Lassnig</w:t>
      </w:r>
      <w:r w:rsidRPr="002B59B2">
        <w:rPr>
          <w:rFonts w:ascii="Times New Roman" w:hAnsi="Times New Roman" w:cs="Times New Roman"/>
          <w:szCs w:val="24"/>
          <w:vertAlign w:val="superscript"/>
        </w:rPr>
        <w:t>2</w:t>
      </w:r>
      <w:r w:rsidRPr="002B59B2">
        <w:rPr>
          <w:rFonts w:ascii="Times New Roman" w:hAnsi="Times New Roman" w:cs="Times New Roman"/>
          <w:szCs w:val="24"/>
        </w:rPr>
        <w:t>, Jan Strandberg</w:t>
      </w:r>
      <w:r w:rsidRPr="002B59B2">
        <w:rPr>
          <w:rFonts w:ascii="Times New Roman" w:hAnsi="Times New Roman" w:cs="Times New Roman"/>
          <w:szCs w:val="24"/>
          <w:vertAlign w:val="superscript"/>
        </w:rPr>
        <w:t>2</w:t>
      </w:r>
      <w:r w:rsidRPr="002B59B2">
        <w:rPr>
          <w:rFonts w:ascii="Times New Roman" w:hAnsi="Times New Roman" w:cs="Times New Roman"/>
          <w:szCs w:val="24"/>
        </w:rPr>
        <w:t>, Magnus Berggren</w:t>
      </w:r>
      <w:r w:rsidRPr="002B59B2">
        <w:rPr>
          <w:rFonts w:ascii="Times New Roman" w:hAnsi="Times New Roman" w:cs="Times New Roman"/>
          <w:szCs w:val="24"/>
          <w:vertAlign w:val="superscript"/>
        </w:rPr>
        <w:t>1</w:t>
      </w:r>
      <w:r w:rsidRPr="002B59B2">
        <w:rPr>
          <w:rFonts w:ascii="Times New Roman" w:hAnsi="Times New Roman" w:cs="Times New Roman"/>
          <w:szCs w:val="24"/>
        </w:rPr>
        <w:t>, Simone Fabiano</w:t>
      </w:r>
      <w:r w:rsidRPr="002B59B2">
        <w:rPr>
          <w:rFonts w:ascii="Times New Roman" w:hAnsi="Times New Roman" w:cs="Times New Roman"/>
          <w:szCs w:val="24"/>
          <w:vertAlign w:val="superscript"/>
        </w:rPr>
        <w:t>1</w:t>
      </w:r>
      <w:r w:rsidRPr="002B59B2">
        <w:rPr>
          <w:rFonts w:ascii="Times New Roman" w:hAnsi="Times New Roman" w:cs="Times New Roman"/>
          <w:szCs w:val="24"/>
        </w:rPr>
        <w:t>, Isak Engquist</w:t>
      </w:r>
      <w:r w:rsidRPr="002B59B2">
        <w:rPr>
          <w:rFonts w:ascii="Times New Roman" w:hAnsi="Times New Roman" w:cs="Times New Roman"/>
          <w:szCs w:val="24"/>
          <w:vertAlign w:val="superscript"/>
        </w:rPr>
        <w:t>1</w:t>
      </w:r>
      <w:r w:rsidR="00A5125A">
        <w:rPr>
          <w:rFonts w:ascii="Times New Roman" w:hAnsi="Times New Roman" w:cs="Times New Roman" w:hint="eastAsia"/>
          <w:szCs w:val="24"/>
          <w:vertAlign w:val="superscript"/>
          <w:lang w:eastAsia="zh-CN"/>
        </w:rPr>
        <w:t>*</w:t>
      </w:r>
      <w:r w:rsidRPr="002B59B2">
        <w:rPr>
          <w:rFonts w:ascii="Times New Roman" w:hAnsi="Times New Roman" w:cs="Times New Roman"/>
          <w:szCs w:val="24"/>
        </w:rPr>
        <w:t>, Peter Andersson Ersman</w:t>
      </w:r>
      <w:r w:rsidRPr="002B59B2">
        <w:rPr>
          <w:rFonts w:ascii="Times New Roman" w:hAnsi="Times New Roman" w:cs="Times New Roman"/>
          <w:szCs w:val="24"/>
          <w:vertAlign w:val="superscript"/>
        </w:rPr>
        <w:t>2</w:t>
      </w:r>
    </w:p>
    <w:p w14:paraId="5D2C57F0" w14:textId="77777777" w:rsidR="00680C77" w:rsidRPr="002B59B2" w:rsidRDefault="00680C77" w:rsidP="00680C77">
      <w:pPr>
        <w:jc w:val="both"/>
        <w:rPr>
          <w:rFonts w:ascii="Times New Roman" w:hAnsi="Times New Roman" w:cs="Times New Roman"/>
          <w:szCs w:val="24"/>
        </w:rPr>
      </w:pPr>
    </w:p>
    <w:p w14:paraId="09367360" w14:textId="77777777" w:rsidR="00680C77" w:rsidRPr="002B59B2" w:rsidRDefault="00680C77" w:rsidP="00680C77">
      <w:pPr>
        <w:jc w:val="both"/>
        <w:rPr>
          <w:rFonts w:ascii="Times New Roman" w:hAnsi="Times New Roman" w:cs="Times New Roman"/>
          <w:szCs w:val="24"/>
          <w:lang w:val="en-US"/>
        </w:rPr>
      </w:pPr>
      <w:r w:rsidRPr="002B59B2">
        <w:rPr>
          <w:rFonts w:ascii="Times New Roman" w:hAnsi="Times New Roman" w:cs="Times New Roman"/>
          <w:szCs w:val="24"/>
          <w:vertAlign w:val="superscript"/>
          <w:lang w:val="en-US"/>
        </w:rPr>
        <w:t>1</w:t>
      </w:r>
      <w:r w:rsidRPr="002B59B2">
        <w:rPr>
          <w:rFonts w:ascii="Times New Roman" w:hAnsi="Times New Roman" w:cs="Times New Roman"/>
          <w:szCs w:val="24"/>
          <w:lang w:val="en-US"/>
        </w:rPr>
        <w:t xml:space="preserve">Laboratory of Organic Electronics, Department of Science and Technology, Linköping University, SE-601 74 Norrköping, Sweden </w:t>
      </w:r>
    </w:p>
    <w:p w14:paraId="08F4CD8B" w14:textId="77777777" w:rsidR="00680C77" w:rsidRPr="002B59B2" w:rsidRDefault="00680C77" w:rsidP="00680C77">
      <w:pPr>
        <w:rPr>
          <w:rFonts w:ascii="Times New Roman" w:hAnsi="Times New Roman" w:cs="Times New Roman"/>
          <w:sz w:val="21"/>
          <w:lang w:val="en-US"/>
        </w:rPr>
      </w:pPr>
      <w:r w:rsidRPr="002B59B2">
        <w:rPr>
          <w:rFonts w:ascii="Times New Roman" w:hAnsi="Times New Roman" w:cs="Times New Roman"/>
          <w:szCs w:val="24"/>
          <w:vertAlign w:val="superscript"/>
          <w:lang w:val="en-US"/>
        </w:rPr>
        <w:t>2</w:t>
      </w:r>
      <w:r w:rsidRPr="002B59B2">
        <w:rPr>
          <w:rFonts w:ascii="Times New Roman" w:hAnsi="Times New Roman" w:cs="Times New Roman"/>
          <w:sz w:val="21"/>
          <w:lang w:val="en-US"/>
        </w:rPr>
        <w:t>RISE Acreo, Department of Printed Electronics, Bredgatan 33, SE-602 21 Norrköping, Sweden</w:t>
      </w:r>
    </w:p>
    <w:p w14:paraId="4776A11B" w14:textId="77777777" w:rsidR="00910268" w:rsidRDefault="00910268" w:rsidP="00910268">
      <w:pPr>
        <w:jc w:val="both"/>
        <w:rPr>
          <w:rFonts w:ascii="Times New Roman" w:hAnsi="Times New Roman" w:cs="Times New Roman"/>
          <w:szCs w:val="24"/>
          <w:vertAlign w:val="superscript"/>
          <w:lang w:val="en-US"/>
        </w:rPr>
      </w:pPr>
    </w:p>
    <w:p w14:paraId="327E12A8" w14:textId="4D7A53FE" w:rsidR="00680C77" w:rsidRPr="00910268" w:rsidRDefault="00910268" w:rsidP="00910268">
      <w:pPr>
        <w:jc w:val="both"/>
        <w:rPr>
          <w:rFonts w:ascii="Times New Roman" w:hAnsi="Times New Roman" w:cs="Times New Roman"/>
          <w:szCs w:val="24"/>
          <w:lang w:val="en-US"/>
        </w:rPr>
      </w:pPr>
      <w:r w:rsidRPr="006C1527">
        <w:rPr>
          <w:rFonts w:ascii="Times New Roman" w:hAnsi="Times New Roman" w:cs="Times New Roman"/>
          <w:szCs w:val="24"/>
          <w:vertAlign w:val="superscript"/>
          <w:lang w:val="en-US"/>
        </w:rPr>
        <w:t>*</w:t>
      </w:r>
      <w:r>
        <w:rPr>
          <w:rFonts w:ascii="Times New Roman" w:hAnsi="Times New Roman" w:cs="Times New Roman"/>
          <w:szCs w:val="24"/>
          <w:lang w:val="en-US"/>
        </w:rPr>
        <w:t xml:space="preserve"> Corresponding author: isak.engquist@liu.se</w:t>
      </w:r>
    </w:p>
    <w:p w14:paraId="7D2F098B" w14:textId="77777777" w:rsidR="009F1CED" w:rsidRDefault="009F1CED" w:rsidP="00200705">
      <w:pPr>
        <w:jc w:val="both"/>
        <w:rPr>
          <w:lang w:val="en-US"/>
        </w:rPr>
      </w:pPr>
    </w:p>
    <w:p w14:paraId="36ACCB3C" w14:textId="77777777" w:rsidR="00F26FA9" w:rsidRPr="00BB1B5B" w:rsidRDefault="00F26FA9" w:rsidP="00F26FA9">
      <w:pPr>
        <w:jc w:val="both"/>
        <w:rPr>
          <w:rFonts w:ascii="Times New Roman" w:hAnsi="Times New Roman" w:cs="Times New Roman"/>
          <w:szCs w:val="24"/>
          <w:lang w:val="en-US"/>
        </w:rPr>
      </w:pPr>
      <w:r w:rsidRPr="00BB1B5B">
        <w:rPr>
          <w:rFonts w:ascii="Times New Roman" w:hAnsi="Times New Roman" w:cs="Times New Roman"/>
          <w:szCs w:val="24"/>
          <w:lang w:val="en-US"/>
        </w:rPr>
        <w:t xml:space="preserve">Supplementary Figure 1 illustrates the behavior of the two sets of large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(Version 1 and Version 2) in terms of transfer characteristics and dynamic switching behavior. These two sets of large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modulate the current differently due to different areas of carbon pads being in direct contact with the electrolyte. According to the figure, in Large Version 1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ON/OFF current ratios of &gt; 3.5 orders of magnitude can be achieved, whereas in Large Version 2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w:t>
      </w:r>
      <w:proofErr w:type="spellStart"/>
      <w:proofErr w:type="gramStart"/>
      <w:r w:rsidRPr="00BB1B5B">
        <w:rPr>
          <w:rFonts w:ascii="Times New Roman" w:hAnsi="Times New Roman" w:cs="Times New Roman"/>
          <w:szCs w:val="24"/>
          <w:lang w:val="en-US"/>
        </w:rPr>
        <w:t>I</w:t>
      </w:r>
      <w:r w:rsidRPr="00BB1B5B">
        <w:rPr>
          <w:rFonts w:ascii="Times New Roman" w:hAnsi="Times New Roman" w:cs="Times New Roman"/>
          <w:szCs w:val="24"/>
          <w:vertAlign w:val="subscript"/>
          <w:lang w:val="en-US"/>
        </w:rPr>
        <w:t>D,OFF</w:t>
      </w:r>
      <w:proofErr w:type="spellEnd"/>
      <w:proofErr w:type="gramEnd"/>
      <w:r w:rsidRPr="00BB1B5B">
        <w:rPr>
          <w:rFonts w:ascii="Times New Roman" w:hAnsi="Times New Roman" w:cs="Times New Roman"/>
          <w:szCs w:val="24"/>
          <w:lang w:val="en-US"/>
        </w:rPr>
        <w:t xml:space="preserve"> has higher values, due to increased contribution from parasitic reactions, leading to ON/OFF current ratios of ~3 orders of magnitude. </w:t>
      </w:r>
    </w:p>
    <w:p w14:paraId="1DFD7D8A" w14:textId="77777777" w:rsidR="00F26FA9" w:rsidRPr="00BB1B5B" w:rsidRDefault="00F26FA9" w:rsidP="00F26FA9">
      <w:pPr>
        <w:jc w:val="both"/>
        <w:rPr>
          <w:rFonts w:ascii="Times New Roman" w:hAnsi="Times New Roman" w:cs="Times New Roman"/>
          <w:szCs w:val="24"/>
          <w:lang w:val="en-US"/>
        </w:rPr>
      </w:pPr>
      <w:r w:rsidRPr="00BB1B5B">
        <w:rPr>
          <w:rFonts w:ascii="Times New Roman" w:hAnsi="Times New Roman" w:cs="Times New Roman"/>
          <w:szCs w:val="24"/>
          <w:lang w:val="en-US"/>
        </w:rPr>
        <w:t xml:space="preserve">The microscope images of the two malfunctioning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(both from the Large Version 2 </w:t>
      </w:r>
      <w:proofErr w:type="spellStart"/>
      <w:r w:rsidRPr="00BB1B5B">
        <w:rPr>
          <w:rFonts w:ascii="Times New Roman" w:hAnsi="Times New Roman" w:cs="Times New Roman"/>
          <w:szCs w:val="24"/>
          <w:lang w:val="en-US"/>
        </w:rPr>
        <w:t>OECT</w:t>
      </w:r>
      <w:proofErr w:type="spellEnd"/>
      <w:r w:rsidRPr="00BB1B5B">
        <w:rPr>
          <w:rFonts w:ascii="Times New Roman" w:hAnsi="Times New Roman" w:cs="Times New Roman"/>
          <w:szCs w:val="24"/>
          <w:lang w:val="en-US"/>
        </w:rPr>
        <w:t xml:space="preserve"> design) are shown in Supplementary Figure 2. The </w:t>
      </w:r>
      <w:proofErr w:type="spellStart"/>
      <w:r w:rsidRPr="00BB1B5B">
        <w:rPr>
          <w:rFonts w:ascii="Times New Roman" w:hAnsi="Times New Roman" w:cs="Times New Roman"/>
          <w:szCs w:val="24"/>
          <w:lang w:val="en-US"/>
        </w:rPr>
        <w:t>OECT</w:t>
      </w:r>
      <w:proofErr w:type="spellEnd"/>
      <w:r w:rsidRPr="00BB1B5B">
        <w:rPr>
          <w:rFonts w:ascii="Times New Roman" w:hAnsi="Times New Roman" w:cs="Times New Roman"/>
          <w:szCs w:val="24"/>
          <w:lang w:val="en-US"/>
        </w:rPr>
        <w:t xml:space="preserve"> shown in Supplementary Figure 2a has been mechanically damaged, possibly during handling after the actual printing process. The </w:t>
      </w:r>
      <w:proofErr w:type="spellStart"/>
      <w:r w:rsidRPr="00BB1B5B">
        <w:rPr>
          <w:rFonts w:ascii="Times New Roman" w:hAnsi="Times New Roman" w:cs="Times New Roman"/>
          <w:szCs w:val="24"/>
          <w:lang w:val="en-US"/>
        </w:rPr>
        <w:t>OECT</w:t>
      </w:r>
      <w:proofErr w:type="spellEnd"/>
      <w:r w:rsidRPr="00BB1B5B">
        <w:rPr>
          <w:rFonts w:ascii="Times New Roman" w:hAnsi="Times New Roman" w:cs="Times New Roman"/>
          <w:szCs w:val="24"/>
          <w:lang w:val="en-US"/>
        </w:rPr>
        <w:t xml:space="preserve"> shown in Supplementary Figure 2b displays complications stemming from the printing process itself, clogging in the electrolyte mesh probably reduced the dispensed ink volume, leading to an unfilled channel cavity and the collapsed behavior observed in the middle of the image. Both devices are </w:t>
      </w:r>
      <w:r w:rsidRPr="00BB1B5B">
        <w:rPr>
          <w:rFonts w:ascii="Times New Roman" w:hAnsi="Times New Roman" w:cs="Times New Roman"/>
          <w:szCs w:val="24"/>
          <w:lang w:val="en-US"/>
        </w:rPr>
        <w:lastRenderedPageBreak/>
        <w:t>considered in the manufacturing yield calculation, but their corresponding data were excluded from the statistical performance analysis.</w:t>
      </w:r>
    </w:p>
    <w:p w14:paraId="20C5C837" w14:textId="77777777" w:rsidR="00F26FA9" w:rsidRPr="002B59B2" w:rsidRDefault="00F26FA9" w:rsidP="00F26FA9">
      <w:pPr>
        <w:keepNext/>
        <w:jc w:val="both"/>
        <w:rPr>
          <w:rFonts w:ascii="Times New Roman" w:hAnsi="Times New Roman" w:cs="Times New Roman"/>
          <w:sz w:val="21"/>
        </w:rPr>
      </w:pPr>
      <w:r w:rsidRPr="002B59B2">
        <w:rPr>
          <w:rFonts w:ascii="Times New Roman" w:hAnsi="Times New Roman" w:cs="Times New Roman"/>
          <w:noProof/>
          <w:sz w:val="21"/>
        </w:rPr>
        <w:drawing>
          <wp:inline distT="0" distB="0" distL="0" distR="0" wp14:anchorId="36021701" wp14:editId="093953B7">
            <wp:extent cx="5672919" cy="4475182"/>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6048" cy="4493428"/>
                    </a:xfrm>
                    <a:prstGeom prst="rect">
                      <a:avLst/>
                    </a:prstGeom>
                    <a:noFill/>
                  </pic:spPr>
                </pic:pic>
              </a:graphicData>
            </a:graphic>
          </wp:inline>
        </w:drawing>
      </w:r>
    </w:p>
    <w:p w14:paraId="5E9E987B" w14:textId="77777777" w:rsidR="00F26FA9" w:rsidRPr="00BB1B5B" w:rsidRDefault="00F26FA9" w:rsidP="00F26FA9">
      <w:pPr>
        <w:jc w:val="both"/>
        <w:rPr>
          <w:rFonts w:ascii="Times New Roman" w:hAnsi="Times New Roman" w:cs="Times New Roman"/>
          <w:color w:val="000000" w:themeColor="text1"/>
          <w:szCs w:val="20"/>
          <w:lang w:val="en-US"/>
        </w:rPr>
      </w:pPr>
      <w:r w:rsidRPr="00BB1B5B">
        <w:rPr>
          <w:rFonts w:ascii="Times New Roman" w:hAnsi="Times New Roman" w:cs="Times New Roman"/>
          <w:iCs/>
          <w:noProof/>
          <w:color w:val="000000" w:themeColor="text1"/>
          <w:szCs w:val="20"/>
          <w:lang w:val="en-US"/>
        </w:rPr>
        <w:t>Supplementary Figure 1</w:t>
      </w:r>
      <w:r w:rsidRPr="00BB1B5B">
        <w:rPr>
          <w:rFonts w:ascii="Times New Roman" w:hAnsi="Times New Roman" w:cs="Times New Roman"/>
          <w:iCs/>
          <w:color w:val="000000" w:themeColor="text1"/>
          <w:szCs w:val="20"/>
          <w:lang w:val="en-US"/>
        </w:rPr>
        <w:t xml:space="preserve">: Behavior of the two sets of large </w:t>
      </w:r>
      <w:proofErr w:type="spellStart"/>
      <w:r w:rsidRPr="00BB1B5B">
        <w:rPr>
          <w:rFonts w:ascii="Times New Roman" w:hAnsi="Times New Roman" w:cs="Times New Roman"/>
          <w:iCs/>
          <w:color w:val="000000" w:themeColor="text1"/>
          <w:szCs w:val="20"/>
          <w:lang w:val="en-US"/>
        </w:rPr>
        <w:t>OECTs</w:t>
      </w:r>
      <w:proofErr w:type="spellEnd"/>
      <w:r w:rsidRPr="00BB1B5B">
        <w:rPr>
          <w:rFonts w:ascii="Times New Roman" w:hAnsi="Times New Roman" w:cs="Times New Roman"/>
          <w:iCs/>
          <w:color w:val="000000" w:themeColor="text1"/>
          <w:szCs w:val="20"/>
          <w:lang w:val="en-US"/>
        </w:rPr>
        <w:t xml:space="preserve">: (a) transfer and dynamic switching measurements of Large Version 1 </w:t>
      </w:r>
      <w:proofErr w:type="spellStart"/>
      <w:r w:rsidRPr="00BB1B5B">
        <w:rPr>
          <w:rFonts w:ascii="Times New Roman" w:hAnsi="Times New Roman" w:cs="Times New Roman"/>
          <w:iCs/>
          <w:color w:val="000000" w:themeColor="text1"/>
          <w:szCs w:val="20"/>
          <w:lang w:val="en-US"/>
        </w:rPr>
        <w:t>OECTs</w:t>
      </w:r>
      <w:proofErr w:type="spellEnd"/>
      <w:r w:rsidRPr="00BB1B5B">
        <w:rPr>
          <w:rFonts w:ascii="Times New Roman" w:hAnsi="Times New Roman" w:cs="Times New Roman"/>
          <w:iCs/>
          <w:color w:val="000000" w:themeColor="text1"/>
          <w:szCs w:val="20"/>
          <w:lang w:val="en-US"/>
        </w:rPr>
        <w:t xml:space="preserve">, (b) transfer and dynamic switching measurements of Large Version 2 </w:t>
      </w:r>
      <w:proofErr w:type="spellStart"/>
      <w:r w:rsidRPr="00BB1B5B">
        <w:rPr>
          <w:rFonts w:ascii="Times New Roman" w:hAnsi="Times New Roman" w:cs="Times New Roman"/>
          <w:iCs/>
          <w:color w:val="000000" w:themeColor="text1"/>
          <w:szCs w:val="20"/>
          <w:lang w:val="en-US"/>
        </w:rPr>
        <w:t>OECTs</w:t>
      </w:r>
      <w:proofErr w:type="spellEnd"/>
      <w:r w:rsidRPr="00BB1B5B">
        <w:rPr>
          <w:rFonts w:ascii="Times New Roman" w:hAnsi="Times New Roman" w:cs="Times New Roman"/>
          <w:iCs/>
          <w:color w:val="000000" w:themeColor="text1"/>
          <w:szCs w:val="20"/>
          <w:lang w:val="en-US"/>
        </w:rPr>
        <w:t>.</w:t>
      </w:r>
    </w:p>
    <w:p w14:paraId="054C90DC" w14:textId="77777777" w:rsidR="00F26FA9" w:rsidRPr="002B59B2" w:rsidRDefault="00F26FA9" w:rsidP="00F26FA9">
      <w:pPr>
        <w:jc w:val="center"/>
        <w:rPr>
          <w:rFonts w:ascii="Times New Roman" w:hAnsi="Times New Roman" w:cs="Times New Roman"/>
          <w:szCs w:val="24"/>
        </w:rPr>
      </w:pPr>
      <w:r w:rsidRPr="002B59B2">
        <w:rPr>
          <w:rFonts w:ascii="Times New Roman" w:hAnsi="Times New Roman" w:cs="Times New Roman"/>
          <w:noProof/>
          <w:szCs w:val="24"/>
        </w:rPr>
        <w:drawing>
          <wp:inline distT="0" distB="0" distL="0" distR="0" wp14:anchorId="774D387E" wp14:editId="687D2FA2">
            <wp:extent cx="3600000" cy="228923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2289237"/>
                    </a:xfrm>
                    <a:prstGeom prst="rect">
                      <a:avLst/>
                    </a:prstGeom>
                    <a:noFill/>
                  </pic:spPr>
                </pic:pic>
              </a:graphicData>
            </a:graphic>
          </wp:inline>
        </w:drawing>
      </w:r>
    </w:p>
    <w:p w14:paraId="655E0A28" w14:textId="77777777" w:rsidR="00F26FA9" w:rsidRPr="00BB1B5B" w:rsidRDefault="00F26FA9" w:rsidP="00F26FA9">
      <w:pPr>
        <w:jc w:val="both"/>
        <w:rPr>
          <w:rFonts w:ascii="Times New Roman" w:hAnsi="Times New Roman" w:cs="Times New Roman"/>
          <w:iCs/>
          <w:color w:val="000000" w:themeColor="text1"/>
          <w:szCs w:val="18"/>
          <w:lang w:val="en-US"/>
        </w:rPr>
      </w:pPr>
      <w:r w:rsidRPr="00BB1B5B">
        <w:rPr>
          <w:rFonts w:ascii="Times New Roman" w:hAnsi="Times New Roman" w:cs="Times New Roman"/>
          <w:iCs/>
          <w:noProof/>
          <w:color w:val="000000" w:themeColor="text1"/>
          <w:szCs w:val="20"/>
          <w:lang w:val="en-US"/>
        </w:rPr>
        <w:lastRenderedPageBreak/>
        <w:t>Supplementary Figure 2</w:t>
      </w:r>
      <w:r w:rsidRPr="00BB1B5B">
        <w:rPr>
          <w:rFonts w:ascii="Times New Roman" w:hAnsi="Times New Roman" w:cs="Times New Roman"/>
          <w:iCs/>
          <w:color w:val="000000" w:themeColor="text1"/>
          <w:szCs w:val="20"/>
          <w:lang w:val="en-US"/>
        </w:rPr>
        <w:t>:</w:t>
      </w:r>
      <w:r w:rsidRPr="00BB1B5B">
        <w:rPr>
          <w:rFonts w:ascii="Times New Roman" w:hAnsi="Times New Roman" w:cs="Times New Roman"/>
          <w:iCs/>
          <w:color w:val="000000" w:themeColor="text1"/>
          <w:szCs w:val="18"/>
          <w:lang w:val="en-US"/>
        </w:rPr>
        <w:t xml:space="preserve"> Zoom-in views of the two mechanically damaged devices from the Large Version 2 </w:t>
      </w:r>
      <w:proofErr w:type="spellStart"/>
      <w:r w:rsidRPr="00BB1B5B">
        <w:rPr>
          <w:rFonts w:ascii="Times New Roman" w:hAnsi="Times New Roman" w:cs="Times New Roman"/>
          <w:iCs/>
          <w:color w:val="000000" w:themeColor="text1"/>
          <w:szCs w:val="18"/>
          <w:lang w:val="en-US"/>
        </w:rPr>
        <w:t>OECT</w:t>
      </w:r>
      <w:proofErr w:type="spellEnd"/>
      <w:r w:rsidRPr="00BB1B5B">
        <w:rPr>
          <w:rFonts w:ascii="Times New Roman" w:hAnsi="Times New Roman" w:cs="Times New Roman"/>
          <w:iCs/>
          <w:color w:val="000000" w:themeColor="text1"/>
          <w:szCs w:val="18"/>
          <w:lang w:val="en-US"/>
        </w:rPr>
        <w:t xml:space="preserve"> design under microscope.</w:t>
      </w:r>
    </w:p>
    <w:p w14:paraId="63B8903F" w14:textId="77777777" w:rsidR="00F26FA9" w:rsidRPr="00BB1B5B" w:rsidRDefault="00F26FA9" w:rsidP="00F26FA9">
      <w:pPr>
        <w:jc w:val="both"/>
        <w:rPr>
          <w:rFonts w:ascii="Times New Roman" w:hAnsi="Times New Roman" w:cs="Times New Roman"/>
          <w:iCs/>
          <w:color w:val="000000" w:themeColor="text1"/>
          <w:szCs w:val="18"/>
          <w:lang w:val="en-US"/>
        </w:rPr>
      </w:pPr>
      <w:r w:rsidRPr="00BB1B5B">
        <w:rPr>
          <w:rFonts w:ascii="Times New Roman" w:hAnsi="Times New Roman" w:cs="Times New Roman"/>
          <w:szCs w:val="24"/>
          <w:lang w:val="en-US"/>
        </w:rPr>
        <w:t xml:space="preserve">Performance variations of </w:t>
      </w:r>
      <w:proofErr w:type="spellStart"/>
      <w:r w:rsidRPr="00BB1B5B">
        <w:rPr>
          <w:rFonts w:ascii="Times New Roman" w:hAnsi="Times New Roman" w:cs="Times New Roman"/>
          <w:szCs w:val="24"/>
          <w:lang w:val="en-US"/>
        </w:rPr>
        <w:t>OECTs</w:t>
      </w:r>
      <w:proofErr w:type="spellEnd"/>
      <w:r w:rsidRPr="00BB1B5B">
        <w:rPr>
          <w:rFonts w:ascii="Times New Roman" w:hAnsi="Times New Roman" w:cs="Times New Roman"/>
          <w:szCs w:val="24"/>
          <w:lang w:val="en-US"/>
        </w:rPr>
        <w:t xml:space="preserve"> with channel dimensions of 150×100 µm</w:t>
      </w:r>
      <w:r w:rsidRPr="00BB1B5B">
        <w:rPr>
          <w:rFonts w:ascii="Times New Roman" w:hAnsi="Times New Roman" w:cs="Times New Roman"/>
          <w:szCs w:val="24"/>
          <w:vertAlign w:val="superscript"/>
          <w:lang w:val="en-US"/>
        </w:rPr>
        <w:t>2</w:t>
      </w:r>
      <w:r w:rsidRPr="00BB1B5B">
        <w:rPr>
          <w:rFonts w:ascii="Times New Roman" w:hAnsi="Times New Roman" w:cs="Times New Roman"/>
          <w:szCs w:val="24"/>
          <w:lang w:val="en-US"/>
        </w:rPr>
        <w:t xml:space="preserve"> (Tiny </w:t>
      </w:r>
      <w:proofErr w:type="spellStart"/>
      <w:r w:rsidRPr="00BB1B5B">
        <w:rPr>
          <w:rFonts w:ascii="Times New Roman" w:hAnsi="Times New Roman" w:cs="Times New Roman"/>
          <w:szCs w:val="24"/>
          <w:lang w:val="en-US"/>
        </w:rPr>
        <w:t>OECT</w:t>
      </w:r>
      <w:proofErr w:type="spellEnd"/>
      <w:r w:rsidRPr="00BB1B5B">
        <w:rPr>
          <w:rFonts w:ascii="Times New Roman" w:hAnsi="Times New Roman" w:cs="Times New Roman"/>
          <w:szCs w:val="24"/>
          <w:lang w:val="en-US"/>
        </w:rPr>
        <w:t xml:space="preserve"> design) are shown in Supplementary Figure 3. </w:t>
      </w:r>
    </w:p>
    <w:p w14:paraId="3A82BA6C" w14:textId="326A4B11" w:rsidR="00F26FA9" w:rsidRPr="002B59B2" w:rsidRDefault="00BB1B5B" w:rsidP="00F26FA9">
      <w:pPr>
        <w:keepNext/>
        <w:jc w:val="both"/>
        <w:rPr>
          <w:rFonts w:ascii="Times New Roman" w:hAnsi="Times New Roman" w:cs="Times New Roman"/>
          <w:sz w:val="21"/>
        </w:rPr>
      </w:pPr>
      <w:r w:rsidRPr="002B59B2">
        <w:rPr>
          <w:rFonts w:ascii="Times New Roman" w:hAnsi="Times New Roman" w:cs="Times New Roman"/>
          <w:noProof/>
          <w:sz w:val="21"/>
        </w:rPr>
        <w:drawing>
          <wp:inline distT="0" distB="0" distL="0" distR="0" wp14:anchorId="6EF23A10" wp14:editId="5DAA711F">
            <wp:extent cx="5743244" cy="2249326"/>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3111" cy="2272773"/>
                    </a:xfrm>
                    <a:prstGeom prst="rect">
                      <a:avLst/>
                    </a:prstGeom>
                    <a:noFill/>
                  </pic:spPr>
                </pic:pic>
              </a:graphicData>
            </a:graphic>
          </wp:inline>
        </w:drawing>
      </w:r>
    </w:p>
    <w:p w14:paraId="44368C8A" w14:textId="77777777" w:rsidR="00F26FA9" w:rsidRPr="00BB1B5B" w:rsidRDefault="00F26FA9" w:rsidP="00F26FA9">
      <w:pPr>
        <w:jc w:val="both"/>
        <w:rPr>
          <w:rFonts w:ascii="Times New Roman" w:hAnsi="Times New Roman" w:cs="Times New Roman"/>
          <w:iCs/>
          <w:color w:val="000000" w:themeColor="text1"/>
          <w:lang w:val="en-US"/>
        </w:rPr>
      </w:pPr>
      <w:r w:rsidRPr="00BB1B5B">
        <w:rPr>
          <w:rFonts w:ascii="Times New Roman" w:hAnsi="Times New Roman" w:cs="Times New Roman"/>
          <w:iCs/>
          <w:noProof/>
          <w:color w:val="000000" w:themeColor="text1"/>
          <w:lang w:val="en-US"/>
        </w:rPr>
        <w:t>Supplementary Figure 3: Transfer sweeps of OECTs</w:t>
      </w:r>
      <w:bookmarkStart w:id="0" w:name="_Hlk11075246"/>
      <w:r w:rsidRPr="00BB1B5B">
        <w:rPr>
          <w:rFonts w:ascii="Times New Roman" w:hAnsi="Times New Roman" w:cs="Times New Roman"/>
          <w:iCs/>
          <w:noProof/>
          <w:color w:val="000000" w:themeColor="text1"/>
          <w:lang w:val="en-US"/>
        </w:rPr>
        <w:t xml:space="preserve"> with 150×100 µm</w:t>
      </w:r>
      <w:r w:rsidRPr="00BB1B5B">
        <w:rPr>
          <w:rFonts w:ascii="Times New Roman" w:hAnsi="Times New Roman" w:cs="Times New Roman"/>
          <w:iCs/>
          <w:noProof/>
          <w:color w:val="000000" w:themeColor="text1"/>
          <w:vertAlign w:val="superscript"/>
          <w:lang w:val="en-US"/>
        </w:rPr>
        <w:t xml:space="preserve">2 </w:t>
      </w:r>
      <w:bookmarkEnd w:id="0"/>
      <w:r w:rsidRPr="00BB1B5B">
        <w:rPr>
          <w:rFonts w:ascii="Times New Roman" w:hAnsi="Times New Roman" w:cs="Times New Roman"/>
          <w:iCs/>
          <w:noProof/>
          <w:color w:val="000000" w:themeColor="text1"/>
          <w:lang w:val="en-US"/>
        </w:rPr>
        <w:t>active channel area, the OECTs were printed on the same sheet, but located in two different blocks containing six OECTs each: (a) all OECTs in one block are showing reproducible transfer characteristics and ON/OFF current ratios of ~10</w:t>
      </w:r>
      <w:r w:rsidRPr="00BB1B5B">
        <w:rPr>
          <w:rFonts w:ascii="Times New Roman" w:hAnsi="Times New Roman" w:cs="Times New Roman"/>
          <w:iCs/>
          <w:noProof/>
          <w:color w:val="000000" w:themeColor="text1"/>
          <w:vertAlign w:val="superscript"/>
          <w:lang w:val="en-US"/>
        </w:rPr>
        <w:t>5</w:t>
      </w:r>
      <w:r w:rsidRPr="00BB1B5B">
        <w:rPr>
          <w:rFonts w:ascii="Times New Roman" w:hAnsi="Times New Roman" w:cs="Times New Roman"/>
          <w:iCs/>
          <w:noProof/>
          <w:color w:val="000000" w:themeColor="text1"/>
          <w:lang w:val="en-US"/>
        </w:rPr>
        <w:t xml:space="preserve">, and (b) OECTs from another block showing variations in transfer characteristics and ON/OFF current ratios. </w:t>
      </w:r>
    </w:p>
    <w:p w14:paraId="7BBA52A9" w14:textId="77777777" w:rsidR="00F26FA9" w:rsidRPr="00BB1B5B" w:rsidRDefault="00F26FA9" w:rsidP="00F26FA9">
      <w:pPr>
        <w:rPr>
          <w:lang w:val="en-US"/>
        </w:rPr>
      </w:pPr>
    </w:p>
    <w:p w14:paraId="7620418E" w14:textId="77777777" w:rsidR="00C95B20" w:rsidRPr="00BB1B5B" w:rsidRDefault="00C95B20">
      <w:pPr>
        <w:rPr>
          <w:lang w:val="en-US"/>
        </w:rPr>
      </w:pPr>
    </w:p>
    <w:sectPr w:rsidR="00C95B20" w:rsidRPr="00BB1B5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2E43C" w14:textId="77777777" w:rsidR="006104B7" w:rsidRDefault="006104B7">
      <w:pPr>
        <w:spacing w:after="0" w:line="240" w:lineRule="auto"/>
      </w:pPr>
      <w:r>
        <w:separator/>
      </w:r>
    </w:p>
  </w:endnote>
  <w:endnote w:type="continuationSeparator" w:id="0">
    <w:p w14:paraId="53D9B759" w14:textId="77777777" w:rsidR="006104B7" w:rsidRDefault="00610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SimSun"/>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4C01" w14:textId="77777777" w:rsidR="00F946EA" w:rsidRDefault="006104B7">
    <w:pPr>
      <w:pStyle w:val="Sidfot"/>
      <w:jc w:val="center"/>
    </w:pPr>
  </w:p>
  <w:p w14:paraId="347276F7" w14:textId="77777777" w:rsidR="00F946EA" w:rsidRDefault="00610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7A6E0" w14:textId="77777777" w:rsidR="006104B7" w:rsidRDefault="006104B7">
      <w:pPr>
        <w:spacing w:after="0" w:line="240" w:lineRule="auto"/>
      </w:pPr>
      <w:r>
        <w:separator/>
      </w:r>
    </w:p>
  </w:footnote>
  <w:footnote w:type="continuationSeparator" w:id="0">
    <w:p w14:paraId="52CC4BD6" w14:textId="77777777" w:rsidR="006104B7" w:rsidRDefault="006104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C77"/>
    <w:rsid w:val="00104589"/>
    <w:rsid w:val="001B6BA3"/>
    <w:rsid w:val="00200705"/>
    <w:rsid w:val="006104B7"/>
    <w:rsid w:val="00680C77"/>
    <w:rsid w:val="007C3E3D"/>
    <w:rsid w:val="00825BF4"/>
    <w:rsid w:val="00910268"/>
    <w:rsid w:val="009F1CED"/>
    <w:rsid w:val="00A5125A"/>
    <w:rsid w:val="00B13B11"/>
    <w:rsid w:val="00BB1B5B"/>
    <w:rsid w:val="00C95B20"/>
    <w:rsid w:val="00F01D05"/>
    <w:rsid w:val="00F20D8E"/>
    <w:rsid w:val="00F26F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A2C3"/>
  <w15:docId w15:val="{3CDA90F1-C980-0343-B696-B02BC63C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C77"/>
    <w:pPr>
      <w:spacing w:line="48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680C7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80C77"/>
  </w:style>
  <w:style w:type="paragraph" w:styleId="Ballongtext">
    <w:name w:val="Balloon Text"/>
    <w:basedOn w:val="Normal"/>
    <w:link w:val="BallongtextChar"/>
    <w:uiPriority w:val="99"/>
    <w:semiHidden/>
    <w:unhideWhenUsed/>
    <w:rsid w:val="00F26FA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26F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274D1B6E85DA4AAB03D16841FA0F19" ma:contentTypeVersion="10" ma:contentTypeDescription="Create a new document." ma:contentTypeScope="" ma:versionID="8b7f6b7d7fa375d159270172679a11f6">
  <xsd:schema xmlns:xsd="http://www.w3.org/2001/XMLSchema" xmlns:xs="http://www.w3.org/2001/XMLSchema" xmlns:p="http://schemas.microsoft.com/office/2006/metadata/properties" xmlns:ns3="630b7023-80ca-44cb-8c54-e0e67c9e51cc" xmlns:ns4="02bdc7dd-f865-4b9a-85f6-f40547d1e196" targetNamespace="http://schemas.microsoft.com/office/2006/metadata/properties" ma:root="true" ma:fieldsID="9569773bba42c70279993df686a97a34" ns3:_="" ns4:_="">
    <xsd:import namespace="630b7023-80ca-44cb-8c54-e0e67c9e51cc"/>
    <xsd:import namespace="02bdc7dd-f865-4b9a-85f6-f40547d1e1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b7023-80ca-44cb-8c54-e0e67c9e51c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bdc7dd-f865-4b9a-85f6-f40547d1e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A47705-F074-4994-ADFF-776D111AE9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863ACE-0E7F-4174-B47D-F44586F2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b7023-80ca-44cb-8c54-e0e67c9e51cc"/>
    <ds:schemaRef ds:uri="02bdc7dd-f865-4b9a-85f6-f40547d1e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22993-4ABA-4478-9F66-B2456F27D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433</Words>
  <Characters>2297</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Marzieh Zabihipour</dc:creator>
  <cp:keywords/>
  <dc:description/>
  <cp:lastModifiedBy>Isak Engquist</cp:lastModifiedBy>
  <cp:revision>2</cp:revision>
  <dcterms:created xsi:type="dcterms:W3CDTF">2020-08-27T08:08:00Z</dcterms:created>
  <dcterms:modified xsi:type="dcterms:W3CDTF">2020-08-27T08:08:00Z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0x0101000D274D1B6E85DA4AAB03D16841FA0F19</vt:lpwstr>
  </property>
</Properties>
</file>